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678" w:rsidRPr="000D0E35" w:rsidRDefault="001B3678" w:rsidP="001B3678">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0D0E35">
        <w:rPr>
          <w:rFonts w:ascii="Arial" w:eastAsia="Times New Roman" w:hAnsi="Arial" w:cs="Arial"/>
          <w:b/>
          <w:sz w:val="20"/>
          <w:szCs w:val="20"/>
          <w:lang w:eastAsia="sl-SI"/>
        </w:rPr>
        <w:t xml:space="preserve">PRILOGA 3 </w:t>
      </w:r>
      <w:r>
        <w:rPr>
          <w:rFonts w:ascii="Arial" w:eastAsia="Times New Roman" w:hAnsi="Arial" w:cs="Arial"/>
          <w:b/>
          <w:sz w:val="20"/>
          <w:szCs w:val="20"/>
          <w:lang w:eastAsia="sl-SI"/>
        </w:rPr>
        <w:t>- jedro gradiva:</w:t>
      </w:r>
      <w:bookmarkStart w:id="0" w:name="_GoBack"/>
      <w:bookmarkEnd w:id="0"/>
    </w:p>
    <w:p w:rsidR="001B3678" w:rsidRPr="000D0E35" w:rsidRDefault="001B3678" w:rsidP="001B3678">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1B3678" w:rsidRPr="000D0E35" w:rsidRDefault="001B3678" w:rsidP="001B3678">
      <w:pPr>
        <w:spacing w:after="0" w:line="240" w:lineRule="auto"/>
        <w:jc w:val="both"/>
        <w:rPr>
          <w:sz w:val="28"/>
        </w:rPr>
      </w:pPr>
    </w:p>
    <w:p w:rsidR="001B3678" w:rsidRPr="000D0E35" w:rsidRDefault="001B3678" w:rsidP="001B3678">
      <w:pPr>
        <w:spacing w:after="0" w:line="240" w:lineRule="auto"/>
        <w:jc w:val="both"/>
        <w:rPr>
          <w:sz w:val="28"/>
        </w:rPr>
      </w:pPr>
      <w:r w:rsidRPr="000D0E35">
        <w:rPr>
          <w:sz w:val="28"/>
        </w:rPr>
        <w:t xml:space="preserve">Informacija o </w:t>
      </w:r>
      <w:r>
        <w:rPr>
          <w:sz w:val="28"/>
        </w:rPr>
        <w:t xml:space="preserve">mednarodnih </w:t>
      </w:r>
      <w:r w:rsidRPr="000D0E35">
        <w:rPr>
          <w:sz w:val="28"/>
        </w:rPr>
        <w:t xml:space="preserve">pobudah za skupno načrtovanje raziskovalnih programov (JPIs – Joint Programming Initiatives) </w:t>
      </w:r>
    </w:p>
    <w:p w:rsidR="001B3678" w:rsidRPr="000D0E35" w:rsidRDefault="001B3678" w:rsidP="001B3678">
      <w:pPr>
        <w:jc w:val="both"/>
      </w:pPr>
    </w:p>
    <w:p w:rsidR="001B3678" w:rsidRPr="000D0E35" w:rsidRDefault="001B3678" w:rsidP="001B3678">
      <w:pPr>
        <w:shd w:val="clear" w:color="auto" w:fill="FFD966" w:themeFill="accent4" w:themeFillTint="99"/>
        <w:jc w:val="both"/>
      </w:pPr>
      <w:r w:rsidRPr="000D0E35">
        <w:t>ZGODOVINA POBUD ZA SKUPNO NAČRTOVANJE RAZISKOVALNIH PROGRAMOV:</w:t>
      </w:r>
    </w:p>
    <w:p w:rsidR="001B3678" w:rsidRPr="000D0E35" w:rsidRDefault="001B3678" w:rsidP="001B3678">
      <w:pPr>
        <w:jc w:val="both"/>
      </w:pPr>
      <w:r w:rsidRPr="000D0E35">
        <w:t>Leta 2002 je Evropska komisija začela z bottom-up eksperimentom na področju sodelovanja in povezovanja  nacionalnih agencij in ministrstev, pristojnih za raziskave, kar je vodilo do precejšnje mobilizacije sredstev za raziskave in razvoj. Rezultat tega je bilo - do leta 2007 - 71 ustanovljenih mrež za spodbujanje raziskav in razvoja, z namenom sofinanciranja skupnih sodelovalnih projektov (t.i. ERA-NET-ov), kar je bil precejšen, nepričakovan uspeh.</w:t>
      </w:r>
    </w:p>
    <w:p w:rsidR="001B3678" w:rsidRPr="000D0E35" w:rsidRDefault="001B3678" w:rsidP="001B3678">
      <w:pPr>
        <w:jc w:val="both"/>
      </w:pPr>
      <w:r w:rsidRPr="000D0E35">
        <w:t>Na podlagi tega uspeha in evropskega duha, ki se je razvil med ministrstvi, agencijami, državami članicami Evropske Unije in Evropsko komisijo je slednja pripravila analizo, ki je v letu 2008 vodila do Sporočila komisije Evropskemu parlamentu, Svetu, Evropskemu ekonomsko-socialnemu odboru in Odboru regij z naslovom: K skupnemu načrtovanju raziskav -  Sodelovanje za učinkovitejše reševanje velikih družbenih izzivov.</w:t>
      </w:r>
    </w:p>
    <w:p w:rsidR="001B3678" w:rsidRPr="000D0E35" w:rsidRDefault="001B3678" w:rsidP="001B3678">
      <w:pPr>
        <w:jc w:val="both"/>
      </w:pPr>
      <w:r w:rsidRPr="000D0E35">
        <w:t xml:space="preserve">S tem se je začela promocija tako imenovanih JPI-jev (Joint Programming Initiatives – Pobud za skupno načrtovanje raziskovalnih programov), na najvišji politični ravni, z namenom strukturiranja Evropskega raziskovalnega prostora (ERA). </w:t>
      </w:r>
    </w:p>
    <w:p w:rsidR="001B3678" w:rsidRPr="000D0E35" w:rsidRDefault="001B3678" w:rsidP="001B3678">
      <w:pPr>
        <w:jc w:val="both"/>
      </w:pPr>
      <w:r w:rsidRPr="000D0E35">
        <w:t>JPI-ji so bili vzpostavljeni v kontekstu globalizacije in intenzivne globalne konkurence in prepoznavanja dejstva, da velikih družbenih izzivov države članice ne morejo reševati samostojno in izolirano, saj so določena raziskovalna področja preširoka. Jasno je bilo, da se mora z namenom reševanja velikih družbenih izzivov povezati celotna Evropa in da se mora nanje odzvati koordinirano in skladno. Tako imamo danes deset JPI-jev, ki naslavljajo velike družbene izzive, kot so: podnebne spremembe, staranje prebivalstva, odpornost bakterij, vodni viri, zanesljiva oskrba s hrano in drugi.</w:t>
      </w:r>
    </w:p>
    <w:p w:rsidR="001B3678" w:rsidRPr="000D0E35" w:rsidRDefault="001B3678" w:rsidP="001B3678">
      <w:pPr>
        <w:jc w:val="both"/>
      </w:pPr>
      <w:r w:rsidRPr="000D0E35">
        <w:t>Od sodelujočih držav v posameznem JPI-ju se pričakuje, da so del usklajenega in skupnega načrtovanja, implementacije in evalvacije nacionalnih raziskovalnih in inovacijskih programov pri določanju skupnih prednostnih nalog. To predstavlja podlago za dolgoročno sodelovanje, povečuje vrednost raziskav, razvoja, inovacij in investicij v raziskovalne infrastrukture, tako na regionalni, nacionalni in evropski ravni. Tak pristop zahteva top-down, strateški, medvladni dialog. Le tako bo zagotovljena skupna politična vizija, ki je potrebna, da se na velike družbene izzive odzove v obliki skupaj dogovorjene strateške raziskovalne in inovacijske strategije (SRIA – Strategic Research and Innovation Agenda).</w:t>
      </w:r>
    </w:p>
    <w:p w:rsidR="001B3678" w:rsidRPr="000D0E35" w:rsidRDefault="001B3678" w:rsidP="001B3678">
      <w:pPr>
        <w:jc w:val="both"/>
      </w:pPr>
    </w:p>
    <w:p w:rsidR="001B3678" w:rsidRPr="000D0E35" w:rsidRDefault="001B3678" w:rsidP="001B3678">
      <w:pPr>
        <w:shd w:val="clear" w:color="auto" w:fill="FFD966" w:themeFill="accent4" w:themeFillTint="99"/>
        <w:jc w:val="both"/>
      </w:pPr>
      <w:r w:rsidRPr="000D0E35">
        <w:t>VLOGA MINISTRSTVA ZA IZOBRAŽEVANJE ZNANOST IN ŠPORT:</w:t>
      </w:r>
    </w:p>
    <w:p w:rsidR="001B3678" w:rsidRPr="000D0E35" w:rsidRDefault="001B3678" w:rsidP="001B3678">
      <w:pPr>
        <w:jc w:val="both"/>
      </w:pPr>
      <w:r w:rsidRPr="000D0E35">
        <w:t xml:space="preserve">Ministrstvo za izobraževanje, znanost in šport ima v procesu skupnega načrtovanja koordinacijsko in upravljavsko vlogo, hkrati pa je tudi vključeno v dve pobudi: </w:t>
      </w:r>
    </w:p>
    <w:p w:rsidR="001B3678" w:rsidRPr="000D0E35" w:rsidRDefault="001B3678" w:rsidP="001B3678">
      <w:pPr>
        <w:jc w:val="both"/>
      </w:pPr>
      <w:r w:rsidRPr="000D0E35">
        <w:rPr>
          <w:shd w:val="clear" w:color="auto" w:fill="FFF2CC" w:themeFill="accent4" w:themeFillTint="33"/>
        </w:rPr>
        <w:t>JPI Climate</w:t>
      </w:r>
      <w:r w:rsidRPr="000D0E35">
        <w:t xml:space="preserve"> - ki naslavlja aktivnosti povezane z znanjem o podnebju, vezanim na Pariški podnebni sporazum (COP21). Vizija JPI Climate je obveščati in omogočiti nizkoogljično in na podnebne spremembe odporno gospodarstvo, družbo in okolje,  ki so usklajeni z dolgoročnimi cilji podnebne politike Evropske Unije. Zato JPI Climate razvija in koordinira vseevropsko platformo za načrtovanje raziskovalnih programov. To bo zagotovilo dragoceno znanje in storitve o podnebju, za nacionalne, </w:t>
      </w:r>
      <w:r w:rsidRPr="000D0E35">
        <w:lastRenderedPageBreak/>
        <w:t>evropske in mednarodne podnebne strategije in prispevalo k mednarodnim procesom, vključno z UNFCCC in Cilji trajnostnega razvoja OZN.</w:t>
      </w:r>
    </w:p>
    <w:p w:rsidR="001B3678" w:rsidRPr="000D0E35" w:rsidRDefault="001B3678" w:rsidP="001B3678">
      <w:pPr>
        <w:jc w:val="both"/>
      </w:pPr>
      <w:r w:rsidRPr="000D0E35">
        <w:rPr>
          <w:shd w:val="clear" w:color="auto" w:fill="FFF2CC" w:themeFill="accent4" w:themeFillTint="33"/>
        </w:rPr>
        <w:t>JPI JPND</w:t>
      </w:r>
      <w:r w:rsidRPr="000D0E35">
        <w:t xml:space="preserve"> – Velja za prvo izmed pobud skupnega načrtovanja raziskovalnih programov. Sodelujočim članicam omogoča, da sodelujejo pri reševanju vprašanja nevrodegenerativnih bolezni, povezanih s starostjo, na prostovoljni osnovi. JPI JPND učinkovito in ciljno usmerja raziskovalno sodelovanje z namenom optimizacije nacionalnih raziskovalnih strategij in sistemov financiranja ter s tem omogoča hitrejšo najdbo vzrokov, razvoja zdravil in boljšo opredelitev načina za oskrbo ljudi z nevrodegenerativnimi bolezni.</w:t>
      </w:r>
    </w:p>
    <w:p w:rsidR="001B3678" w:rsidRPr="000D0E35" w:rsidRDefault="001B3678" w:rsidP="001B3678">
      <w:pPr>
        <w:jc w:val="both"/>
      </w:pPr>
      <w:r w:rsidRPr="000D0E35">
        <w:t>Ker je Slovenija majhna država, z omejenimi človeškimi in finančnimi viri, sama ne more naslavljati raziskovalnih programov, ki bi bili namenjeni reševanju družbenih izzivov, ravno zato je naslavljanje le-teh preko obstoječih instrumentov na evropski ravni najbolj smiselno in učinkovito. Ob tem pa je potrebna tudi večja zavezanost drugih resorjev in strateško pozicioniranje znotraj politik posamezne države.</w:t>
      </w:r>
    </w:p>
    <w:p w:rsidR="001B3678" w:rsidRPr="000D0E35" w:rsidRDefault="001B3678" w:rsidP="001B3678">
      <w:pPr>
        <w:jc w:val="both"/>
      </w:pPr>
    </w:p>
    <w:p w:rsidR="001B3678" w:rsidRPr="000D0E35" w:rsidRDefault="001B3678" w:rsidP="001B3678">
      <w:pPr>
        <w:shd w:val="clear" w:color="auto" w:fill="FFD966" w:themeFill="accent4" w:themeFillTint="99"/>
        <w:jc w:val="both"/>
      </w:pPr>
      <w:r w:rsidRPr="000D0E35">
        <w:t>PREDNOSTI SODELOVANJA V JPI-jih:</w:t>
      </w:r>
    </w:p>
    <w:p w:rsidR="001B3678" w:rsidRPr="000D0E35" w:rsidRDefault="001B3678" w:rsidP="001B3678">
      <w:pPr>
        <w:jc w:val="both"/>
      </w:pPr>
      <w:r w:rsidRPr="000D0E35">
        <w:t>JPI-ji predstavljajo nove oblike dolgoročnega sodelovanja med lokalnimi, regionalnimi, nacionalnimi in evropskimi oblikovalci politik in deležniki, ki zmanjšujejo razdrobljenost in povečujejo učinek nacionalnih vlaganj v raziskave, razvoj in inovacije:</w:t>
      </w:r>
    </w:p>
    <w:p w:rsidR="001B3678" w:rsidRPr="000D0E35" w:rsidRDefault="001B3678" w:rsidP="001B3678">
      <w:pPr>
        <w:pStyle w:val="Odstavekseznama"/>
        <w:numPr>
          <w:ilvl w:val="0"/>
          <w:numId w:val="1"/>
        </w:numPr>
        <w:spacing w:after="200" w:line="276" w:lineRule="auto"/>
        <w:jc w:val="both"/>
        <w:rPr>
          <w:rFonts w:asciiTheme="minorHAnsi" w:hAnsiTheme="minorHAnsi"/>
          <w:sz w:val="22"/>
          <w:szCs w:val="22"/>
          <w:lang w:val="sl-SI"/>
        </w:rPr>
      </w:pPr>
      <w:r w:rsidRPr="000D0E35">
        <w:rPr>
          <w:rFonts w:asciiTheme="minorHAnsi" w:hAnsiTheme="minorHAnsi"/>
          <w:sz w:val="22"/>
          <w:szCs w:val="22"/>
          <w:lang w:val="sl-SI"/>
        </w:rPr>
        <w:t>z grajenjem zaupanja in spodbujanjem sodelovanja med oblikovalci nacionalnih raziskovalnih politik, ministrstvi, agencijami za financiranje raziskav, organizacijami, ki se ukvarjajo z raziskavami in z njimi povezanimi interesnimi skupinami iz različnih držav</w:t>
      </w:r>
    </w:p>
    <w:p w:rsidR="001B3678" w:rsidRPr="000D0E35" w:rsidRDefault="001B3678" w:rsidP="001B3678">
      <w:pPr>
        <w:pStyle w:val="Odstavekseznama"/>
        <w:numPr>
          <w:ilvl w:val="0"/>
          <w:numId w:val="1"/>
        </w:numPr>
        <w:spacing w:after="200" w:line="276" w:lineRule="auto"/>
        <w:jc w:val="both"/>
        <w:rPr>
          <w:rFonts w:asciiTheme="minorHAnsi" w:hAnsiTheme="minorHAnsi"/>
          <w:sz w:val="22"/>
          <w:szCs w:val="22"/>
          <w:lang w:val="sl-SI"/>
        </w:rPr>
      </w:pPr>
      <w:r w:rsidRPr="000D0E35">
        <w:rPr>
          <w:rFonts w:asciiTheme="minorHAnsi" w:hAnsiTheme="minorHAnsi"/>
          <w:sz w:val="22"/>
          <w:szCs w:val="22"/>
          <w:lang w:val="sl-SI"/>
        </w:rPr>
        <w:t>vzpostavljanjem kritične mase na raziskovalnih področjih povezanih s posameznim JPI-jem, ki temeljijo na nacionalnih strategijah, politikah in programih</w:t>
      </w:r>
    </w:p>
    <w:p w:rsidR="001B3678" w:rsidRPr="000D0E35" w:rsidRDefault="001B3678" w:rsidP="001B3678">
      <w:pPr>
        <w:pStyle w:val="Odstavekseznama"/>
        <w:numPr>
          <w:ilvl w:val="0"/>
          <w:numId w:val="1"/>
        </w:numPr>
        <w:spacing w:after="200" w:line="276" w:lineRule="auto"/>
        <w:jc w:val="both"/>
        <w:rPr>
          <w:rFonts w:asciiTheme="minorHAnsi" w:hAnsiTheme="minorHAnsi"/>
          <w:sz w:val="22"/>
          <w:szCs w:val="22"/>
          <w:lang w:val="sl-SI"/>
        </w:rPr>
      </w:pPr>
      <w:r w:rsidRPr="000D0E35">
        <w:rPr>
          <w:rFonts w:asciiTheme="minorHAnsi" w:hAnsiTheme="minorHAnsi"/>
          <w:sz w:val="22"/>
          <w:szCs w:val="22"/>
          <w:lang w:val="sl-SI"/>
        </w:rPr>
        <w:t>grajenjem na nacionalnih, regionalnih in lokalnih kompetencah na področju raziskav, razvoja in inovacij, strategijah in prioritetah, kar vodi do neposrednega dostopa do lokalnih deležnikov, ki se jih nato poveže v transnacionalne aktivnosti na evropski ravni</w:t>
      </w:r>
    </w:p>
    <w:p w:rsidR="001B3678" w:rsidRPr="000D0E35" w:rsidRDefault="001B3678" w:rsidP="001B3678">
      <w:pPr>
        <w:jc w:val="both"/>
      </w:pPr>
      <w:r w:rsidRPr="000D0E35">
        <w:t>Druga prednost je v spodbujanju in preizkušanju inovativnih pristopov sodelovanja med znanostjo in politiko:</w:t>
      </w:r>
    </w:p>
    <w:p w:rsidR="001B3678" w:rsidRPr="000D0E35" w:rsidRDefault="001B3678" w:rsidP="001B3678">
      <w:pPr>
        <w:pStyle w:val="Odstavekseznama"/>
        <w:numPr>
          <w:ilvl w:val="0"/>
          <w:numId w:val="1"/>
        </w:numPr>
        <w:spacing w:after="200" w:line="276" w:lineRule="auto"/>
        <w:jc w:val="both"/>
        <w:rPr>
          <w:rFonts w:asciiTheme="minorHAnsi" w:hAnsiTheme="minorHAnsi"/>
          <w:sz w:val="22"/>
          <w:szCs w:val="22"/>
          <w:lang w:val="sl-SI"/>
        </w:rPr>
      </w:pPr>
      <w:r w:rsidRPr="000D0E35">
        <w:rPr>
          <w:rFonts w:asciiTheme="minorHAnsi" w:hAnsiTheme="minorHAnsi"/>
          <w:sz w:val="22"/>
          <w:szCs w:val="22"/>
          <w:lang w:val="sl-SI"/>
        </w:rPr>
        <w:t>vzpostavljanjem evropskega inovacijskega ekosistema, ki spodbuja vključevanje interesnih skupin in sočasno ustvarjanje novih rešitev</w:t>
      </w:r>
    </w:p>
    <w:p w:rsidR="001B3678" w:rsidRPr="000D0E35" w:rsidRDefault="001B3678" w:rsidP="001B3678">
      <w:pPr>
        <w:pStyle w:val="Odstavekseznama"/>
        <w:numPr>
          <w:ilvl w:val="0"/>
          <w:numId w:val="1"/>
        </w:numPr>
        <w:spacing w:after="200" w:line="276" w:lineRule="auto"/>
        <w:jc w:val="both"/>
        <w:rPr>
          <w:rFonts w:asciiTheme="minorHAnsi" w:hAnsiTheme="minorHAnsi"/>
          <w:sz w:val="22"/>
          <w:szCs w:val="22"/>
          <w:lang w:val="sl-SI"/>
        </w:rPr>
      </w:pPr>
      <w:r w:rsidRPr="000D0E35">
        <w:rPr>
          <w:rFonts w:asciiTheme="minorHAnsi" w:hAnsiTheme="minorHAnsi"/>
          <w:sz w:val="22"/>
          <w:szCs w:val="22"/>
          <w:lang w:val="sl-SI"/>
        </w:rPr>
        <w:t>prenos znanosti v prakso s pomočjo novih partnerstev, prenašanje znanosti v politiko, uvajanje novih inovacijskih modelov ter širjenje in komunikacijo rezultatov raziskav za namene njihove uporabe</w:t>
      </w:r>
    </w:p>
    <w:p w:rsidR="001B3678" w:rsidRPr="000D0E35" w:rsidRDefault="001B3678" w:rsidP="001B3678">
      <w:pPr>
        <w:pStyle w:val="Odstavekseznama"/>
        <w:numPr>
          <w:ilvl w:val="0"/>
          <w:numId w:val="1"/>
        </w:numPr>
        <w:spacing w:after="200" w:line="276" w:lineRule="auto"/>
        <w:jc w:val="both"/>
        <w:rPr>
          <w:rFonts w:asciiTheme="minorHAnsi" w:hAnsiTheme="minorHAnsi"/>
          <w:sz w:val="22"/>
          <w:szCs w:val="22"/>
          <w:lang w:val="sl-SI"/>
        </w:rPr>
      </w:pPr>
      <w:r w:rsidRPr="000D0E35">
        <w:rPr>
          <w:rFonts w:asciiTheme="minorHAnsi" w:hAnsiTheme="minorHAnsi"/>
          <w:sz w:val="22"/>
          <w:szCs w:val="22"/>
          <w:lang w:val="sl-SI"/>
        </w:rPr>
        <w:t>testiranjem novih orodij in načinov sodelovanja, vzpostavitev novih instrumentov in omogočanje vzajemnega učenja</w:t>
      </w:r>
    </w:p>
    <w:p w:rsidR="001B3678" w:rsidRPr="000D0E35" w:rsidRDefault="001B3678" w:rsidP="001B3678">
      <w:pPr>
        <w:jc w:val="both"/>
      </w:pPr>
      <w:r w:rsidRPr="000D0E35">
        <w:t>Tretja prednost pa je ta, da JPI-ji delujejo kot prehod med znanstveno odličnostjo in  mednarodnim sodelovanjem:</w:t>
      </w:r>
    </w:p>
    <w:p w:rsidR="001B3678" w:rsidRPr="000D0E35" w:rsidRDefault="001B3678" w:rsidP="001B3678">
      <w:pPr>
        <w:pStyle w:val="Odstavekseznama"/>
        <w:numPr>
          <w:ilvl w:val="0"/>
          <w:numId w:val="1"/>
        </w:numPr>
        <w:spacing w:after="200" w:line="276" w:lineRule="auto"/>
        <w:jc w:val="both"/>
        <w:rPr>
          <w:rFonts w:asciiTheme="minorHAnsi" w:hAnsiTheme="minorHAnsi"/>
          <w:sz w:val="22"/>
          <w:lang w:val="sl-SI"/>
        </w:rPr>
      </w:pPr>
      <w:r w:rsidRPr="000D0E35">
        <w:rPr>
          <w:rFonts w:asciiTheme="minorHAnsi" w:hAnsiTheme="minorHAnsi"/>
          <w:sz w:val="22"/>
          <w:lang w:val="sl-SI"/>
        </w:rPr>
        <w:t>preko skupnih razpisov in ukrepov in sodelovanja v ustreznih evropskih in mednarodnih programih</w:t>
      </w:r>
    </w:p>
    <w:p w:rsidR="001B3678" w:rsidRPr="000D0E35" w:rsidRDefault="001B3678" w:rsidP="001B3678">
      <w:pPr>
        <w:pStyle w:val="Odstavekseznama"/>
        <w:numPr>
          <w:ilvl w:val="0"/>
          <w:numId w:val="1"/>
        </w:numPr>
        <w:spacing w:after="200" w:line="276" w:lineRule="auto"/>
        <w:jc w:val="both"/>
        <w:rPr>
          <w:rFonts w:asciiTheme="minorHAnsi" w:hAnsiTheme="minorHAnsi"/>
          <w:sz w:val="22"/>
          <w:lang w:val="sl-SI"/>
        </w:rPr>
      </w:pPr>
      <w:r w:rsidRPr="000D0E35">
        <w:rPr>
          <w:rFonts w:asciiTheme="minorHAnsi" w:hAnsiTheme="minorHAnsi"/>
          <w:sz w:val="22"/>
          <w:lang w:val="sl-SI"/>
        </w:rPr>
        <w:t>prikazujejo in promovirajo evropsko znanost na področju globalnih družbenih prednostnih področjih svetu in prispevajo k ustvarjanju mednarodnih prioritet</w:t>
      </w:r>
    </w:p>
    <w:p w:rsidR="001B3678" w:rsidRPr="001B3678" w:rsidRDefault="001B3678" w:rsidP="001B3678">
      <w:pPr>
        <w:pStyle w:val="Odstavekseznama"/>
        <w:numPr>
          <w:ilvl w:val="0"/>
          <w:numId w:val="1"/>
        </w:numPr>
        <w:suppressAutoHyphens/>
        <w:overflowPunct w:val="0"/>
        <w:autoSpaceDE w:val="0"/>
        <w:autoSpaceDN w:val="0"/>
        <w:adjustRightInd w:val="0"/>
        <w:spacing w:line="260" w:lineRule="exact"/>
        <w:jc w:val="both"/>
        <w:textAlignment w:val="baseline"/>
        <w:rPr>
          <w:rFonts w:cs="Arial"/>
          <w:b/>
          <w:szCs w:val="20"/>
          <w:lang w:eastAsia="sl-SI"/>
        </w:rPr>
      </w:pPr>
      <w:r w:rsidRPr="000D0E35">
        <w:rPr>
          <w:rFonts w:asciiTheme="minorHAnsi" w:hAnsiTheme="minorHAnsi"/>
          <w:sz w:val="22"/>
          <w:lang w:val="sl-SI"/>
        </w:rPr>
        <w:t>povečujejo prepoznavnosti evropskih kompetenc in dosežkov ter predstavljajo evropsko raziskovalno skupnost v mednarodnem kontekstu</w:t>
      </w:r>
    </w:p>
    <w:p w:rsidR="001B3678" w:rsidRDefault="001B3678" w:rsidP="001B3678">
      <w:pPr>
        <w:suppressAutoHyphens/>
        <w:overflowPunct w:val="0"/>
        <w:autoSpaceDE w:val="0"/>
        <w:autoSpaceDN w:val="0"/>
        <w:adjustRightInd w:val="0"/>
        <w:spacing w:line="260" w:lineRule="exact"/>
        <w:jc w:val="both"/>
        <w:textAlignment w:val="baseline"/>
        <w:rPr>
          <w:rFonts w:cs="Arial"/>
          <w:b/>
          <w:szCs w:val="20"/>
          <w:lang w:eastAsia="sl-SI"/>
        </w:rPr>
        <w:sectPr w:rsidR="001B3678" w:rsidSect="00BD2715">
          <w:pgSz w:w="11906" w:h="16838"/>
          <w:pgMar w:top="720" w:right="1418" w:bottom="1418" w:left="1418" w:header="709" w:footer="709" w:gutter="0"/>
          <w:cols w:space="708"/>
          <w:docGrid w:linePitch="360"/>
        </w:sectPr>
      </w:pPr>
    </w:p>
    <w:p w:rsidR="001B3678" w:rsidRPr="000D0E35" w:rsidRDefault="001B3678" w:rsidP="001B3678">
      <w:pPr>
        <w:shd w:val="clear" w:color="auto" w:fill="FFD966" w:themeFill="accent4" w:themeFillTint="99"/>
        <w:jc w:val="both"/>
      </w:pPr>
      <w:r>
        <w:lastRenderedPageBreak/>
        <w:t xml:space="preserve">PREGLEDNICA </w:t>
      </w:r>
      <w:r w:rsidRPr="000D0E35">
        <w:t>JPI</w:t>
      </w:r>
      <w:r>
        <w:t>s</w:t>
      </w:r>
      <w:r w:rsidRPr="000D0E35">
        <w:t>:</w:t>
      </w:r>
    </w:p>
    <w:tbl>
      <w:tblPr>
        <w:tblW w:w="14591" w:type="dxa"/>
        <w:tblCellMar>
          <w:left w:w="0" w:type="dxa"/>
          <w:right w:w="0" w:type="dxa"/>
        </w:tblCellMar>
        <w:tblLook w:val="04A0" w:firstRow="1" w:lastRow="0" w:firstColumn="1" w:lastColumn="0" w:noHBand="0" w:noVBand="1"/>
      </w:tblPr>
      <w:tblGrid>
        <w:gridCol w:w="2400"/>
        <w:gridCol w:w="6804"/>
        <w:gridCol w:w="3402"/>
        <w:gridCol w:w="1985"/>
      </w:tblGrid>
      <w:tr w:rsidR="001B3678" w:rsidRPr="000E3E39" w:rsidTr="00C15EFF">
        <w:trPr>
          <w:trHeight w:val="788"/>
        </w:trPr>
        <w:tc>
          <w:tcPr>
            <w:tcW w:w="2400" w:type="dxa"/>
            <w:tcBorders>
              <w:top w:val="single" w:sz="8" w:space="0" w:color="auto"/>
              <w:left w:val="single" w:sz="8" w:space="0" w:color="auto"/>
              <w:bottom w:val="single" w:sz="8" w:space="0" w:color="auto"/>
              <w:right w:val="nil"/>
            </w:tcBorders>
            <w:shd w:val="clear" w:color="auto" w:fill="auto"/>
            <w:tcMar>
              <w:top w:w="15" w:type="dxa"/>
              <w:left w:w="15" w:type="dxa"/>
              <w:bottom w:w="0" w:type="dxa"/>
              <w:right w:w="15" w:type="dxa"/>
            </w:tcMar>
            <w:vAlign w:val="center"/>
            <w:hideMark/>
          </w:tcPr>
          <w:p w:rsidR="001B3678" w:rsidRPr="009F3496" w:rsidRDefault="001B3678" w:rsidP="00C15EFF">
            <w:pPr>
              <w:rPr>
                <w:rFonts w:ascii="Calibri" w:hAnsi="Calibri"/>
                <w:b/>
                <w:bCs/>
                <w:color w:val="000000" w:themeColor="text1"/>
                <w:sz w:val="20"/>
                <w:szCs w:val="20"/>
              </w:rPr>
            </w:pPr>
            <w:r w:rsidRPr="009F3496">
              <w:rPr>
                <w:rFonts w:ascii="Calibri" w:hAnsi="Calibri"/>
                <w:b/>
                <w:bCs/>
                <w:color w:val="000000" w:themeColor="text1"/>
                <w:sz w:val="20"/>
                <w:szCs w:val="20"/>
              </w:rPr>
              <w:t xml:space="preserve">Pobuda za skupno </w:t>
            </w:r>
            <w:r w:rsidRPr="009F3496">
              <w:rPr>
                <w:rFonts w:ascii="Calibri" w:hAnsi="Calibri"/>
                <w:b/>
                <w:bCs/>
                <w:color w:val="000000" w:themeColor="text1"/>
                <w:sz w:val="20"/>
                <w:szCs w:val="20"/>
              </w:rPr>
              <w:br/>
              <w:t>načrtovanje programov (JPI)</w:t>
            </w:r>
          </w:p>
        </w:tc>
        <w:tc>
          <w:tcPr>
            <w:tcW w:w="6804" w:type="dxa"/>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B3678" w:rsidRPr="000E3E39" w:rsidRDefault="001B3678" w:rsidP="00C15EFF">
            <w:pPr>
              <w:rPr>
                <w:rFonts w:ascii="Calibri" w:hAnsi="Calibri"/>
                <w:b/>
                <w:bCs/>
                <w:color w:val="000000" w:themeColor="text1"/>
                <w:sz w:val="20"/>
                <w:szCs w:val="20"/>
              </w:rPr>
            </w:pPr>
            <w:r w:rsidRPr="000E3E39">
              <w:rPr>
                <w:rFonts w:ascii="Calibri" w:hAnsi="Calibri"/>
                <w:b/>
                <w:bCs/>
                <w:color w:val="000000" w:themeColor="text1"/>
                <w:sz w:val="20"/>
                <w:szCs w:val="20"/>
              </w:rPr>
              <w:t>kratek opis</w:t>
            </w:r>
          </w:p>
        </w:tc>
        <w:tc>
          <w:tcPr>
            <w:tcW w:w="3402" w:type="dxa"/>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1B3678" w:rsidRPr="000E3E39" w:rsidRDefault="001B3678" w:rsidP="00C15EFF">
            <w:pPr>
              <w:rPr>
                <w:rFonts w:ascii="Calibri" w:hAnsi="Calibri"/>
                <w:b/>
                <w:bCs/>
                <w:color w:val="000000" w:themeColor="text1"/>
                <w:sz w:val="20"/>
                <w:szCs w:val="20"/>
              </w:rPr>
            </w:pPr>
            <w:r w:rsidRPr="000E3E39">
              <w:rPr>
                <w:rFonts w:ascii="Calibri" w:hAnsi="Calibri"/>
                <w:b/>
                <w:bCs/>
                <w:color w:val="000000" w:themeColor="text1"/>
                <w:sz w:val="20"/>
                <w:szCs w:val="20"/>
              </w:rPr>
              <w:t>tematske prednostne naloge</w:t>
            </w:r>
            <w:r>
              <w:rPr>
                <w:rFonts w:ascii="Calibri" w:hAnsi="Calibri"/>
                <w:b/>
                <w:bCs/>
                <w:color w:val="000000" w:themeColor="text1"/>
                <w:sz w:val="20"/>
                <w:szCs w:val="20"/>
              </w:rPr>
              <w:t xml:space="preserve"> </w:t>
            </w:r>
          </w:p>
        </w:tc>
        <w:tc>
          <w:tcPr>
            <w:tcW w:w="1985" w:type="dxa"/>
            <w:tcBorders>
              <w:top w:val="single" w:sz="8" w:space="0" w:color="auto"/>
              <w:left w:val="nil"/>
              <w:bottom w:val="single" w:sz="8" w:space="0" w:color="auto"/>
              <w:right w:val="single" w:sz="8" w:space="0" w:color="auto"/>
            </w:tcBorders>
            <w:vAlign w:val="center"/>
          </w:tcPr>
          <w:p w:rsidR="001B3678" w:rsidRDefault="001B3678" w:rsidP="00C15EFF">
            <w:pPr>
              <w:rPr>
                <w:rFonts w:ascii="Calibri" w:hAnsi="Calibri"/>
                <w:b/>
                <w:bCs/>
                <w:color w:val="000000" w:themeColor="text1"/>
                <w:sz w:val="20"/>
                <w:szCs w:val="20"/>
              </w:rPr>
            </w:pPr>
          </w:p>
          <w:p w:rsidR="001B3678" w:rsidRPr="000E3E39" w:rsidRDefault="001B3678" w:rsidP="00C15EFF">
            <w:pPr>
              <w:rPr>
                <w:rFonts w:ascii="Calibri" w:hAnsi="Calibri"/>
                <w:b/>
                <w:bCs/>
                <w:color w:val="000000" w:themeColor="text1"/>
                <w:sz w:val="20"/>
                <w:szCs w:val="20"/>
              </w:rPr>
            </w:pPr>
            <w:r>
              <w:rPr>
                <w:rFonts w:ascii="Calibri" w:hAnsi="Calibri"/>
                <w:b/>
                <w:bCs/>
                <w:color w:val="000000" w:themeColor="text1"/>
                <w:sz w:val="20"/>
                <w:szCs w:val="20"/>
              </w:rPr>
              <w:t xml:space="preserve">sodelovanje oz. predlog za sodelovanje </w:t>
            </w:r>
          </w:p>
        </w:tc>
      </w:tr>
      <w:tr w:rsidR="001B3678" w:rsidRPr="000E3E39" w:rsidTr="00C15EFF">
        <w:trPr>
          <w:trHeight w:val="1499"/>
        </w:trPr>
        <w:tc>
          <w:tcPr>
            <w:tcW w:w="2400" w:type="dxa"/>
            <w:tcBorders>
              <w:top w:val="nil"/>
              <w:left w:val="single" w:sz="8" w:space="0" w:color="auto"/>
              <w:bottom w:val="single" w:sz="8" w:space="0" w:color="auto"/>
              <w:right w:val="nil"/>
            </w:tcBorders>
            <w:shd w:val="clear" w:color="auto" w:fill="FFF2CC" w:themeFill="accent4" w:themeFillTint="33"/>
            <w:tcMar>
              <w:top w:w="15" w:type="dxa"/>
              <w:left w:w="15" w:type="dxa"/>
              <w:bottom w:w="0" w:type="dxa"/>
              <w:right w:w="15" w:type="dxa"/>
            </w:tcMar>
            <w:vAlign w:val="center"/>
            <w:hideMark/>
          </w:tcPr>
          <w:p w:rsidR="001B3678" w:rsidRPr="009F3496" w:rsidRDefault="001B3678" w:rsidP="00C15EFF">
            <w:pPr>
              <w:rPr>
                <w:rFonts w:ascii="Calibri" w:hAnsi="Calibri"/>
                <w:color w:val="000000" w:themeColor="text1"/>
                <w:sz w:val="20"/>
                <w:szCs w:val="20"/>
                <w:u w:val="single"/>
              </w:rPr>
            </w:pPr>
            <w:r w:rsidRPr="009F3496">
              <w:rPr>
                <w:rFonts w:ascii="Calibri" w:hAnsi="Calibri"/>
                <w:color w:val="000000" w:themeColor="text1"/>
                <w:sz w:val="20"/>
                <w:szCs w:val="20"/>
                <w:u w:val="single"/>
              </w:rPr>
              <w:t xml:space="preserve">JPI JPND </w:t>
            </w:r>
          </w:p>
          <w:p w:rsidR="001B3678" w:rsidRPr="009F3496" w:rsidRDefault="001B3678" w:rsidP="00C15EFF">
            <w:pPr>
              <w:rPr>
                <w:rFonts w:ascii="Calibri" w:hAnsi="Calibri"/>
                <w:color w:val="000000" w:themeColor="text1"/>
                <w:sz w:val="20"/>
                <w:szCs w:val="20"/>
                <w:u w:val="single"/>
              </w:rPr>
            </w:pPr>
            <w:hyperlink r:id="rId5" w:history="1">
              <w:r w:rsidRPr="009F3496">
                <w:rPr>
                  <w:rStyle w:val="Hiperpovezava"/>
                  <w:rFonts w:ascii="Calibri" w:hAnsi="Calibri"/>
                  <w:color w:val="000000" w:themeColor="text1"/>
                  <w:sz w:val="20"/>
                  <w:szCs w:val="20"/>
                </w:rPr>
                <w:t>Raziskave o nevrodegenerativnih boleznih</w:t>
              </w:r>
            </w:hyperlink>
          </w:p>
          <w:p w:rsidR="001B3678" w:rsidRPr="009F3496" w:rsidRDefault="001B3678" w:rsidP="00C15EFF">
            <w:pPr>
              <w:rPr>
                <w:rFonts w:ascii="Calibri" w:hAnsi="Calibri"/>
                <w:color w:val="000000" w:themeColor="text1"/>
                <w:sz w:val="20"/>
                <w:szCs w:val="20"/>
                <w:u w:val="single"/>
              </w:rPr>
            </w:pPr>
          </w:p>
        </w:tc>
        <w:tc>
          <w:tcPr>
            <w:tcW w:w="6804"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B3678" w:rsidRPr="000E3E39" w:rsidRDefault="001B3678" w:rsidP="00C15EFF">
            <w:pPr>
              <w:rPr>
                <w:rFonts w:ascii="Calibri" w:hAnsi="Calibri"/>
                <w:color w:val="000000" w:themeColor="text1"/>
                <w:sz w:val="20"/>
                <w:szCs w:val="20"/>
              </w:rPr>
            </w:pPr>
            <w:r w:rsidRPr="000E3E39">
              <w:rPr>
                <w:rFonts w:ascii="Calibri" w:hAnsi="Calibri"/>
                <w:color w:val="000000" w:themeColor="text1"/>
                <w:sz w:val="20"/>
                <w:szCs w:val="20"/>
              </w:rPr>
              <w:t>Nevrodegenerativne bolezni, kot sta Alzheimerjeva in Parkinsonova bolezen, so izčrpavajoče, drage, večinoma neozdravljive in tesno povezane s starostjo. Samo za demenco trpi skoraj 47 milijonov ljudi po vsem svetu, po pričakovanjih pa naj bi se ta številka vsakih 20 let podvojila. Leta 2050 bo z demenco živelo približno 132 milijonov ljudi. To pomeni veliko breme za bolne posameznike, pa tudi njihove svojce in družbo kot celoto.</w:t>
            </w:r>
          </w:p>
        </w:tc>
        <w:tc>
          <w:tcPr>
            <w:tcW w:w="340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B3678" w:rsidRPr="000E3E39" w:rsidRDefault="001B3678" w:rsidP="00C15EFF">
            <w:pPr>
              <w:rPr>
                <w:rFonts w:ascii="Calibri" w:hAnsi="Calibri"/>
                <w:color w:val="000000" w:themeColor="text1"/>
                <w:sz w:val="20"/>
                <w:szCs w:val="20"/>
              </w:rPr>
            </w:pPr>
            <w:r w:rsidRPr="000E3E39">
              <w:rPr>
                <w:rFonts w:ascii="Calibri" w:hAnsi="Calibri"/>
                <w:color w:val="000000" w:themeColor="text1"/>
                <w:sz w:val="20"/>
                <w:szCs w:val="20"/>
              </w:rPr>
              <w:t>poiskati vzroke, razviti zdravila in poiskati boljše načine oskrbe za ljudi z nevrodegenerativnimi boleznimi</w:t>
            </w:r>
          </w:p>
        </w:tc>
        <w:tc>
          <w:tcPr>
            <w:tcW w:w="1985" w:type="dxa"/>
            <w:tcBorders>
              <w:top w:val="nil"/>
              <w:left w:val="nil"/>
              <w:bottom w:val="single" w:sz="8" w:space="0" w:color="auto"/>
              <w:right w:val="single" w:sz="8" w:space="0" w:color="auto"/>
            </w:tcBorders>
            <w:vAlign w:val="center"/>
          </w:tcPr>
          <w:p w:rsidR="001B3678" w:rsidRPr="000E3E39" w:rsidRDefault="001B3678" w:rsidP="00C15EFF">
            <w:pPr>
              <w:rPr>
                <w:rFonts w:ascii="Calibri" w:hAnsi="Calibri"/>
                <w:color w:val="000000" w:themeColor="text1"/>
                <w:sz w:val="20"/>
                <w:szCs w:val="20"/>
              </w:rPr>
            </w:pPr>
            <w:r>
              <w:rPr>
                <w:rFonts w:ascii="Calibri" w:hAnsi="Calibri"/>
                <w:color w:val="000000" w:themeColor="text1"/>
                <w:sz w:val="20"/>
                <w:szCs w:val="20"/>
              </w:rPr>
              <w:t>Sodeluje MIZŠ.</w:t>
            </w:r>
          </w:p>
        </w:tc>
      </w:tr>
      <w:tr w:rsidR="001B3678" w:rsidRPr="000E3E39" w:rsidTr="00C15EFF">
        <w:trPr>
          <w:trHeight w:val="1531"/>
        </w:trPr>
        <w:tc>
          <w:tcPr>
            <w:tcW w:w="2400" w:type="dxa"/>
            <w:tcBorders>
              <w:top w:val="nil"/>
              <w:left w:val="single" w:sz="8" w:space="0" w:color="auto"/>
              <w:bottom w:val="single" w:sz="8" w:space="0" w:color="auto"/>
              <w:right w:val="nil"/>
            </w:tcBorders>
            <w:shd w:val="clear" w:color="auto" w:fill="FFF2CC" w:themeFill="accent4" w:themeFillTint="33"/>
            <w:tcMar>
              <w:top w:w="15" w:type="dxa"/>
              <w:left w:w="15" w:type="dxa"/>
              <w:bottom w:w="0" w:type="dxa"/>
              <w:right w:w="15" w:type="dxa"/>
            </w:tcMar>
            <w:vAlign w:val="center"/>
            <w:hideMark/>
          </w:tcPr>
          <w:p w:rsidR="001B3678" w:rsidRPr="009F3496" w:rsidRDefault="001B3678" w:rsidP="00C15EFF">
            <w:pPr>
              <w:rPr>
                <w:rFonts w:ascii="Calibri" w:hAnsi="Calibri"/>
                <w:color w:val="000000" w:themeColor="text1"/>
                <w:sz w:val="20"/>
                <w:szCs w:val="20"/>
                <w:u w:val="single"/>
              </w:rPr>
            </w:pPr>
            <w:r w:rsidRPr="009F3496">
              <w:rPr>
                <w:rFonts w:ascii="Calibri" w:hAnsi="Calibri"/>
                <w:color w:val="000000" w:themeColor="text1"/>
                <w:sz w:val="20"/>
                <w:szCs w:val="20"/>
                <w:u w:val="single"/>
              </w:rPr>
              <w:t xml:space="preserve">JPI HDHL </w:t>
            </w:r>
          </w:p>
          <w:p w:rsidR="001B3678" w:rsidRPr="009F3496" w:rsidRDefault="001B3678" w:rsidP="00C15EFF">
            <w:pPr>
              <w:rPr>
                <w:rFonts w:ascii="Calibri" w:hAnsi="Calibri"/>
                <w:color w:val="000000" w:themeColor="text1"/>
                <w:sz w:val="20"/>
                <w:szCs w:val="20"/>
                <w:u w:val="single"/>
              </w:rPr>
            </w:pPr>
            <w:hyperlink r:id="rId6" w:history="1">
              <w:r w:rsidRPr="009F3496">
                <w:rPr>
                  <w:rStyle w:val="Hiperpovezava"/>
                  <w:rFonts w:ascii="Calibri" w:hAnsi="Calibri"/>
                  <w:color w:val="000000" w:themeColor="text1"/>
                  <w:sz w:val="20"/>
                  <w:szCs w:val="20"/>
                </w:rPr>
                <w:t xml:space="preserve">Zdrava prehrana za zdravo življenje </w:t>
              </w:r>
            </w:hyperlink>
          </w:p>
        </w:tc>
        <w:tc>
          <w:tcPr>
            <w:tcW w:w="6804"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B3678" w:rsidRPr="000E3E39" w:rsidRDefault="001B3678" w:rsidP="00C15EFF">
            <w:pPr>
              <w:rPr>
                <w:rFonts w:ascii="Calibri" w:hAnsi="Calibri"/>
                <w:color w:val="000000" w:themeColor="text1"/>
                <w:sz w:val="20"/>
                <w:szCs w:val="20"/>
              </w:rPr>
            </w:pPr>
            <w:r w:rsidRPr="000E3E39">
              <w:rPr>
                <w:rFonts w:ascii="Calibri" w:hAnsi="Calibri"/>
                <w:color w:val="000000" w:themeColor="text1"/>
                <w:sz w:val="20"/>
                <w:szCs w:val="20"/>
              </w:rPr>
              <w:t>Pobuda JPI HDHL se osredotoča na raziskave na področju zdrave prehrane</w:t>
            </w:r>
            <w:r>
              <w:rPr>
                <w:rFonts w:ascii="Calibri" w:hAnsi="Calibri"/>
                <w:color w:val="000000" w:themeColor="text1"/>
                <w:sz w:val="20"/>
                <w:szCs w:val="20"/>
              </w:rPr>
              <w:t xml:space="preserve"> in </w:t>
            </w:r>
            <w:r w:rsidRPr="000E3E39">
              <w:rPr>
                <w:rFonts w:ascii="Calibri" w:hAnsi="Calibri"/>
                <w:color w:val="000000" w:themeColor="text1"/>
                <w:sz w:val="20"/>
                <w:szCs w:val="20"/>
              </w:rPr>
              <w:t>ima dva posebna cilja. Prvič, izboljšati razumevanje dejavnikov, ki vplivajo na izbiro živil in vedenje na področju telesne aktivnosti. In drugič, prenesti to znanje v programe, proizvode, orodja in storitve za spodbujanje zdravih prehranskih odločitev, prehranjevanja, zdravja in telesnih aktivnosti z namenom preprečevanja ali zmanjšanje kroničnih bolezni, povezanih s prehrano.</w:t>
            </w:r>
          </w:p>
        </w:tc>
        <w:tc>
          <w:tcPr>
            <w:tcW w:w="340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B3678" w:rsidRPr="000E3E39" w:rsidRDefault="001B3678" w:rsidP="00C15EFF">
            <w:pPr>
              <w:rPr>
                <w:rFonts w:ascii="Calibri" w:hAnsi="Calibri"/>
                <w:color w:val="000000" w:themeColor="text1"/>
                <w:sz w:val="20"/>
                <w:szCs w:val="20"/>
              </w:rPr>
            </w:pPr>
            <w:r w:rsidRPr="000E3E39">
              <w:rPr>
                <w:rFonts w:ascii="Calibri" w:hAnsi="Calibri"/>
                <w:color w:val="000000" w:themeColor="text1"/>
                <w:sz w:val="20"/>
                <w:szCs w:val="20"/>
              </w:rPr>
              <w:t xml:space="preserve">proizvodnja, predelava, pakiranje, distribucija, trženje, potrošnja hrane in odlaganje živilskih odpadkov; </w:t>
            </w:r>
            <w:r w:rsidRPr="000E3E39">
              <w:rPr>
                <w:rFonts w:ascii="Calibri" w:hAnsi="Calibri"/>
                <w:color w:val="000000" w:themeColor="text1"/>
                <w:sz w:val="20"/>
                <w:szCs w:val="20"/>
              </w:rPr>
              <w:br/>
              <w:t>hrana, prehrana, zdravje, telesna aktivnost, bolezni, povezane s prehrano, epidemiološke študije</w:t>
            </w:r>
          </w:p>
        </w:tc>
        <w:tc>
          <w:tcPr>
            <w:tcW w:w="1985" w:type="dxa"/>
            <w:tcBorders>
              <w:top w:val="nil"/>
              <w:left w:val="nil"/>
              <w:bottom w:val="single" w:sz="8" w:space="0" w:color="auto"/>
              <w:right w:val="single" w:sz="8" w:space="0" w:color="auto"/>
            </w:tcBorders>
            <w:vAlign w:val="center"/>
          </w:tcPr>
          <w:p w:rsidR="001B3678" w:rsidRPr="000E3E39" w:rsidRDefault="001B3678" w:rsidP="00C15EFF">
            <w:pPr>
              <w:rPr>
                <w:rFonts w:ascii="Calibri" w:hAnsi="Calibri"/>
                <w:color w:val="000000" w:themeColor="text1"/>
                <w:sz w:val="20"/>
                <w:szCs w:val="20"/>
              </w:rPr>
            </w:pPr>
            <w:r>
              <w:rPr>
                <w:rFonts w:ascii="Calibri" w:hAnsi="Calibri"/>
                <w:color w:val="000000" w:themeColor="text1"/>
                <w:sz w:val="20"/>
                <w:szCs w:val="20"/>
              </w:rPr>
              <w:t>Sodeluje NIJZ.</w:t>
            </w:r>
          </w:p>
        </w:tc>
      </w:tr>
      <w:tr w:rsidR="001B3678" w:rsidRPr="000E3E39" w:rsidTr="00C15EFF">
        <w:trPr>
          <w:trHeight w:val="1896"/>
        </w:trPr>
        <w:tc>
          <w:tcPr>
            <w:tcW w:w="2400" w:type="dxa"/>
            <w:tcBorders>
              <w:top w:val="nil"/>
              <w:left w:val="single" w:sz="8" w:space="0" w:color="auto"/>
              <w:bottom w:val="single" w:sz="8" w:space="0" w:color="auto"/>
              <w:right w:val="nil"/>
            </w:tcBorders>
            <w:shd w:val="clear" w:color="auto" w:fill="FFF2CC" w:themeFill="accent4" w:themeFillTint="33"/>
            <w:tcMar>
              <w:top w:w="15" w:type="dxa"/>
              <w:left w:w="15" w:type="dxa"/>
              <w:bottom w:w="0" w:type="dxa"/>
              <w:right w:w="15" w:type="dxa"/>
            </w:tcMar>
            <w:vAlign w:val="center"/>
            <w:hideMark/>
          </w:tcPr>
          <w:p w:rsidR="001B3678" w:rsidRDefault="001B3678" w:rsidP="00C15EFF">
            <w:pPr>
              <w:rPr>
                <w:rStyle w:val="Hiperpovezava"/>
                <w:rFonts w:ascii="Calibri" w:hAnsi="Calibri"/>
                <w:color w:val="000000" w:themeColor="text1"/>
                <w:sz w:val="20"/>
                <w:szCs w:val="20"/>
              </w:rPr>
            </w:pPr>
            <w:r w:rsidRPr="009F3496">
              <w:rPr>
                <w:rFonts w:ascii="Calibri" w:hAnsi="Calibri"/>
                <w:color w:val="000000" w:themeColor="text1"/>
                <w:sz w:val="20"/>
                <w:szCs w:val="20"/>
                <w:u w:val="single"/>
              </w:rPr>
              <w:t xml:space="preserve">JPI </w:t>
            </w:r>
            <w:r w:rsidRPr="009F3496">
              <w:rPr>
                <w:rFonts w:ascii="Calibri" w:hAnsi="Calibri"/>
                <w:color w:val="000000" w:themeColor="text1"/>
                <w:sz w:val="20"/>
                <w:szCs w:val="20"/>
                <w:u w:val="single"/>
              </w:rPr>
              <w:fldChar w:fldCharType="begin"/>
            </w:r>
            <w:r w:rsidRPr="009F3496">
              <w:rPr>
                <w:rFonts w:ascii="Calibri" w:hAnsi="Calibri"/>
                <w:color w:val="000000" w:themeColor="text1"/>
                <w:sz w:val="20"/>
                <w:szCs w:val="20"/>
                <w:u w:val="single"/>
              </w:rPr>
              <w:instrText xml:space="preserve"> HYPERLINK "http://jpi-urbaneurope.eu/" </w:instrText>
            </w:r>
            <w:r w:rsidRPr="009F3496">
              <w:rPr>
                <w:rFonts w:ascii="Calibri" w:hAnsi="Calibri"/>
                <w:color w:val="000000" w:themeColor="text1"/>
                <w:sz w:val="20"/>
                <w:szCs w:val="20"/>
                <w:u w:val="single"/>
              </w:rPr>
              <w:fldChar w:fldCharType="separate"/>
            </w:r>
            <w:r w:rsidRPr="009F3496">
              <w:rPr>
                <w:rStyle w:val="Hiperpovezava"/>
                <w:rFonts w:ascii="Calibri" w:hAnsi="Calibri"/>
                <w:color w:val="000000" w:themeColor="text1"/>
                <w:sz w:val="20"/>
                <w:szCs w:val="20"/>
              </w:rPr>
              <w:t>URBAN EUROPE</w:t>
            </w:r>
          </w:p>
          <w:p w:rsidR="001B3678" w:rsidRPr="009F3496" w:rsidRDefault="001B3678" w:rsidP="00C15EFF">
            <w:pPr>
              <w:rPr>
                <w:rFonts w:ascii="Calibri" w:hAnsi="Calibri"/>
                <w:color w:val="000000" w:themeColor="text1"/>
                <w:sz w:val="20"/>
                <w:szCs w:val="20"/>
                <w:u w:val="single"/>
              </w:rPr>
            </w:pPr>
            <w:r w:rsidRPr="009F3496">
              <w:rPr>
                <w:rStyle w:val="Hiperpovezava"/>
                <w:rFonts w:ascii="Calibri" w:hAnsi="Calibri"/>
                <w:color w:val="000000" w:themeColor="text1"/>
                <w:sz w:val="20"/>
                <w:szCs w:val="20"/>
              </w:rPr>
              <w:br/>
              <w:t>Urbana Evropa</w:t>
            </w:r>
            <w:r>
              <w:rPr>
                <w:rStyle w:val="Hiperpovezava"/>
                <w:rFonts w:ascii="Calibri" w:hAnsi="Calibri"/>
                <w:color w:val="000000" w:themeColor="text1"/>
                <w:sz w:val="20"/>
                <w:szCs w:val="20"/>
              </w:rPr>
              <w:t xml:space="preserve"> - </w:t>
            </w:r>
            <w:r w:rsidRPr="009F3496">
              <w:rPr>
                <w:rStyle w:val="Hiperpovezava"/>
                <w:rFonts w:ascii="Calibri" w:hAnsi="Calibri"/>
                <w:color w:val="000000" w:themeColor="text1"/>
                <w:sz w:val="20"/>
                <w:szCs w:val="20"/>
              </w:rPr>
              <w:t xml:space="preserve">svetovni urbani izzivi </w:t>
            </w:r>
            <w:r w:rsidRPr="009F3496">
              <w:rPr>
                <w:rFonts w:ascii="Calibri" w:hAnsi="Calibri"/>
                <w:color w:val="000000" w:themeColor="text1"/>
                <w:sz w:val="20"/>
                <w:szCs w:val="20"/>
                <w:u w:val="single"/>
              </w:rPr>
              <w:fldChar w:fldCharType="end"/>
            </w:r>
          </w:p>
        </w:tc>
        <w:tc>
          <w:tcPr>
            <w:tcW w:w="6804"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B3678" w:rsidRPr="000E3E39" w:rsidRDefault="001B3678" w:rsidP="00C15EFF">
            <w:pPr>
              <w:rPr>
                <w:rFonts w:ascii="Calibri" w:hAnsi="Calibri"/>
                <w:color w:val="000000" w:themeColor="text1"/>
                <w:sz w:val="20"/>
                <w:szCs w:val="20"/>
              </w:rPr>
            </w:pPr>
            <w:r w:rsidRPr="000E3E39">
              <w:rPr>
                <w:rFonts w:ascii="Calibri" w:hAnsi="Calibri"/>
                <w:color w:val="000000" w:themeColor="text1"/>
                <w:sz w:val="20"/>
                <w:szCs w:val="20"/>
              </w:rPr>
              <w:t xml:space="preserve">Sedanje obdobje vse pogosteje imenujemo urbana doba. To poimenovanje odraža dejstvo, da mestna območja delujejo kot regionalna vozlišča inovacij, ki privabljajo, predelujejo in usmerjajo družbene, kulturne in gospodarske vplive človeka. Kljub temu je treba ukrepati, da bi sedanje netrajnostne modele razvoja mest nadomestili z mestnimi okolji in sistemi s čim manjšim ogljičnim odtisom in neenakostjo. Seveda je na mestni ravni lažje usklajevati ekonomijo obsega, velikost, infrastrukturo, vedenje potrošnikov, strateško načrtovanje in instrumente medsektorske politike. </w:t>
            </w:r>
          </w:p>
        </w:tc>
        <w:tc>
          <w:tcPr>
            <w:tcW w:w="340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B3678" w:rsidRPr="000E3E39" w:rsidRDefault="001B3678" w:rsidP="00C15EFF">
            <w:pPr>
              <w:rPr>
                <w:rFonts w:ascii="Calibri" w:hAnsi="Calibri"/>
                <w:color w:val="000000" w:themeColor="text1"/>
                <w:sz w:val="20"/>
                <w:szCs w:val="20"/>
              </w:rPr>
            </w:pPr>
            <w:r w:rsidRPr="000E3E39">
              <w:rPr>
                <w:rFonts w:ascii="Calibri" w:hAnsi="Calibri"/>
                <w:color w:val="000000" w:themeColor="text1"/>
                <w:sz w:val="20"/>
                <w:szCs w:val="20"/>
              </w:rPr>
              <w:t xml:space="preserve">razvoj mest, ogljični odtis, raziskave o mestih, ki bi koristile družbam in državljanom; živahno mestno gospodarstvo; socialno varstvo in finance; odpornost mestnega okolja </w:t>
            </w:r>
          </w:p>
        </w:tc>
        <w:tc>
          <w:tcPr>
            <w:tcW w:w="1985" w:type="dxa"/>
            <w:tcBorders>
              <w:top w:val="nil"/>
              <w:left w:val="nil"/>
              <w:bottom w:val="single" w:sz="8" w:space="0" w:color="auto"/>
              <w:right w:val="single" w:sz="8" w:space="0" w:color="auto"/>
            </w:tcBorders>
            <w:vAlign w:val="center"/>
          </w:tcPr>
          <w:p w:rsidR="001B3678" w:rsidRPr="000E3E39" w:rsidRDefault="001B3678" w:rsidP="00C15EFF">
            <w:pPr>
              <w:rPr>
                <w:rFonts w:ascii="Calibri" w:hAnsi="Calibri"/>
                <w:color w:val="000000" w:themeColor="text1"/>
                <w:sz w:val="20"/>
                <w:szCs w:val="20"/>
              </w:rPr>
            </w:pPr>
            <w:r>
              <w:rPr>
                <w:rFonts w:ascii="Calibri" w:hAnsi="Calibri"/>
                <w:color w:val="000000" w:themeColor="text1"/>
                <w:sz w:val="20"/>
                <w:szCs w:val="20"/>
              </w:rPr>
              <w:t>Sodeluje ARRS.</w:t>
            </w:r>
          </w:p>
        </w:tc>
      </w:tr>
      <w:tr w:rsidR="001B3678" w:rsidRPr="000E3E39" w:rsidTr="00C15EFF">
        <w:trPr>
          <w:trHeight w:val="1815"/>
        </w:trPr>
        <w:tc>
          <w:tcPr>
            <w:tcW w:w="2400" w:type="dxa"/>
            <w:tcBorders>
              <w:top w:val="nil"/>
              <w:left w:val="single" w:sz="8" w:space="0" w:color="auto"/>
              <w:bottom w:val="single" w:sz="8" w:space="0" w:color="auto"/>
              <w:right w:val="nil"/>
            </w:tcBorders>
            <w:shd w:val="clear" w:color="auto" w:fill="FFF2CC" w:themeFill="accent4" w:themeFillTint="33"/>
            <w:tcMar>
              <w:top w:w="15" w:type="dxa"/>
              <w:left w:w="15" w:type="dxa"/>
              <w:bottom w:w="0" w:type="dxa"/>
              <w:right w:w="15" w:type="dxa"/>
            </w:tcMar>
            <w:vAlign w:val="center"/>
            <w:hideMark/>
          </w:tcPr>
          <w:p w:rsidR="001B3678" w:rsidRPr="009F3496" w:rsidRDefault="001B3678" w:rsidP="00C15EFF">
            <w:pPr>
              <w:rPr>
                <w:rFonts w:ascii="Calibri" w:hAnsi="Calibri"/>
                <w:color w:val="000000" w:themeColor="text1"/>
                <w:sz w:val="20"/>
                <w:szCs w:val="20"/>
                <w:u w:val="single"/>
              </w:rPr>
            </w:pPr>
            <w:r w:rsidRPr="009F3496">
              <w:rPr>
                <w:rFonts w:ascii="Calibri" w:hAnsi="Calibri"/>
                <w:color w:val="000000" w:themeColor="text1"/>
                <w:sz w:val="20"/>
                <w:szCs w:val="20"/>
                <w:u w:val="single"/>
              </w:rPr>
              <w:t>JPI MYBL</w:t>
            </w:r>
          </w:p>
          <w:p w:rsidR="001B3678" w:rsidRPr="009F3496" w:rsidRDefault="001B3678" w:rsidP="00C15EFF">
            <w:pPr>
              <w:rPr>
                <w:rFonts w:ascii="Calibri" w:hAnsi="Calibri"/>
                <w:color w:val="000000" w:themeColor="text1"/>
                <w:sz w:val="20"/>
                <w:szCs w:val="20"/>
                <w:u w:val="single"/>
              </w:rPr>
            </w:pPr>
            <w:hyperlink r:id="rId7" w:history="1">
              <w:r w:rsidRPr="009F3496">
                <w:rPr>
                  <w:rStyle w:val="Hiperpovezava"/>
                  <w:rFonts w:ascii="Calibri" w:hAnsi="Calibri"/>
                  <w:color w:val="000000" w:themeColor="text1"/>
                  <w:sz w:val="20"/>
                  <w:szCs w:val="20"/>
                </w:rPr>
                <w:t>Daljše in boljše življenje; možnosti in izzivi, ki jih prinašajo demografske spremembe</w:t>
              </w:r>
            </w:hyperlink>
          </w:p>
        </w:tc>
        <w:tc>
          <w:tcPr>
            <w:tcW w:w="6804"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B3678" w:rsidRPr="000E3E39" w:rsidRDefault="001B3678" w:rsidP="00C15EFF">
            <w:pPr>
              <w:rPr>
                <w:rFonts w:ascii="Calibri" w:hAnsi="Calibri"/>
                <w:color w:val="000000" w:themeColor="text1"/>
                <w:sz w:val="20"/>
                <w:szCs w:val="20"/>
              </w:rPr>
            </w:pPr>
            <w:r w:rsidRPr="000E3E39">
              <w:rPr>
                <w:rFonts w:ascii="Calibri" w:hAnsi="Calibri"/>
                <w:color w:val="000000" w:themeColor="text1"/>
                <w:sz w:val="20"/>
                <w:szCs w:val="20"/>
              </w:rPr>
              <w:t xml:space="preserve">Demografske spremembe so eden od velikih družbenih in gospodarskih izzivov, s katerimi se sooča Evropa. </w:t>
            </w:r>
            <w:r w:rsidRPr="000E3E39">
              <w:rPr>
                <w:rFonts w:ascii="Calibri" w:hAnsi="Calibri"/>
                <w:color w:val="000000" w:themeColor="text1"/>
                <w:sz w:val="20"/>
                <w:szCs w:val="20"/>
              </w:rPr>
              <w:br/>
              <w:t xml:space="preserve">Zaradi skupnih učinkov daljšanja pričakovane življenjske dobe in nizke stopnje rodnosti </w:t>
            </w:r>
            <w:r>
              <w:rPr>
                <w:rFonts w:ascii="Calibri" w:hAnsi="Calibri"/>
                <w:color w:val="000000" w:themeColor="text1"/>
                <w:sz w:val="20"/>
                <w:szCs w:val="20"/>
              </w:rPr>
              <w:t xml:space="preserve">prihajamo do </w:t>
            </w:r>
            <w:r w:rsidRPr="000E3E39">
              <w:rPr>
                <w:rFonts w:ascii="Calibri" w:hAnsi="Calibri"/>
                <w:color w:val="000000" w:themeColor="text1"/>
                <w:sz w:val="20"/>
                <w:szCs w:val="20"/>
              </w:rPr>
              <w:t>starajoče</w:t>
            </w:r>
            <w:r>
              <w:rPr>
                <w:rFonts w:ascii="Calibri" w:hAnsi="Calibri"/>
                <w:color w:val="000000" w:themeColor="text1"/>
                <w:sz w:val="20"/>
                <w:szCs w:val="20"/>
              </w:rPr>
              <w:t xml:space="preserve">ga </w:t>
            </w:r>
            <w:r w:rsidRPr="000E3E39">
              <w:rPr>
                <w:rFonts w:ascii="Calibri" w:hAnsi="Calibri"/>
                <w:color w:val="000000" w:themeColor="text1"/>
                <w:sz w:val="20"/>
                <w:szCs w:val="20"/>
              </w:rPr>
              <w:t>prebivalstvo, sliko pa dopolnjujejo hitro spreminjajoči se vzorci migracij.</w:t>
            </w:r>
          </w:p>
        </w:tc>
        <w:tc>
          <w:tcPr>
            <w:tcW w:w="340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B3678" w:rsidRPr="000E3E39" w:rsidRDefault="001B3678" w:rsidP="00C15EFF">
            <w:pPr>
              <w:rPr>
                <w:rFonts w:ascii="Calibri" w:hAnsi="Calibri"/>
                <w:color w:val="000000" w:themeColor="text1"/>
                <w:sz w:val="20"/>
                <w:szCs w:val="20"/>
              </w:rPr>
            </w:pPr>
            <w:r w:rsidRPr="000E3E39">
              <w:rPr>
                <w:rFonts w:ascii="Calibri" w:hAnsi="Calibri"/>
                <w:color w:val="000000" w:themeColor="text1"/>
                <w:sz w:val="20"/>
                <w:szCs w:val="20"/>
              </w:rPr>
              <w:t>zdravje in socialno varstvo; izobraževanje in učenje; delo in produktivnost; stanovanjsko vprašanje, razvoj mest in mobilnost; okolje in tehnologija</w:t>
            </w:r>
          </w:p>
        </w:tc>
        <w:tc>
          <w:tcPr>
            <w:tcW w:w="1985" w:type="dxa"/>
            <w:tcBorders>
              <w:top w:val="nil"/>
              <w:left w:val="nil"/>
              <w:bottom w:val="single" w:sz="8" w:space="0" w:color="auto"/>
              <w:right w:val="single" w:sz="8" w:space="0" w:color="auto"/>
            </w:tcBorders>
            <w:vAlign w:val="center"/>
          </w:tcPr>
          <w:p w:rsidR="001B3678" w:rsidRPr="000E3E39" w:rsidRDefault="001B3678" w:rsidP="00C15EFF">
            <w:pPr>
              <w:rPr>
                <w:rFonts w:ascii="Calibri" w:hAnsi="Calibri"/>
                <w:color w:val="000000" w:themeColor="text1"/>
                <w:sz w:val="20"/>
                <w:szCs w:val="20"/>
              </w:rPr>
            </w:pPr>
            <w:r>
              <w:rPr>
                <w:rFonts w:ascii="Calibri" w:hAnsi="Calibri"/>
                <w:color w:val="000000" w:themeColor="text1"/>
                <w:sz w:val="20"/>
                <w:szCs w:val="20"/>
              </w:rPr>
              <w:t>Sodeluje MDDSZ.</w:t>
            </w:r>
          </w:p>
        </w:tc>
      </w:tr>
      <w:tr w:rsidR="001B3678" w:rsidRPr="000E3E39" w:rsidTr="00C15EFF">
        <w:trPr>
          <w:trHeight w:val="1815"/>
        </w:trPr>
        <w:tc>
          <w:tcPr>
            <w:tcW w:w="2400" w:type="dxa"/>
            <w:tcBorders>
              <w:top w:val="nil"/>
              <w:left w:val="single" w:sz="8" w:space="0" w:color="auto"/>
              <w:bottom w:val="single" w:sz="8" w:space="0" w:color="auto"/>
              <w:right w:val="nil"/>
            </w:tcBorders>
            <w:shd w:val="clear" w:color="auto" w:fill="FFF2CC" w:themeFill="accent4" w:themeFillTint="33"/>
            <w:tcMar>
              <w:top w:w="15" w:type="dxa"/>
              <w:left w:w="15" w:type="dxa"/>
              <w:bottom w:w="0" w:type="dxa"/>
              <w:right w:w="15" w:type="dxa"/>
            </w:tcMar>
            <w:vAlign w:val="center"/>
            <w:hideMark/>
          </w:tcPr>
          <w:p w:rsidR="001B3678" w:rsidRPr="009F3496" w:rsidRDefault="001B3678" w:rsidP="00C15EFF">
            <w:pPr>
              <w:rPr>
                <w:rFonts w:ascii="Calibri" w:hAnsi="Calibri"/>
                <w:color w:val="000000" w:themeColor="text1"/>
                <w:sz w:val="20"/>
                <w:szCs w:val="20"/>
                <w:u w:val="single"/>
              </w:rPr>
            </w:pPr>
            <w:r w:rsidRPr="009F3496">
              <w:rPr>
                <w:rFonts w:ascii="Calibri" w:hAnsi="Calibri"/>
                <w:color w:val="000000" w:themeColor="text1"/>
                <w:sz w:val="20"/>
                <w:szCs w:val="20"/>
                <w:u w:val="single"/>
              </w:rPr>
              <w:lastRenderedPageBreak/>
              <w:t xml:space="preserve">JPI CLIMATE </w:t>
            </w:r>
          </w:p>
          <w:p w:rsidR="001B3678" w:rsidRPr="009F3496" w:rsidRDefault="001B3678" w:rsidP="00C15EFF">
            <w:pPr>
              <w:rPr>
                <w:rFonts w:ascii="Calibri" w:hAnsi="Calibri"/>
                <w:color w:val="000000" w:themeColor="text1"/>
                <w:sz w:val="20"/>
                <w:szCs w:val="20"/>
                <w:u w:val="single"/>
              </w:rPr>
            </w:pPr>
            <w:hyperlink r:id="rId8" w:history="1">
              <w:r w:rsidRPr="009F3496">
                <w:rPr>
                  <w:rStyle w:val="Hiperpovezava"/>
                  <w:rFonts w:ascii="Calibri" w:hAnsi="Calibri"/>
                  <w:color w:val="000000" w:themeColor="text1"/>
                  <w:sz w:val="20"/>
                  <w:szCs w:val="20"/>
                </w:rPr>
                <w:t xml:space="preserve">Povezovanje znanja o podnebju za Evropo </w:t>
              </w:r>
            </w:hyperlink>
          </w:p>
        </w:tc>
        <w:tc>
          <w:tcPr>
            <w:tcW w:w="6804"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B3678" w:rsidRPr="000E3E39" w:rsidRDefault="001B3678" w:rsidP="00C15EFF">
            <w:pPr>
              <w:rPr>
                <w:rFonts w:ascii="Calibri" w:hAnsi="Calibri"/>
                <w:color w:val="000000" w:themeColor="text1"/>
                <w:sz w:val="20"/>
                <w:szCs w:val="20"/>
              </w:rPr>
            </w:pPr>
            <w:r w:rsidRPr="000E3E39">
              <w:rPr>
                <w:rFonts w:ascii="Calibri" w:hAnsi="Calibri"/>
                <w:color w:val="000000" w:themeColor="text1"/>
                <w:sz w:val="20"/>
                <w:szCs w:val="20"/>
              </w:rPr>
              <w:t xml:space="preserve">Vizija te pobude je obveščati in omogočiti prehod na nizkoemisijsko gospodarstvo, družbo in okolje, odporne na podnebne spremembe, ki bodo v skladu z dolgoročnimi evropskimi podnebnimi cilji. Zato se v okviru pobude JPI CLIMATE razvija in usklajuje vseevropska platforma za načrtovanje raziskovalnih programov. S tem bodo zagotovljeni dragoceno znanje o podnebju ter podnebne storitve za nacionalne, evropske in mednarodne podnebne strategije, pobuda pa bo prispevala tudi k mednarodnim postopkom, vključno z Okvirno konvencijo ZN o </w:t>
            </w:r>
            <w:r w:rsidRPr="00BD2715">
              <w:rPr>
                <w:rFonts w:ascii="Calibri" w:hAnsi="Calibri"/>
                <w:color w:val="000000" w:themeColor="text1"/>
                <w:sz w:val="20"/>
                <w:szCs w:val="20"/>
              </w:rPr>
              <w:t xml:space="preserve">spremembi podnebja </w:t>
            </w:r>
            <w:r w:rsidRPr="000E3E39">
              <w:rPr>
                <w:rFonts w:ascii="Calibri" w:hAnsi="Calibri"/>
                <w:color w:val="000000" w:themeColor="text1"/>
                <w:sz w:val="20"/>
                <w:szCs w:val="20"/>
              </w:rPr>
              <w:t>podnebnih spremembah (UNFCCC) in Ciljem trajnostnega razvoja ZN (SDGs).</w:t>
            </w:r>
          </w:p>
        </w:tc>
        <w:tc>
          <w:tcPr>
            <w:tcW w:w="340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B3678" w:rsidRPr="000E3E39" w:rsidRDefault="001B3678" w:rsidP="00C15EFF">
            <w:pPr>
              <w:rPr>
                <w:rFonts w:ascii="Calibri" w:hAnsi="Calibri"/>
                <w:color w:val="000000" w:themeColor="text1"/>
                <w:sz w:val="20"/>
                <w:szCs w:val="20"/>
              </w:rPr>
            </w:pPr>
            <w:r w:rsidRPr="000E3E39">
              <w:rPr>
                <w:rFonts w:ascii="Calibri" w:hAnsi="Calibri"/>
                <w:color w:val="000000" w:themeColor="text1"/>
                <w:sz w:val="20"/>
                <w:szCs w:val="20"/>
              </w:rPr>
              <w:t>opazovanje podnebja in podnebno modeliranje, podnebne storitve; ekonomika podnebnih sprememb; učinek podnebja na zdravje ljudi</w:t>
            </w:r>
          </w:p>
        </w:tc>
        <w:tc>
          <w:tcPr>
            <w:tcW w:w="1985" w:type="dxa"/>
            <w:tcBorders>
              <w:top w:val="nil"/>
              <w:left w:val="nil"/>
              <w:bottom w:val="single" w:sz="8" w:space="0" w:color="auto"/>
              <w:right w:val="single" w:sz="8" w:space="0" w:color="auto"/>
            </w:tcBorders>
            <w:vAlign w:val="center"/>
          </w:tcPr>
          <w:p w:rsidR="001B3678" w:rsidRDefault="001B3678" w:rsidP="00C15EFF">
            <w:pPr>
              <w:rPr>
                <w:rFonts w:ascii="Calibri" w:hAnsi="Calibri"/>
                <w:color w:val="000000" w:themeColor="text1"/>
                <w:sz w:val="20"/>
                <w:szCs w:val="20"/>
              </w:rPr>
            </w:pPr>
            <w:r>
              <w:rPr>
                <w:rFonts w:ascii="Calibri" w:hAnsi="Calibri"/>
                <w:color w:val="000000" w:themeColor="text1"/>
                <w:sz w:val="20"/>
                <w:szCs w:val="20"/>
              </w:rPr>
              <w:t>Sodeluje MIZŠ.</w:t>
            </w:r>
          </w:p>
          <w:p w:rsidR="001B3678" w:rsidRPr="000E3E39" w:rsidRDefault="001B3678" w:rsidP="00C15EFF">
            <w:pPr>
              <w:rPr>
                <w:rFonts w:ascii="Calibri" w:hAnsi="Calibri"/>
                <w:color w:val="000000" w:themeColor="text1"/>
                <w:sz w:val="20"/>
                <w:szCs w:val="20"/>
              </w:rPr>
            </w:pPr>
            <w:r>
              <w:rPr>
                <w:rFonts w:ascii="Calibri" w:hAnsi="Calibri"/>
                <w:color w:val="000000" w:themeColor="text1"/>
                <w:sz w:val="20"/>
                <w:szCs w:val="20"/>
              </w:rPr>
              <w:t>Predlog sodelovanja MOP.</w:t>
            </w:r>
          </w:p>
        </w:tc>
      </w:tr>
      <w:tr w:rsidR="001B3678" w:rsidRPr="000E3E39" w:rsidTr="00C15EFF">
        <w:trPr>
          <w:trHeight w:val="1410"/>
        </w:trPr>
        <w:tc>
          <w:tcPr>
            <w:tcW w:w="2400" w:type="dxa"/>
            <w:tcBorders>
              <w:top w:val="nil"/>
              <w:left w:val="single" w:sz="8" w:space="0" w:color="auto"/>
              <w:bottom w:val="single" w:sz="8" w:space="0" w:color="auto"/>
              <w:right w:val="nil"/>
            </w:tcBorders>
            <w:shd w:val="clear" w:color="auto" w:fill="FFF2CC" w:themeFill="accent4" w:themeFillTint="33"/>
            <w:tcMar>
              <w:top w:w="15" w:type="dxa"/>
              <w:left w:w="15" w:type="dxa"/>
              <w:bottom w:w="0" w:type="dxa"/>
              <w:right w:w="15" w:type="dxa"/>
            </w:tcMar>
            <w:vAlign w:val="center"/>
            <w:hideMark/>
          </w:tcPr>
          <w:p w:rsidR="001B3678" w:rsidRPr="009F3496" w:rsidRDefault="001B3678" w:rsidP="00C15EFF">
            <w:pPr>
              <w:rPr>
                <w:rFonts w:ascii="Calibri" w:hAnsi="Calibri"/>
                <w:color w:val="000000" w:themeColor="text1"/>
                <w:sz w:val="20"/>
                <w:szCs w:val="20"/>
                <w:u w:val="single"/>
              </w:rPr>
            </w:pPr>
            <w:r w:rsidRPr="009F3496">
              <w:rPr>
                <w:rFonts w:ascii="Calibri" w:hAnsi="Calibri"/>
                <w:color w:val="000000" w:themeColor="text1"/>
                <w:sz w:val="20"/>
                <w:szCs w:val="20"/>
                <w:u w:val="single"/>
              </w:rPr>
              <w:t>JPI FACCE</w:t>
            </w:r>
          </w:p>
          <w:p w:rsidR="001B3678" w:rsidRPr="009F3496" w:rsidRDefault="001B3678" w:rsidP="00C15EFF">
            <w:pPr>
              <w:rPr>
                <w:rFonts w:ascii="Calibri" w:hAnsi="Calibri"/>
                <w:color w:val="000000" w:themeColor="text1"/>
                <w:sz w:val="20"/>
                <w:szCs w:val="20"/>
                <w:u w:val="single"/>
              </w:rPr>
            </w:pPr>
            <w:hyperlink r:id="rId9" w:history="1">
              <w:r w:rsidRPr="009F3496">
                <w:rPr>
                  <w:rStyle w:val="Hiperpovezava"/>
                  <w:rFonts w:ascii="Calibri" w:hAnsi="Calibri"/>
                  <w:color w:val="000000" w:themeColor="text1"/>
                  <w:sz w:val="20"/>
                  <w:szCs w:val="20"/>
                </w:rPr>
                <w:t xml:space="preserve">Kmetijstvo, varnost hrane in podnebne spremembe </w:t>
              </w:r>
            </w:hyperlink>
          </w:p>
        </w:tc>
        <w:tc>
          <w:tcPr>
            <w:tcW w:w="6804"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B3678" w:rsidRPr="000E3E39" w:rsidRDefault="001B3678" w:rsidP="00C15EFF">
            <w:pPr>
              <w:rPr>
                <w:rFonts w:ascii="Calibri" w:hAnsi="Calibri"/>
                <w:color w:val="000000" w:themeColor="text1"/>
                <w:sz w:val="20"/>
                <w:szCs w:val="20"/>
              </w:rPr>
            </w:pPr>
            <w:r w:rsidRPr="000E3E39">
              <w:rPr>
                <w:rFonts w:ascii="Calibri" w:hAnsi="Calibri"/>
                <w:color w:val="000000" w:themeColor="text1"/>
                <w:sz w:val="20"/>
                <w:szCs w:val="20"/>
              </w:rPr>
              <w:t>Pobuda FACCE zagotavlja in usmerja raziskave, da bi podprla trajnostno kmetijsko proizvodnjo in gospodarsko rast, prispevala k evropskemu gospodarstvu, ki temelji na biotehnologiji, obenem pa ohranila in obnovila biotsko raznovrstnost in ekosistemske storitve ob sedanjih in prihodnjih podnebnih spremembah.</w:t>
            </w:r>
          </w:p>
        </w:tc>
        <w:tc>
          <w:tcPr>
            <w:tcW w:w="340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B3678" w:rsidRPr="000E3E39" w:rsidRDefault="001B3678" w:rsidP="00C15EFF">
            <w:pPr>
              <w:rPr>
                <w:rFonts w:ascii="Calibri" w:hAnsi="Calibri"/>
                <w:color w:val="000000" w:themeColor="text1"/>
                <w:sz w:val="20"/>
                <w:szCs w:val="20"/>
              </w:rPr>
            </w:pPr>
            <w:r w:rsidRPr="000E3E39">
              <w:rPr>
                <w:rFonts w:ascii="Calibri" w:hAnsi="Calibri"/>
                <w:color w:val="000000" w:themeColor="text1"/>
                <w:sz w:val="20"/>
                <w:szCs w:val="20"/>
              </w:rPr>
              <w:t>trajnostna kmetijska proizvodnja, gospodarska rast, raziskave o kmetijstvu, prehranski varnosti in podnebnih spremembah</w:t>
            </w:r>
          </w:p>
        </w:tc>
        <w:tc>
          <w:tcPr>
            <w:tcW w:w="1985" w:type="dxa"/>
            <w:tcBorders>
              <w:top w:val="nil"/>
              <w:left w:val="nil"/>
              <w:bottom w:val="single" w:sz="8" w:space="0" w:color="auto"/>
              <w:right w:val="single" w:sz="8" w:space="0" w:color="auto"/>
            </w:tcBorders>
            <w:vAlign w:val="center"/>
          </w:tcPr>
          <w:p w:rsidR="001B3678" w:rsidRPr="000E3E39" w:rsidRDefault="001B3678" w:rsidP="00C15EFF">
            <w:pPr>
              <w:rPr>
                <w:rFonts w:ascii="Calibri" w:hAnsi="Calibri"/>
                <w:color w:val="000000" w:themeColor="text1"/>
                <w:sz w:val="20"/>
                <w:szCs w:val="20"/>
              </w:rPr>
            </w:pPr>
            <w:r>
              <w:rPr>
                <w:rFonts w:ascii="Calibri" w:hAnsi="Calibri"/>
                <w:color w:val="000000" w:themeColor="text1"/>
                <w:sz w:val="20"/>
                <w:szCs w:val="20"/>
              </w:rPr>
              <w:t>Predlog sodelovanja MKGP.</w:t>
            </w:r>
          </w:p>
        </w:tc>
      </w:tr>
      <w:tr w:rsidR="001B3678" w:rsidRPr="000E3E39" w:rsidTr="00C15EFF">
        <w:trPr>
          <w:trHeight w:val="1875"/>
        </w:trPr>
        <w:tc>
          <w:tcPr>
            <w:tcW w:w="2400" w:type="dxa"/>
            <w:tcBorders>
              <w:top w:val="nil"/>
              <w:left w:val="single" w:sz="8" w:space="0" w:color="auto"/>
              <w:bottom w:val="single" w:sz="8" w:space="0" w:color="auto"/>
              <w:right w:val="nil"/>
            </w:tcBorders>
            <w:shd w:val="clear" w:color="auto" w:fill="FFF2CC" w:themeFill="accent4" w:themeFillTint="33"/>
            <w:tcMar>
              <w:top w:w="15" w:type="dxa"/>
              <w:left w:w="15" w:type="dxa"/>
              <w:bottom w:w="0" w:type="dxa"/>
              <w:right w:w="15" w:type="dxa"/>
            </w:tcMar>
            <w:vAlign w:val="center"/>
            <w:hideMark/>
          </w:tcPr>
          <w:p w:rsidR="001B3678" w:rsidRPr="009F3496" w:rsidRDefault="001B3678" w:rsidP="00C15EFF">
            <w:pPr>
              <w:rPr>
                <w:rFonts w:ascii="Calibri" w:hAnsi="Calibri"/>
                <w:color w:val="000000" w:themeColor="text1"/>
                <w:sz w:val="20"/>
                <w:szCs w:val="20"/>
                <w:u w:val="single"/>
              </w:rPr>
            </w:pPr>
            <w:r w:rsidRPr="009F3496">
              <w:rPr>
                <w:rFonts w:ascii="Calibri" w:hAnsi="Calibri"/>
                <w:color w:val="000000" w:themeColor="text1"/>
                <w:sz w:val="20"/>
                <w:szCs w:val="20"/>
                <w:u w:val="single"/>
              </w:rPr>
              <w:t>JPI CULTURAL HERITAGE</w:t>
            </w:r>
          </w:p>
          <w:p w:rsidR="001B3678" w:rsidRPr="009F3496" w:rsidRDefault="001B3678" w:rsidP="00C15EFF">
            <w:pPr>
              <w:rPr>
                <w:rFonts w:ascii="Calibri" w:hAnsi="Calibri"/>
                <w:color w:val="000000" w:themeColor="text1"/>
                <w:sz w:val="20"/>
                <w:szCs w:val="20"/>
                <w:u w:val="single"/>
              </w:rPr>
            </w:pPr>
            <w:hyperlink r:id="rId10" w:history="1">
              <w:r w:rsidRPr="009F3496">
                <w:rPr>
                  <w:rStyle w:val="Hiperpovezava"/>
                  <w:rFonts w:ascii="Calibri" w:hAnsi="Calibri"/>
                  <w:color w:val="000000" w:themeColor="text1"/>
                  <w:sz w:val="20"/>
                  <w:szCs w:val="20"/>
                </w:rPr>
                <w:t xml:space="preserve">Kulturna dediščina in globalne spremembe </w:t>
              </w:r>
              <w:r w:rsidRPr="009F3496">
                <w:rPr>
                  <w:rFonts w:ascii="Calibri" w:hAnsi="Calibri"/>
                  <w:color w:val="000000" w:themeColor="text1"/>
                  <w:sz w:val="20"/>
                  <w:szCs w:val="20"/>
                  <w:u w:val="single"/>
                </w:rPr>
                <w:br/>
              </w:r>
            </w:hyperlink>
          </w:p>
        </w:tc>
        <w:tc>
          <w:tcPr>
            <w:tcW w:w="6804"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B3678" w:rsidRPr="000E3E39" w:rsidRDefault="001B3678" w:rsidP="00C15EFF">
            <w:pPr>
              <w:rPr>
                <w:rFonts w:ascii="Calibri" w:hAnsi="Calibri"/>
                <w:color w:val="000000" w:themeColor="text1"/>
                <w:sz w:val="20"/>
                <w:szCs w:val="20"/>
              </w:rPr>
            </w:pPr>
            <w:r w:rsidRPr="000E3E39">
              <w:rPr>
                <w:rFonts w:ascii="Calibri" w:hAnsi="Calibri"/>
                <w:color w:val="000000" w:themeColor="text1"/>
                <w:sz w:val="20"/>
                <w:szCs w:val="20"/>
              </w:rPr>
              <w:t>Evropski kulturni dediščini poleg naravnega staranja grozijo različne nevarnosti, med drugim podnebne spremembe in onesnaženje, okoljsko tveganje, naraščajoča urbanizacija, množični turizem, zanemarjanje, vandalizem in celo terorizem. Varstvo kulturne dediščine v času globalnih sprememb postaja vedno večji problem za odločevalce, deležnike in državljane.</w:t>
            </w:r>
          </w:p>
        </w:tc>
        <w:tc>
          <w:tcPr>
            <w:tcW w:w="340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B3678" w:rsidRPr="000E3E39" w:rsidRDefault="001B3678" w:rsidP="00C15EFF">
            <w:pPr>
              <w:rPr>
                <w:rFonts w:ascii="Calibri" w:hAnsi="Calibri"/>
                <w:color w:val="000000" w:themeColor="text1"/>
                <w:sz w:val="20"/>
                <w:szCs w:val="20"/>
              </w:rPr>
            </w:pPr>
            <w:r w:rsidRPr="000E3E39">
              <w:rPr>
                <w:rFonts w:ascii="Calibri" w:hAnsi="Calibri"/>
                <w:color w:val="000000" w:themeColor="text1"/>
                <w:sz w:val="20"/>
                <w:szCs w:val="20"/>
              </w:rPr>
              <w:t>razmišljujoča družba (identiteta, dojemanje, vrednote, etika), povezovanje ljudi s pomočjo dediščine (IKT, trajnost, varnost), ustvarjanje znanja (metode, merila, škoda), varstvo virov kulturne dediščine (ohranjanje, prilagajanje, blažitev)</w:t>
            </w:r>
          </w:p>
        </w:tc>
        <w:tc>
          <w:tcPr>
            <w:tcW w:w="1985" w:type="dxa"/>
            <w:tcBorders>
              <w:top w:val="nil"/>
              <w:left w:val="nil"/>
              <w:bottom w:val="single" w:sz="8" w:space="0" w:color="auto"/>
              <w:right w:val="single" w:sz="8" w:space="0" w:color="auto"/>
            </w:tcBorders>
            <w:vAlign w:val="center"/>
          </w:tcPr>
          <w:p w:rsidR="001B3678" w:rsidRPr="000E3E39" w:rsidRDefault="001B3678" w:rsidP="00C15EFF">
            <w:pPr>
              <w:rPr>
                <w:rFonts w:ascii="Calibri" w:hAnsi="Calibri"/>
                <w:color w:val="000000" w:themeColor="text1"/>
                <w:sz w:val="20"/>
                <w:szCs w:val="20"/>
              </w:rPr>
            </w:pPr>
            <w:r>
              <w:rPr>
                <w:rFonts w:ascii="Calibri" w:hAnsi="Calibri"/>
                <w:color w:val="000000" w:themeColor="text1"/>
                <w:sz w:val="20"/>
                <w:szCs w:val="20"/>
              </w:rPr>
              <w:t>Predlog sodelovanja MK ali ZVKDS.</w:t>
            </w:r>
          </w:p>
        </w:tc>
      </w:tr>
      <w:tr w:rsidR="001B3678" w:rsidRPr="000E3E39" w:rsidTr="00C15EFF">
        <w:trPr>
          <w:trHeight w:val="2809"/>
        </w:trPr>
        <w:tc>
          <w:tcPr>
            <w:tcW w:w="2400" w:type="dxa"/>
            <w:tcBorders>
              <w:top w:val="nil"/>
              <w:left w:val="single" w:sz="8" w:space="0" w:color="auto"/>
              <w:bottom w:val="single" w:sz="8" w:space="0" w:color="auto"/>
              <w:right w:val="nil"/>
            </w:tcBorders>
            <w:shd w:val="clear" w:color="auto" w:fill="FFF2CC" w:themeFill="accent4" w:themeFillTint="33"/>
            <w:tcMar>
              <w:top w:w="15" w:type="dxa"/>
              <w:left w:w="15" w:type="dxa"/>
              <w:bottom w:w="0" w:type="dxa"/>
              <w:right w:w="15" w:type="dxa"/>
            </w:tcMar>
            <w:vAlign w:val="center"/>
            <w:hideMark/>
          </w:tcPr>
          <w:p w:rsidR="001B3678" w:rsidRPr="009F3496" w:rsidRDefault="001B3678" w:rsidP="00C15EFF">
            <w:pPr>
              <w:rPr>
                <w:rFonts w:ascii="Calibri" w:hAnsi="Calibri"/>
                <w:color w:val="000000" w:themeColor="text1"/>
                <w:sz w:val="20"/>
                <w:szCs w:val="20"/>
                <w:u w:val="single"/>
              </w:rPr>
            </w:pPr>
            <w:r w:rsidRPr="009F3496">
              <w:rPr>
                <w:rFonts w:ascii="Calibri" w:hAnsi="Calibri"/>
                <w:color w:val="000000" w:themeColor="text1"/>
                <w:sz w:val="20"/>
                <w:szCs w:val="20"/>
                <w:u w:val="single"/>
              </w:rPr>
              <w:t>JPI AMR</w:t>
            </w:r>
          </w:p>
          <w:p w:rsidR="001B3678" w:rsidRPr="009F3496" w:rsidRDefault="001B3678" w:rsidP="00C15EFF">
            <w:pPr>
              <w:rPr>
                <w:rFonts w:ascii="Calibri" w:hAnsi="Calibri"/>
                <w:color w:val="000000" w:themeColor="text1"/>
                <w:sz w:val="20"/>
                <w:szCs w:val="20"/>
                <w:u w:val="single"/>
              </w:rPr>
            </w:pPr>
            <w:hyperlink r:id="rId11" w:history="1">
              <w:r w:rsidRPr="009F3496">
                <w:rPr>
                  <w:rStyle w:val="Hiperpovezava"/>
                  <w:rFonts w:ascii="Calibri" w:hAnsi="Calibri"/>
                  <w:color w:val="000000" w:themeColor="text1"/>
                  <w:sz w:val="20"/>
                  <w:szCs w:val="20"/>
                </w:rPr>
                <w:t xml:space="preserve">Protimikrobna odpornost </w:t>
              </w:r>
            </w:hyperlink>
          </w:p>
        </w:tc>
        <w:tc>
          <w:tcPr>
            <w:tcW w:w="6804"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B3678" w:rsidRPr="000E3E39" w:rsidRDefault="001B3678" w:rsidP="00C15EFF">
            <w:pPr>
              <w:rPr>
                <w:rFonts w:ascii="Calibri" w:hAnsi="Calibri"/>
                <w:color w:val="000000" w:themeColor="text1"/>
                <w:sz w:val="20"/>
                <w:szCs w:val="20"/>
              </w:rPr>
            </w:pPr>
            <w:r w:rsidRPr="000E3E39">
              <w:rPr>
                <w:rFonts w:ascii="Calibri" w:hAnsi="Calibri"/>
                <w:color w:val="000000" w:themeColor="text1"/>
                <w:sz w:val="20"/>
                <w:szCs w:val="20"/>
              </w:rPr>
              <w:t xml:space="preserve">Antibiotiki so rešili na milijone življenj, toda protimikrobna odpornost se še naprej širi, saj številni antibiotiki zaradi pretirane uporabe in zlorabe postajajo neučinkoviti. </w:t>
            </w:r>
            <w:r w:rsidRPr="000E3E39">
              <w:rPr>
                <w:rFonts w:ascii="Calibri" w:hAnsi="Calibri"/>
                <w:color w:val="000000" w:themeColor="text1"/>
                <w:sz w:val="20"/>
                <w:szCs w:val="20"/>
              </w:rPr>
              <w:br/>
              <w:t xml:space="preserve">Po napovedih bo do leta 2050 vsako leto umrlo 10 milijonov ljudi zaradi okužb, odpornih na zdravila. Trenutno ni veliko novih antibiotikov v fazi razvoja, zato se je treba osredotočiti na zmanjšanje pojavnosti bakterijskih okužb, zagotavljanje racionalne uporabe preostalih antibiotikov in zmanjšanje prenosa odpornih bakterij. </w:t>
            </w:r>
            <w:r w:rsidRPr="000E3E39">
              <w:rPr>
                <w:rFonts w:ascii="Calibri" w:hAnsi="Calibri"/>
                <w:color w:val="000000" w:themeColor="text1"/>
                <w:sz w:val="20"/>
                <w:szCs w:val="20"/>
              </w:rPr>
              <w:br/>
              <w:t xml:space="preserve">Razviti je </w:t>
            </w:r>
            <w:r>
              <w:rPr>
                <w:rFonts w:ascii="Calibri" w:hAnsi="Calibri"/>
                <w:color w:val="000000" w:themeColor="text1"/>
                <w:sz w:val="20"/>
                <w:szCs w:val="20"/>
              </w:rPr>
              <w:t xml:space="preserve">potrebno </w:t>
            </w:r>
            <w:r w:rsidRPr="000E3E39">
              <w:rPr>
                <w:rFonts w:ascii="Calibri" w:hAnsi="Calibri"/>
                <w:color w:val="000000" w:themeColor="text1"/>
                <w:sz w:val="20"/>
                <w:szCs w:val="20"/>
              </w:rPr>
              <w:t>diagnostična orodja in boljše</w:t>
            </w:r>
            <w:r>
              <w:rPr>
                <w:rFonts w:ascii="Calibri" w:hAnsi="Calibri"/>
                <w:color w:val="000000" w:themeColor="text1"/>
                <w:sz w:val="20"/>
                <w:szCs w:val="20"/>
              </w:rPr>
              <w:t xml:space="preserve"> metode nadzora ter sprejeti</w:t>
            </w:r>
            <w:r w:rsidRPr="000E3E39">
              <w:rPr>
                <w:rFonts w:ascii="Calibri" w:hAnsi="Calibri"/>
                <w:color w:val="000000" w:themeColor="text1"/>
                <w:sz w:val="20"/>
                <w:szCs w:val="20"/>
              </w:rPr>
              <w:t xml:space="preserve"> pametnejše strategije za uporabo antibiotikov v zdravstvu in kmetijstvu.</w:t>
            </w:r>
          </w:p>
        </w:tc>
        <w:tc>
          <w:tcPr>
            <w:tcW w:w="340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B3678" w:rsidRPr="000E3E39" w:rsidRDefault="001B3678" w:rsidP="00C15EFF">
            <w:pPr>
              <w:rPr>
                <w:rFonts w:ascii="Calibri" w:hAnsi="Calibri"/>
                <w:color w:val="000000" w:themeColor="text1"/>
                <w:sz w:val="20"/>
                <w:szCs w:val="20"/>
              </w:rPr>
            </w:pPr>
            <w:r w:rsidRPr="000E3E39">
              <w:rPr>
                <w:rFonts w:ascii="Calibri" w:hAnsi="Calibri"/>
                <w:color w:val="000000" w:themeColor="text1"/>
                <w:sz w:val="20"/>
                <w:szCs w:val="20"/>
              </w:rPr>
              <w:t>javno zdravje, veterinarske raziskave, kmetijske in farmacevtske raziskave</w:t>
            </w:r>
          </w:p>
        </w:tc>
        <w:tc>
          <w:tcPr>
            <w:tcW w:w="1985" w:type="dxa"/>
            <w:tcBorders>
              <w:top w:val="nil"/>
              <w:left w:val="nil"/>
              <w:bottom w:val="single" w:sz="8" w:space="0" w:color="auto"/>
              <w:right w:val="single" w:sz="8" w:space="0" w:color="auto"/>
            </w:tcBorders>
            <w:vAlign w:val="center"/>
          </w:tcPr>
          <w:p w:rsidR="001B3678" w:rsidRPr="000E3E39" w:rsidRDefault="001B3678" w:rsidP="00C15EFF">
            <w:pPr>
              <w:rPr>
                <w:rFonts w:ascii="Calibri" w:hAnsi="Calibri"/>
                <w:color w:val="000000" w:themeColor="text1"/>
                <w:sz w:val="20"/>
                <w:szCs w:val="20"/>
              </w:rPr>
            </w:pPr>
            <w:r>
              <w:rPr>
                <w:rFonts w:ascii="Calibri" w:hAnsi="Calibri"/>
                <w:color w:val="000000" w:themeColor="text1"/>
                <w:sz w:val="20"/>
                <w:szCs w:val="20"/>
              </w:rPr>
              <w:t>Predlog sodelovanja MZ ali NIJZ.</w:t>
            </w:r>
          </w:p>
        </w:tc>
      </w:tr>
      <w:tr w:rsidR="001B3678" w:rsidRPr="000E3E39" w:rsidTr="00C15EFF">
        <w:trPr>
          <w:trHeight w:val="3291"/>
        </w:trPr>
        <w:tc>
          <w:tcPr>
            <w:tcW w:w="2400" w:type="dxa"/>
            <w:tcBorders>
              <w:top w:val="nil"/>
              <w:left w:val="single" w:sz="8" w:space="0" w:color="auto"/>
              <w:bottom w:val="single" w:sz="8" w:space="0" w:color="auto"/>
              <w:right w:val="nil"/>
            </w:tcBorders>
            <w:shd w:val="clear" w:color="auto" w:fill="FFF2CC" w:themeFill="accent4" w:themeFillTint="33"/>
            <w:tcMar>
              <w:top w:w="15" w:type="dxa"/>
              <w:left w:w="15" w:type="dxa"/>
              <w:bottom w:w="0" w:type="dxa"/>
              <w:right w:w="15" w:type="dxa"/>
            </w:tcMar>
            <w:vAlign w:val="center"/>
            <w:hideMark/>
          </w:tcPr>
          <w:p w:rsidR="001B3678" w:rsidRPr="009F3496" w:rsidRDefault="001B3678" w:rsidP="00C15EFF">
            <w:pPr>
              <w:rPr>
                <w:rFonts w:ascii="Calibri" w:hAnsi="Calibri"/>
                <w:color w:val="000000" w:themeColor="text1"/>
                <w:sz w:val="20"/>
                <w:szCs w:val="20"/>
                <w:u w:val="single"/>
              </w:rPr>
            </w:pPr>
            <w:r w:rsidRPr="009F3496">
              <w:rPr>
                <w:rFonts w:ascii="Calibri" w:hAnsi="Calibri"/>
                <w:color w:val="000000" w:themeColor="text1"/>
                <w:sz w:val="20"/>
                <w:szCs w:val="20"/>
                <w:u w:val="single"/>
              </w:rPr>
              <w:lastRenderedPageBreak/>
              <w:t>JPI WATER</w:t>
            </w:r>
          </w:p>
          <w:p w:rsidR="001B3678" w:rsidRPr="009F3496" w:rsidRDefault="001B3678" w:rsidP="00C15EFF">
            <w:pPr>
              <w:rPr>
                <w:rFonts w:ascii="Calibri" w:hAnsi="Calibri"/>
                <w:color w:val="000000" w:themeColor="text1"/>
                <w:sz w:val="20"/>
                <w:szCs w:val="20"/>
                <w:u w:val="single"/>
              </w:rPr>
            </w:pPr>
            <w:hyperlink r:id="rId12" w:history="1">
              <w:r w:rsidRPr="009F3496">
                <w:rPr>
                  <w:rStyle w:val="Hiperpovezava"/>
                  <w:rFonts w:ascii="Calibri" w:hAnsi="Calibri"/>
                  <w:color w:val="000000" w:themeColor="text1"/>
                  <w:sz w:val="20"/>
                  <w:szCs w:val="20"/>
                </w:rPr>
                <w:t xml:space="preserve">Vodni izzivi za spreminjajoči se svet </w:t>
              </w:r>
            </w:hyperlink>
          </w:p>
        </w:tc>
        <w:tc>
          <w:tcPr>
            <w:tcW w:w="6804"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B3678" w:rsidRPr="000E3E39" w:rsidRDefault="001B3678" w:rsidP="00C15EFF">
            <w:pPr>
              <w:rPr>
                <w:rFonts w:ascii="Calibri" w:hAnsi="Calibri"/>
                <w:color w:val="000000" w:themeColor="text1"/>
                <w:sz w:val="20"/>
                <w:szCs w:val="20"/>
              </w:rPr>
            </w:pPr>
            <w:r w:rsidRPr="000E3E39">
              <w:rPr>
                <w:rFonts w:ascii="Calibri" w:hAnsi="Calibri"/>
                <w:color w:val="000000" w:themeColor="text1"/>
                <w:sz w:val="20"/>
                <w:szCs w:val="20"/>
              </w:rPr>
              <w:t xml:space="preserve">Svetovni gospodarski forum je leta 2015 ugotovil, da bo kriza z vodo največje tveganje v smislu učinkov na gospodarstvo in družbo v prihodnjih letih. Svetovne potrebe po vodi bodo v skladu s projekcijami do leta 2030 za 40 % presegle trajnostno oskrbo z vodo. Odločevalci bodo prisiljeni sprejemati težke odločitve o dodeljevanju vode na načine, ki bodo vplivali na uporabnike v celotnem gospodarstvu. Evropski sektor oskrbe z vodo (z letnim prometom 72 milijard EUR) je močno razdrobljen in sestavljen iz zelo različnih deležnikov; vodni viri, oskrba z vodo in komunalne vode se pogosto upravljajo lokalno. Trenutna razvitost vodne tehnologije ne zadostuje za spopadanje z velikim izzivom zagotavljanja trajnosti. Glavni tekoči stroški tehnologij so pogosto povezani s porabo energije. To pomeni, da ima povezava med vodo in energijo ključno vlogo v vseh gospodarskih panogah in družbi na splošno. Kmetijska proizvodnja </w:t>
            </w:r>
            <w:r>
              <w:rPr>
                <w:rFonts w:ascii="Calibri" w:hAnsi="Calibri"/>
                <w:color w:val="000000" w:themeColor="text1"/>
                <w:sz w:val="20"/>
                <w:szCs w:val="20"/>
              </w:rPr>
              <w:t xml:space="preserve">pa </w:t>
            </w:r>
            <w:r w:rsidRPr="000E3E39">
              <w:rPr>
                <w:rFonts w:ascii="Calibri" w:hAnsi="Calibri"/>
                <w:color w:val="000000" w:themeColor="text1"/>
                <w:sz w:val="20"/>
                <w:szCs w:val="20"/>
              </w:rPr>
              <w:t>predstavlja še en izziv za okvir vodnih virov.</w:t>
            </w:r>
          </w:p>
        </w:tc>
        <w:tc>
          <w:tcPr>
            <w:tcW w:w="340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B3678" w:rsidRPr="000E3E39" w:rsidRDefault="001B3678" w:rsidP="00C15EFF">
            <w:pPr>
              <w:rPr>
                <w:rFonts w:ascii="Calibri" w:hAnsi="Calibri"/>
                <w:color w:val="000000" w:themeColor="text1"/>
                <w:sz w:val="20"/>
                <w:szCs w:val="20"/>
              </w:rPr>
            </w:pPr>
            <w:r w:rsidRPr="000E3E39">
              <w:rPr>
                <w:rFonts w:ascii="Calibri" w:hAnsi="Calibri"/>
                <w:color w:val="000000" w:themeColor="text1"/>
                <w:sz w:val="20"/>
                <w:szCs w:val="20"/>
              </w:rPr>
              <w:t>vodni viri, oskrba z vodo, odpadne vode; kmetijska proizvodnja; učinkovita raba vode v gospodarskih panogah</w:t>
            </w:r>
          </w:p>
        </w:tc>
        <w:tc>
          <w:tcPr>
            <w:tcW w:w="1985" w:type="dxa"/>
            <w:tcBorders>
              <w:top w:val="nil"/>
              <w:left w:val="nil"/>
              <w:bottom w:val="single" w:sz="8" w:space="0" w:color="auto"/>
              <w:right w:val="single" w:sz="8" w:space="0" w:color="auto"/>
            </w:tcBorders>
            <w:vAlign w:val="center"/>
          </w:tcPr>
          <w:p w:rsidR="001B3678" w:rsidRPr="000E3E39" w:rsidRDefault="001B3678" w:rsidP="00C15EFF">
            <w:pPr>
              <w:rPr>
                <w:rFonts w:ascii="Calibri" w:hAnsi="Calibri"/>
                <w:color w:val="000000" w:themeColor="text1"/>
                <w:sz w:val="20"/>
                <w:szCs w:val="20"/>
              </w:rPr>
            </w:pPr>
            <w:r>
              <w:rPr>
                <w:rFonts w:ascii="Calibri" w:hAnsi="Calibri"/>
                <w:color w:val="000000" w:themeColor="text1"/>
                <w:sz w:val="20"/>
                <w:szCs w:val="20"/>
              </w:rPr>
              <w:t>Predlog sodelovanja MOP ali MKGP.</w:t>
            </w:r>
          </w:p>
        </w:tc>
      </w:tr>
      <w:tr w:rsidR="001B3678" w:rsidRPr="000E3E39" w:rsidTr="00C15EFF">
        <w:trPr>
          <w:trHeight w:val="1798"/>
        </w:trPr>
        <w:tc>
          <w:tcPr>
            <w:tcW w:w="2400" w:type="dxa"/>
            <w:tcBorders>
              <w:top w:val="nil"/>
              <w:left w:val="single" w:sz="8" w:space="0" w:color="auto"/>
              <w:bottom w:val="single" w:sz="8" w:space="0" w:color="auto"/>
              <w:right w:val="nil"/>
            </w:tcBorders>
            <w:shd w:val="clear" w:color="auto" w:fill="FFF2CC" w:themeFill="accent4" w:themeFillTint="33"/>
            <w:tcMar>
              <w:top w:w="15" w:type="dxa"/>
              <w:left w:w="15" w:type="dxa"/>
              <w:bottom w:w="0" w:type="dxa"/>
              <w:right w:w="15" w:type="dxa"/>
            </w:tcMar>
            <w:vAlign w:val="center"/>
            <w:hideMark/>
          </w:tcPr>
          <w:p w:rsidR="001B3678" w:rsidRPr="009F3496" w:rsidRDefault="001B3678" w:rsidP="00C15EFF">
            <w:pPr>
              <w:rPr>
                <w:rFonts w:ascii="Calibri" w:hAnsi="Calibri"/>
                <w:color w:val="000000" w:themeColor="text1"/>
                <w:sz w:val="20"/>
                <w:szCs w:val="20"/>
                <w:u w:val="single"/>
              </w:rPr>
            </w:pPr>
            <w:r w:rsidRPr="009F3496">
              <w:rPr>
                <w:rFonts w:ascii="Calibri" w:hAnsi="Calibri"/>
                <w:color w:val="000000" w:themeColor="text1"/>
                <w:sz w:val="20"/>
                <w:szCs w:val="20"/>
                <w:u w:val="single"/>
              </w:rPr>
              <w:t>JPI OCEANS</w:t>
            </w:r>
          </w:p>
          <w:p w:rsidR="001B3678" w:rsidRPr="009F3496" w:rsidRDefault="001B3678" w:rsidP="00C15EFF">
            <w:pPr>
              <w:rPr>
                <w:rFonts w:ascii="Calibri" w:hAnsi="Calibri"/>
                <w:color w:val="000000" w:themeColor="text1"/>
                <w:sz w:val="20"/>
                <w:szCs w:val="20"/>
                <w:u w:val="single"/>
              </w:rPr>
            </w:pPr>
            <w:hyperlink r:id="rId13" w:history="1">
              <w:r w:rsidRPr="009F3496">
                <w:rPr>
                  <w:rStyle w:val="Hiperpovezava"/>
                  <w:rFonts w:ascii="Calibri" w:hAnsi="Calibri"/>
                  <w:color w:val="000000" w:themeColor="text1"/>
                  <w:sz w:val="20"/>
                  <w:szCs w:val="20"/>
                </w:rPr>
                <w:t xml:space="preserve">Zdrava in produktivna morja in oceani </w:t>
              </w:r>
            </w:hyperlink>
          </w:p>
        </w:tc>
        <w:tc>
          <w:tcPr>
            <w:tcW w:w="6804" w:type="dxa"/>
            <w:tcBorders>
              <w:top w:val="nil"/>
              <w:left w:val="single" w:sz="8" w:space="0" w:color="auto"/>
              <w:bottom w:val="single" w:sz="8" w:space="0" w:color="auto"/>
              <w:right w:val="single" w:sz="8" w:space="0" w:color="auto"/>
            </w:tcBorders>
            <w:shd w:val="clear" w:color="auto" w:fill="auto"/>
            <w:tcMar>
              <w:top w:w="15" w:type="dxa"/>
              <w:left w:w="15" w:type="dxa"/>
              <w:bottom w:w="0" w:type="dxa"/>
              <w:right w:w="15" w:type="dxa"/>
            </w:tcMar>
            <w:vAlign w:val="center"/>
            <w:hideMark/>
          </w:tcPr>
          <w:p w:rsidR="001B3678" w:rsidRPr="000E3E39" w:rsidRDefault="001B3678" w:rsidP="00C15EFF">
            <w:pPr>
              <w:rPr>
                <w:rFonts w:ascii="Calibri" w:hAnsi="Calibri"/>
                <w:color w:val="000000" w:themeColor="text1"/>
                <w:sz w:val="20"/>
                <w:szCs w:val="20"/>
              </w:rPr>
            </w:pPr>
            <w:r w:rsidRPr="000E3E39">
              <w:rPr>
                <w:rFonts w:ascii="Calibri" w:hAnsi="Calibri"/>
                <w:color w:val="000000" w:themeColor="text1"/>
                <w:sz w:val="20"/>
                <w:szCs w:val="20"/>
              </w:rPr>
              <w:t>Zagotovitev platforme za strateško politiko na področju dolgoročnega evropskega pristopa k morskim in pomorskim raziskavam ter razvoju tehnologije. Pobuda JPI OCEANS povečuje učinke nacionalnih naložb v raziskave in inovacije ter zagotavlja dodano vrednost tako, da izvaja skupne ukrepe in usklajuje nacionalne prednostne naloge. Ti izidi bodo pripomogli k razvoju učinkovitih politik s trdnimi in neodvisnimi znanstvenimi dokazi ter doprinesli k podpori gospodarstva, ki temelji na oceanih.</w:t>
            </w:r>
          </w:p>
        </w:tc>
        <w:tc>
          <w:tcPr>
            <w:tcW w:w="3402"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1B3678" w:rsidRPr="000E3E39" w:rsidRDefault="001B3678" w:rsidP="00C15EFF">
            <w:pPr>
              <w:rPr>
                <w:rFonts w:ascii="Calibri" w:hAnsi="Calibri"/>
                <w:color w:val="000000" w:themeColor="text1"/>
                <w:sz w:val="20"/>
                <w:szCs w:val="20"/>
              </w:rPr>
            </w:pPr>
            <w:r w:rsidRPr="000E3E39">
              <w:rPr>
                <w:rFonts w:ascii="Calibri" w:hAnsi="Calibri"/>
                <w:color w:val="000000" w:themeColor="text1"/>
                <w:sz w:val="20"/>
                <w:szCs w:val="20"/>
              </w:rPr>
              <w:t>morja in oceani; podnebne spremembe; vpliv človeka; morske in pomorske raziskave; področje inovacij</w:t>
            </w:r>
          </w:p>
        </w:tc>
        <w:tc>
          <w:tcPr>
            <w:tcW w:w="1985" w:type="dxa"/>
            <w:tcBorders>
              <w:top w:val="nil"/>
              <w:left w:val="nil"/>
              <w:bottom w:val="single" w:sz="8" w:space="0" w:color="auto"/>
              <w:right w:val="single" w:sz="8" w:space="0" w:color="auto"/>
            </w:tcBorders>
            <w:vAlign w:val="center"/>
          </w:tcPr>
          <w:p w:rsidR="001B3678" w:rsidRPr="000E3E39" w:rsidRDefault="001B3678" w:rsidP="00C15EFF">
            <w:pPr>
              <w:rPr>
                <w:rFonts w:ascii="Calibri" w:hAnsi="Calibri"/>
                <w:color w:val="000000" w:themeColor="text1"/>
                <w:sz w:val="20"/>
                <w:szCs w:val="20"/>
              </w:rPr>
            </w:pPr>
            <w:r>
              <w:rPr>
                <w:rFonts w:ascii="Calibri" w:hAnsi="Calibri"/>
                <w:color w:val="000000" w:themeColor="text1"/>
                <w:sz w:val="20"/>
                <w:szCs w:val="20"/>
              </w:rPr>
              <w:t>Predlog sodelovanja MOP ali MKGP.</w:t>
            </w:r>
          </w:p>
        </w:tc>
      </w:tr>
    </w:tbl>
    <w:p w:rsidR="001B3678" w:rsidRDefault="001B3678" w:rsidP="001B3678">
      <w:pPr>
        <w:suppressAutoHyphens/>
        <w:overflowPunct w:val="0"/>
        <w:autoSpaceDE w:val="0"/>
        <w:autoSpaceDN w:val="0"/>
        <w:adjustRightInd w:val="0"/>
        <w:spacing w:line="260" w:lineRule="exact"/>
        <w:jc w:val="both"/>
        <w:textAlignment w:val="baseline"/>
      </w:pPr>
    </w:p>
    <w:p w:rsidR="001B3678" w:rsidRDefault="001B3678" w:rsidP="001B3678">
      <w:pPr>
        <w:suppressAutoHyphens/>
        <w:overflowPunct w:val="0"/>
        <w:autoSpaceDE w:val="0"/>
        <w:autoSpaceDN w:val="0"/>
        <w:adjustRightInd w:val="0"/>
        <w:spacing w:line="260" w:lineRule="exact"/>
        <w:jc w:val="both"/>
        <w:textAlignment w:val="baseline"/>
      </w:pPr>
    </w:p>
    <w:p w:rsidR="001B3678" w:rsidRPr="00466219" w:rsidRDefault="001B3678" w:rsidP="001B3678">
      <w:pPr>
        <w:suppressAutoHyphens/>
        <w:overflowPunct w:val="0"/>
        <w:autoSpaceDE w:val="0"/>
        <w:autoSpaceDN w:val="0"/>
        <w:adjustRightInd w:val="0"/>
        <w:spacing w:line="260" w:lineRule="exact"/>
        <w:jc w:val="both"/>
        <w:textAlignment w:val="baseline"/>
      </w:pPr>
    </w:p>
    <w:p w:rsidR="001B3678" w:rsidRPr="00466219" w:rsidRDefault="001B3678" w:rsidP="001B3678">
      <w:pPr>
        <w:suppressAutoHyphens/>
        <w:overflowPunct w:val="0"/>
        <w:autoSpaceDE w:val="0"/>
        <w:autoSpaceDN w:val="0"/>
        <w:adjustRightInd w:val="0"/>
        <w:spacing w:line="260" w:lineRule="exact"/>
        <w:jc w:val="both"/>
        <w:textAlignment w:val="baseline"/>
        <w:rPr>
          <w:rFonts w:ascii="Roboto" w:hAnsi="Roboto"/>
          <w:color w:val="444444"/>
          <w:lang w:val="en"/>
        </w:rPr>
      </w:pPr>
      <w:r w:rsidRPr="00466219">
        <w:t xml:space="preserve">Splošna predstavitev JPI-jev: </w:t>
      </w:r>
      <w:hyperlink r:id="rId14" w:history="1">
        <w:r w:rsidRPr="00466219">
          <w:rPr>
            <w:rStyle w:val="Hiperpovezava"/>
            <w:rFonts w:ascii="Roboto" w:hAnsi="Roboto"/>
            <w:lang w:val="en"/>
          </w:rPr>
          <w:t>https://goo.gl/7tyNDr</w:t>
        </w:r>
      </w:hyperlink>
    </w:p>
    <w:p w:rsidR="001B3678" w:rsidRPr="00466219" w:rsidRDefault="001B3678" w:rsidP="001B3678">
      <w:pPr>
        <w:suppressAutoHyphens/>
        <w:overflowPunct w:val="0"/>
        <w:autoSpaceDE w:val="0"/>
        <w:autoSpaceDN w:val="0"/>
        <w:adjustRightInd w:val="0"/>
        <w:spacing w:line="260" w:lineRule="exact"/>
        <w:jc w:val="both"/>
        <w:textAlignment w:val="baseline"/>
        <w:rPr>
          <w:rFonts w:ascii="Roboto" w:hAnsi="Roboto"/>
          <w:color w:val="444444"/>
          <w:lang w:val="en"/>
        </w:rPr>
      </w:pPr>
      <w:r w:rsidRPr="00466219">
        <w:t xml:space="preserve">Brošura s predstavitvijo posameznih (10) JPI-jev: </w:t>
      </w:r>
      <w:hyperlink r:id="rId15" w:history="1">
        <w:r w:rsidRPr="00466219">
          <w:rPr>
            <w:rStyle w:val="Hiperpovezava"/>
            <w:rFonts w:ascii="Roboto" w:hAnsi="Roboto"/>
            <w:lang w:val="en"/>
          </w:rPr>
          <w:t>https://goo.gl/FToLZw</w:t>
        </w:r>
      </w:hyperlink>
    </w:p>
    <w:p w:rsidR="00CF0391" w:rsidRDefault="00CF0391"/>
    <w:sectPr w:rsidR="00CF0391" w:rsidSect="003D0376">
      <w:pgSz w:w="16838" w:h="11906" w:orient="landscape"/>
      <w:pgMar w:top="1702" w:right="72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E03"/>
    <w:multiLevelType w:val="hybridMultilevel"/>
    <w:tmpl w:val="0EE82070"/>
    <w:lvl w:ilvl="0" w:tplc="AEBAC94C">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78"/>
    <w:rsid w:val="001B3678"/>
    <w:rsid w:val="00CF03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A0794-EDAC-4B76-9209-104FB5B9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B367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B3678"/>
    <w:rPr>
      <w:color w:val="0563C1" w:themeColor="hyperlink"/>
      <w:u w:val="single"/>
    </w:rPr>
  </w:style>
  <w:style w:type="paragraph" w:styleId="Odstavekseznama">
    <w:name w:val="List Paragraph"/>
    <w:aliases w:val="Titre1"/>
    <w:basedOn w:val="Navaden"/>
    <w:link w:val="OdstavekseznamaZnak"/>
    <w:qFormat/>
    <w:rsid w:val="001B3678"/>
    <w:pPr>
      <w:spacing w:after="0" w:line="260" w:lineRule="atLeast"/>
      <w:ind w:left="720"/>
      <w:contextualSpacing/>
    </w:pPr>
    <w:rPr>
      <w:rFonts w:ascii="Arial" w:eastAsia="Times New Roman" w:hAnsi="Arial" w:cs="Times New Roman"/>
      <w:sz w:val="20"/>
      <w:szCs w:val="24"/>
      <w:lang w:val="en-US"/>
    </w:rPr>
  </w:style>
  <w:style w:type="character" w:customStyle="1" w:styleId="OdstavekseznamaZnak">
    <w:name w:val="Odstavek seznama Znak"/>
    <w:aliases w:val="Titre1 Znak"/>
    <w:link w:val="Odstavekseznama"/>
    <w:locked/>
    <w:rsid w:val="001B3678"/>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i-climate.eu/home" TargetMode="External"/><Relationship Id="rId13" Type="http://schemas.openxmlformats.org/officeDocument/2006/relationships/hyperlink" Target="http://www.jpi-oceans.eu/" TargetMode="External"/><Relationship Id="rId3" Type="http://schemas.openxmlformats.org/officeDocument/2006/relationships/settings" Target="settings.xml"/><Relationship Id="rId7" Type="http://schemas.openxmlformats.org/officeDocument/2006/relationships/hyperlink" Target="http://www.jp-demographic.eu/" TargetMode="External"/><Relationship Id="rId12" Type="http://schemas.openxmlformats.org/officeDocument/2006/relationships/hyperlink" Target="http://www.waterjpi.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healthydietforhealthylife.eu/" TargetMode="External"/><Relationship Id="rId11" Type="http://schemas.openxmlformats.org/officeDocument/2006/relationships/hyperlink" Target="http://www.jpiamr.eu/" TargetMode="External"/><Relationship Id="rId5" Type="http://schemas.openxmlformats.org/officeDocument/2006/relationships/hyperlink" Target="http://www.neurodegenerationresearch.eu/" TargetMode="External"/><Relationship Id="rId15" Type="http://schemas.openxmlformats.org/officeDocument/2006/relationships/hyperlink" Target="https://goo.gl/FToLZw" TargetMode="External"/><Relationship Id="rId10" Type="http://schemas.openxmlformats.org/officeDocument/2006/relationships/hyperlink" Target="http://www.jpi-culturalheritage.eu/" TargetMode="External"/><Relationship Id="rId4" Type="http://schemas.openxmlformats.org/officeDocument/2006/relationships/webSettings" Target="webSettings.xml"/><Relationship Id="rId9" Type="http://schemas.openxmlformats.org/officeDocument/2006/relationships/hyperlink" Target="http://www.faccejpi.com/" TargetMode="External"/><Relationship Id="rId14" Type="http://schemas.openxmlformats.org/officeDocument/2006/relationships/hyperlink" Target="https://goo.gl/7tyNDr"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368FE163.dotm</Template>
  <TotalTime>2</TotalTime>
  <Pages>5</Pages>
  <Words>2179</Words>
  <Characters>12424</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PŽ</dc:creator>
  <cp:keywords/>
  <dc:description/>
  <cp:lastModifiedBy>PŽ</cp:lastModifiedBy>
  <cp:revision>1</cp:revision>
  <dcterms:created xsi:type="dcterms:W3CDTF">2018-02-13T09:02:00Z</dcterms:created>
  <dcterms:modified xsi:type="dcterms:W3CDTF">2018-02-13T09:06:00Z</dcterms:modified>
</cp:coreProperties>
</file>