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AA91" w14:textId="77777777" w:rsidR="004D434D" w:rsidRPr="002F036A" w:rsidRDefault="004D434D" w:rsidP="00A0055E">
      <w:pPr>
        <w:pStyle w:val="Odstavekseznama1"/>
        <w:ind w:left="0"/>
        <w:rPr>
          <w:rFonts w:ascii="Arial" w:hAnsi="Arial" w:cs="Arial"/>
          <w:b/>
          <w:sz w:val="22"/>
          <w:szCs w:val="22"/>
        </w:rPr>
      </w:pPr>
    </w:p>
    <w:p w14:paraId="4EC33E3D" w14:textId="77777777" w:rsidR="004D434D" w:rsidRPr="002F036A" w:rsidRDefault="004D434D" w:rsidP="00A0055E">
      <w:pPr>
        <w:pStyle w:val="Odstavekseznama1"/>
        <w:ind w:left="0"/>
        <w:rPr>
          <w:rFonts w:ascii="Arial" w:hAnsi="Arial" w:cs="Arial"/>
          <w:b/>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648"/>
        <w:gridCol w:w="796"/>
        <w:gridCol w:w="2209"/>
      </w:tblGrid>
      <w:tr w:rsidR="004D434D" w:rsidRPr="00720745" w14:paraId="7370E9F0" w14:textId="77777777" w:rsidTr="004D434D">
        <w:trPr>
          <w:gridAfter w:val="2"/>
          <w:wAfter w:w="3005" w:type="dxa"/>
        </w:trPr>
        <w:tc>
          <w:tcPr>
            <w:tcW w:w="6209" w:type="dxa"/>
            <w:gridSpan w:val="2"/>
          </w:tcPr>
          <w:p w14:paraId="33378187" w14:textId="106AE471" w:rsidR="004D434D" w:rsidRPr="00720745" w:rsidRDefault="004D434D" w:rsidP="002F63AC">
            <w:pPr>
              <w:pStyle w:val="datumtevilka"/>
              <w:spacing w:line="240" w:lineRule="auto"/>
              <w:rPr>
                <w:sz w:val="22"/>
                <w:szCs w:val="22"/>
              </w:rPr>
            </w:pPr>
            <w:r w:rsidRPr="00720745">
              <w:rPr>
                <w:sz w:val="22"/>
                <w:szCs w:val="22"/>
              </w:rPr>
              <w:t xml:space="preserve">Številka: </w:t>
            </w:r>
            <w:r w:rsidR="002F63AC" w:rsidRPr="00A3052A">
              <w:rPr>
                <w:sz w:val="22"/>
                <w:szCs w:val="22"/>
              </w:rPr>
              <w:t>303-5/2017/</w:t>
            </w:r>
            <w:r w:rsidR="00E6701A">
              <w:rPr>
                <w:sz w:val="22"/>
                <w:szCs w:val="22"/>
              </w:rPr>
              <w:t>64</w:t>
            </w:r>
          </w:p>
        </w:tc>
      </w:tr>
      <w:tr w:rsidR="004D434D" w:rsidRPr="00720745" w14:paraId="148C78E9" w14:textId="77777777" w:rsidTr="004D434D">
        <w:trPr>
          <w:gridAfter w:val="2"/>
          <w:wAfter w:w="3005" w:type="dxa"/>
        </w:trPr>
        <w:tc>
          <w:tcPr>
            <w:tcW w:w="6209" w:type="dxa"/>
            <w:gridSpan w:val="2"/>
          </w:tcPr>
          <w:p w14:paraId="4DCB8A7B" w14:textId="7A972503" w:rsidR="004D434D" w:rsidRPr="00720745" w:rsidRDefault="004D434D" w:rsidP="005B72C1">
            <w:pPr>
              <w:pStyle w:val="datumtevilka"/>
              <w:spacing w:line="240" w:lineRule="auto"/>
              <w:rPr>
                <w:sz w:val="22"/>
                <w:szCs w:val="22"/>
              </w:rPr>
            </w:pPr>
            <w:r w:rsidRPr="00720745">
              <w:rPr>
                <w:sz w:val="22"/>
                <w:szCs w:val="22"/>
              </w:rPr>
              <w:t xml:space="preserve">Ljubljana, dne </w:t>
            </w:r>
            <w:r w:rsidR="005B72C1">
              <w:rPr>
                <w:sz w:val="22"/>
                <w:szCs w:val="22"/>
              </w:rPr>
              <w:t>13</w:t>
            </w:r>
            <w:bookmarkStart w:id="0" w:name="_GoBack"/>
            <w:bookmarkEnd w:id="0"/>
            <w:r w:rsidR="00E6701A">
              <w:rPr>
                <w:sz w:val="22"/>
                <w:szCs w:val="22"/>
              </w:rPr>
              <w:t>. 9. 2017</w:t>
            </w:r>
          </w:p>
        </w:tc>
      </w:tr>
      <w:tr w:rsidR="004D434D" w:rsidRPr="00720745" w14:paraId="6F828917" w14:textId="77777777" w:rsidTr="004D434D">
        <w:trPr>
          <w:gridAfter w:val="2"/>
          <w:wAfter w:w="3005" w:type="dxa"/>
        </w:trPr>
        <w:tc>
          <w:tcPr>
            <w:tcW w:w="6209" w:type="dxa"/>
            <w:gridSpan w:val="2"/>
          </w:tcPr>
          <w:p w14:paraId="6C074F85" w14:textId="77777777" w:rsidR="004D434D" w:rsidRPr="00720745" w:rsidRDefault="004D434D" w:rsidP="00A0055E">
            <w:pPr>
              <w:pStyle w:val="Neotevilenodstavek"/>
              <w:spacing w:before="0" w:after="0" w:line="240" w:lineRule="auto"/>
              <w:jc w:val="left"/>
            </w:pPr>
            <w:r w:rsidRPr="00720745">
              <w:rPr>
                <w:iCs/>
              </w:rPr>
              <w:t>EVA /</w:t>
            </w:r>
          </w:p>
        </w:tc>
      </w:tr>
      <w:tr w:rsidR="004D434D" w:rsidRPr="00720745" w14:paraId="5B499E19" w14:textId="77777777" w:rsidTr="004D434D">
        <w:trPr>
          <w:gridAfter w:val="2"/>
          <w:wAfter w:w="3005" w:type="dxa"/>
        </w:trPr>
        <w:tc>
          <w:tcPr>
            <w:tcW w:w="6209" w:type="dxa"/>
            <w:gridSpan w:val="2"/>
          </w:tcPr>
          <w:p w14:paraId="7DD22738" w14:textId="77777777" w:rsidR="004D434D" w:rsidRPr="00720745" w:rsidRDefault="004D434D" w:rsidP="00A0055E">
            <w:pPr>
              <w:rPr>
                <w:rFonts w:ascii="Arial" w:hAnsi="Arial" w:cs="Arial"/>
                <w:lang w:val="sl-SI"/>
              </w:rPr>
            </w:pPr>
          </w:p>
          <w:p w14:paraId="023796E5" w14:textId="77777777" w:rsidR="004D434D" w:rsidRPr="00720745" w:rsidRDefault="004D434D" w:rsidP="00A0055E">
            <w:pPr>
              <w:rPr>
                <w:rFonts w:ascii="Arial" w:hAnsi="Arial" w:cs="Arial"/>
                <w:b/>
                <w:lang w:val="sl-SI"/>
              </w:rPr>
            </w:pPr>
            <w:r w:rsidRPr="00720745">
              <w:rPr>
                <w:rFonts w:ascii="Arial" w:hAnsi="Arial" w:cs="Arial"/>
                <w:b/>
                <w:lang w:val="sl-SI"/>
              </w:rPr>
              <w:t>GENERALNI SEKRETARIAT VLADE REPUBLIKE SLOVENIJE</w:t>
            </w:r>
          </w:p>
          <w:p w14:paraId="29A472EF" w14:textId="77777777" w:rsidR="004D434D" w:rsidRPr="00720745" w:rsidRDefault="004B79AC" w:rsidP="00A0055E">
            <w:pPr>
              <w:rPr>
                <w:rFonts w:ascii="Arial" w:hAnsi="Arial" w:cs="Arial"/>
                <w:b/>
                <w:lang w:val="sl-SI"/>
              </w:rPr>
            </w:pPr>
            <w:hyperlink r:id="rId9" w:history="1">
              <w:r w:rsidR="004D434D" w:rsidRPr="00720745">
                <w:rPr>
                  <w:rStyle w:val="Hiperpovezava"/>
                  <w:rFonts w:ascii="Arial" w:hAnsi="Arial" w:cs="Arial"/>
                  <w:b/>
                  <w:lang w:val="sl-SI"/>
                </w:rPr>
                <w:t>gp.gs@gov.si</w:t>
              </w:r>
            </w:hyperlink>
          </w:p>
          <w:p w14:paraId="24DA06F5" w14:textId="77777777" w:rsidR="004D434D" w:rsidRPr="00720745" w:rsidRDefault="004D434D" w:rsidP="00A0055E">
            <w:pPr>
              <w:rPr>
                <w:rFonts w:ascii="Arial" w:hAnsi="Arial" w:cs="Arial"/>
                <w:lang w:val="sl-SI"/>
              </w:rPr>
            </w:pPr>
          </w:p>
        </w:tc>
      </w:tr>
      <w:tr w:rsidR="004D434D" w:rsidRPr="00041997" w14:paraId="51961A3F" w14:textId="77777777" w:rsidTr="004D434D">
        <w:tc>
          <w:tcPr>
            <w:tcW w:w="9214" w:type="dxa"/>
            <w:gridSpan w:val="4"/>
          </w:tcPr>
          <w:p w14:paraId="32430EA8" w14:textId="63535B53" w:rsidR="004D434D" w:rsidRPr="00720745" w:rsidRDefault="004D434D" w:rsidP="00A0055E">
            <w:pPr>
              <w:pStyle w:val="Naslovpredpisa"/>
              <w:spacing w:before="0" w:after="0" w:line="240" w:lineRule="auto"/>
              <w:jc w:val="both"/>
            </w:pPr>
            <w:r w:rsidRPr="00720745">
              <w:t xml:space="preserve">ZADEVA: </w:t>
            </w:r>
            <w:r w:rsidR="00041997">
              <w:t xml:space="preserve">Sprememba </w:t>
            </w:r>
            <w:r w:rsidRPr="00720745">
              <w:t>Ključni</w:t>
            </w:r>
            <w:r w:rsidR="00041997">
              <w:t>h</w:t>
            </w:r>
            <w:r w:rsidRPr="00720745">
              <w:t xml:space="preserve"> element</w:t>
            </w:r>
            <w:r w:rsidR="00041997">
              <w:t>ov</w:t>
            </w:r>
            <w:r w:rsidRPr="00720745">
              <w:t xml:space="preserve"> finančnih instrumentov v programskem obdobju 2014 – 2020 – predlog za obravnavo</w:t>
            </w:r>
          </w:p>
        </w:tc>
      </w:tr>
      <w:tr w:rsidR="004D434D" w:rsidRPr="00720745" w14:paraId="01080CDD" w14:textId="77777777" w:rsidTr="004D434D">
        <w:tc>
          <w:tcPr>
            <w:tcW w:w="9214" w:type="dxa"/>
            <w:gridSpan w:val="4"/>
          </w:tcPr>
          <w:p w14:paraId="0679CD37" w14:textId="77777777" w:rsidR="004D434D" w:rsidRPr="00720745" w:rsidRDefault="004D434D" w:rsidP="00A0055E">
            <w:pPr>
              <w:pStyle w:val="Poglavje"/>
              <w:spacing w:before="0" w:after="0" w:line="240" w:lineRule="auto"/>
              <w:jc w:val="left"/>
            </w:pPr>
          </w:p>
          <w:p w14:paraId="09C260CB" w14:textId="77777777" w:rsidR="004D434D" w:rsidRPr="00720745" w:rsidRDefault="004D434D" w:rsidP="00A0055E">
            <w:pPr>
              <w:pStyle w:val="Poglavje"/>
              <w:spacing w:before="0" w:after="0" w:line="240" w:lineRule="auto"/>
              <w:jc w:val="left"/>
            </w:pPr>
            <w:r w:rsidRPr="00720745">
              <w:t>1. Predlog sklepov vlade:</w:t>
            </w:r>
          </w:p>
        </w:tc>
      </w:tr>
      <w:tr w:rsidR="004D434D" w:rsidRPr="00720745" w14:paraId="6094ED01" w14:textId="77777777" w:rsidTr="004D434D">
        <w:tc>
          <w:tcPr>
            <w:tcW w:w="9214" w:type="dxa"/>
            <w:gridSpan w:val="4"/>
          </w:tcPr>
          <w:p w14:paraId="674E14FC" w14:textId="77777777" w:rsidR="00197705" w:rsidRPr="00197705" w:rsidRDefault="00197705" w:rsidP="00197705">
            <w:pPr>
              <w:widowControl w:val="0"/>
              <w:suppressAutoHyphens/>
              <w:jc w:val="both"/>
              <w:rPr>
                <w:rFonts w:ascii="Arial" w:hAnsi="Arial" w:cs="Arial"/>
                <w:lang w:val="sl-SI" w:eastAsia="ar-SA"/>
              </w:rPr>
            </w:pPr>
            <w:r w:rsidRPr="00197705">
              <w:rPr>
                <w:rFonts w:ascii="Arial" w:hAnsi="Arial" w:cs="Arial"/>
                <w:sz w:val="22"/>
                <w:szCs w:val="22"/>
                <w:lang w:val="sl-SI" w:eastAsia="ar-SA"/>
              </w:rPr>
              <w:t>Na podlagi</w:t>
            </w:r>
            <w:r w:rsidRPr="00197705">
              <w:rPr>
                <w:rFonts w:ascii="Arial" w:hAnsi="Arial" w:cs="Arial"/>
                <w:sz w:val="22"/>
                <w:szCs w:val="22"/>
                <w:lang w:val="sl-SI"/>
              </w:rPr>
              <w:t xml:space="preserve"> </w:t>
            </w:r>
            <w:r w:rsidRPr="00197705">
              <w:rPr>
                <w:rFonts w:ascii="Arial" w:hAnsi="Arial" w:cs="Arial"/>
                <w:sz w:val="22"/>
                <w:szCs w:val="22"/>
                <w:lang w:val="sl-SI" w:eastAsia="ar-SA"/>
              </w:rPr>
              <w:t xml:space="preserve">šestega odstavka 21. člena Zakona o Vladi Republike Slovenije </w:t>
            </w:r>
            <w:r w:rsidRPr="00197705">
              <w:rPr>
                <w:rFonts w:ascii="Arial" w:hAnsi="Arial" w:cs="Arial"/>
                <w:sz w:val="22"/>
                <w:szCs w:val="22"/>
                <w:lang w:val="sl-SI" w:eastAsia="sl-SI"/>
              </w:rPr>
              <w:t xml:space="preserve">(Uradni list RS, št. 24/05 - uradno prečiščeno besedilo, 109/08, 55/09, 38/10 - ZKUN, 8/12, 21/13, 47/13 - ZDU-1G in 65/14), drugega odstavka </w:t>
            </w:r>
            <w:r w:rsidRPr="00197705">
              <w:rPr>
                <w:rFonts w:ascii="Arial" w:hAnsi="Arial" w:cs="Arial"/>
                <w:sz w:val="22"/>
                <w:szCs w:val="22"/>
                <w:lang w:val="sl-SI" w:eastAsia="ar-SA"/>
              </w:rPr>
              <w:t>17. člena Uredbe o postopku, merilih in načinih dodeljevanja sredstev za spodbujanje razvojnih programov in prednostnih nalog (Uradni list RS, št. 56/11) v zvezi z drugim odstavkom 106.j člena Zakona o javnih financah (Uradni list RS, št. 11/11 – uradno prečiščeno besedilo, 14/13 – popr., 101/13 in 55/15 – ZfisP in 96/15 ZIPRS1617) je Vlada Republike Slovenije na seji dne _____ pod točko ___ dnevnega reda sprejela naslednje sklepe:</w:t>
            </w:r>
          </w:p>
          <w:p w14:paraId="3988080D" w14:textId="77777777" w:rsidR="00197705" w:rsidRPr="00197705" w:rsidRDefault="00197705" w:rsidP="00197705">
            <w:pPr>
              <w:widowControl w:val="0"/>
              <w:suppressAutoHyphens/>
              <w:jc w:val="both"/>
              <w:rPr>
                <w:rFonts w:ascii="Arial" w:hAnsi="Arial" w:cs="Arial"/>
                <w:lang w:val="sl-SI" w:eastAsia="ar-SA"/>
              </w:rPr>
            </w:pPr>
          </w:p>
          <w:p w14:paraId="433DF494" w14:textId="32A9A1E8" w:rsidR="00415ECA" w:rsidRPr="00720745" w:rsidRDefault="00197705" w:rsidP="00197705">
            <w:pPr>
              <w:spacing w:after="200"/>
              <w:ind w:left="720"/>
              <w:jc w:val="both"/>
              <w:rPr>
                <w:rFonts w:ascii="Arial" w:hAnsi="Arial" w:cs="Arial"/>
                <w:lang w:val="sl-SI" w:eastAsia="ar-SA"/>
              </w:rPr>
            </w:pPr>
            <w:r w:rsidRPr="00197705">
              <w:rPr>
                <w:rFonts w:ascii="Arial" w:hAnsi="Arial" w:cs="Arial"/>
                <w:bCs/>
                <w:sz w:val="22"/>
                <w:szCs w:val="22"/>
                <w:lang w:val="sl-SI"/>
              </w:rPr>
              <w:t xml:space="preserve">Vlada Republike Slovenije daje soglasje k spremenjenim Ključnim elementom finančnih instrumentov v programskem obdobju 2014 </w:t>
            </w:r>
            <w:r w:rsidRPr="00197705">
              <w:rPr>
                <w:rFonts w:ascii="Arial" w:hAnsi="Arial" w:cs="Arial"/>
                <w:sz w:val="22"/>
                <w:szCs w:val="22"/>
                <w:lang w:val="sl-SI" w:eastAsia="ar-SA"/>
              </w:rPr>
              <w:t>– 2020</w:t>
            </w:r>
            <w:r w:rsidRPr="00197705">
              <w:t xml:space="preserve"> </w:t>
            </w:r>
            <w:r w:rsidRPr="00197705">
              <w:rPr>
                <w:rFonts w:ascii="Arial" w:hAnsi="Arial" w:cs="Arial"/>
                <w:bCs/>
                <w:sz w:val="22"/>
                <w:szCs w:val="22"/>
                <w:lang w:val="sl-SI"/>
              </w:rPr>
              <w:t>z dne 24. 8. 2017</w:t>
            </w:r>
            <w:r w:rsidRPr="00197705">
              <w:rPr>
                <w:rFonts w:ascii="Arial" w:hAnsi="Arial" w:cs="Arial"/>
                <w:sz w:val="22"/>
                <w:szCs w:val="22"/>
                <w:lang w:val="sl-SI" w:eastAsia="ar-SA"/>
              </w:rPr>
              <w:t>.</w:t>
            </w:r>
          </w:p>
          <w:p w14:paraId="3BBF0CDD" w14:textId="77777777" w:rsidR="00415ECA" w:rsidRPr="00720745" w:rsidRDefault="00415ECA" w:rsidP="00A0055E">
            <w:pPr>
              <w:jc w:val="both"/>
              <w:rPr>
                <w:rFonts w:ascii="Arial" w:hAnsi="Arial" w:cs="Arial"/>
                <w:lang w:val="sl-SI" w:eastAsia="ar-SA"/>
              </w:rPr>
            </w:pPr>
          </w:p>
          <w:p w14:paraId="4F5E2E03" w14:textId="77777777" w:rsidR="00415ECA" w:rsidRPr="00720745" w:rsidRDefault="00415ECA" w:rsidP="00A0055E">
            <w:pPr>
              <w:jc w:val="both"/>
              <w:rPr>
                <w:rFonts w:ascii="Arial" w:hAnsi="Arial" w:cs="Arial"/>
                <w:lang w:val="sl-SI" w:eastAsia="ar-SA"/>
              </w:rPr>
            </w:pPr>
          </w:p>
          <w:p w14:paraId="6B1811EA" w14:textId="77777777" w:rsidR="004D434D" w:rsidRPr="00720745" w:rsidRDefault="00F02541" w:rsidP="00415ECA">
            <w:pPr>
              <w:ind w:left="6372"/>
              <w:jc w:val="both"/>
              <w:rPr>
                <w:rFonts w:ascii="Arial" w:hAnsi="Arial" w:cs="Arial"/>
                <w:lang w:val="sl-SI" w:eastAsia="ar-SA"/>
              </w:rPr>
            </w:pPr>
            <w:r w:rsidRPr="00720745">
              <w:rPr>
                <w:rFonts w:ascii="Arial" w:hAnsi="Arial" w:cs="Arial"/>
                <w:sz w:val="22"/>
                <w:szCs w:val="22"/>
                <w:lang w:val="sl-SI" w:eastAsia="ar-SA"/>
              </w:rPr>
              <w:t>m</w:t>
            </w:r>
            <w:r w:rsidR="004D434D" w:rsidRPr="00720745">
              <w:rPr>
                <w:rFonts w:ascii="Arial" w:hAnsi="Arial" w:cs="Arial"/>
                <w:sz w:val="22"/>
                <w:szCs w:val="22"/>
                <w:lang w:val="sl-SI" w:eastAsia="ar-SA"/>
              </w:rPr>
              <w:t xml:space="preserve">ag. Lilijana Kozlovič    </w:t>
            </w:r>
          </w:p>
          <w:p w14:paraId="15741C45" w14:textId="77777777" w:rsidR="004D434D" w:rsidRPr="00720745" w:rsidRDefault="004D434D" w:rsidP="00A0055E">
            <w:pPr>
              <w:jc w:val="both"/>
              <w:rPr>
                <w:rFonts w:ascii="Arial" w:hAnsi="Arial" w:cs="Arial"/>
                <w:lang w:val="sl-SI" w:eastAsia="ar-SA"/>
              </w:rPr>
            </w:pPr>
            <w:r w:rsidRPr="00720745">
              <w:rPr>
                <w:rFonts w:ascii="Arial" w:hAnsi="Arial" w:cs="Arial"/>
                <w:sz w:val="22"/>
                <w:szCs w:val="22"/>
                <w:lang w:val="sl-SI" w:eastAsia="ar-SA"/>
              </w:rPr>
              <w:t xml:space="preserve">                                                                                              GENERALNA SEKRETARKA</w:t>
            </w:r>
          </w:p>
          <w:p w14:paraId="226D4A07" w14:textId="77777777" w:rsidR="004B058F" w:rsidRPr="00720745" w:rsidRDefault="004B058F" w:rsidP="00A0055E">
            <w:pPr>
              <w:pStyle w:val="Naslovpredpisa"/>
              <w:spacing w:before="0" w:after="0" w:line="240" w:lineRule="auto"/>
              <w:jc w:val="both"/>
              <w:rPr>
                <w:b w:val="0"/>
                <w:lang w:eastAsia="en-US"/>
              </w:rPr>
            </w:pPr>
          </w:p>
          <w:p w14:paraId="2449F49D" w14:textId="77777777" w:rsidR="00092F77" w:rsidRDefault="00092F77" w:rsidP="00A0055E">
            <w:pPr>
              <w:pStyle w:val="Naslovpredpisa"/>
              <w:spacing w:before="0" w:after="0" w:line="240" w:lineRule="auto"/>
              <w:jc w:val="both"/>
              <w:rPr>
                <w:b w:val="0"/>
                <w:lang w:eastAsia="en-US"/>
              </w:rPr>
            </w:pPr>
            <w:r>
              <w:rPr>
                <w:b w:val="0"/>
                <w:lang w:eastAsia="en-US"/>
              </w:rPr>
              <w:t>Priloge:</w:t>
            </w:r>
          </w:p>
          <w:p w14:paraId="73E95327" w14:textId="4A0DAA8F" w:rsidR="00092F77" w:rsidRDefault="00092F77" w:rsidP="00092F77">
            <w:pPr>
              <w:pStyle w:val="Naslovpredpisa"/>
              <w:numPr>
                <w:ilvl w:val="0"/>
                <w:numId w:val="46"/>
              </w:numPr>
              <w:spacing w:before="0" w:after="0" w:line="240" w:lineRule="auto"/>
              <w:jc w:val="both"/>
              <w:rPr>
                <w:b w:val="0"/>
                <w:lang w:eastAsia="en-US"/>
              </w:rPr>
            </w:pPr>
            <w:r>
              <w:rPr>
                <w:b w:val="0"/>
                <w:lang w:eastAsia="en-US"/>
              </w:rPr>
              <w:t xml:space="preserve">Ključni elementi finančnih instrumentov </w:t>
            </w:r>
            <w:r w:rsidRPr="00092F77">
              <w:rPr>
                <w:b w:val="0"/>
                <w:lang w:eastAsia="en-US"/>
              </w:rPr>
              <w:t>v programskem obdobju 2014 – 2020</w:t>
            </w:r>
            <w:r>
              <w:rPr>
                <w:b w:val="0"/>
                <w:lang w:eastAsia="en-US"/>
              </w:rPr>
              <w:t xml:space="preserve"> z dne 2</w:t>
            </w:r>
            <w:r w:rsidR="00B4175B">
              <w:rPr>
                <w:b w:val="0"/>
                <w:lang w:eastAsia="en-US"/>
              </w:rPr>
              <w:t>4.8.2017</w:t>
            </w:r>
            <w:r>
              <w:rPr>
                <w:b w:val="0"/>
                <w:lang w:eastAsia="en-US"/>
              </w:rPr>
              <w:t xml:space="preserve"> </w:t>
            </w:r>
          </w:p>
          <w:p w14:paraId="6BF8CE3A" w14:textId="77777777" w:rsidR="00092F77" w:rsidRDefault="00092F77" w:rsidP="00A0055E">
            <w:pPr>
              <w:pStyle w:val="Naslovpredpisa"/>
              <w:spacing w:before="0" w:after="0" w:line="240" w:lineRule="auto"/>
              <w:jc w:val="both"/>
              <w:rPr>
                <w:b w:val="0"/>
                <w:lang w:eastAsia="en-US"/>
              </w:rPr>
            </w:pPr>
          </w:p>
          <w:p w14:paraId="55BDA28B" w14:textId="77777777" w:rsidR="004D434D" w:rsidRPr="00720745" w:rsidRDefault="004D434D" w:rsidP="00A0055E">
            <w:pPr>
              <w:pStyle w:val="Naslovpredpisa"/>
              <w:spacing w:before="0" w:after="0" w:line="240" w:lineRule="auto"/>
              <w:jc w:val="both"/>
              <w:rPr>
                <w:b w:val="0"/>
                <w:lang w:eastAsia="en-US"/>
              </w:rPr>
            </w:pPr>
            <w:r w:rsidRPr="00720745">
              <w:rPr>
                <w:b w:val="0"/>
                <w:lang w:eastAsia="en-US"/>
              </w:rPr>
              <w:t>Sklep prejmejo:</w:t>
            </w:r>
          </w:p>
          <w:p w14:paraId="67118A95" w14:textId="77777777" w:rsidR="004D434D" w:rsidRPr="00720745" w:rsidRDefault="004D434D" w:rsidP="009D7059">
            <w:pPr>
              <w:numPr>
                <w:ilvl w:val="0"/>
                <w:numId w:val="45"/>
              </w:numPr>
              <w:jc w:val="both"/>
              <w:rPr>
                <w:rFonts w:ascii="Arial" w:hAnsi="Arial" w:cs="Arial"/>
                <w:lang w:val="sl-SI"/>
              </w:rPr>
            </w:pPr>
            <w:r w:rsidRPr="00720745">
              <w:rPr>
                <w:rFonts w:ascii="Arial" w:hAnsi="Arial" w:cs="Arial"/>
                <w:sz w:val="22"/>
                <w:szCs w:val="22"/>
                <w:lang w:val="sl-SI"/>
              </w:rPr>
              <w:t xml:space="preserve">Ministrstvo za gospodarski razvoj in tehnologijo  </w:t>
            </w:r>
          </w:p>
          <w:p w14:paraId="26FE5909" w14:textId="77777777" w:rsidR="004D434D" w:rsidRPr="00720745" w:rsidRDefault="004D434D" w:rsidP="009D7059">
            <w:pPr>
              <w:numPr>
                <w:ilvl w:val="0"/>
                <w:numId w:val="45"/>
              </w:numPr>
              <w:jc w:val="both"/>
              <w:rPr>
                <w:rFonts w:ascii="Arial" w:hAnsi="Arial" w:cs="Arial"/>
                <w:lang w:val="sl-SI"/>
              </w:rPr>
            </w:pPr>
            <w:bookmarkStart w:id="1" w:name="_Hlk491371824"/>
            <w:r w:rsidRPr="00720745">
              <w:rPr>
                <w:rFonts w:ascii="Arial" w:hAnsi="Arial" w:cs="Arial"/>
                <w:sz w:val="22"/>
                <w:szCs w:val="22"/>
                <w:lang w:val="sl-SI"/>
              </w:rPr>
              <w:t xml:space="preserve">Služba Vlade </w:t>
            </w:r>
            <w:r w:rsidR="00615C9D" w:rsidRPr="00720745">
              <w:rPr>
                <w:rFonts w:ascii="Arial" w:hAnsi="Arial" w:cs="Arial"/>
                <w:sz w:val="22"/>
                <w:szCs w:val="22"/>
                <w:lang w:val="sl-SI"/>
              </w:rPr>
              <w:t>RS</w:t>
            </w:r>
            <w:r w:rsidRPr="00720745">
              <w:rPr>
                <w:rFonts w:ascii="Arial" w:hAnsi="Arial" w:cs="Arial"/>
                <w:sz w:val="22"/>
                <w:szCs w:val="22"/>
                <w:lang w:val="sl-SI"/>
              </w:rPr>
              <w:t xml:space="preserve"> za razvoj in evropsko kohezijsko politiko</w:t>
            </w:r>
          </w:p>
          <w:bookmarkEnd w:id="1"/>
          <w:p w14:paraId="06AA7F1F" w14:textId="77777777" w:rsidR="004D434D" w:rsidRPr="00720745" w:rsidRDefault="004D434D" w:rsidP="009D7059">
            <w:pPr>
              <w:numPr>
                <w:ilvl w:val="0"/>
                <w:numId w:val="45"/>
              </w:numPr>
              <w:jc w:val="both"/>
              <w:rPr>
                <w:rFonts w:ascii="Arial" w:hAnsi="Arial" w:cs="Arial"/>
                <w:lang w:val="sl-SI"/>
              </w:rPr>
            </w:pPr>
            <w:r w:rsidRPr="00720745">
              <w:rPr>
                <w:rFonts w:ascii="Arial" w:hAnsi="Arial" w:cs="Arial"/>
                <w:sz w:val="22"/>
                <w:szCs w:val="22"/>
                <w:lang w:val="sl-SI"/>
              </w:rPr>
              <w:t xml:space="preserve">Ministrstvo za infrastrukturo </w:t>
            </w:r>
          </w:p>
          <w:p w14:paraId="55DB7B5D" w14:textId="77777777" w:rsidR="004D434D" w:rsidRPr="00720745" w:rsidRDefault="004D434D" w:rsidP="009D7059">
            <w:pPr>
              <w:numPr>
                <w:ilvl w:val="0"/>
                <w:numId w:val="45"/>
              </w:numPr>
              <w:jc w:val="both"/>
              <w:rPr>
                <w:rFonts w:ascii="Arial" w:hAnsi="Arial" w:cs="Arial"/>
                <w:lang w:val="sl-SI"/>
              </w:rPr>
            </w:pPr>
            <w:r w:rsidRPr="00720745">
              <w:rPr>
                <w:rFonts w:ascii="Arial" w:hAnsi="Arial" w:cs="Arial"/>
                <w:sz w:val="22"/>
                <w:szCs w:val="22"/>
                <w:lang w:val="sl-SI"/>
              </w:rPr>
              <w:lastRenderedPageBreak/>
              <w:t xml:space="preserve">Ministrstvo za okolje in prostor </w:t>
            </w:r>
          </w:p>
          <w:p w14:paraId="601873FA" w14:textId="77777777" w:rsidR="004D434D" w:rsidRPr="00720745" w:rsidRDefault="004D434D" w:rsidP="009D7059">
            <w:pPr>
              <w:numPr>
                <w:ilvl w:val="0"/>
                <w:numId w:val="45"/>
              </w:numPr>
              <w:jc w:val="both"/>
              <w:rPr>
                <w:rFonts w:ascii="Arial" w:hAnsi="Arial" w:cs="Arial"/>
                <w:lang w:val="sl-SI"/>
              </w:rPr>
            </w:pPr>
            <w:r w:rsidRPr="00720745">
              <w:rPr>
                <w:rFonts w:ascii="Arial" w:hAnsi="Arial" w:cs="Arial"/>
                <w:sz w:val="22"/>
                <w:szCs w:val="22"/>
                <w:lang w:val="sl-SI"/>
              </w:rPr>
              <w:t>Ministrstvo za finance</w:t>
            </w:r>
          </w:p>
          <w:p w14:paraId="446BBD47" w14:textId="77777777" w:rsidR="004D434D" w:rsidRPr="00A75F76" w:rsidRDefault="004D434D">
            <w:pPr>
              <w:numPr>
                <w:ilvl w:val="0"/>
                <w:numId w:val="45"/>
              </w:numPr>
              <w:jc w:val="both"/>
              <w:rPr>
                <w:rFonts w:ascii="Arial" w:hAnsi="Arial" w:cs="Arial"/>
                <w:lang w:val="sl-SI"/>
              </w:rPr>
            </w:pPr>
            <w:r w:rsidRPr="00A75F76">
              <w:rPr>
                <w:rFonts w:ascii="Arial" w:hAnsi="Arial" w:cs="Arial"/>
                <w:sz w:val="22"/>
                <w:szCs w:val="22"/>
                <w:lang w:val="sl-SI"/>
              </w:rPr>
              <w:t>Služba Vlade RS za zakonodajo</w:t>
            </w:r>
          </w:p>
          <w:p w14:paraId="74492A27" w14:textId="77777777" w:rsidR="004D434D" w:rsidRPr="00720745" w:rsidRDefault="004D434D" w:rsidP="009D7059">
            <w:pPr>
              <w:numPr>
                <w:ilvl w:val="0"/>
                <w:numId w:val="45"/>
              </w:numPr>
              <w:jc w:val="both"/>
              <w:rPr>
                <w:rFonts w:ascii="Arial" w:hAnsi="Arial" w:cs="Arial"/>
                <w:lang w:val="sl-SI"/>
              </w:rPr>
            </w:pPr>
            <w:r w:rsidRPr="00720745">
              <w:rPr>
                <w:rFonts w:ascii="Arial" w:hAnsi="Arial" w:cs="Arial"/>
                <w:sz w:val="22"/>
                <w:szCs w:val="22"/>
                <w:lang w:val="sl-SI"/>
              </w:rPr>
              <w:t>Urad Vlade RS za komuniciranje.</w:t>
            </w:r>
          </w:p>
          <w:p w14:paraId="35E30072" w14:textId="77777777" w:rsidR="004D434D" w:rsidRPr="00720745" w:rsidRDefault="00615C9D" w:rsidP="009D7059">
            <w:pPr>
              <w:numPr>
                <w:ilvl w:val="0"/>
                <w:numId w:val="45"/>
              </w:numPr>
              <w:jc w:val="both"/>
              <w:rPr>
                <w:rFonts w:ascii="Arial" w:hAnsi="Arial" w:cs="Arial"/>
                <w:lang w:val="sl-SI"/>
              </w:rPr>
            </w:pPr>
            <w:r w:rsidRPr="00720745">
              <w:rPr>
                <w:rFonts w:ascii="Arial" w:hAnsi="Arial" w:cs="Arial"/>
                <w:sz w:val="22"/>
                <w:szCs w:val="22"/>
                <w:lang w:val="sl-SI"/>
              </w:rPr>
              <w:t>Združenje mestnih občin Slovenije.</w:t>
            </w:r>
          </w:p>
        </w:tc>
      </w:tr>
      <w:tr w:rsidR="004D434D" w:rsidRPr="00720745" w14:paraId="79A5FB30" w14:textId="77777777" w:rsidTr="004D434D">
        <w:tc>
          <w:tcPr>
            <w:tcW w:w="9214" w:type="dxa"/>
            <w:gridSpan w:val="4"/>
          </w:tcPr>
          <w:p w14:paraId="4C55262A" w14:textId="77777777" w:rsidR="004D434D" w:rsidRPr="00720745" w:rsidRDefault="004D434D" w:rsidP="00A0055E">
            <w:pPr>
              <w:pStyle w:val="Neotevilenodstavek"/>
              <w:spacing w:before="0" w:after="0" w:line="240" w:lineRule="auto"/>
              <w:rPr>
                <w:b/>
                <w:iCs/>
              </w:rPr>
            </w:pPr>
            <w:r w:rsidRPr="00720745">
              <w:rPr>
                <w:b/>
              </w:rPr>
              <w:lastRenderedPageBreak/>
              <w:t>2. Predlog za obravnavo predloga zakona po nujnem ali skrajšanem postopku v državnem zboru z obrazložitvijo razlogov:</w:t>
            </w:r>
          </w:p>
        </w:tc>
      </w:tr>
      <w:tr w:rsidR="004D434D" w:rsidRPr="00720745" w14:paraId="3FF58CD8" w14:textId="77777777" w:rsidTr="004D434D">
        <w:tc>
          <w:tcPr>
            <w:tcW w:w="9214" w:type="dxa"/>
            <w:gridSpan w:val="4"/>
          </w:tcPr>
          <w:p w14:paraId="6FA249C9" w14:textId="77777777" w:rsidR="004D434D" w:rsidRPr="00720745" w:rsidRDefault="004D434D" w:rsidP="00A0055E">
            <w:pPr>
              <w:pStyle w:val="Neotevilenodstavek"/>
              <w:spacing w:before="0" w:after="0" w:line="240" w:lineRule="auto"/>
              <w:rPr>
                <w:iCs/>
              </w:rPr>
            </w:pPr>
            <w:r w:rsidRPr="00720745">
              <w:rPr>
                <w:iCs/>
              </w:rPr>
              <w:t>/</w:t>
            </w:r>
          </w:p>
        </w:tc>
      </w:tr>
      <w:tr w:rsidR="004D434D" w:rsidRPr="00720745" w14:paraId="25A9649D" w14:textId="77777777" w:rsidTr="004D434D">
        <w:tc>
          <w:tcPr>
            <w:tcW w:w="9214" w:type="dxa"/>
            <w:gridSpan w:val="4"/>
          </w:tcPr>
          <w:p w14:paraId="4A2918CE" w14:textId="77777777" w:rsidR="004D434D" w:rsidRPr="00720745" w:rsidRDefault="004D434D" w:rsidP="00A0055E">
            <w:pPr>
              <w:pStyle w:val="Neotevilenodstavek"/>
              <w:spacing w:before="0" w:after="0" w:line="240" w:lineRule="auto"/>
              <w:rPr>
                <w:b/>
                <w:iCs/>
              </w:rPr>
            </w:pPr>
            <w:r w:rsidRPr="00720745">
              <w:rPr>
                <w:b/>
              </w:rPr>
              <w:t>3.a Osebe, odgovorne za strokovno pripravo in usklajenost gradiva:</w:t>
            </w:r>
          </w:p>
        </w:tc>
      </w:tr>
      <w:tr w:rsidR="004D434D" w:rsidRPr="002D15D8" w14:paraId="11400DFB" w14:textId="77777777" w:rsidTr="004D434D">
        <w:tc>
          <w:tcPr>
            <w:tcW w:w="9214" w:type="dxa"/>
            <w:gridSpan w:val="4"/>
          </w:tcPr>
          <w:p w14:paraId="6E85A357" w14:textId="77777777" w:rsidR="004D434D" w:rsidRPr="00720745" w:rsidRDefault="004C6BDE" w:rsidP="009209F8">
            <w:pPr>
              <w:pStyle w:val="Neotevilenodstavek"/>
              <w:numPr>
                <w:ilvl w:val="0"/>
                <w:numId w:val="27"/>
              </w:numPr>
              <w:spacing w:before="0" w:after="0" w:line="240" w:lineRule="auto"/>
              <w:rPr>
                <w:iCs/>
                <w:color w:val="000000"/>
              </w:rPr>
            </w:pPr>
            <w:r w:rsidRPr="00720745">
              <w:rPr>
                <w:iCs/>
                <w:color w:val="000000"/>
              </w:rPr>
              <w:t>m</w:t>
            </w:r>
            <w:r w:rsidR="00142290" w:rsidRPr="00720745">
              <w:rPr>
                <w:iCs/>
                <w:color w:val="000000"/>
              </w:rPr>
              <w:t xml:space="preserve">ag. </w:t>
            </w:r>
            <w:r w:rsidR="004D434D" w:rsidRPr="00720745">
              <w:rPr>
                <w:iCs/>
                <w:color w:val="000000"/>
              </w:rPr>
              <w:t>Aleš Cantarutti, državni sekretar, Ministrstvo za gospodarski razvoj in tehnologijo</w:t>
            </w:r>
          </w:p>
          <w:p w14:paraId="17D82550" w14:textId="77777777" w:rsidR="008A4489" w:rsidRPr="00720745" w:rsidRDefault="009E27DB" w:rsidP="009209F8">
            <w:pPr>
              <w:pStyle w:val="Neotevilenodstavek"/>
              <w:numPr>
                <w:ilvl w:val="0"/>
                <w:numId w:val="27"/>
              </w:numPr>
              <w:spacing w:before="0" w:after="0" w:line="240" w:lineRule="auto"/>
              <w:rPr>
                <w:iCs/>
                <w:color w:val="000000"/>
              </w:rPr>
            </w:pPr>
            <w:r w:rsidRPr="00720745">
              <w:rPr>
                <w:iCs/>
                <w:color w:val="000000"/>
              </w:rPr>
              <w:t xml:space="preserve">mag. </w:t>
            </w:r>
            <w:r w:rsidR="004D434D" w:rsidRPr="00720745">
              <w:rPr>
                <w:iCs/>
                <w:color w:val="000000"/>
              </w:rPr>
              <w:t>Kar</w:t>
            </w:r>
            <w:r w:rsidR="00142290" w:rsidRPr="00720745">
              <w:rPr>
                <w:iCs/>
                <w:color w:val="000000"/>
              </w:rPr>
              <w:t>i</w:t>
            </w:r>
            <w:r w:rsidR="004D434D" w:rsidRPr="00720745">
              <w:rPr>
                <w:iCs/>
                <w:color w:val="000000"/>
              </w:rPr>
              <w:t>n Žvokelj Jazbinšek, Ministrstvo za gospodarski razvoj in tehnologijo</w:t>
            </w:r>
          </w:p>
          <w:p w14:paraId="33F23E6F" w14:textId="77777777" w:rsidR="00D3283B" w:rsidRDefault="007E147E" w:rsidP="009209F8">
            <w:pPr>
              <w:pStyle w:val="Neotevilenodstavek"/>
              <w:numPr>
                <w:ilvl w:val="0"/>
                <w:numId w:val="27"/>
              </w:numPr>
              <w:spacing w:before="0" w:after="0" w:line="240" w:lineRule="auto"/>
              <w:rPr>
                <w:iCs/>
                <w:color w:val="000000"/>
              </w:rPr>
            </w:pPr>
            <w:r w:rsidRPr="00720745">
              <w:rPr>
                <w:iCs/>
                <w:color w:val="000000"/>
              </w:rPr>
              <w:t xml:space="preserve">mag. </w:t>
            </w:r>
            <w:r w:rsidR="00D3283B" w:rsidRPr="00720745">
              <w:rPr>
                <w:iCs/>
                <w:color w:val="000000"/>
              </w:rPr>
              <w:t>Simona Hočevar, Služba Vlade RS za razvoj in evropsko kohezijsko politiko</w:t>
            </w:r>
          </w:p>
          <w:p w14:paraId="02BFC047" w14:textId="397FCD80" w:rsidR="00DD7B91" w:rsidRPr="00720745" w:rsidRDefault="00DD7B91" w:rsidP="009209F8">
            <w:pPr>
              <w:pStyle w:val="Neotevilenodstavek"/>
              <w:numPr>
                <w:ilvl w:val="0"/>
                <w:numId w:val="27"/>
              </w:numPr>
              <w:spacing w:before="0" w:after="0" w:line="240" w:lineRule="auto"/>
              <w:rPr>
                <w:iCs/>
                <w:color w:val="000000"/>
              </w:rPr>
            </w:pPr>
            <w:r>
              <w:rPr>
                <w:iCs/>
                <w:color w:val="000000"/>
              </w:rPr>
              <w:t xml:space="preserve">mag. Alenka Marovt, </w:t>
            </w:r>
            <w:r w:rsidRPr="00720745">
              <w:rPr>
                <w:iCs/>
                <w:color w:val="000000"/>
              </w:rPr>
              <w:t>Ministrstvo za gospodarski razvoj in tehnologijo</w:t>
            </w:r>
          </w:p>
        </w:tc>
      </w:tr>
      <w:tr w:rsidR="004D434D" w:rsidRPr="002D15D8" w14:paraId="7DB48F9B" w14:textId="77777777" w:rsidTr="004D434D">
        <w:tc>
          <w:tcPr>
            <w:tcW w:w="9214" w:type="dxa"/>
            <w:gridSpan w:val="4"/>
          </w:tcPr>
          <w:p w14:paraId="616513C6" w14:textId="77777777" w:rsidR="004D434D" w:rsidRPr="00720745" w:rsidRDefault="004D434D" w:rsidP="00A0055E">
            <w:pPr>
              <w:pStyle w:val="Neotevilenodstavek"/>
              <w:spacing w:before="0" w:after="0" w:line="240" w:lineRule="auto"/>
              <w:rPr>
                <w:b/>
                <w:iCs/>
              </w:rPr>
            </w:pPr>
            <w:r w:rsidRPr="00720745">
              <w:rPr>
                <w:b/>
                <w:iCs/>
              </w:rPr>
              <w:t xml:space="preserve">3.b Zunanji strokovnjaki, ki so </w:t>
            </w:r>
            <w:r w:rsidRPr="00720745">
              <w:rPr>
                <w:b/>
              </w:rPr>
              <w:t>sodelovali pri pripravi dela ali celotnega gradiva:</w:t>
            </w:r>
          </w:p>
        </w:tc>
      </w:tr>
      <w:tr w:rsidR="004D434D" w:rsidRPr="00720745" w14:paraId="0AACBBC9" w14:textId="77777777" w:rsidTr="004D434D">
        <w:tc>
          <w:tcPr>
            <w:tcW w:w="9214" w:type="dxa"/>
            <w:gridSpan w:val="4"/>
          </w:tcPr>
          <w:p w14:paraId="12F6371B" w14:textId="77777777" w:rsidR="004D434D" w:rsidRPr="00720745" w:rsidRDefault="004D434D" w:rsidP="00A0055E">
            <w:pPr>
              <w:pStyle w:val="Neotevilenodstavek"/>
              <w:spacing w:before="0" w:after="0" w:line="240" w:lineRule="auto"/>
              <w:rPr>
                <w:iCs/>
              </w:rPr>
            </w:pPr>
            <w:r w:rsidRPr="00720745">
              <w:rPr>
                <w:iCs/>
              </w:rPr>
              <w:t>/</w:t>
            </w:r>
          </w:p>
        </w:tc>
      </w:tr>
      <w:tr w:rsidR="004D434D" w:rsidRPr="00720745" w14:paraId="43F1FB01" w14:textId="77777777" w:rsidTr="004D434D">
        <w:tc>
          <w:tcPr>
            <w:tcW w:w="9214" w:type="dxa"/>
            <w:gridSpan w:val="4"/>
          </w:tcPr>
          <w:p w14:paraId="1FACD19B" w14:textId="77777777" w:rsidR="004D434D" w:rsidRPr="00720745" w:rsidRDefault="004D434D" w:rsidP="00A0055E">
            <w:pPr>
              <w:pStyle w:val="Neotevilenodstavek"/>
              <w:spacing w:before="0" w:after="0" w:line="240" w:lineRule="auto"/>
              <w:rPr>
                <w:b/>
                <w:iCs/>
              </w:rPr>
            </w:pPr>
            <w:r w:rsidRPr="00720745">
              <w:rPr>
                <w:b/>
              </w:rPr>
              <w:t>4. Predstavniki vlade, ki bodo sodelovali pri delu državnega zbora:</w:t>
            </w:r>
          </w:p>
        </w:tc>
      </w:tr>
      <w:tr w:rsidR="004D434D" w:rsidRPr="00720745" w14:paraId="207C96AD" w14:textId="77777777" w:rsidTr="004D434D">
        <w:tc>
          <w:tcPr>
            <w:tcW w:w="9214" w:type="dxa"/>
            <w:gridSpan w:val="4"/>
          </w:tcPr>
          <w:p w14:paraId="35372B15" w14:textId="77777777" w:rsidR="004D434D" w:rsidRPr="00720745" w:rsidRDefault="004D434D" w:rsidP="00A0055E">
            <w:pPr>
              <w:pStyle w:val="Neotevilenodstavek"/>
              <w:spacing w:before="0" w:after="0" w:line="240" w:lineRule="auto"/>
              <w:rPr>
                <w:b/>
              </w:rPr>
            </w:pPr>
            <w:r w:rsidRPr="00720745">
              <w:rPr>
                <w:iCs/>
              </w:rPr>
              <w:t>/</w:t>
            </w:r>
          </w:p>
        </w:tc>
      </w:tr>
      <w:tr w:rsidR="004D434D" w:rsidRPr="00720745" w14:paraId="1F988C77" w14:textId="77777777" w:rsidTr="004D434D">
        <w:tc>
          <w:tcPr>
            <w:tcW w:w="9214" w:type="dxa"/>
            <w:gridSpan w:val="4"/>
          </w:tcPr>
          <w:p w14:paraId="66AD40B7" w14:textId="77777777" w:rsidR="004D434D" w:rsidRPr="00720745" w:rsidRDefault="004D434D" w:rsidP="00A0055E">
            <w:pPr>
              <w:pStyle w:val="Oddelek"/>
              <w:numPr>
                <w:ilvl w:val="0"/>
                <w:numId w:val="0"/>
              </w:numPr>
              <w:spacing w:before="0" w:after="0" w:line="240" w:lineRule="auto"/>
              <w:jc w:val="left"/>
              <w:rPr>
                <w:rFonts w:cs="Arial"/>
              </w:rPr>
            </w:pPr>
            <w:r w:rsidRPr="00720745">
              <w:rPr>
                <w:rFonts w:cs="Arial"/>
              </w:rPr>
              <w:t>5. Kratek povzetek gradiva:</w:t>
            </w:r>
          </w:p>
        </w:tc>
      </w:tr>
      <w:tr w:rsidR="004D434D" w:rsidRPr="002D15D8" w14:paraId="391F9BD4" w14:textId="77777777" w:rsidTr="004D434D">
        <w:tc>
          <w:tcPr>
            <w:tcW w:w="9214" w:type="dxa"/>
            <w:gridSpan w:val="4"/>
          </w:tcPr>
          <w:p w14:paraId="379ACE64" w14:textId="0F962391" w:rsidR="003E6357" w:rsidRDefault="00926ADF" w:rsidP="003E6357">
            <w:pPr>
              <w:jc w:val="both"/>
              <w:rPr>
                <w:rFonts w:ascii="Arial" w:hAnsi="Arial" w:cs="Arial"/>
                <w:sz w:val="22"/>
                <w:szCs w:val="22"/>
                <w:lang w:val="sl-SI"/>
              </w:rPr>
            </w:pPr>
            <w:r>
              <w:rPr>
                <w:rFonts w:ascii="Arial" w:hAnsi="Arial" w:cs="Arial"/>
                <w:sz w:val="22"/>
                <w:szCs w:val="22"/>
                <w:lang w:val="sl-SI"/>
              </w:rPr>
              <w:t xml:space="preserve">Ključni elementi finančnih </w:t>
            </w:r>
            <w:r w:rsidRPr="00720745">
              <w:rPr>
                <w:rFonts w:ascii="Arial" w:hAnsi="Arial" w:cs="Arial"/>
                <w:sz w:val="22"/>
                <w:szCs w:val="22"/>
                <w:lang w:val="sl-SI"/>
              </w:rPr>
              <w:t>instrumentov v programskem obdobju 2014 – 2020</w:t>
            </w:r>
            <w:r w:rsidR="00B4175B">
              <w:rPr>
                <w:rFonts w:ascii="Arial" w:hAnsi="Arial" w:cs="Arial"/>
                <w:sz w:val="22"/>
                <w:szCs w:val="22"/>
                <w:lang w:val="sl-SI"/>
              </w:rPr>
              <w:t xml:space="preserve"> z dne 12.6.2017</w:t>
            </w:r>
            <w:r w:rsidR="007D7DBF">
              <w:rPr>
                <w:rFonts w:ascii="Arial" w:hAnsi="Arial" w:cs="Arial"/>
                <w:sz w:val="22"/>
                <w:szCs w:val="22"/>
                <w:lang w:val="sl-SI"/>
              </w:rPr>
              <w:t xml:space="preserve">, </w:t>
            </w:r>
            <w:r>
              <w:rPr>
                <w:rFonts w:ascii="Arial" w:hAnsi="Arial" w:cs="Arial"/>
                <w:sz w:val="22"/>
                <w:szCs w:val="22"/>
                <w:lang w:val="sl-SI"/>
              </w:rPr>
              <w:t xml:space="preserve">h katerim je Vlada Republike Slovenije </w:t>
            </w:r>
            <w:r w:rsidR="003E6357">
              <w:rPr>
                <w:rFonts w:ascii="Arial" w:hAnsi="Arial" w:cs="Arial"/>
                <w:sz w:val="22"/>
                <w:szCs w:val="22"/>
                <w:lang w:val="sl-SI"/>
              </w:rPr>
              <w:t xml:space="preserve">dala soglasje </w:t>
            </w:r>
            <w:r>
              <w:rPr>
                <w:rFonts w:ascii="Arial" w:hAnsi="Arial" w:cs="Arial"/>
                <w:sz w:val="22"/>
                <w:szCs w:val="22"/>
                <w:lang w:val="sl-SI"/>
              </w:rPr>
              <w:t xml:space="preserve">s sklepom št. </w:t>
            </w:r>
            <w:r w:rsidR="00092F77" w:rsidRPr="00092F77">
              <w:rPr>
                <w:rFonts w:ascii="Arial" w:hAnsi="Arial" w:cs="Arial"/>
                <w:sz w:val="22"/>
                <w:szCs w:val="22"/>
                <w:lang w:val="sl-SI"/>
              </w:rPr>
              <w:t>30300-4/2017/4</w:t>
            </w:r>
            <w:r>
              <w:rPr>
                <w:rFonts w:ascii="Arial" w:hAnsi="Arial" w:cs="Arial"/>
                <w:sz w:val="22"/>
                <w:szCs w:val="22"/>
                <w:lang w:val="sl-SI"/>
              </w:rPr>
              <w:t xml:space="preserve"> </w:t>
            </w:r>
            <w:r w:rsidR="00092F77">
              <w:rPr>
                <w:rFonts w:ascii="Arial" w:hAnsi="Arial" w:cs="Arial"/>
                <w:sz w:val="22"/>
                <w:szCs w:val="22"/>
                <w:lang w:val="sl-SI"/>
              </w:rPr>
              <w:t xml:space="preserve"> </w:t>
            </w:r>
            <w:r>
              <w:rPr>
                <w:rFonts w:ascii="Arial" w:hAnsi="Arial" w:cs="Arial"/>
                <w:sz w:val="22"/>
                <w:szCs w:val="22"/>
                <w:lang w:val="sl-SI"/>
              </w:rPr>
              <w:t xml:space="preserve">dne </w:t>
            </w:r>
            <w:r w:rsidR="00092F77">
              <w:rPr>
                <w:rFonts w:ascii="Arial" w:hAnsi="Arial" w:cs="Arial"/>
                <w:sz w:val="22"/>
                <w:szCs w:val="22"/>
                <w:lang w:val="sl-SI"/>
              </w:rPr>
              <w:t>15.6.2017</w:t>
            </w:r>
            <w:r w:rsidR="007D7DBF">
              <w:rPr>
                <w:rFonts w:ascii="Arial" w:hAnsi="Arial" w:cs="Arial"/>
                <w:sz w:val="22"/>
                <w:szCs w:val="22"/>
                <w:lang w:val="sl-SI"/>
              </w:rPr>
              <w:t>,</w:t>
            </w:r>
            <w:r>
              <w:rPr>
                <w:rFonts w:ascii="Arial" w:hAnsi="Arial" w:cs="Arial"/>
                <w:sz w:val="22"/>
                <w:szCs w:val="22"/>
                <w:lang w:val="sl-SI"/>
              </w:rPr>
              <w:t xml:space="preserve"> se spreminjaj</w:t>
            </w:r>
            <w:r w:rsidR="00FD652C">
              <w:rPr>
                <w:rFonts w:ascii="Arial" w:hAnsi="Arial" w:cs="Arial"/>
                <w:sz w:val="22"/>
                <w:szCs w:val="22"/>
                <w:lang w:val="sl-SI"/>
              </w:rPr>
              <w:t>o</w:t>
            </w:r>
            <w:r w:rsidR="003E6357">
              <w:rPr>
                <w:rFonts w:ascii="Arial" w:hAnsi="Arial" w:cs="Arial"/>
                <w:sz w:val="22"/>
                <w:szCs w:val="22"/>
                <w:lang w:val="sl-SI"/>
              </w:rPr>
              <w:t xml:space="preserve"> </w:t>
            </w:r>
            <w:r w:rsidR="00E909BD">
              <w:rPr>
                <w:rFonts w:ascii="Arial" w:hAnsi="Arial" w:cs="Arial"/>
                <w:sz w:val="22"/>
                <w:szCs w:val="22"/>
                <w:lang w:val="sl-SI"/>
              </w:rPr>
              <w:t xml:space="preserve">zaradi </w:t>
            </w:r>
            <w:bookmarkStart w:id="2" w:name="_Hlk491373492"/>
            <w:r w:rsidR="00B31258">
              <w:rPr>
                <w:rFonts w:ascii="Arial" w:hAnsi="Arial" w:cs="Arial"/>
                <w:sz w:val="22"/>
                <w:szCs w:val="22"/>
                <w:lang w:val="sl-SI"/>
              </w:rPr>
              <w:t>u</w:t>
            </w:r>
            <w:r w:rsidR="00544156">
              <w:rPr>
                <w:rFonts w:ascii="Arial" w:hAnsi="Arial" w:cs="Arial"/>
                <w:sz w:val="22"/>
                <w:szCs w:val="22"/>
                <w:lang w:val="sl-SI"/>
              </w:rPr>
              <w:t>skladitv</w:t>
            </w:r>
            <w:r w:rsidR="00B31258">
              <w:rPr>
                <w:rFonts w:ascii="Arial" w:hAnsi="Arial" w:cs="Arial"/>
                <w:sz w:val="22"/>
                <w:szCs w:val="22"/>
                <w:lang w:val="sl-SI"/>
              </w:rPr>
              <w:t>e</w:t>
            </w:r>
            <w:r w:rsidR="00F11656">
              <w:rPr>
                <w:rFonts w:ascii="Arial" w:hAnsi="Arial" w:cs="Arial"/>
                <w:sz w:val="22"/>
                <w:szCs w:val="22"/>
                <w:lang w:val="sl-SI"/>
              </w:rPr>
              <w:t xml:space="preserve"> </w:t>
            </w:r>
            <w:r w:rsidR="008B2167">
              <w:rPr>
                <w:rFonts w:ascii="Arial" w:hAnsi="Arial" w:cs="Arial"/>
                <w:sz w:val="22"/>
                <w:szCs w:val="22"/>
                <w:lang w:val="sl-SI"/>
              </w:rPr>
              <w:t>razdelitve</w:t>
            </w:r>
            <w:r w:rsidR="00FD652C">
              <w:rPr>
                <w:rFonts w:ascii="Arial" w:hAnsi="Arial" w:cs="Arial"/>
                <w:sz w:val="22"/>
                <w:szCs w:val="22"/>
                <w:lang w:val="sl-SI"/>
              </w:rPr>
              <w:t xml:space="preserve"> </w:t>
            </w:r>
            <w:r w:rsidR="00716E49">
              <w:rPr>
                <w:rFonts w:ascii="Arial" w:hAnsi="Arial" w:cs="Arial"/>
                <w:sz w:val="22"/>
                <w:szCs w:val="22"/>
                <w:lang w:val="sl-SI"/>
              </w:rPr>
              <w:t>finančnih sredstev</w:t>
            </w:r>
            <w:r w:rsidR="00FD652C">
              <w:rPr>
                <w:rFonts w:ascii="Arial" w:hAnsi="Arial" w:cs="Arial"/>
                <w:sz w:val="22"/>
                <w:szCs w:val="22"/>
                <w:lang w:val="sl-SI"/>
              </w:rPr>
              <w:t xml:space="preserve"> </w:t>
            </w:r>
            <w:r w:rsidR="00E6717D">
              <w:rPr>
                <w:rFonts w:ascii="Arial" w:hAnsi="Arial" w:cs="Arial"/>
                <w:sz w:val="22"/>
                <w:szCs w:val="22"/>
                <w:lang w:val="sl-SI"/>
              </w:rPr>
              <w:t xml:space="preserve">med Vzhodno in Zahodno kohezijsko regijo </w:t>
            </w:r>
            <w:r w:rsidR="00E909BD">
              <w:rPr>
                <w:rFonts w:ascii="Arial" w:hAnsi="Arial" w:cs="Arial"/>
                <w:sz w:val="22"/>
                <w:szCs w:val="22"/>
                <w:lang w:val="sl-SI"/>
              </w:rPr>
              <w:t>na prednostnih naložbah 1.2 in 3.1</w:t>
            </w:r>
            <w:bookmarkEnd w:id="2"/>
            <w:r w:rsidR="00E6717D">
              <w:rPr>
                <w:rFonts w:ascii="Arial" w:hAnsi="Arial" w:cs="Arial"/>
                <w:sz w:val="22"/>
                <w:szCs w:val="22"/>
                <w:lang w:val="sl-SI"/>
              </w:rPr>
              <w:t xml:space="preserve">, in sicer </w:t>
            </w:r>
            <w:r w:rsidR="0008486E">
              <w:rPr>
                <w:rFonts w:ascii="Arial" w:hAnsi="Arial" w:cs="Arial"/>
                <w:sz w:val="22"/>
                <w:szCs w:val="22"/>
                <w:lang w:val="sl-SI"/>
              </w:rPr>
              <w:t>glede na pred</w:t>
            </w:r>
            <w:r w:rsidR="004428C5">
              <w:rPr>
                <w:rFonts w:ascii="Arial" w:hAnsi="Arial" w:cs="Arial"/>
                <w:sz w:val="22"/>
                <w:szCs w:val="22"/>
                <w:lang w:val="sl-SI"/>
              </w:rPr>
              <w:t>log</w:t>
            </w:r>
            <w:r w:rsidR="001F608E">
              <w:rPr>
                <w:rFonts w:ascii="Arial" w:hAnsi="Arial" w:cs="Arial"/>
                <w:sz w:val="22"/>
                <w:szCs w:val="22"/>
                <w:lang w:val="sl-SI"/>
              </w:rPr>
              <w:t xml:space="preserve"> spremembe O</w:t>
            </w:r>
            <w:r w:rsidR="001F608E" w:rsidRPr="007D0139">
              <w:rPr>
                <w:rFonts w:ascii="Arial" w:hAnsi="Arial" w:cs="Arial"/>
                <w:sz w:val="22"/>
                <w:szCs w:val="22"/>
                <w:lang w:val="sl-SI"/>
              </w:rPr>
              <w:t xml:space="preserve">perativnega programa </w:t>
            </w:r>
            <w:r w:rsidR="001F608E" w:rsidRPr="00660287">
              <w:rPr>
                <w:rFonts w:ascii="Arial" w:hAnsi="Arial" w:cs="Arial"/>
                <w:sz w:val="22"/>
                <w:szCs w:val="22"/>
                <w:lang w:val="sl-SI"/>
              </w:rPr>
              <w:t>za izvajanje evropske kohezijske politike v obdobju 2014-2020</w:t>
            </w:r>
            <w:r w:rsidR="001F608E">
              <w:rPr>
                <w:rFonts w:ascii="Arial" w:hAnsi="Arial" w:cs="Arial"/>
                <w:sz w:val="22"/>
                <w:szCs w:val="22"/>
                <w:lang w:val="sl-SI"/>
              </w:rPr>
              <w:t xml:space="preserve"> </w:t>
            </w:r>
            <w:r w:rsidR="001F608E" w:rsidRPr="007D0139">
              <w:rPr>
                <w:rFonts w:ascii="Arial" w:hAnsi="Arial" w:cs="Arial"/>
                <w:sz w:val="22"/>
                <w:szCs w:val="22"/>
                <w:lang w:val="sl-SI"/>
              </w:rPr>
              <w:t>Evropski komisiji</w:t>
            </w:r>
            <w:r w:rsidR="001F608E">
              <w:rPr>
                <w:rFonts w:ascii="Arial" w:hAnsi="Arial" w:cs="Arial"/>
                <w:sz w:val="22"/>
                <w:szCs w:val="22"/>
                <w:lang w:val="sl-SI"/>
              </w:rPr>
              <w:t xml:space="preserve"> (</w:t>
            </w:r>
            <w:r w:rsidR="001F608E">
              <w:rPr>
                <w:rFonts w:ascii="Arial" w:hAnsi="Arial" w:cs="Arial"/>
                <w:sz w:val="22"/>
                <w:szCs w:val="22"/>
              </w:rPr>
              <w:t>“</w:t>
            </w:r>
            <w:r w:rsidR="001F608E" w:rsidRPr="00E6717D">
              <w:rPr>
                <w:rFonts w:ascii="Arial" w:hAnsi="Arial" w:cs="Arial"/>
                <w:sz w:val="22"/>
                <w:szCs w:val="22"/>
              </w:rPr>
              <w:t>Amendment of the Operational Programme for the Implementation of the European Cohesion Policy in the Period 2014-2020</w:t>
            </w:r>
            <w:r w:rsidR="001F608E" w:rsidRPr="005168CF">
              <w:rPr>
                <w:rFonts w:ascii="Arial" w:hAnsi="Arial" w:cs="Arial"/>
                <w:sz w:val="22"/>
                <w:szCs w:val="22"/>
                <w:lang w:val="sl-SI"/>
              </w:rPr>
              <w:t>” z dne 11. 7. 2017</w:t>
            </w:r>
            <w:r w:rsidR="001F608E">
              <w:rPr>
                <w:rFonts w:ascii="Arial" w:hAnsi="Arial" w:cs="Arial"/>
                <w:sz w:val="22"/>
                <w:szCs w:val="22"/>
                <w:lang w:val="sl-SI"/>
              </w:rPr>
              <w:t>)</w:t>
            </w:r>
            <w:r w:rsidR="00C01D66">
              <w:rPr>
                <w:rFonts w:ascii="Arial" w:hAnsi="Arial" w:cs="Arial"/>
                <w:sz w:val="22"/>
                <w:szCs w:val="22"/>
                <w:lang w:val="sl-SI"/>
              </w:rPr>
              <w:t>, ki ga</w:t>
            </w:r>
            <w:r w:rsidR="003E6357">
              <w:rPr>
                <w:rFonts w:ascii="Arial" w:hAnsi="Arial" w:cs="Arial"/>
                <w:sz w:val="22"/>
                <w:szCs w:val="22"/>
                <w:lang w:val="sl-SI"/>
              </w:rPr>
              <w:t xml:space="preserve"> je </w:t>
            </w:r>
            <w:r w:rsidR="003E6357" w:rsidRPr="003E6357">
              <w:rPr>
                <w:rFonts w:ascii="Arial" w:hAnsi="Arial" w:cs="Arial"/>
                <w:sz w:val="22"/>
                <w:szCs w:val="22"/>
                <w:lang w:val="sl-SI"/>
              </w:rPr>
              <w:t>Služba Vlade R</w:t>
            </w:r>
            <w:r w:rsidR="00F66539">
              <w:rPr>
                <w:rFonts w:ascii="Arial" w:hAnsi="Arial" w:cs="Arial"/>
                <w:sz w:val="22"/>
                <w:szCs w:val="22"/>
                <w:lang w:val="sl-SI"/>
              </w:rPr>
              <w:t xml:space="preserve">epublike </w:t>
            </w:r>
            <w:r w:rsidR="003E6357" w:rsidRPr="003E6357">
              <w:rPr>
                <w:rFonts w:ascii="Arial" w:hAnsi="Arial" w:cs="Arial"/>
                <w:sz w:val="22"/>
                <w:szCs w:val="22"/>
                <w:lang w:val="sl-SI"/>
              </w:rPr>
              <w:t>S</w:t>
            </w:r>
            <w:r w:rsidR="00F66539">
              <w:rPr>
                <w:rFonts w:ascii="Arial" w:hAnsi="Arial" w:cs="Arial"/>
                <w:sz w:val="22"/>
                <w:szCs w:val="22"/>
                <w:lang w:val="sl-SI"/>
              </w:rPr>
              <w:t>lovenije</w:t>
            </w:r>
            <w:r w:rsidR="003E6357" w:rsidRPr="003E6357">
              <w:rPr>
                <w:rFonts w:ascii="Arial" w:hAnsi="Arial" w:cs="Arial"/>
                <w:sz w:val="22"/>
                <w:szCs w:val="22"/>
                <w:lang w:val="sl-SI"/>
              </w:rPr>
              <w:t xml:space="preserve"> za razvoj in evropsko kohezijsko politiko</w:t>
            </w:r>
            <w:r w:rsidR="0008486E">
              <w:rPr>
                <w:rFonts w:ascii="Arial" w:hAnsi="Arial" w:cs="Arial"/>
                <w:sz w:val="22"/>
                <w:szCs w:val="22"/>
                <w:lang w:val="sl-SI"/>
              </w:rPr>
              <w:t>,</w:t>
            </w:r>
            <w:r w:rsidR="003E6357">
              <w:rPr>
                <w:rFonts w:ascii="Arial" w:hAnsi="Arial" w:cs="Arial"/>
                <w:sz w:val="22"/>
                <w:szCs w:val="22"/>
                <w:lang w:val="sl-SI"/>
              </w:rPr>
              <w:t xml:space="preserve"> na podlagi sklepa št. 9 </w:t>
            </w:r>
            <w:r w:rsidR="003E6357" w:rsidRPr="003E6357">
              <w:rPr>
                <w:rFonts w:ascii="Arial" w:hAnsi="Arial" w:cs="Arial"/>
                <w:sz w:val="22"/>
                <w:szCs w:val="22"/>
                <w:lang w:val="sl-SI"/>
              </w:rPr>
              <w:t>4. seje Odbora za spremljanje Operativnega programa za izvajanje evropske kohezijske politike v obdobju 2014-2020 (dokument št. 303-8/2015</w:t>
            </w:r>
            <w:r w:rsidR="004428C5">
              <w:rPr>
                <w:rFonts w:ascii="Arial" w:hAnsi="Arial" w:cs="Arial"/>
                <w:sz w:val="22"/>
                <w:szCs w:val="22"/>
                <w:lang w:val="sl-SI"/>
              </w:rPr>
              <w:t>-</w:t>
            </w:r>
            <w:r w:rsidR="003E6357" w:rsidRPr="003E6357">
              <w:rPr>
                <w:rFonts w:ascii="Arial" w:hAnsi="Arial" w:cs="Arial"/>
                <w:sz w:val="22"/>
                <w:szCs w:val="22"/>
                <w:lang w:val="sl-SI"/>
              </w:rPr>
              <w:t>258 z dne 13. 6. 2017)</w:t>
            </w:r>
            <w:r w:rsidR="0008486E">
              <w:rPr>
                <w:rFonts w:ascii="Arial" w:hAnsi="Arial" w:cs="Arial"/>
                <w:sz w:val="22"/>
                <w:szCs w:val="22"/>
                <w:lang w:val="sl-SI"/>
              </w:rPr>
              <w:t>,</w:t>
            </w:r>
            <w:r w:rsidR="003E6357">
              <w:rPr>
                <w:rFonts w:ascii="Arial" w:hAnsi="Arial" w:cs="Arial"/>
                <w:sz w:val="22"/>
                <w:szCs w:val="22"/>
                <w:lang w:val="sl-SI"/>
              </w:rPr>
              <w:t xml:space="preserve"> posredovala Evropski komisiji. </w:t>
            </w:r>
            <w:r w:rsidR="007D0139">
              <w:rPr>
                <w:rFonts w:ascii="Arial" w:hAnsi="Arial" w:cs="Arial"/>
                <w:sz w:val="22"/>
                <w:szCs w:val="22"/>
                <w:lang w:val="sl-SI"/>
              </w:rPr>
              <w:t>Kumulativn</w:t>
            </w:r>
            <w:r w:rsidR="00A54DD3">
              <w:rPr>
                <w:rFonts w:ascii="Arial" w:hAnsi="Arial" w:cs="Arial"/>
                <w:sz w:val="22"/>
                <w:szCs w:val="22"/>
                <w:lang w:val="sl-SI"/>
              </w:rPr>
              <w:t>a sredstva</w:t>
            </w:r>
            <w:r w:rsidR="007D0139" w:rsidRPr="007D0139">
              <w:rPr>
                <w:rFonts w:ascii="Arial" w:hAnsi="Arial" w:cs="Arial"/>
                <w:sz w:val="22"/>
                <w:szCs w:val="22"/>
                <w:lang w:val="sl-SI"/>
              </w:rPr>
              <w:t xml:space="preserve"> na prednostni osi št. 1 in 3</w:t>
            </w:r>
            <w:r w:rsidR="007D0139">
              <w:rPr>
                <w:rFonts w:ascii="Arial" w:hAnsi="Arial" w:cs="Arial"/>
                <w:sz w:val="22"/>
                <w:szCs w:val="22"/>
                <w:lang w:val="sl-SI"/>
              </w:rPr>
              <w:t xml:space="preserve"> iz </w:t>
            </w:r>
            <w:r w:rsidR="007D0139" w:rsidRPr="007D0139">
              <w:rPr>
                <w:rFonts w:ascii="Arial" w:hAnsi="Arial" w:cs="Arial"/>
                <w:sz w:val="22"/>
                <w:szCs w:val="22"/>
                <w:lang w:val="sl-SI"/>
              </w:rPr>
              <w:t>Ključni</w:t>
            </w:r>
            <w:r w:rsidR="00A54DD3">
              <w:rPr>
                <w:rFonts w:ascii="Arial" w:hAnsi="Arial" w:cs="Arial"/>
                <w:sz w:val="22"/>
                <w:szCs w:val="22"/>
                <w:lang w:val="sl-SI"/>
              </w:rPr>
              <w:t>h elementov</w:t>
            </w:r>
            <w:r w:rsidR="007D0139" w:rsidRPr="007D0139">
              <w:rPr>
                <w:rFonts w:ascii="Arial" w:hAnsi="Arial" w:cs="Arial"/>
                <w:sz w:val="22"/>
                <w:szCs w:val="22"/>
                <w:lang w:val="sl-SI"/>
              </w:rPr>
              <w:t xml:space="preserve"> finančnih instrumentov v programskem obdobju 2014 – 2020</w:t>
            </w:r>
            <w:r w:rsidR="005168CF">
              <w:rPr>
                <w:rFonts w:ascii="Arial" w:hAnsi="Arial" w:cs="Arial"/>
                <w:sz w:val="22"/>
                <w:szCs w:val="22"/>
                <w:lang w:val="sl-SI"/>
              </w:rPr>
              <w:t xml:space="preserve"> so usklajena</w:t>
            </w:r>
            <w:r w:rsidR="007D0139" w:rsidRPr="007D0139">
              <w:rPr>
                <w:rFonts w:ascii="Arial" w:hAnsi="Arial" w:cs="Arial"/>
                <w:sz w:val="22"/>
                <w:szCs w:val="22"/>
                <w:lang w:val="sl-SI"/>
              </w:rPr>
              <w:t xml:space="preserve"> s </w:t>
            </w:r>
            <w:bookmarkStart w:id="3" w:name="_Hlk491372036"/>
            <w:r w:rsidR="007D0139" w:rsidRPr="007D0139">
              <w:rPr>
                <w:rFonts w:ascii="Arial" w:hAnsi="Arial" w:cs="Arial"/>
                <w:sz w:val="22"/>
                <w:szCs w:val="22"/>
                <w:lang w:val="sl-SI"/>
              </w:rPr>
              <w:t>predlogom p</w:t>
            </w:r>
            <w:r w:rsidR="005168CF">
              <w:rPr>
                <w:rFonts w:ascii="Arial" w:hAnsi="Arial" w:cs="Arial"/>
                <w:sz w:val="22"/>
                <w:szCs w:val="22"/>
                <w:lang w:val="sl-SI"/>
              </w:rPr>
              <w:t xml:space="preserve">roračuna finančnih instrumentov v okviru </w:t>
            </w:r>
            <w:r w:rsidR="007D0139" w:rsidRPr="007D0139">
              <w:rPr>
                <w:rFonts w:ascii="Arial" w:hAnsi="Arial" w:cs="Arial"/>
                <w:sz w:val="22"/>
                <w:szCs w:val="22"/>
                <w:lang w:val="sl-SI"/>
              </w:rPr>
              <w:t>predlagane spremembe operativnega programa Evropski komisiji</w:t>
            </w:r>
            <w:bookmarkEnd w:id="3"/>
            <w:r w:rsidR="007D0139" w:rsidRPr="007D0139">
              <w:rPr>
                <w:rFonts w:ascii="Arial" w:hAnsi="Arial" w:cs="Arial"/>
                <w:sz w:val="22"/>
                <w:szCs w:val="22"/>
                <w:lang w:val="sl-SI"/>
              </w:rPr>
              <w:t>.</w:t>
            </w:r>
          </w:p>
          <w:p w14:paraId="234C21B3" w14:textId="621F1EF4" w:rsidR="003E6357" w:rsidRDefault="003E6357" w:rsidP="00A0055E">
            <w:pPr>
              <w:jc w:val="both"/>
              <w:rPr>
                <w:rFonts w:ascii="Arial" w:hAnsi="Arial" w:cs="Arial"/>
                <w:sz w:val="22"/>
                <w:szCs w:val="22"/>
                <w:lang w:val="sl-SI"/>
              </w:rPr>
            </w:pPr>
          </w:p>
          <w:p w14:paraId="4C23CC38" w14:textId="2D8E7203" w:rsidR="00CA6DAE" w:rsidRDefault="006242B1" w:rsidP="00A0055E">
            <w:pPr>
              <w:jc w:val="both"/>
              <w:rPr>
                <w:rFonts w:ascii="Arial" w:hAnsi="Arial" w:cs="Arial"/>
                <w:sz w:val="22"/>
                <w:szCs w:val="22"/>
                <w:lang w:val="sl-SI"/>
              </w:rPr>
            </w:pPr>
            <w:r>
              <w:rPr>
                <w:rFonts w:ascii="Arial" w:hAnsi="Arial" w:cs="Arial"/>
                <w:sz w:val="22"/>
                <w:szCs w:val="22"/>
                <w:lang w:val="sl-SI"/>
              </w:rPr>
              <w:t>V</w:t>
            </w:r>
            <w:r w:rsidR="007D0139">
              <w:rPr>
                <w:rFonts w:ascii="Arial" w:hAnsi="Arial" w:cs="Arial"/>
                <w:sz w:val="22"/>
                <w:szCs w:val="22"/>
                <w:lang w:val="sl-SI"/>
              </w:rPr>
              <w:t xml:space="preserve"> skladu s spremembo Ključnih elementov</w:t>
            </w:r>
            <w:r w:rsidR="007D0139" w:rsidRPr="007D0139">
              <w:rPr>
                <w:rFonts w:ascii="Arial" w:hAnsi="Arial" w:cs="Arial"/>
                <w:sz w:val="22"/>
                <w:szCs w:val="22"/>
                <w:lang w:val="sl-SI"/>
              </w:rPr>
              <w:t xml:space="preserve"> finančnih instrumentov v programskem obdobju 2014 – 2020</w:t>
            </w:r>
            <w:r w:rsidR="007D0139">
              <w:rPr>
                <w:rFonts w:ascii="Arial" w:hAnsi="Arial" w:cs="Arial"/>
                <w:sz w:val="22"/>
                <w:szCs w:val="22"/>
                <w:lang w:val="sl-SI"/>
              </w:rPr>
              <w:t xml:space="preserve"> </w:t>
            </w:r>
            <w:r w:rsidR="00C27970">
              <w:rPr>
                <w:rFonts w:ascii="Arial" w:hAnsi="Arial" w:cs="Arial"/>
                <w:sz w:val="22"/>
                <w:szCs w:val="22"/>
                <w:lang w:val="sl-SI"/>
              </w:rPr>
              <w:t>je za</w:t>
            </w:r>
            <w:r w:rsidR="00B4175B">
              <w:rPr>
                <w:rFonts w:ascii="Arial" w:hAnsi="Arial" w:cs="Arial"/>
                <w:sz w:val="22"/>
                <w:szCs w:val="22"/>
                <w:lang w:val="sl-SI"/>
              </w:rPr>
              <w:t xml:space="preserve"> finančne instrumente na prednostni naložbi 1.2. </w:t>
            </w:r>
            <w:r w:rsidR="00D171AC">
              <w:rPr>
                <w:rFonts w:ascii="Arial" w:hAnsi="Arial" w:cs="Arial"/>
                <w:sz w:val="22"/>
                <w:szCs w:val="22"/>
                <w:lang w:val="sl-SI"/>
              </w:rPr>
              <w:t>za V</w:t>
            </w:r>
            <w:r w:rsidR="00A751AF">
              <w:rPr>
                <w:rFonts w:ascii="Arial" w:hAnsi="Arial" w:cs="Arial"/>
                <w:sz w:val="22"/>
                <w:szCs w:val="22"/>
                <w:lang w:val="sl-SI"/>
              </w:rPr>
              <w:t xml:space="preserve">zhodno kohezijsko regijo </w:t>
            </w:r>
            <w:r w:rsidR="00B4175B">
              <w:rPr>
                <w:rFonts w:ascii="Arial" w:hAnsi="Arial" w:cs="Arial"/>
                <w:sz w:val="22"/>
                <w:szCs w:val="22"/>
                <w:lang w:val="sl-SI"/>
              </w:rPr>
              <w:t xml:space="preserve">namenjenih </w:t>
            </w:r>
            <w:r w:rsidR="00D171AC">
              <w:rPr>
                <w:rFonts w:ascii="Arial" w:hAnsi="Arial" w:cs="Arial"/>
                <w:sz w:val="22"/>
                <w:szCs w:val="22"/>
                <w:lang w:val="sl-SI"/>
              </w:rPr>
              <w:t>34,2 mio</w:t>
            </w:r>
            <w:r w:rsidR="00A751AF">
              <w:rPr>
                <w:rFonts w:ascii="Arial" w:hAnsi="Arial" w:cs="Arial"/>
                <w:sz w:val="22"/>
                <w:szCs w:val="22"/>
                <w:lang w:val="sl-SI"/>
              </w:rPr>
              <w:t xml:space="preserve"> EUR (prej </w:t>
            </w:r>
            <w:r w:rsidR="00D171AC">
              <w:rPr>
                <w:rFonts w:ascii="Arial" w:hAnsi="Arial" w:cs="Arial"/>
                <w:sz w:val="22"/>
                <w:szCs w:val="22"/>
                <w:lang w:val="sl-SI"/>
              </w:rPr>
              <w:t>35,2 mio</w:t>
            </w:r>
            <w:r w:rsidR="00A751AF">
              <w:rPr>
                <w:rFonts w:ascii="Arial" w:hAnsi="Arial" w:cs="Arial"/>
                <w:sz w:val="22"/>
                <w:szCs w:val="22"/>
                <w:lang w:val="sl-SI"/>
              </w:rPr>
              <w:t xml:space="preserve"> EUR)</w:t>
            </w:r>
            <w:r w:rsidR="00D171AC">
              <w:rPr>
                <w:rFonts w:ascii="Arial" w:hAnsi="Arial" w:cs="Arial"/>
                <w:sz w:val="22"/>
                <w:szCs w:val="22"/>
                <w:lang w:val="sl-SI"/>
              </w:rPr>
              <w:t xml:space="preserve"> za Z</w:t>
            </w:r>
            <w:r w:rsidR="00716E49">
              <w:rPr>
                <w:rFonts w:ascii="Arial" w:hAnsi="Arial" w:cs="Arial"/>
                <w:sz w:val="22"/>
                <w:szCs w:val="22"/>
                <w:lang w:val="sl-SI"/>
              </w:rPr>
              <w:t xml:space="preserve">ahodno kohezijsko regijo </w:t>
            </w:r>
            <w:r w:rsidR="00D171AC">
              <w:rPr>
                <w:rFonts w:ascii="Arial" w:hAnsi="Arial" w:cs="Arial"/>
                <w:sz w:val="22"/>
                <w:szCs w:val="22"/>
                <w:lang w:val="sl-SI"/>
              </w:rPr>
              <w:t xml:space="preserve">pa 53,8 mio EUR (prej 52,8 mio EUR), </w:t>
            </w:r>
            <w:r w:rsidR="00716E49">
              <w:rPr>
                <w:rFonts w:ascii="Arial" w:hAnsi="Arial" w:cs="Arial"/>
                <w:sz w:val="22"/>
                <w:szCs w:val="22"/>
                <w:lang w:val="sl-SI"/>
              </w:rPr>
              <w:t xml:space="preserve">na prednostni naložbi 3.1. pa za </w:t>
            </w:r>
            <w:r w:rsidR="00D171AC">
              <w:rPr>
                <w:rFonts w:ascii="Arial" w:hAnsi="Arial" w:cs="Arial"/>
                <w:sz w:val="22"/>
                <w:szCs w:val="22"/>
                <w:lang w:val="sl-SI"/>
              </w:rPr>
              <w:t>V</w:t>
            </w:r>
            <w:r w:rsidR="00716E49">
              <w:rPr>
                <w:rFonts w:ascii="Arial" w:hAnsi="Arial" w:cs="Arial"/>
                <w:sz w:val="22"/>
                <w:szCs w:val="22"/>
                <w:lang w:val="sl-SI"/>
              </w:rPr>
              <w:t xml:space="preserve">zhodno kohezijsko regijo </w:t>
            </w:r>
            <w:r w:rsidR="00D171AC">
              <w:rPr>
                <w:rFonts w:ascii="Arial" w:hAnsi="Arial" w:cs="Arial"/>
                <w:sz w:val="22"/>
                <w:szCs w:val="22"/>
                <w:lang w:val="sl-SI"/>
              </w:rPr>
              <w:t xml:space="preserve">55,5 mio </w:t>
            </w:r>
            <w:r w:rsidR="00716E49">
              <w:rPr>
                <w:rFonts w:ascii="Arial" w:hAnsi="Arial" w:cs="Arial"/>
                <w:sz w:val="22"/>
                <w:szCs w:val="22"/>
                <w:lang w:val="sl-SI"/>
              </w:rPr>
              <w:t xml:space="preserve">EUR (prej </w:t>
            </w:r>
            <w:r w:rsidR="00D171AC">
              <w:rPr>
                <w:rFonts w:ascii="Arial" w:hAnsi="Arial" w:cs="Arial"/>
                <w:sz w:val="22"/>
                <w:szCs w:val="22"/>
                <w:lang w:val="sl-SI"/>
              </w:rPr>
              <w:t>54 mio EUR)</w:t>
            </w:r>
            <w:r w:rsidR="00A3052A">
              <w:rPr>
                <w:rFonts w:ascii="Arial" w:hAnsi="Arial" w:cs="Arial"/>
                <w:sz w:val="22"/>
                <w:szCs w:val="22"/>
                <w:lang w:val="sl-SI"/>
              </w:rPr>
              <w:t>,</w:t>
            </w:r>
            <w:r w:rsidR="00D171AC">
              <w:rPr>
                <w:rFonts w:ascii="Arial" w:hAnsi="Arial" w:cs="Arial"/>
                <w:sz w:val="22"/>
                <w:szCs w:val="22"/>
                <w:lang w:val="sl-SI"/>
              </w:rPr>
              <w:t xml:space="preserve"> za Z</w:t>
            </w:r>
            <w:r w:rsidR="00716E49">
              <w:rPr>
                <w:rFonts w:ascii="Arial" w:hAnsi="Arial" w:cs="Arial"/>
                <w:sz w:val="22"/>
                <w:szCs w:val="22"/>
                <w:lang w:val="sl-SI"/>
              </w:rPr>
              <w:t xml:space="preserve">ahodno kohezijsko regijo pa </w:t>
            </w:r>
            <w:r w:rsidR="00D171AC">
              <w:rPr>
                <w:rFonts w:ascii="Arial" w:hAnsi="Arial" w:cs="Arial"/>
                <w:sz w:val="22"/>
                <w:szCs w:val="22"/>
                <w:lang w:val="sl-SI"/>
              </w:rPr>
              <w:t xml:space="preserve">79,5 mio EUR (prej 81 mio </w:t>
            </w:r>
            <w:r w:rsidR="00716E49">
              <w:rPr>
                <w:rFonts w:ascii="Arial" w:hAnsi="Arial" w:cs="Arial"/>
                <w:sz w:val="22"/>
                <w:szCs w:val="22"/>
                <w:lang w:val="sl-SI"/>
              </w:rPr>
              <w:t xml:space="preserve">EUR). </w:t>
            </w:r>
            <w:r w:rsidR="008055EE">
              <w:rPr>
                <w:rFonts w:ascii="Arial" w:hAnsi="Arial" w:cs="Arial"/>
                <w:sz w:val="22"/>
                <w:szCs w:val="22"/>
                <w:lang w:val="sl-SI"/>
              </w:rPr>
              <w:t>Ker se sprememba nanaša na razporeditev sredstev za finančne instrumente znotraj prednostnih naložb 1.2 in 3.1.</w:t>
            </w:r>
            <w:r w:rsidR="00E909BD">
              <w:rPr>
                <w:rFonts w:ascii="Arial" w:hAnsi="Arial" w:cs="Arial"/>
                <w:sz w:val="22"/>
                <w:szCs w:val="22"/>
                <w:lang w:val="sl-SI"/>
              </w:rPr>
              <w:t>,</w:t>
            </w:r>
            <w:r w:rsidR="008055EE">
              <w:rPr>
                <w:rFonts w:ascii="Arial" w:hAnsi="Arial" w:cs="Arial"/>
                <w:sz w:val="22"/>
                <w:szCs w:val="22"/>
                <w:lang w:val="sl-SI"/>
              </w:rPr>
              <w:t xml:space="preserve"> </w:t>
            </w:r>
            <w:r w:rsidR="00B4175B">
              <w:rPr>
                <w:rFonts w:ascii="Arial" w:hAnsi="Arial" w:cs="Arial"/>
                <w:sz w:val="22"/>
                <w:szCs w:val="22"/>
                <w:lang w:val="sl-SI"/>
              </w:rPr>
              <w:t>kumu</w:t>
            </w:r>
            <w:r w:rsidR="008055EE">
              <w:rPr>
                <w:rFonts w:ascii="Arial" w:hAnsi="Arial" w:cs="Arial"/>
                <w:sz w:val="22"/>
                <w:szCs w:val="22"/>
                <w:lang w:val="sl-SI"/>
              </w:rPr>
              <w:t>lativn</w:t>
            </w:r>
            <w:r w:rsidR="007D7DBF">
              <w:rPr>
                <w:rFonts w:ascii="Arial" w:hAnsi="Arial" w:cs="Arial"/>
                <w:sz w:val="22"/>
                <w:szCs w:val="22"/>
                <w:lang w:val="sl-SI"/>
              </w:rPr>
              <w:t>o</w:t>
            </w:r>
            <w:r w:rsidR="008055EE">
              <w:rPr>
                <w:rFonts w:ascii="Arial" w:hAnsi="Arial" w:cs="Arial"/>
                <w:sz w:val="22"/>
                <w:szCs w:val="22"/>
                <w:lang w:val="sl-SI"/>
              </w:rPr>
              <w:t xml:space="preserve"> višina</w:t>
            </w:r>
            <w:r w:rsidR="00B4175B">
              <w:rPr>
                <w:rFonts w:ascii="Arial" w:hAnsi="Arial" w:cs="Arial"/>
                <w:sz w:val="22"/>
                <w:szCs w:val="22"/>
                <w:lang w:val="sl-SI"/>
              </w:rPr>
              <w:t xml:space="preserve"> </w:t>
            </w:r>
            <w:r w:rsidR="00403A3C">
              <w:rPr>
                <w:rFonts w:ascii="Arial" w:hAnsi="Arial" w:cs="Arial"/>
                <w:sz w:val="22"/>
                <w:szCs w:val="22"/>
                <w:lang w:val="sl-SI"/>
              </w:rPr>
              <w:t xml:space="preserve">finančnih </w:t>
            </w:r>
            <w:r w:rsidR="00B4175B">
              <w:rPr>
                <w:rFonts w:ascii="Arial" w:hAnsi="Arial" w:cs="Arial"/>
                <w:sz w:val="22"/>
                <w:szCs w:val="22"/>
                <w:lang w:val="sl-SI"/>
              </w:rPr>
              <w:t>sredstev, namenjenih finančnim instrumentom</w:t>
            </w:r>
            <w:r w:rsidR="007D7DBF">
              <w:rPr>
                <w:rFonts w:ascii="Arial" w:hAnsi="Arial" w:cs="Arial"/>
                <w:sz w:val="22"/>
                <w:szCs w:val="22"/>
                <w:lang w:val="sl-SI"/>
              </w:rPr>
              <w:t xml:space="preserve">, tako na ravni </w:t>
            </w:r>
            <w:r w:rsidR="00B4175B">
              <w:rPr>
                <w:rFonts w:ascii="Arial" w:hAnsi="Arial" w:cs="Arial"/>
                <w:sz w:val="22"/>
                <w:szCs w:val="22"/>
                <w:lang w:val="sl-SI"/>
              </w:rPr>
              <w:t>pr</w:t>
            </w:r>
            <w:r w:rsidR="00716E49">
              <w:rPr>
                <w:rFonts w:ascii="Arial" w:hAnsi="Arial" w:cs="Arial"/>
                <w:sz w:val="22"/>
                <w:szCs w:val="22"/>
                <w:lang w:val="sl-SI"/>
              </w:rPr>
              <w:t>ednostnih naložb</w:t>
            </w:r>
            <w:r w:rsidR="007D7DBF">
              <w:rPr>
                <w:rFonts w:ascii="Arial" w:hAnsi="Arial" w:cs="Arial"/>
                <w:sz w:val="22"/>
                <w:szCs w:val="22"/>
                <w:lang w:val="sl-SI"/>
              </w:rPr>
              <w:t xml:space="preserve"> </w:t>
            </w:r>
            <w:r w:rsidR="00716E49">
              <w:rPr>
                <w:rFonts w:ascii="Arial" w:hAnsi="Arial" w:cs="Arial"/>
                <w:sz w:val="22"/>
                <w:szCs w:val="22"/>
                <w:lang w:val="sl-SI"/>
              </w:rPr>
              <w:t>1.2.</w:t>
            </w:r>
            <w:r w:rsidR="00D171AC">
              <w:rPr>
                <w:rFonts w:ascii="Arial" w:hAnsi="Arial" w:cs="Arial"/>
                <w:sz w:val="22"/>
                <w:szCs w:val="22"/>
                <w:lang w:val="sl-SI"/>
              </w:rPr>
              <w:t xml:space="preserve"> (88 mio </w:t>
            </w:r>
            <w:r w:rsidR="008055EE">
              <w:rPr>
                <w:rFonts w:ascii="Arial" w:hAnsi="Arial" w:cs="Arial"/>
                <w:sz w:val="22"/>
                <w:szCs w:val="22"/>
                <w:lang w:val="sl-SI"/>
              </w:rPr>
              <w:t>EUR)</w:t>
            </w:r>
            <w:r w:rsidR="00716E49">
              <w:rPr>
                <w:rFonts w:ascii="Arial" w:hAnsi="Arial" w:cs="Arial"/>
                <w:sz w:val="22"/>
                <w:szCs w:val="22"/>
                <w:lang w:val="sl-SI"/>
              </w:rPr>
              <w:t xml:space="preserve"> in 3.1.</w:t>
            </w:r>
            <w:r w:rsidR="00D171AC">
              <w:rPr>
                <w:rFonts w:ascii="Arial" w:hAnsi="Arial" w:cs="Arial"/>
                <w:sz w:val="22"/>
                <w:szCs w:val="22"/>
                <w:lang w:val="sl-SI"/>
              </w:rPr>
              <w:t xml:space="preserve"> (135 mio </w:t>
            </w:r>
            <w:r w:rsidR="008055EE">
              <w:rPr>
                <w:rFonts w:ascii="Arial" w:hAnsi="Arial" w:cs="Arial"/>
                <w:sz w:val="22"/>
                <w:szCs w:val="22"/>
                <w:lang w:val="sl-SI"/>
              </w:rPr>
              <w:t xml:space="preserve">EUR) </w:t>
            </w:r>
            <w:r w:rsidR="007D7DBF">
              <w:rPr>
                <w:rFonts w:ascii="Arial" w:hAnsi="Arial" w:cs="Arial"/>
                <w:sz w:val="22"/>
                <w:szCs w:val="22"/>
                <w:lang w:val="sl-SI"/>
              </w:rPr>
              <w:t xml:space="preserve">kot tudi </w:t>
            </w:r>
            <w:r w:rsidR="00A75F76">
              <w:rPr>
                <w:rFonts w:ascii="Arial" w:hAnsi="Arial" w:cs="Arial"/>
                <w:sz w:val="22"/>
                <w:szCs w:val="22"/>
                <w:lang w:val="sl-SI"/>
              </w:rPr>
              <w:t xml:space="preserve">na </w:t>
            </w:r>
            <w:r w:rsidR="007D7DBF">
              <w:rPr>
                <w:rFonts w:ascii="Arial" w:hAnsi="Arial" w:cs="Arial"/>
                <w:sz w:val="22"/>
                <w:szCs w:val="22"/>
                <w:lang w:val="sl-SI"/>
              </w:rPr>
              <w:t xml:space="preserve">ravni vseh sredstev za izvajanje finančnih instrumentov </w:t>
            </w:r>
            <w:r w:rsidR="00D171AC">
              <w:rPr>
                <w:rFonts w:ascii="Arial" w:hAnsi="Arial" w:cs="Arial"/>
                <w:sz w:val="22"/>
                <w:szCs w:val="22"/>
                <w:lang w:val="sl-SI"/>
              </w:rPr>
              <w:t>(253</w:t>
            </w:r>
            <w:r w:rsidR="00A3052A">
              <w:rPr>
                <w:rFonts w:ascii="Arial" w:hAnsi="Arial" w:cs="Arial"/>
                <w:sz w:val="22"/>
                <w:szCs w:val="22"/>
                <w:lang w:val="sl-SI"/>
              </w:rPr>
              <w:t xml:space="preserve"> mio</w:t>
            </w:r>
            <w:r w:rsidR="00D171AC">
              <w:rPr>
                <w:rFonts w:ascii="Arial" w:hAnsi="Arial" w:cs="Arial"/>
                <w:sz w:val="22"/>
                <w:szCs w:val="22"/>
                <w:lang w:val="sl-SI"/>
              </w:rPr>
              <w:t xml:space="preserve"> </w:t>
            </w:r>
            <w:r w:rsidR="008055EE">
              <w:rPr>
                <w:rFonts w:ascii="Arial" w:hAnsi="Arial" w:cs="Arial"/>
                <w:sz w:val="22"/>
                <w:szCs w:val="22"/>
                <w:lang w:val="sl-SI"/>
              </w:rPr>
              <w:t>EUR)</w:t>
            </w:r>
            <w:r w:rsidR="00403A3C">
              <w:rPr>
                <w:rFonts w:ascii="Arial" w:hAnsi="Arial" w:cs="Arial"/>
                <w:sz w:val="22"/>
                <w:szCs w:val="22"/>
                <w:lang w:val="sl-SI"/>
              </w:rPr>
              <w:t xml:space="preserve">, </w:t>
            </w:r>
            <w:r w:rsidR="00E909BD">
              <w:rPr>
                <w:rFonts w:ascii="Arial" w:hAnsi="Arial" w:cs="Arial"/>
                <w:sz w:val="22"/>
                <w:szCs w:val="22"/>
                <w:lang w:val="sl-SI"/>
              </w:rPr>
              <w:t>ostaja</w:t>
            </w:r>
            <w:r w:rsidR="007D0139">
              <w:rPr>
                <w:rFonts w:ascii="Arial" w:hAnsi="Arial" w:cs="Arial"/>
                <w:sz w:val="22"/>
                <w:szCs w:val="22"/>
                <w:lang w:val="sl-SI"/>
              </w:rPr>
              <w:t xml:space="preserve"> nespremenjena.</w:t>
            </w:r>
          </w:p>
          <w:p w14:paraId="551A084D" w14:textId="77777777" w:rsidR="007D7DBF" w:rsidRDefault="007D7DBF" w:rsidP="00A0055E">
            <w:pPr>
              <w:jc w:val="both"/>
              <w:rPr>
                <w:rFonts w:ascii="Arial" w:hAnsi="Arial" w:cs="Arial"/>
                <w:sz w:val="22"/>
                <w:szCs w:val="22"/>
                <w:lang w:val="sl-SI"/>
              </w:rPr>
            </w:pPr>
          </w:p>
          <w:p w14:paraId="7B542C3B" w14:textId="37DDFBA6" w:rsidR="00A54DD3" w:rsidRDefault="00716E49" w:rsidP="00A0055E">
            <w:pPr>
              <w:jc w:val="both"/>
              <w:rPr>
                <w:rFonts w:ascii="Arial" w:hAnsi="Arial" w:cs="Arial"/>
                <w:sz w:val="22"/>
                <w:szCs w:val="22"/>
                <w:lang w:val="sl-SI"/>
              </w:rPr>
            </w:pPr>
            <w:r>
              <w:rPr>
                <w:rFonts w:ascii="Arial" w:hAnsi="Arial" w:cs="Arial"/>
                <w:sz w:val="22"/>
                <w:szCs w:val="22"/>
                <w:lang w:val="sl-SI"/>
              </w:rPr>
              <w:t xml:space="preserve">Zaradi </w:t>
            </w:r>
            <w:r w:rsidR="007D7DBF">
              <w:rPr>
                <w:rFonts w:ascii="Arial" w:hAnsi="Arial" w:cs="Arial"/>
                <w:sz w:val="22"/>
                <w:szCs w:val="22"/>
                <w:lang w:val="sl-SI"/>
              </w:rPr>
              <w:t xml:space="preserve">navedene </w:t>
            </w:r>
            <w:r>
              <w:rPr>
                <w:rFonts w:ascii="Arial" w:hAnsi="Arial" w:cs="Arial"/>
                <w:sz w:val="22"/>
                <w:szCs w:val="22"/>
                <w:lang w:val="sl-SI"/>
              </w:rPr>
              <w:t>sprememb</w:t>
            </w:r>
            <w:r w:rsidR="00A54DD3">
              <w:rPr>
                <w:rFonts w:ascii="Arial" w:hAnsi="Arial" w:cs="Arial"/>
                <w:sz w:val="22"/>
                <w:szCs w:val="22"/>
                <w:lang w:val="sl-SI"/>
              </w:rPr>
              <w:t>e</w:t>
            </w:r>
            <w:r>
              <w:rPr>
                <w:rFonts w:ascii="Arial" w:hAnsi="Arial" w:cs="Arial"/>
                <w:sz w:val="22"/>
                <w:szCs w:val="22"/>
                <w:lang w:val="sl-SI"/>
              </w:rPr>
              <w:t xml:space="preserve"> </w:t>
            </w:r>
            <w:r w:rsidR="007D7DBF">
              <w:rPr>
                <w:rFonts w:ascii="Arial" w:hAnsi="Arial" w:cs="Arial"/>
                <w:sz w:val="22"/>
                <w:szCs w:val="22"/>
                <w:lang w:val="sl-SI"/>
              </w:rPr>
              <w:t xml:space="preserve">razdelitve </w:t>
            </w:r>
            <w:r>
              <w:rPr>
                <w:rFonts w:ascii="Arial" w:hAnsi="Arial" w:cs="Arial"/>
                <w:sz w:val="22"/>
                <w:szCs w:val="22"/>
                <w:lang w:val="sl-SI"/>
              </w:rPr>
              <w:t>sredstev za finančne instrume</w:t>
            </w:r>
            <w:r w:rsidR="00D171AC">
              <w:rPr>
                <w:rFonts w:ascii="Arial" w:hAnsi="Arial" w:cs="Arial"/>
                <w:sz w:val="22"/>
                <w:szCs w:val="22"/>
                <w:lang w:val="sl-SI"/>
              </w:rPr>
              <w:t>nte med kohezijskima regijama</w:t>
            </w:r>
            <w:r>
              <w:rPr>
                <w:rFonts w:ascii="Arial" w:hAnsi="Arial" w:cs="Arial"/>
                <w:sz w:val="22"/>
                <w:szCs w:val="22"/>
                <w:lang w:val="sl-SI"/>
              </w:rPr>
              <w:t xml:space="preserve"> se v Ključnih elementih finančnih instrumentov </w:t>
            </w:r>
            <w:r w:rsidRPr="00720745">
              <w:rPr>
                <w:rFonts w:ascii="Arial" w:hAnsi="Arial" w:cs="Arial"/>
                <w:sz w:val="22"/>
                <w:szCs w:val="22"/>
                <w:lang w:val="sl-SI"/>
              </w:rPr>
              <w:t xml:space="preserve">v programskem obdobju 2014 – </w:t>
            </w:r>
            <w:r w:rsidRPr="00720745">
              <w:rPr>
                <w:rFonts w:ascii="Arial" w:hAnsi="Arial" w:cs="Arial"/>
                <w:sz w:val="22"/>
                <w:szCs w:val="22"/>
                <w:lang w:val="sl-SI"/>
              </w:rPr>
              <w:lastRenderedPageBreak/>
              <w:t>2020</w:t>
            </w:r>
            <w:r>
              <w:rPr>
                <w:rFonts w:ascii="Arial" w:hAnsi="Arial" w:cs="Arial"/>
                <w:sz w:val="22"/>
                <w:szCs w:val="22"/>
                <w:lang w:val="sl-SI"/>
              </w:rPr>
              <w:t xml:space="preserve"> spreminja načrtovana delitev sredstev med kohezijskima regijama v letni dinamiki vplačil v sklad sklado</w:t>
            </w:r>
            <w:r w:rsidR="00A54DD3">
              <w:rPr>
                <w:rFonts w:ascii="Arial" w:hAnsi="Arial" w:cs="Arial"/>
                <w:sz w:val="22"/>
                <w:szCs w:val="22"/>
                <w:lang w:val="sl-SI"/>
              </w:rPr>
              <w:t>v</w:t>
            </w:r>
            <w:r w:rsidR="0092791D">
              <w:rPr>
                <w:rFonts w:ascii="Arial" w:hAnsi="Arial" w:cs="Arial"/>
                <w:sz w:val="22"/>
                <w:szCs w:val="22"/>
                <w:lang w:val="sl-SI"/>
              </w:rPr>
              <w:t xml:space="preserve">, in sicer </w:t>
            </w:r>
            <w:r w:rsidR="008055EE">
              <w:rPr>
                <w:rFonts w:ascii="Arial" w:hAnsi="Arial" w:cs="Arial"/>
                <w:sz w:val="22"/>
                <w:szCs w:val="22"/>
                <w:lang w:val="sl-SI"/>
              </w:rPr>
              <w:t xml:space="preserve">so za finančne instrumente na prednostni naložbi </w:t>
            </w:r>
            <w:r w:rsidR="00E909BD">
              <w:rPr>
                <w:rFonts w:ascii="Arial" w:hAnsi="Arial" w:cs="Arial"/>
                <w:sz w:val="22"/>
                <w:szCs w:val="22"/>
                <w:lang w:val="sl-SI"/>
              </w:rPr>
              <w:t>1.2 v letih 2017, 2019, 2021 in 2022</w:t>
            </w:r>
            <w:r w:rsidR="00D171AC">
              <w:rPr>
                <w:rFonts w:ascii="Arial" w:hAnsi="Arial" w:cs="Arial"/>
                <w:sz w:val="22"/>
                <w:szCs w:val="22"/>
                <w:lang w:val="sl-SI"/>
              </w:rPr>
              <w:t xml:space="preserve"> za V</w:t>
            </w:r>
            <w:r w:rsidR="00E909BD">
              <w:rPr>
                <w:rFonts w:ascii="Arial" w:hAnsi="Arial" w:cs="Arial"/>
                <w:sz w:val="22"/>
                <w:szCs w:val="22"/>
                <w:lang w:val="sl-SI"/>
              </w:rPr>
              <w:t>zhodno kohezijsko regijo predvidene tranše v znesku 8</w:t>
            </w:r>
            <w:r w:rsidR="00DF04C1">
              <w:rPr>
                <w:rFonts w:ascii="Arial" w:hAnsi="Arial" w:cs="Arial"/>
                <w:sz w:val="22"/>
                <w:szCs w:val="22"/>
                <w:lang w:val="sl-SI"/>
              </w:rPr>
              <w:t>,</w:t>
            </w:r>
            <w:r w:rsidR="00E909BD">
              <w:rPr>
                <w:rFonts w:ascii="Arial" w:hAnsi="Arial" w:cs="Arial"/>
                <w:sz w:val="22"/>
                <w:szCs w:val="22"/>
                <w:lang w:val="sl-SI"/>
              </w:rPr>
              <w:t>55</w:t>
            </w:r>
            <w:r w:rsidR="00DF04C1">
              <w:rPr>
                <w:rFonts w:ascii="Arial" w:hAnsi="Arial" w:cs="Arial"/>
                <w:sz w:val="22"/>
                <w:szCs w:val="22"/>
                <w:lang w:val="sl-SI"/>
              </w:rPr>
              <w:t xml:space="preserve"> mio </w:t>
            </w:r>
            <w:r w:rsidR="00E909BD">
              <w:rPr>
                <w:rFonts w:ascii="Arial" w:hAnsi="Arial" w:cs="Arial"/>
                <w:sz w:val="22"/>
                <w:szCs w:val="22"/>
                <w:lang w:val="sl-SI"/>
              </w:rPr>
              <w:t>EUR (prej 8</w:t>
            </w:r>
            <w:r w:rsidR="00DF04C1">
              <w:rPr>
                <w:rFonts w:ascii="Arial" w:hAnsi="Arial" w:cs="Arial"/>
                <w:sz w:val="22"/>
                <w:szCs w:val="22"/>
                <w:lang w:val="sl-SI"/>
              </w:rPr>
              <w:t xml:space="preserve">,8 mio </w:t>
            </w:r>
            <w:r w:rsidR="00E909BD">
              <w:rPr>
                <w:rFonts w:ascii="Arial" w:hAnsi="Arial" w:cs="Arial"/>
                <w:sz w:val="22"/>
                <w:szCs w:val="22"/>
                <w:lang w:val="sl-SI"/>
              </w:rPr>
              <w:t>EUR)</w:t>
            </w:r>
            <w:r w:rsidR="00D171AC">
              <w:rPr>
                <w:rFonts w:ascii="Arial" w:hAnsi="Arial" w:cs="Arial"/>
                <w:sz w:val="22"/>
                <w:szCs w:val="22"/>
                <w:lang w:val="sl-SI"/>
              </w:rPr>
              <w:t>, za Z</w:t>
            </w:r>
            <w:r w:rsidR="00E909BD">
              <w:rPr>
                <w:rFonts w:ascii="Arial" w:hAnsi="Arial" w:cs="Arial"/>
                <w:sz w:val="22"/>
                <w:szCs w:val="22"/>
                <w:lang w:val="sl-SI"/>
              </w:rPr>
              <w:t xml:space="preserve">ahodno kohezijsko regijo pa </w:t>
            </w:r>
            <w:r w:rsidR="0075755C">
              <w:rPr>
                <w:rFonts w:ascii="Arial" w:hAnsi="Arial" w:cs="Arial"/>
                <w:sz w:val="22"/>
                <w:szCs w:val="22"/>
                <w:lang w:val="sl-SI"/>
              </w:rPr>
              <w:t>tranše v znesku 13</w:t>
            </w:r>
            <w:r w:rsidR="00DF04C1">
              <w:rPr>
                <w:rFonts w:ascii="Arial" w:hAnsi="Arial" w:cs="Arial"/>
                <w:sz w:val="22"/>
                <w:szCs w:val="22"/>
                <w:lang w:val="sl-SI"/>
              </w:rPr>
              <w:t>,45 mio</w:t>
            </w:r>
            <w:r w:rsidR="0075755C">
              <w:rPr>
                <w:rFonts w:ascii="Arial" w:hAnsi="Arial" w:cs="Arial"/>
                <w:sz w:val="22"/>
                <w:szCs w:val="22"/>
                <w:lang w:val="sl-SI"/>
              </w:rPr>
              <w:t xml:space="preserve"> EUR (prej 13</w:t>
            </w:r>
            <w:r w:rsidR="00DF04C1">
              <w:rPr>
                <w:rFonts w:ascii="Arial" w:hAnsi="Arial" w:cs="Arial"/>
                <w:sz w:val="22"/>
                <w:szCs w:val="22"/>
                <w:lang w:val="sl-SI"/>
              </w:rPr>
              <w:t>,2 mio</w:t>
            </w:r>
            <w:r w:rsidR="0075755C">
              <w:rPr>
                <w:rFonts w:ascii="Arial" w:hAnsi="Arial" w:cs="Arial"/>
                <w:sz w:val="22"/>
                <w:szCs w:val="22"/>
                <w:lang w:val="sl-SI"/>
              </w:rPr>
              <w:t xml:space="preserve"> EUR); za finančne instrumente na prednostni naložbi 3.1 </w:t>
            </w:r>
            <w:r w:rsidR="00FF241C">
              <w:rPr>
                <w:rFonts w:ascii="Arial" w:hAnsi="Arial" w:cs="Arial"/>
                <w:sz w:val="22"/>
                <w:szCs w:val="22"/>
                <w:lang w:val="sl-SI"/>
              </w:rPr>
              <w:t xml:space="preserve">pa so </w:t>
            </w:r>
            <w:r w:rsidR="0075755C">
              <w:rPr>
                <w:rFonts w:ascii="Arial" w:hAnsi="Arial" w:cs="Arial"/>
                <w:sz w:val="22"/>
                <w:szCs w:val="22"/>
                <w:lang w:val="sl-SI"/>
              </w:rPr>
              <w:t>v letih 2017, 2019, 2021 in 2022</w:t>
            </w:r>
            <w:r w:rsidR="00D171AC">
              <w:rPr>
                <w:rFonts w:ascii="Arial" w:hAnsi="Arial" w:cs="Arial"/>
                <w:sz w:val="22"/>
                <w:szCs w:val="22"/>
                <w:lang w:val="sl-SI"/>
              </w:rPr>
              <w:t xml:space="preserve"> za V</w:t>
            </w:r>
            <w:r w:rsidR="00FF241C">
              <w:rPr>
                <w:rFonts w:ascii="Arial" w:hAnsi="Arial" w:cs="Arial"/>
                <w:sz w:val="22"/>
                <w:szCs w:val="22"/>
                <w:lang w:val="sl-SI"/>
              </w:rPr>
              <w:t xml:space="preserve">zhodno kohezijsko regijo </w:t>
            </w:r>
            <w:r w:rsidR="00966F02">
              <w:rPr>
                <w:rFonts w:ascii="Arial" w:hAnsi="Arial" w:cs="Arial"/>
                <w:sz w:val="22"/>
                <w:szCs w:val="22"/>
                <w:lang w:val="sl-SI"/>
              </w:rPr>
              <w:t>predvidene tranše v znesku 13</w:t>
            </w:r>
            <w:r w:rsidR="00DF04C1">
              <w:rPr>
                <w:rFonts w:ascii="Arial" w:hAnsi="Arial" w:cs="Arial"/>
                <w:sz w:val="22"/>
                <w:szCs w:val="22"/>
                <w:lang w:val="sl-SI"/>
              </w:rPr>
              <w:t>,</w:t>
            </w:r>
            <w:r w:rsidR="00966F02">
              <w:rPr>
                <w:rFonts w:ascii="Arial" w:hAnsi="Arial" w:cs="Arial"/>
                <w:sz w:val="22"/>
                <w:szCs w:val="22"/>
                <w:lang w:val="sl-SI"/>
              </w:rPr>
              <w:t>875</w:t>
            </w:r>
            <w:r w:rsidR="00DF04C1">
              <w:rPr>
                <w:rFonts w:ascii="Arial" w:hAnsi="Arial" w:cs="Arial"/>
                <w:sz w:val="22"/>
                <w:szCs w:val="22"/>
                <w:lang w:val="sl-SI"/>
              </w:rPr>
              <w:t xml:space="preserve"> mio </w:t>
            </w:r>
            <w:r w:rsidR="00966F02">
              <w:rPr>
                <w:rFonts w:ascii="Arial" w:hAnsi="Arial" w:cs="Arial"/>
                <w:sz w:val="22"/>
                <w:szCs w:val="22"/>
                <w:lang w:val="sl-SI"/>
              </w:rPr>
              <w:t>EU</w:t>
            </w:r>
            <w:r w:rsidR="00D171AC">
              <w:rPr>
                <w:rFonts w:ascii="Arial" w:hAnsi="Arial" w:cs="Arial"/>
                <w:sz w:val="22"/>
                <w:szCs w:val="22"/>
                <w:lang w:val="sl-SI"/>
              </w:rPr>
              <w:t>R (prej 13</w:t>
            </w:r>
            <w:r w:rsidR="00DF04C1">
              <w:rPr>
                <w:rFonts w:ascii="Arial" w:hAnsi="Arial" w:cs="Arial"/>
                <w:sz w:val="22"/>
                <w:szCs w:val="22"/>
                <w:lang w:val="sl-SI"/>
              </w:rPr>
              <w:t xml:space="preserve">,5 mio </w:t>
            </w:r>
            <w:r w:rsidR="00D171AC">
              <w:rPr>
                <w:rFonts w:ascii="Arial" w:hAnsi="Arial" w:cs="Arial"/>
                <w:sz w:val="22"/>
                <w:szCs w:val="22"/>
                <w:lang w:val="sl-SI"/>
              </w:rPr>
              <w:t>EUR), za Z</w:t>
            </w:r>
            <w:r w:rsidR="00966F02">
              <w:rPr>
                <w:rFonts w:ascii="Arial" w:hAnsi="Arial" w:cs="Arial"/>
                <w:sz w:val="22"/>
                <w:szCs w:val="22"/>
                <w:lang w:val="sl-SI"/>
              </w:rPr>
              <w:t>ahodno kohezijsko regijo pa tranše v znesku 19</w:t>
            </w:r>
            <w:r w:rsidR="009833BA">
              <w:rPr>
                <w:rFonts w:ascii="Arial" w:hAnsi="Arial" w:cs="Arial"/>
                <w:sz w:val="22"/>
                <w:szCs w:val="22"/>
                <w:lang w:val="sl-SI"/>
              </w:rPr>
              <w:t>,</w:t>
            </w:r>
            <w:r w:rsidR="00966F02">
              <w:rPr>
                <w:rFonts w:ascii="Arial" w:hAnsi="Arial" w:cs="Arial"/>
                <w:sz w:val="22"/>
                <w:szCs w:val="22"/>
                <w:lang w:val="sl-SI"/>
              </w:rPr>
              <w:t>875</w:t>
            </w:r>
            <w:r w:rsidR="00DF04C1">
              <w:rPr>
                <w:rFonts w:ascii="Arial" w:hAnsi="Arial" w:cs="Arial"/>
                <w:sz w:val="22"/>
                <w:szCs w:val="22"/>
                <w:lang w:val="sl-SI"/>
              </w:rPr>
              <w:t xml:space="preserve"> mio </w:t>
            </w:r>
            <w:r w:rsidR="00966F02">
              <w:rPr>
                <w:rFonts w:ascii="Arial" w:hAnsi="Arial" w:cs="Arial"/>
                <w:sz w:val="22"/>
                <w:szCs w:val="22"/>
                <w:lang w:val="sl-SI"/>
              </w:rPr>
              <w:t>EUR (prej 20</w:t>
            </w:r>
            <w:r w:rsidR="00DF04C1">
              <w:rPr>
                <w:rFonts w:ascii="Arial" w:hAnsi="Arial" w:cs="Arial"/>
                <w:sz w:val="22"/>
                <w:szCs w:val="22"/>
                <w:lang w:val="sl-SI"/>
              </w:rPr>
              <w:t>,</w:t>
            </w:r>
            <w:r w:rsidR="00966F02">
              <w:rPr>
                <w:rFonts w:ascii="Arial" w:hAnsi="Arial" w:cs="Arial"/>
                <w:sz w:val="22"/>
                <w:szCs w:val="22"/>
                <w:lang w:val="sl-SI"/>
              </w:rPr>
              <w:t>25</w:t>
            </w:r>
            <w:r w:rsidR="00DF04C1">
              <w:rPr>
                <w:rFonts w:ascii="Arial" w:hAnsi="Arial" w:cs="Arial"/>
                <w:sz w:val="22"/>
                <w:szCs w:val="22"/>
                <w:lang w:val="sl-SI"/>
              </w:rPr>
              <w:t xml:space="preserve"> mio </w:t>
            </w:r>
            <w:r w:rsidR="00966F02">
              <w:rPr>
                <w:rFonts w:ascii="Arial" w:hAnsi="Arial" w:cs="Arial"/>
                <w:sz w:val="22"/>
                <w:szCs w:val="22"/>
                <w:lang w:val="sl-SI"/>
              </w:rPr>
              <w:t>EUR)</w:t>
            </w:r>
            <w:r w:rsidR="00030A39">
              <w:rPr>
                <w:rFonts w:ascii="Arial" w:hAnsi="Arial" w:cs="Arial"/>
                <w:sz w:val="22"/>
                <w:szCs w:val="22"/>
                <w:lang w:val="sl-SI"/>
              </w:rPr>
              <w:t xml:space="preserve">. </w:t>
            </w:r>
          </w:p>
          <w:p w14:paraId="13B07A6C" w14:textId="31F65DB2" w:rsidR="00A54DD3" w:rsidRDefault="00A54DD3" w:rsidP="00A0055E">
            <w:pPr>
              <w:jc w:val="both"/>
              <w:rPr>
                <w:rFonts w:ascii="Arial" w:hAnsi="Arial" w:cs="Arial"/>
                <w:sz w:val="22"/>
                <w:szCs w:val="22"/>
                <w:lang w:val="sl-SI"/>
              </w:rPr>
            </w:pPr>
          </w:p>
          <w:p w14:paraId="48DEAB2B" w14:textId="0A19777C" w:rsidR="00056BE6" w:rsidRDefault="00A54DD3" w:rsidP="00A0055E">
            <w:pPr>
              <w:jc w:val="both"/>
              <w:rPr>
                <w:rFonts w:ascii="Arial" w:hAnsi="Arial" w:cs="Arial"/>
                <w:sz w:val="22"/>
                <w:szCs w:val="22"/>
                <w:lang w:val="sl-SI"/>
              </w:rPr>
            </w:pPr>
            <w:r>
              <w:rPr>
                <w:rFonts w:ascii="Arial" w:hAnsi="Arial" w:cs="Arial"/>
                <w:sz w:val="22"/>
                <w:szCs w:val="22"/>
                <w:lang w:val="sl-SI"/>
              </w:rPr>
              <w:t xml:space="preserve">V skladu z zgoraj navedenim se v </w:t>
            </w:r>
            <w:r w:rsidRPr="00A54DD3">
              <w:rPr>
                <w:rFonts w:ascii="Arial" w:hAnsi="Arial" w:cs="Arial"/>
                <w:sz w:val="22"/>
                <w:szCs w:val="22"/>
                <w:lang w:val="sl-SI"/>
              </w:rPr>
              <w:t>Ključni</w:t>
            </w:r>
            <w:r>
              <w:rPr>
                <w:rFonts w:ascii="Arial" w:hAnsi="Arial" w:cs="Arial"/>
                <w:sz w:val="22"/>
                <w:szCs w:val="22"/>
                <w:lang w:val="sl-SI"/>
              </w:rPr>
              <w:t>h</w:t>
            </w:r>
            <w:r w:rsidRPr="00A54DD3">
              <w:rPr>
                <w:rFonts w:ascii="Arial" w:hAnsi="Arial" w:cs="Arial"/>
                <w:sz w:val="22"/>
                <w:szCs w:val="22"/>
                <w:lang w:val="sl-SI"/>
              </w:rPr>
              <w:t xml:space="preserve"> elementi</w:t>
            </w:r>
            <w:r>
              <w:rPr>
                <w:rFonts w:ascii="Arial" w:hAnsi="Arial" w:cs="Arial"/>
                <w:sz w:val="22"/>
                <w:szCs w:val="22"/>
                <w:lang w:val="sl-SI"/>
              </w:rPr>
              <w:t>h</w:t>
            </w:r>
            <w:r w:rsidRPr="00A54DD3">
              <w:rPr>
                <w:rFonts w:ascii="Arial" w:hAnsi="Arial" w:cs="Arial"/>
                <w:sz w:val="22"/>
                <w:szCs w:val="22"/>
                <w:lang w:val="sl-SI"/>
              </w:rPr>
              <w:t xml:space="preserve"> finančnih instrumentov v programskem obdobju 2014 – 2020</w:t>
            </w:r>
            <w:r>
              <w:rPr>
                <w:rFonts w:ascii="Arial" w:hAnsi="Arial" w:cs="Arial"/>
                <w:sz w:val="22"/>
                <w:szCs w:val="22"/>
                <w:lang w:val="sl-SI"/>
              </w:rPr>
              <w:t xml:space="preserve"> spremeni »</w:t>
            </w:r>
            <w:r w:rsidRPr="00716E49">
              <w:rPr>
                <w:rFonts w:ascii="Arial" w:hAnsi="Arial" w:cs="Arial"/>
                <w:sz w:val="22"/>
                <w:szCs w:val="22"/>
                <w:lang w:val="sl-SI"/>
              </w:rPr>
              <w:t>Tabela 10: Finančna sredstva za FI po letih in kohezijskih regijah</w:t>
            </w:r>
            <w:r>
              <w:rPr>
                <w:rFonts w:ascii="Arial" w:hAnsi="Arial" w:cs="Arial"/>
                <w:sz w:val="22"/>
                <w:szCs w:val="22"/>
                <w:lang w:val="sl-SI"/>
              </w:rPr>
              <w:t xml:space="preserve">«. </w:t>
            </w:r>
            <w:r w:rsidR="00056BE6">
              <w:rPr>
                <w:rFonts w:ascii="Arial" w:hAnsi="Arial" w:cs="Arial"/>
                <w:sz w:val="22"/>
                <w:szCs w:val="22"/>
                <w:lang w:val="sl-SI"/>
              </w:rPr>
              <w:t xml:space="preserve">V ostalem </w:t>
            </w:r>
            <w:r w:rsidR="00B4175B">
              <w:rPr>
                <w:rFonts w:ascii="Arial" w:hAnsi="Arial" w:cs="Arial"/>
                <w:sz w:val="22"/>
                <w:szCs w:val="22"/>
                <w:lang w:val="sl-SI"/>
              </w:rPr>
              <w:t>so</w:t>
            </w:r>
            <w:r w:rsidR="00056BE6">
              <w:rPr>
                <w:rFonts w:ascii="Arial" w:hAnsi="Arial" w:cs="Arial"/>
                <w:sz w:val="22"/>
                <w:szCs w:val="22"/>
                <w:lang w:val="sl-SI"/>
              </w:rPr>
              <w:t xml:space="preserve"> Ključni elementi finančnih instrumentov </w:t>
            </w:r>
            <w:r w:rsidR="00056BE6" w:rsidRPr="00056BE6">
              <w:rPr>
                <w:rFonts w:ascii="Arial" w:hAnsi="Arial" w:cs="Arial"/>
                <w:sz w:val="22"/>
                <w:szCs w:val="22"/>
                <w:lang w:val="sl-SI"/>
              </w:rPr>
              <w:t>v programskem obdobju 2014 – 2020</w:t>
            </w:r>
            <w:r w:rsidR="00A101AD">
              <w:rPr>
                <w:rFonts w:ascii="Arial" w:hAnsi="Arial" w:cs="Arial"/>
                <w:sz w:val="22"/>
                <w:szCs w:val="22"/>
                <w:lang w:val="sl-SI"/>
              </w:rPr>
              <w:t xml:space="preserve"> nespremenjeni.</w:t>
            </w:r>
          </w:p>
          <w:p w14:paraId="20F78401" w14:textId="023C5FCD" w:rsidR="00B4175B" w:rsidRDefault="00B4175B" w:rsidP="00A0055E">
            <w:pPr>
              <w:jc w:val="both"/>
              <w:rPr>
                <w:rFonts w:ascii="Arial" w:hAnsi="Arial" w:cs="Arial"/>
                <w:sz w:val="22"/>
                <w:szCs w:val="22"/>
                <w:lang w:val="sl-SI"/>
              </w:rPr>
            </w:pPr>
          </w:p>
          <w:p w14:paraId="637C784A" w14:textId="4D080D0C" w:rsidR="004C6BDE" w:rsidRPr="00720745" w:rsidRDefault="004C6BDE" w:rsidP="002F63AC">
            <w:pPr>
              <w:jc w:val="both"/>
              <w:rPr>
                <w:rFonts w:ascii="Arial" w:hAnsi="Arial" w:cs="Arial"/>
                <w:lang w:val="sl-SI"/>
              </w:rPr>
            </w:pPr>
          </w:p>
        </w:tc>
      </w:tr>
      <w:tr w:rsidR="004D434D" w:rsidRPr="00720745" w14:paraId="6EB1F53F" w14:textId="77777777" w:rsidTr="004D434D">
        <w:tc>
          <w:tcPr>
            <w:tcW w:w="9214" w:type="dxa"/>
            <w:gridSpan w:val="4"/>
          </w:tcPr>
          <w:p w14:paraId="0CA9F1E7" w14:textId="77777777" w:rsidR="004D434D" w:rsidRPr="00720745" w:rsidRDefault="004D434D" w:rsidP="00A0055E">
            <w:pPr>
              <w:pStyle w:val="Oddelek"/>
              <w:numPr>
                <w:ilvl w:val="0"/>
                <w:numId w:val="0"/>
              </w:numPr>
              <w:spacing w:before="0" w:after="0" w:line="240" w:lineRule="auto"/>
              <w:jc w:val="left"/>
              <w:rPr>
                <w:rFonts w:cs="Arial"/>
              </w:rPr>
            </w:pPr>
            <w:r w:rsidRPr="00720745">
              <w:rPr>
                <w:rFonts w:cs="Arial"/>
              </w:rPr>
              <w:lastRenderedPageBreak/>
              <w:t>6. Presoja posledic za:</w:t>
            </w:r>
          </w:p>
        </w:tc>
      </w:tr>
      <w:tr w:rsidR="004D434D" w:rsidRPr="00720745" w14:paraId="5B0C8396" w14:textId="77777777" w:rsidTr="004D434D">
        <w:tc>
          <w:tcPr>
            <w:tcW w:w="1561" w:type="dxa"/>
          </w:tcPr>
          <w:p w14:paraId="3C1A52EB" w14:textId="77777777" w:rsidR="004D434D" w:rsidRPr="00720745" w:rsidRDefault="004D434D" w:rsidP="00A0055E">
            <w:pPr>
              <w:pStyle w:val="Neotevilenodstavek"/>
              <w:spacing w:before="0" w:after="0" w:line="240" w:lineRule="auto"/>
              <w:ind w:left="360"/>
              <w:rPr>
                <w:iCs/>
              </w:rPr>
            </w:pPr>
            <w:r w:rsidRPr="00720745">
              <w:rPr>
                <w:iCs/>
              </w:rPr>
              <w:t>a)</w:t>
            </w:r>
          </w:p>
        </w:tc>
        <w:tc>
          <w:tcPr>
            <w:tcW w:w="5444" w:type="dxa"/>
            <w:gridSpan w:val="2"/>
          </w:tcPr>
          <w:p w14:paraId="58EBE3E7" w14:textId="77777777" w:rsidR="004D434D" w:rsidRPr="00720745" w:rsidRDefault="004D434D" w:rsidP="00A0055E">
            <w:pPr>
              <w:pStyle w:val="Neotevilenodstavek"/>
              <w:spacing w:before="0" w:after="0" w:line="240" w:lineRule="auto"/>
            </w:pPr>
            <w:r w:rsidRPr="00720745">
              <w:t>javnofinančna sredstva nad 40.000 EUR v tekočem in naslednjih treh letih</w:t>
            </w:r>
          </w:p>
        </w:tc>
        <w:tc>
          <w:tcPr>
            <w:tcW w:w="2209" w:type="dxa"/>
            <w:vAlign w:val="center"/>
          </w:tcPr>
          <w:p w14:paraId="6C92E949" w14:textId="77777777" w:rsidR="004D434D" w:rsidRPr="00720745" w:rsidRDefault="004D434D" w:rsidP="00A0055E">
            <w:pPr>
              <w:pStyle w:val="Neotevilenodstavek"/>
              <w:spacing w:before="0" w:after="0" w:line="240" w:lineRule="auto"/>
              <w:jc w:val="center"/>
              <w:rPr>
                <w:iCs/>
              </w:rPr>
            </w:pPr>
            <w:r w:rsidRPr="00720745">
              <w:t>NE</w:t>
            </w:r>
          </w:p>
        </w:tc>
      </w:tr>
      <w:tr w:rsidR="004D434D" w:rsidRPr="00720745" w14:paraId="30B8B2A4" w14:textId="77777777" w:rsidTr="004D434D">
        <w:tc>
          <w:tcPr>
            <w:tcW w:w="1561" w:type="dxa"/>
          </w:tcPr>
          <w:p w14:paraId="0A210B41" w14:textId="77777777" w:rsidR="004D434D" w:rsidRPr="00720745" w:rsidRDefault="004D434D" w:rsidP="00A0055E">
            <w:pPr>
              <w:pStyle w:val="Neotevilenodstavek"/>
              <w:spacing w:before="0" w:after="0" w:line="240" w:lineRule="auto"/>
              <w:ind w:left="360"/>
              <w:rPr>
                <w:iCs/>
              </w:rPr>
            </w:pPr>
            <w:r w:rsidRPr="00720745">
              <w:rPr>
                <w:iCs/>
              </w:rPr>
              <w:t>b)</w:t>
            </w:r>
          </w:p>
        </w:tc>
        <w:tc>
          <w:tcPr>
            <w:tcW w:w="5444" w:type="dxa"/>
            <w:gridSpan w:val="2"/>
          </w:tcPr>
          <w:p w14:paraId="30B97676" w14:textId="77777777" w:rsidR="004D434D" w:rsidRPr="00720745" w:rsidRDefault="004D434D" w:rsidP="00A0055E">
            <w:pPr>
              <w:pStyle w:val="Neotevilenodstavek"/>
              <w:spacing w:before="0" w:after="0" w:line="240" w:lineRule="auto"/>
              <w:rPr>
                <w:iCs/>
              </w:rPr>
            </w:pPr>
            <w:r w:rsidRPr="00720745">
              <w:rPr>
                <w:bCs/>
              </w:rPr>
              <w:t>usklajenost slovenskega pravnega reda s pravnim redom Evropske unije</w:t>
            </w:r>
          </w:p>
        </w:tc>
        <w:tc>
          <w:tcPr>
            <w:tcW w:w="2209" w:type="dxa"/>
            <w:vAlign w:val="center"/>
          </w:tcPr>
          <w:p w14:paraId="56024909" w14:textId="77777777" w:rsidR="004D434D" w:rsidRPr="00720745" w:rsidRDefault="004D434D" w:rsidP="00A0055E">
            <w:pPr>
              <w:pStyle w:val="Neotevilenodstavek"/>
              <w:spacing w:before="0" w:after="0" w:line="240" w:lineRule="auto"/>
              <w:jc w:val="center"/>
              <w:rPr>
                <w:iCs/>
              </w:rPr>
            </w:pPr>
            <w:r w:rsidRPr="00720745">
              <w:t>NE</w:t>
            </w:r>
          </w:p>
        </w:tc>
      </w:tr>
      <w:tr w:rsidR="004D434D" w:rsidRPr="00720745" w14:paraId="06D877B3" w14:textId="77777777" w:rsidTr="004D434D">
        <w:tc>
          <w:tcPr>
            <w:tcW w:w="1561" w:type="dxa"/>
          </w:tcPr>
          <w:p w14:paraId="38AA0549" w14:textId="77777777" w:rsidR="004D434D" w:rsidRPr="00720745" w:rsidRDefault="004D434D" w:rsidP="00A0055E">
            <w:pPr>
              <w:pStyle w:val="Neotevilenodstavek"/>
              <w:spacing w:before="0" w:after="0" w:line="240" w:lineRule="auto"/>
              <w:ind w:left="360"/>
              <w:rPr>
                <w:iCs/>
              </w:rPr>
            </w:pPr>
            <w:r w:rsidRPr="00720745">
              <w:rPr>
                <w:iCs/>
              </w:rPr>
              <w:t>c)</w:t>
            </w:r>
          </w:p>
        </w:tc>
        <w:tc>
          <w:tcPr>
            <w:tcW w:w="5444" w:type="dxa"/>
            <w:gridSpan w:val="2"/>
          </w:tcPr>
          <w:p w14:paraId="6D9994D6" w14:textId="77777777" w:rsidR="004D434D" w:rsidRPr="00720745" w:rsidRDefault="004D434D" w:rsidP="00A0055E">
            <w:pPr>
              <w:pStyle w:val="Neotevilenodstavek"/>
              <w:spacing w:before="0" w:after="0" w:line="240" w:lineRule="auto"/>
              <w:rPr>
                <w:iCs/>
              </w:rPr>
            </w:pPr>
            <w:r w:rsidRPr="00720745">
              <w:t>administrativne posledice</w:t>
            </w:r>
          </w:p>
        </w:tc>
        <w:tc>
          <w:tcPr>
            <w:tcW w:w="2209" w:type="dxa"/>
            <w:vAlign w:val="center"/>
          </w:tcPr>
          <w:p w14:paraId="37EFD559" w14:textId="77777777" w:rsidR="004D434D" w:rsidRPr="00720745" w:rsidRDefault="004D434D" w:rsidP="00A0055E">
            <w:pPr>
              <w:pStyle w:val="Neotevilenodstavek"/>
              <w:spacing w:before="0" w:after="0" w:line="240" w:lineRule="auto"/>
              <w:jc w:val="center"/>
            </w:pPr>
            <w:r w:rsidRPr="00720745">
              <w:t>NE</w:t>
            </w:r>
          </w:p>
        </w:tc>
      </w:tr>
      <w:tr w:rsidR="004D434D" w:rsidRPr="00720745" w14:paraId="513CA0E6" w14:textId="77777777" w:rsidTr="004D434D">
        <w:tc>
          <w:tcPr>
            <w:tcW w:w="1561" w:type="dxa"/>
          </w:tcPr>
          <w:p w14:paraId="3974C2A1" w14:textId="77777777" w:rsidR="004D434D" w:rsidRPr="00720745" w:rsidRDefault="004D434D" w:rsidP="00A0055E">
            <w:pPr>
              <w:pStyle w:val="Neotevilenodstavek"/>
              <w:spacing w:before="0" w:after="0" w:line="240" w:lineRule="auto"/>
              <w:ind w:left="360"/>
              <w:rPr>
                <w:iCs/>
              </w:rPr>
            </w:pPr>
            <w:r w:rsidRPr="00720745">
              <w:rPr>
                <w:iCs/>
              </w:rPr>
              <w:t>č)</w:t>
            </w:r>
          </w:p>
        </w:tc>
        <w:tc>
          <w:tcPr>
            <w:tcW w:w="5444" w:type="dxa"/>
            <w:gridSpan w:val="2"/>
          </w:tcPr>
          <w:p w14:paraId="4F5B6198" w14:textId="77777777" w:rsidR="004D434D" w:rsidRPr="00720745" w:rsidRDefault="004D434D" w:rsidP="00A0055E">
            <w:pPr>
              <w:pStyle w:val="Neotevilenodstavek"/>
              <w:spacing w:before="0" w:after="0" w:line="240" w:lineRule="auto"/>
              <w:rPr>
                <w:bCs/>
              </w:rPr>
            </w:pPr>
            <w:r w:rsidRPr="00720745">
              <w:t>gospodarstvo, zlasti</w:t>
            </w:r>
            <w:r w:rsidRPr="00720745">
              <w:rPr>
                <w:bCs/>
              </w:rPr>
              <w:t xml:space="preserve"> mala in srednja podjetja ter konkurenčnost podjetij</w:t>
            </w:r>
          </w:p>
          <w:p w14:paraId="7FBBEC84" w14:textId="1A6AE9C9" w:rsidR="003771FA" w:rsidRPr="00720745" w:rsidRDefault="003771FA" w:rsidP="00A0055E">
            <w:pPr>
              <w:pStyle w:val="Neotevilenodstavek"/>
              <w:spacing w:before="0" w:after="0" w:line="240" w:lineRule="auto"/>
              <w:rPr>
                <w:bCs/>
              </w:rPr>
            </w:pPr>
          </w:p>
          <w:p w14:paraId="676D7E29" w14:textId="0D6FA047" w:rsidR="003771FA" w:rsidRPr="00720745" w:rsidRDefault="003771FA" w:rsidP="00A0055E">
            <w:pPr>
              <w:pStyle w:val="Neotevilenodstavek"/>
              <w:spacing w:before="0" w:after="0" w:line="240" w:lineRule="auto"/>
              <w:rPr>
                <w:bCs/>
              </w:rPr>
            </w:pPr>
            <w:r w:rsidRPr="00720745">
              <w:rPr>
                <w:bCs/>
              </w:rPr>
              <w:t>Gradivo bo imelo pozitivne posledice na gospodarstvo, saj predstavlja usmeritve in podlago za izvedbo postopka izbora sklada skladov in sklenitev sporazuma</w:t>
            </w:r>
            <w:r w:rsidR="00190FBD" w:rsidRPr="00720745">
              <w:rPr>
                <w:bCs/>
              </w:rPr>
              <w:t xml:space="preserve"> o financiranju</w:t>
            </w:r>
            <w:r w:rsidRPr="00720745">
              <w:rPr>
                <w:bCs/>
              </w:rPr>
              <w:t xml:space="preserve"> s skladom skladov. Predvideno je, da se nameni </w:t>
            </w:r>
            <w:r w:rsidR="00D3283B" w:rsidRPr="00720745">
              <w:rPr>
                <w:bCs/>
              </w:rPr>
              <w:t xml:space="preserve">253 </w:t>
            </w:r>
            <w:r w:rsidRPr="00720745">
              <w:rPr>
                <w:bCs/>
              </w:rPr>
              <w:t>mio EUR za izvajanje finančnih instrumentov v obdobju 2014 – 2023.</w:t>
            </w:r>
          </w:p>
        </w:tc>
        <w:tc>
          <w:tcPr>
            <w:tcW w:w="2209" w:type="dxa"/>
            <w:vAlign w:val="center"/>
          </w:tcPr>
          <w:p w14:paraId="6E8DCE9F" w14:textId="77777777" w:rsidR="004D434D" w:rsidRPr="00720745" w:rsidRDefault="003771FA" w:rsidP="00A0055E">
            <w:pPr>
              <w:pStyle w:val="Neotevilenodstavek"/>
              <w:spacing w:before="0" w:after="0" w:line="240" w:lineRule="auto"/>
              <w:jc w:val="center"/>
              <w:rPr>
                <w:b/>
                <w:iCs/>
              </w:rPr>
            </w:pPr>
            <w:r w:rsidRPr="00720745">
              <w:rPr>
                <w:b/>
              </w:rPr>
              <w:t>DA</w:t>
            </w:r>
          </w:p>
        </w:tc>
      </w:tr>
      <w:tr w:rsidR="004D434D" w:rsidRPr="00720745" w14:paraId="2230472F" w14:textId="77777777" w:rsidTr="004D434D">
        <w:tc>
          <w:tcPr>
            <w:tcW w:w="1561" w:type="dxa"/>
          </w:tcPr>
          <w:p w14:paraId="1DF56A34" w14:textId="77777777" w:rsidR="004D434D" w:rsidRPr="00720745" w:rsidRDefault="004D434D" w:rsidP="00A0055E">
            <w:pPr>
              <w:pStyle w:val="Neotevilenodstavek"/>
              <w:spacing w:before="0" w:after="0" w:line="240" w:lineRule="auto"/>
              <w:ind w:left="360"/>
              <w:rPr>
                <w:iCs/>
              </w:rPr>
            </w:pPr>
            <w:r w:rsidRPr="00720745">
              <w:rPr>
                <w:iCs/>
              </w:rPr>
              <w:t>d)</w:t>
            </w:r>
          </w:p>
        </w:tc>
        <w:tc>
          <w:tcPr>
            <w:tcW w:w="5444" w:type="dxa"/>
            <w:gridSpan w:val="2"/>
          </w:tcPr>
          <w:p w14:paraId="6AF80DC7" w14:textId="77777777" w:rsidR="004D434D" w:rsidRPr="00720745" w:rsidRDefault="004D434D" w:rsidP="00A0055E">
            <w:pPr>
              <w:pStyle w:val="Neotevilenodstavek"/>
              <w:spacing w:before="0" w:after="0" w:line="240" w:lineRule="auto"/>
              <w:rPr>
                <w:bCs/>
              </w:rPr>
            </w:pPr>
            <w:r w:rsidRPr="00720745">
              <w:rPr>
                <w:bCs/>
              </w:rPr>
              <w:t>okolje, vključno s prostorskimi in varstvenimi vidiki</w:t>
            </w:r>
          </w:p>
        </w:tc>
        <w:tc>
          <w:tcPr>
            <w:tcW w:w="2209" w:type="dxa"/>
            <w:vAlign w:val="center"/>
          </w:tcPr>
          <w:p w14:paraId="493570AC" w14:textId="77777777" w:rsidR="004D434D" w:rsidRPr="00720745" w:rsidRDefault="004D434D" w:rsidP="00A0055E">
            <w:pPr>
              <w:pStyle w:val="Neotevilenodstavek"/>
              <w:spacing w:before="0" w:after="0" w:line="240" w:lineRule="auto"/>
              <w:jc w:val="center"/>
              <w:rPr>
                <w:iCs/>
              </w:rPr>
            </w:pPr>
            <w:r w:rsidRPr="00720745">
              <w:t>NE</w:t>
            </w:r>
          </w:p>
        </w:tc>
      </w:tr>
      <w:tr w:rsidR="004D434D" w:rsidRPr="00720745" w14:paraId="4D50A471" w14:textId="77777777" w:rsidTr="004D434D">
        <w:tc>
          <w:tcPr>
            <w:tcW w:w="1561" w:type="dxa"/>
          </w:tcPr>
          <w:p w14:paraId="3127A19A" w14:textId="77777777" w:rsidR="004D434D" w:rsidRPr="00720745" w:rsidRDefault="004D434D" w:rsidP="00A0055E">
            <w:pPr>
              <w:pStyle w:val="Neotevilenodstavek"/>
              <w:spacing w:before="0" w:after="0" w:line="240" w:lineRule="auto"/>
              <w:ind w:left="360"/>
              <w:rPr>
                <w:iCs/>
              </w:rPr>
            </w:pPr>
            <w:r w:rsidRPr="00720745">
              <w:rPr>
                <w:iCs/>
              </w:rPr>
              <w:t>e)</w:t>
            </w:r>
          </w:p>
        </w:tc>
        <w:tc>
          <w:tcPr>
            <w:tcW w:w="5444" w:type="dxa"/>
            <w:gridSpan w:val="2"/>
          </w:tcPr>
          <w:p w14:paraId="586F6E61" w14:textId="77777777" w:rsidR="004D434D" w:rsidRPr="00720745" w:rsidRDefault="004D434D" w:rsidP="00A0055E">
            <w:pPr>
              <w:pStyle w:val="Neotevilenodstavek"/>
              <w:spacing w:before="0" w:after="0" w:line="240" w:lineRule="auto"/>
              <w:rPr>
                <w:bCs/>
              </w:rPr>
            </w:pPr>
            <w:r w:rsidRPr="00720745">
              <w:rPr>
                <w:bCs/>
              </w:rPr>
              <w:t>socialno področje</w:t>
            </w:r>
          </w:p>
        </w:tc>
        <w:tc>
          <w:tcPr>
            <w:tcW w:w="2209" w:type="dxa"/>
            <w:vAlign w:val="center"/>
          </w:tcPr>
          <w:p w14:paraId="45EA6C7C" w14:textId="77777777" w:rsidR="004D434D" w:rsidRPr="00720745" w:rsidRDefault="004D434D" w:rsidP="00A0055E">
            <w:pPr>
              <w:pStyle w:val="Neotevilenodstavek"/>
              <w:spacing w:before="0" w:after="0" w:line="240" w:lineRule="auto"/>
              <w:jc w:val="center"/>
              <w:rPr>
                <w:iCs/>
              </w:rPr>
            </w:pPr>
            <w:r w:rsidRPr="00720745">
              <w:t>NE</w:t>
            </w:r>
          </w:p>
        </w:tc>
      </w:tr>
      <w:tr w:rsidR="004D434D" w:rsidRPr="00720745" w14:paraId="321EC80C" w14:textId="77777777" w:rsidTr="004D434D">
        <w:tc>
          <w:tcPr>
            <w:tcW w:w="1561" w:type="dxa"/>
            <w:tcBorders>
              <w:bottom w:val="single" w:sz="4" w:space="0" w:color="auto"/>
            </w:tcBorders>
          </w:tcPr>
          <w:p w14:paraId="29C16343" w14:textId="77777777" w:rsidR="004D434D" w:rsidRPr="00720745" w:rsidRDefault="004D434D" w:rsidP="00A0055E">
            <w:pPr>
              <w:pStyle w:val="Neotevilenodstavek"/>
              <w:spacing w:before="0" w:after="0" w:line="240" w:lineRule="auto"/>
              <w:ind w:left="360"/>
              <w:rPr>
                <w:iCs/>
              </w:rPr>
            </w:pPr>
            <w:r w:rsidRPr="00720745">
              <w:rPr>
                <w:iCs/>
              </w:rPr>
              <w:t>f)</w:t>
            </w:r>
          </w:p>
        </w:tc>
        <w:tc>
          <w:tcPr>
            <w:tcW w:w="5444" w:type="dxa"/>
            <w:gridSpan w:val="2"/>
            <w:tcBorders>
              <w:bottom w:val="single" w:sz="4" w:space="0" w:color="auto"/>
            </w:tcBorders>
          </w:tcPr>
          <w:p w14:paraId="7B09BD81" w14:textId="77777777" w:rsidR="004D434D" w:rsidRPr="00720745" w:rsidRDefault="004D434D" w:rsidP="00A0055E">
            <w:pPr>
              <w:pStyle w:val="Neotevilenodstavek"/>
              <w:spacing w:before="0" w:after="0" w:line="240" w:lineRule="auto"/>
              <w:rPr>
                <w:bCs/>
              </w:rPr>
            </w:pPr>
            <w:r w:rsidRPr="00720745">
              <w:rPr>
                <w:bCs/>
              </w:rPr>
              <w:t>dokumente razvojnega načrtovanja:</w:t>
            </w:r>
          </w:p>
          <w:p w14:paraId="3FB7F899" w14:textId="77777777" w:rsidR="004D434D" w:rsidRPr="00720745" w:rsidRDefault="004D434D" w:rsidP="009209F8">
            <w:pPr>
              <w:pStyle w:val="Neotevilenodstavek"/>
              <w:numPr>
                <w:ilvl w:val="0"/>
                <w:numId w:val="25"/>
              </w:numPr>
              <w:spacing w:before="0" w:after="0" w:line="240" w:lineRule="auto"/>
              <w:rPr>
                <w:bCs/>
              </w:rPr>
            </w:pPr>
            <w:r w:rsidRPr="00720745">
              <w:rPr>
                <w:bCs/>
              </w:rPr>
              <w:t>nacionalne dokumente razvojnega načrtovanja</w:t>
            </w:r>
          </w:p>
          <w:p w14:paraId="0FC8CD71" w14:textId="77777777" w:rsidR="004D434D" w:rsidRPr="00720745" w:rsidRDefault="004D434D" w:rsidP="009209F8">
            <w:pPr>
              <w:pStyle w:val="Neotevilenodstavek"/>
              <w:numPr>
                <w:ilvl w:val="0"/>
                <w:numId w:val="25"/>
              </w:numPr>
              <w:spacing w:before="0" w:after="0" w:line="240" w:lineRule="auto"/>
              <w:rPr>
                <w:bCs/>
              </w:rPr>
            </w:pPr>
            <w:r w:rsidRPr="00720745">
              <w:rPr>
                <w:bCs/>
              </w:rPr>
              <w:t>razvojne politike na ravni programov po strukturi razvojne klasifikacije programskega proračuna</w:t>
            </w:r>
          </w:p>
          <w:p w14:paraId="257E22F2" w14:textId="77777777" w:rsidR="004D434D" w:rsidRPr="00720745" w:rsidRDefault="004D434D" w:rsidP="009209F8">
            <w:pPr>
              <w:pStyle w:val="Neotevilenodstavek"/>
              <w:numPr>
                <w:ilvl w:val="0"/>
                <w:numId w:val="25"/>
              </w:numPr>
              <w:spacing w:before="0" w:after="0" w:line="240" w:lineRule="auto"/>
              <w:rPr>
                <w:bCs/>
              </w:rPr>
            </w:pPr>
            <w:r w:rsidRPr="00720745">
              <w:rPr>
                <w:bCs/>
              </w:rPr>
              <w:t>razvojne dokumente Evropske unije in mednarodnih organizacij</w:t>
            </w:r>
          </w:p>
        </w:tc>
        <w:tc>
          <w:tcPr>
            <w:tcW w:w="2209" w:type="dxa"/>
            <w:tcBorders>
              <w:bottom w:val="single" w:sz="4" w:space="0" w:color="auto"/>
            </w:tcBorders>
            <w:vAlign w:val="center"/>
          </w:tcPr>
          <w:p w14:paraId="730F6EE9" w14:textId="77777777" w:rsidR="004D434D" w:rsidRPr="00720745" w:rsidRDefault="004D434D" w:rsidP="00A0055E">
            <w:pPr>
              <w:pStyle w:val="Neotevilenodstavek"/>
              <w:spacing w:before="0" w:after="0" w:line="240" w:lineRule="auto"/>
              <w:jc w:val="center"/>
              <w:rPr>
                <w:iCs/>
              </w:rPr>
            </w:pPr>
            <w:r w:rsidRPr="00720745">
              <w:t>NE</w:t>
            </w:r>
          </w:p>
        </w:tc>
      </w:tr>
      <w:tr w:rsidR="004D434D" w:rsidRPr="002D15D8" w14:paraId="2BA074B9" w14:textId="77777777" w:rsidTr="004D434D">
        <w:tc>
          <w:tcPr>
            <w:tcW w:w="9214" w:type="dxa"/>
            <w:gridSpan w:val="4"/>
            <w:tcBorders>
              <w:top w:val="single" w:sz="4" w:space="0" w:color="auto"/>
              <w:left w:val="single" w:sz="4" w:space="0" w:color="auto"/>
              <w:bottom w:val="single" w:sz="4" w:space="0" w:color="auto"/>
              <w:right w:val="single" w:sz="4" w:space="0" w:color="auto"/>
            </w:tcBorders>
          </w:tcPr>
          <w:p w14:paraId="61ED414F" w14:textId="77777777" w:rsidR="004D434D" w:rsidRPr="00720745" w:rsidRDefault="004D434D" w:rsidP="00A0055E">
            <w:pPr>
              <w:pStyle w:val="Oddelek"/>
              <w:widowControl w:val="0"/>
              <w:numPr>
                <w:ilvl w:val="0"/>
                <w:numId w:val="0"/>
              </w:numPr>
              <w:spacing w:before="0" w:after="0" w:line="240" w:lineRule="auto"/>
              <w:jc w:val="left"/>
              <w:rPr>
                <w:rFonts w:cs="Arial"/>
              </w:rPr>
            </w:pPr>
            <w:r w:rsidRPr="00720745">
              <w:rPr>
                <w:rFonts w:cs="Arial"/>
              </w:rPr>
              <w:t>7.a Predstavitev ocene finančnih posledic nad 40.000 EUR:</w:t>
            </w:r>
          </w:p>
          <w:p w14:paraId="65EF6271" w14:textId="77777777" w:rsidR="004D434D" w:rsidRPr="00720745" w:rsidRDefault="004D434D" w:rsidP="00A0055E">
            <w:pPr>
              <w:pStyle w:val="Oddelek"/>
              <w:widowControl w:val="0"/>
              <w:numPr>
                <w:ilvl w:val="0"/>
                <w:numId w:val="0"/>
              </w:numPr>
              <w:spacing w:before="0" w:after="0" w:line="240" w:lineRule="auto"/>
              <w:jc w:val="left"/>
              <w:rPr>
                <w:rFonts w:cs="Arial"/>
                <w:b w:val="0"/>
              </w:rPr>
            </w:pPr>
            <w:r w:rsidRPr="00720745">
              <w:rPr>
                <w:rFonts w:cs="Arial"/>
                <w:b w:val="0"/>
              </w:rPr>
              <w:t>(Samo če izberete DA pod točko 6.a.)</w:t>
            </w:r>
          </w:p>
        </w:tc>
      </w:tr>
      <w:tr w:rsidR="004D434D" w:rsidRPr="002D15D8" w14:paraId="4156F7DE" w14:textId="77777777" w:rsidTr="004D434D">
        <w:tc>
          <w:tcPr>
            <w:tcW w:w="9214" w:type="dxa"/>
            <w:gridSpan w:val="4"/>
            <w:tcBorders>
              <w:top w:val="single" w:sz="4" w:space="0" w:color="auto"/>
              <w:left w:val="single" w:sz="4" w:space="0" w:color="auto"/>
              <w:bottom w:val="single" w:sz="4" w:space="0" w:color="auto"/>
              <w:right w:val="single" w:sz="4" w:space="0" w:color="auto"/>
            </w:tcBorders>
          </w:tcPr>
          <w:p w14:paraId="45AAB7B8" w14:textId="77777777" w:rsidR="004D434D" w:rsidRPr="00720745" w:rsidRDefault="004D434D" w:rsidP="00A0055E">
            <w:pPr>
              <w:pStyle w:val="Oddelek"/>
              <w:widowControl w:val="0"/>
              <w:numPr>
                <w:ilvl w:val="0"/>
                <w:numId w:val="0"/>
              </w:numPr>
              <w:spacing w:before="0" w:after="0" w:line="240" w:lineRule="auto"/>
              <w:jc w:val="left"/>
              <w:rPr>
                <w:rFonts w:cs="Arial"/>
              </w:rPr>
            </w:pPr>
          </w:p>
        </w:tc>
      </w:tr>
    </w:tbl>
    <w:p w14:paraId="406FDA50" w14:textId="77777777" w:rsidR="004D434D" w:rsidRPr="00720745" w:rsidRDefault="004D434D" w:rsidP="00A0055E">
      <w:pPr>
        <w:rPr>
          <w:rFonts w:ascii="Arial" w:hAnsi="Arial" w:cs="Arial"/>
          <w:vanish/>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716"/>
        <w:gridCol w:w="1369"/>
        <w:gridCol w:w="535"/>
        <w:gridCol w:w="1252"/>
        <w:gridCol w:w="677"/>
        <w:gridCol w:w="342"/>
        <w:gridCol w:w="327"/>
        <w:gridCol w:w="1933"/>
      </w:tblGrid>
      <w:tr w:rsidR="004D434D" w:rsidRPr="002D15D8" w14:paraId="738125D0" w14:textId="77777777" w:rsidTr="00B001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E1700A9"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 I. Ocena finančnih posledic, ki niso načrtovane v sprejetem proračunu</w:t>
            </w:r>
          </w:p>
        </w:tc>
      </w:tr>
      <w:tr w:rsidR="00880043" w:rsidRPr="00720745" w14:paraId="25F7BB2F" w14:textId="77777777" w:rsidTr="00B00107">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14:paraId="3C949546"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2B2F69E2"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14:paraId="54FDD991"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990810B"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t + 2</w:t>
            </w:r>
          </w:p>
        </w:tc>
        <w:tc>
          <w:tcPr>
            <w:tcW w:w="2093" w:type="dxa"/>
            <w:tcBorders>
              <w:top w:val="single" w:sz="4" w:space="0" w:color="auto"/>
              <w:left w:val="single" w:sz="4" w:space="0" w:color="auto"/>
              <w:bottom w:val="single" w:sz="4" w:space="0" w:color="auto"/>
              <w:right w:val="single" w:sz="4" w:space="0" w:color="auto"/>
            </w:tcBorders>
            <w:vAlign w:val="center"/>
          </w:tcPr>
          <w:p w14:paraId="27B35605"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t + 3</w:t>
            </w:r>
          </w:p>
        </w:tc>
      </w:tr>
      <w:tr w:rsidR="00880043" w:rsidRPr="002D15D8" w14:paraId="77BD3CD3" w14:textId="77777777" w:rsidTr="00B00107">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2BD4CAD9" w14:textId="77777777" w:rsidR="004D434D" w:rsidRPr="00720745" w:rsidRDefault="004D434D" w:rsidP="00A0055E">
            <w:pPr>
              <w:pStyle w:val="NormalBulleted"/>
              <w:numPr>
                <w:ilvl w:val="0"/>
                <w:numId w:val="0"/>
              </w:numPr>
              <w:spacing w:line="240" w:lineRule="auto"/>
              <w:ind w:left="360"/>
              <w:rPr>
                <w:rFonts w:ascii="Arial" w:hAnsi="Arial" w:cs="Arial"/>
                <w:bCs/>
              </w:rPr>
            </w:pPr>
            <w:r w:rsidRPr="00720745">
              <w:rPr>
                <w:rFonts w:ascii="Arial" w:hAnsi="Arial" w:cs="Arial"/>
                <w:bCs/>
              </w:rPr>
              <w:lastRenderedPageBreak/>
              <w:t>Predvideno povečanje (+) ali zmanjšanje (</w:t>
            </w:r>
            <w:r w:rsidRPr="00720745">
              <w:rPr>
                <w:rFonts w:ascii="Arial" w:hAnsi="Arial" w:cs="Arial"/>
                <w:b/>
              </w:rPr>
              <w:t>–</w:t>
            </w:r>
            <w:r w:rsidRPr="00720745">
              <w:rPr>
                <w:rFonts w:ascii="Arial" w:hAnsi="Arial" w:cs="Arial"/>
                <w:bCs/>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1D76B955" w14:textId="77777777" w:rsidR="004D434D" w:rsidRPr="00720745" w:rsidRDefault="004D434D" w:rsidP="00A0055E">
            <w:pPr>
              <w:pStyle w:val="NormalBulleted"/>
              <w:numPr>
                <w:ilvl w:val="0"/>
                <w:numId w:val="0"/>
              </w:numPr>
              <w:spacing w:line="240" w:lineRule="auto"/>
              <w:ind w:left="360"/>
              <w:rPr>
                <w:rFonts w:ascii="Arial" w:hAnsi="Arial" w:cs="Arial"/>
                <w:b/>
                <w:bCs/>
              </w:rPr>
            </w:pPr>
            <w:r w:rsidRPr="00720745">
              <w:rPr>
                <w:rFonts w:ascii="Arial" w:hAnsi="Arial" w:cs="Arial"/>
                <w:b/>
                <w:bCs/>
              </w:rPr>
              <w:t xml:space="preserve"> </w:t>
            </w:r>
          </w:p>
        </w:tc>
        <w:tc>
          <w:tcPr>
            <w:tcW w:w="940" w:type="dxa"/>
            <w:tcBorders>
              <w:top w:val="single" w:sz="4" w:space="0" w:color="auto"/>
              <w:left w:val="single" w:sz="4" w:space="0" w:color="auto"/>
              <w:bottom w:val="single" w:sz="4" w:space="0" w:color="auto"/>
              <w:right w:val="single" w:sz="4" w:space="0" w:color="auto"/>
            </w:tcBorders>
            <w:vAlign w:val="center"/>
          </w:tcPr>
          <w:p w14:paraId="6EB0A4D4"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9B046A4" w14:textId="77777777" w:rsidR="004D434D" w:rsidRPr="00720745" w:rsidRDefault="004D434D" w:rsidP="00A0055E">
            <w:pPr>
              <w:pStyle w:val="NormalBulleted"/>
              <w:numPr>
                <w:ilvl w:val="0"/>
                <w:numId w:val="0"/>
              </w:numPr>
              <w:spacing w:line="240" w:lineRule="auto"/>
              <w:ind w:left="360"/>
              <w:rPr>
                <w:rFonts w:ascii="Arial" w:hAnsi="Arial" w:cs="Arial"/>
                <w:b/>
              </w:rPr>
            </w:pPr>
          </w:p>
        </w:tc>
        <w:tc>
          <w:tcPr>
            <w:tcW w:w="2093" w:type="dxa"/>
            <w:tcBorders>
              <w:top w:val="single" w:sz="4" w:space="0" w:color="auto"/>
              <w:left w:val="single" w:sz="4" w:space="0" w:color="auto"/>
              <w:bottom w:val="single" w:sz="4" w:space="0" w:color="auto"/>
              <w:right w:val="single" w:sz="4" w:space="0" w:color="auto"/>
            </w:tcBorders>
            <w:vAlign w:val="center"/>
          </w:tcPr>
          <w:p w14:paraId="4A92AB2A" w14:textId="77777777" w:rsidR="004D434D" w:rsidRPr="00720745" w:rsidRDefault="004D434D" w:rsidP="00A0055E">
            <w:pPr>
              <w:pStyle w:val="NormalBulleted"/>
              <w:numPr>
                <w:ilvl w:val="0"/>
                <w:numId w:val="0"/>
              </w:numPr>
              <w:spacing w:line="240" w:lineRule="auto"/>
              <w:ind w:left="360"/>
              <w:rPr>
                <w:rFonts w:ascii="Arial" w:hAnsi="Arial" w:cs="Arial"/>
                <w:b/>
              </w:rPr>
            </w:pPr>
          </w:p>
        </w:tc>
      </w:tr>
      <w:tr w:rsidR="00880043" w:rsidRPr="002D15D8" w14:paraId="55640713" w14:textId="77777777" w:rsidTr="00B00107">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31D3714D" w14:textId="77777777" w:rsidR="004D434D" w:rsidRPr="00720745" w:rsidRDefault="004D434D" w:rsidP="00A0055E">
            <w:pPr>
              <w:pStyle w:val="NormalBulleted"/>
              <w:numPr>
                <w:ilvl w:val="0"/>
                <w:numId w:val="0"/>
              </w:numPr>
              <w:spacing w:line="240" w:lineRule="auto"/>
              <w:ind w:left="360"/>
              <w:rPr>
                <w:rFonts w:ascii="Arial" w:hAnsi="Arial" w:cs="Arial"/>
                <w:bCs/>
              </w:rPr>
            </w:pPr>
            <w:r w:rsidRPr="00720745">
              <w:rPr>
                <w:rFonts w:ascii="Arial" w:hAnsi="Arial" w:cs="Arial"/>
                <w:bCs/>
              </w:rPr>
              <w:t>Predvideno povečanje (+) ali zmanjšanje (</w:t>
            </w:r>
            <w:r w:rsidRPr="00720745">
              <w:rPr>
                <w:rFonts w:ascii="Arial" w:hAnsi="Arial" w:cs="Arial"/>
                <w:b/>
              </w:rPr>
              <w:t>–</w:t>
            </w:r>
            <w:r w:rsidRPr="00720745">
              <w:rPr>
                <w:rFonts w:ascii="Arial" w:hAnsi="Arial" w:cs="Arial"/>
                <w:bCs/>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17AE5A30"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940" w:type="dxa"/>
            <w:tcBorders>
              <w:top w:val="single" w:sz="4" w:space="0" w:color="auto"/>
              <w:left w:val="single" w:sz="4" w:space="0" w:color="auto"/>
              <w:bottom w:val="single" w:sz="4" w:space="0" w:color="auto"/>
              <w:right w:val="single" w:sz="4" w:space="0" w:color="auto"/>
            </w:tcBorders>
            <w:vAlign w:val="center"/>
          </w:tcPr>
          <w:p w14:paraId="16C6944B"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B33C534" w14:textId="77777777" w:rsidR="004D434D" w:rsidRPr="00720745" w:rsidRDefault="004D434D" w:rsidP="00A0055E">
            <w:pPr>
              <w:pStyle w:val="NormalBulleted"/>
              <w:numPr>
                <w:ilvl w:val="0"/>
                <w:numId w:val="0"/>
              </w:numPr>
              <w:spacing w:line="240" w:lineRule="auto"/>
              <w:ind w:left="360"/>
              <w:rPr>
                <w:rFonts w:ascii="Arial" w:hAnsi="Arial" w:cs="Arial"/>
                <w:b/>
              </w:rPr>
            </w:pPr>
          </w:p>
        </w:tc>
        <w:tc>
          <w:tcPr>
            <w:tcW w:w="2093" w:type="dxa"/>
            <w:tcBorders>
              <w:top w:val="single" w:sz="4" w:space="0" w:color="auto"/>
              <w:left w:val="single" w:sz="4" w:space="0" w:color="auto"/>
              <w:bottom w:val="single" w:sz="4" w:space="0" w:color="auto"/>
              <w:right w:val="single" w:sz="4" w:space="0" w:color="auto"/>
            </w:tcBorders>
            <w:vAlign w:val="center"/>
          </w:tcPr>
          <w:p w14:paraId="6C21526D" w14:textId="77777777" w:rsidR="004D434D" w:rsidRPr="00720745" w:rsidRDefault="004D434D" w:rsidP="00A0055E">
            <w:pPr>
              <w:pStyle w:val="NormalBulleted"/>
              <w:numPr>
                <w:ilvl w:val="0"/>
                <w:numId w:val="0"/>
              </w:numPr>
              <w:spacing w:line="240" w:lineRule="auto"/>
              <w:ind w:left="360"/>
              <w:rPr>
                <w:rFonts w:ascii="Arial" w:hAnsi="Arial" w:cs="Arial"/>
                <w:b/>
              </w:rPr>
            </w:pPr>
          </w:p>
        </w:tc>
      </w:tr>
      <w:tr w:rsidR="00880043" w:rsidRPr="002D15D8" w14:paraId="5D984333" w14:textId="77777777" w:rsidTr="00B00107">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797037E5" w14:textId="77777777" w:rsidR="004D434D" w:rsidRPr="00720745" w:rsidRDefault="004D434D" w:rsidP="00A0055E">
            <w:pPr>
              <w:pStyle w:val="NormalBulleted"/>
              <w:numPr>
                <w:ilvl w:val="0"/>
                <w:numId w:val="0"/>
              </w:numPr>
              <w:spacing w:line="240" w:lineRule="auto"/>
              <w:ind w:left="360"/>
              <w:rPr>
                <w:rFonts w:ascii="Arial" w:hAnsi="Arial" w:cs="Arial"/>
                <w:bCs/>
              </w:rPr>
            </w:pPr>
            <w:r w:rsidRPr="00720745">
              <w:rPr>
                <w:rFonts w:ascii="Arial" w:hAnsi="Arial" w:cs="Arial"/>
                <w:bCs/>
              </w:rPr>
              <w:t>Predvideno povečanje (+) ali zmanjšanje (</w:t>
            </w:r>
            <w:r w:rsidRPr="00720745">
              <w:rPr>
                <w:rFonts w:ascii="Arial" w:hAnsi="Arial" w:cs="Arial"/>
                <w:b/>
              </w:rPr>
              <w:t>–</w:t>
            </w:r>
            <w:r w:rsidRPr="00720745">
              <w:rPr>
                <w:rFonts w:ascii="Arial" w:hAnsi="Arial" w:cs="Arial"/>
                <w:bCs/>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11D3DC8"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940" w:type="dxa"/>
            <w:tcBorders>
              <w:top w:val="single" w:sz="4" w:space="0" w:color="auto"/>
              <w:left w:val="single" w:sz="4" w:space="0" w:color="auto"/>
              <w:bottom w:val="single" w:sz="4" w:space="0" w:color="auto"/>
              <w:right w:val="single" w:sz="4" w:space="0" w:color="auto"/>
            </w:tcBorders>
            <w:vAlign w:val="center"/>
          </w:tcPr>
          <w:p w14:paraId="39D80995"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FF4707F"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vAlign w:val="center"/>
          </w:tcPr>
          <w:p w14:paraId="4F8C8A08" w14:textId="77777777" w:rsidR="004D434D" w:rsidRPr="00720745" w:rsidRDefault="004D434D" w:rsidP="00A0055E">
            <w:pPr>
              <w:pStyle w:val="NormalBulleted"/>
              <w:numPr>
                <w:ilvl w:val="0"/>
                <w:numId w:val="0"/>
              </w:numPr>
              <w:spacing w:line="240" w:lineRule="auto"/>
              <w:ind w:left="360"/>
              <w:rPr>
                <w:rFonts w:ascii="Arial" w:hAnsi="Arial" w:cs="Arial"/>
              </w:rPr>
            </w:pPr>
          </w:p>
        </w:tc>
      </w:tr>
      <w:tr w:rsidR="00880043" w:rsidRPr="002D15D8" w14:paraId="3406B324" w14:textId="77777777" w:rsidTr="00B00107">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3556E3C1" w14:textId="77777777" w:rsidR="004D434D" w:rsidRPr="00720745" w:rsidRDefault="004D434D" w:rsidP="00A0055E">
            <w:pPr>
              <w:pStyle w:val="NormalBulleted"/>
              <w:numPr>
                <w:ilvl w:val="0"/>
                <w:numId w:val="0"/>
              </w:numPr>
              <w:spacing w:line="240" w:lineRule="auto"/>
              <w:ind w:left="360"/>
              <w:rPr>
                <w:rFonts w:ascii="Arial" w:hAnsi="Arial" w:cs="Arial"/>
                <w:bCs/>
              </w:rPr>
            </w:pPr>
            <w:r w:rsidRPr="00720745">
              <w:rPr>
                <w:rFonts w:ascii="Arial" w:hAnsi="Arial" w:cs="Arial"/>
                <w:bCs/>
              </w:rPr>
              <w:t>Predvideno povečanje (+) ali zmanjšanje (</w:t>
            </w:r>
            <w:r w:rsidRPr="00720745">
              <w:rPr>
                <w:rFonts w:ascii="Arial" w:hAnsi="Arial" w:cs="Arial"/>
                <w:b/>
              </w:rPr>
              <w:t>–</w:t>
            </w:r>
            <w:r w:rsidRPr="00720745">
              <w:rPr>
                <w:rFonts w:ascii="Arial" w:hAnsi="Arial" w:cs="Arial"/>
                <w:bCs/>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16C2FFD"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940" w:type="dxa"/>
            <w:tcBorders>
              <w:top w:val="single" w:sz="4" w:space="0" w:color="auto"/>
              <w:left w:val="single" w:sz="4" w:space="0" w:color="auto"/>
              <w:bottom w:val="single" w:sz="4" w:space="0" w:color="auto"/>
              <w:right w:val="single" w:sz="4" w:space="0" w:color="auto"/>
            </w:tcBorders>
            <w:vAlign w:val="center"/>
          </w:tcPr>
          <w:p w14:paraId="0E79E4B0"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546FD5D"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vAlign w:val="center"/>
          </w:tcPr>
          <w:p w14:paraId="3F72D94A" w14:textId="77777777" w:rsidR="004D434D" w:rsidRPr="00720745" w:rsidRDefault="004D434D" w:rsidP="00A0055E">
            <w:pPr>
              <w:pStyle w:val="NormalBulleted"/>
              <w:numPr>
                <w:ilvl w:val="0"/>
                <w:numId w:val="0"/>
              </w:numPr>
              <w:spacing w:line="240" w:lineRule="auto"/>
              <w:ind w:left="360"/>
              <w:rPr>
                <w:rFonts w:ascii="Arial" w:hAnsi="Arial" w:cs="Arial"/>
              </w:rPr>
            </w:pPr>
          </w:p>
        </w:tc>
      </w:tr>
      <w:tr w:rsidR="00880043" w:rsidRPr="002D15D8" w14:paraId="6CC19CE3" w14:textId="77777777" w:rsidTr="00B00107">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00133BF5" w14:textId="77777777" w:rsidR="004D434D" w:rsidRPr="00720745" w:rsidRDefault="004D434D" w:rsidP="00A0055E">
            <w:pPr>
              <w:pStyle w:val="NormalBulleted"/>
              <w:numPr>
                <w:ilvl w:val="0"/>
                <w:numId w:val="0"/>
              </w:numPr>
              <w:spacing w:line="240" w:lineRule="auto"/>
              <w:ind w:left="360"/>
              <w:rPr>
                <w:rFonts w:ascii="Arial" w:hAnsi="Arial" w:cs="Arial"/>
                <w:bCs/>
              </w:rPr>
            </w:pPr>
            <w:r w:rsidRPr="00720745">
              <w:rPr>
                <w:rFonts w:ascii="Arial" w:hAnsi="Arial" w:cs="Arial"/>
                <w:bCs/>
              </w:rPr>
              <w:t>Predvideno povečanje (+) ali zmanjšanje (</w:t>
            </w:r>
            <w:r w:rsidRPr="00720745">
              <w:rPr>
                <w:rFonts w:ascii="Arial" w:hAnsi="Arial" w:cs="Arial"/>
                <w:b/>
              </w:rPr>
              <w:t>–</w:t>
            </w:r>
            <w:r w:rsidRPr="00720745">
              <w:rPr>
                <w:rFonts w:ascii="Arial" w:hAnsi="Arial" w:cs="Arial"/>
                <w:bCs/>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CEFCB3D"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940" w:type="dxa"/>
            <w:tcBorders>
              <w:top w:val="single" w:sz="4" w:space="0" w:color="auto"/>
              <w:left w:val="single" w:sz="4" w:space="0" w:color="auto"/>
              <w:bottom w:val="single" w:sz="4" w:space="0" w:color="auto"/>
              <w:right w:val="single" w:sz="4" w:space="0" w:color="auto"/>
            </w:tcBorders>
            <w:vAlign w:val="center"/>
          </w:tcPr>
          <w:p w14:paraId="1654EDEE"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3389402" w14:textId="77777777" w:rsidR="004D434D" w:rsidRPr="00720745" w:rsidRDefault="004D434D" w:rsidP="00A0055E">
            <w:pPr>
              <w:pStyle w:val="NormalBulleted"/>
              <w:numPr>
                <w:ilvl w:val="0"/>
                <w:numId w:val="0"/>
              </w:numPr>
              <w:spacing w:line="240" w:lineRule="auto"/>
              <w:ind w:left="360"/>
              <w:rPr>
                <w:rFonts w:ascii="Arial" w:hAnsi="Arial" w:cs="Arial"/>
                <w:b/>
              </w:rPr>
            </w:pPr>
          </w:p>
        </w:tc>
        <w:tc>
          <w:tcPr>
            <w:tcW w:w="2093" w:type="dxa"/>
            <w:tcBorders>
              <w:top w:val="single" w:sz="4" w:space="0" w:color="auto"/>
              <w:left w:val="single" w:sz="4" w:space="0" w:color="auto"/>
              <w:bottom w:val="single" w:sz="4" w:space="0" w:color="auto"/>
              <w:right w:val="single" w:sz="4" w:space="0" w:color="auto"/>
            </w:tcBorders>
            <w:vAlign w:val="center"/>
          </w:tcPr>
          <w:p w14:paraId="3C92F4AE" w14:textId="77777777" w:rsidR="004D434D" w:rsidRPr="00720745" w:rsidRDefault="004D434D" w:rsidP="00A0055E">
            <w:pPr>
              <w:pStyle w:val="NormalBulleted"/>
              <w:numPr>
                <w:ilvl w:val="0"/>
                <w:numId w:val="0"/>
              </w:numPr>
              <w:spacing w:line="240" w:lineRule="auto"/>
              <w:ind w:left="360"/>
              <w:rPr>
                <w:rFonts w:ascii="Arial" w:hAnsi="Arial" w:cs="Arial"/>
                <w:b/>
              </w:rPr>
            </w:pPr>
          </w:p>
        </w:tc>
      </w:tr>
      <w:tr w:rsidR="004D434D" w:rsidRPr="002D15D8" w14:paraId="2B0E63CF" w14:textId="77777777" w:rsidTr="00B001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AC9CF6"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 II. Finančne posledice za državni proračun</w:t>
            </w:r>
          </w:p>
        </w:tc>
      </w:tr>
      <w:tr w:rsidR="004D434D" w:rsidRPr="002D15D8" w14:paraId="431CE19D" w14:textId="77777777" w:rsidTr="00B001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17B8E4"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 II.a Pravice porabe za izvedbo predlaganih rešitev so zagotovljene:</w:t>
            </w:r>
          </w:p>
        </w:tc>
      </w:tr>
      <w:tr w:rsidR="00880043" w:rsidRPr="00720745" w14:paraId="5122EF02" w14:textId="77777777" w:rsidTr="00B00107">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46081542"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245AEB"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0C0D052"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004C9A9"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42B91337"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Znesek za t + 1</w:t>
            </w:r>
          </w:p>
        </w:tc>
      </w:tr>
      <w:tr w:rsidR="00880043" w:rsidRPr="00720745" w14:paraId="50482A3D" w14:textId="77777777" w:rsidTr="00B00107">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44380B40"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1462D4"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A202AEA"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F1B5348"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093" w:type="dxa"/>
            <w:tcBorders>
              <w:top w:val="single" w:sz="4" w:space="0" w:color="auto"/>
              <w:left w:val="single" w:sz="4" w:space="0" w:color="auto"/>
              <w:bottom w:val="single" w:sz="4" w:space="0" w:color="auto"/>
              <w:right w:val="single" w:sz="4" w:space="0" w:color="auto"/>
            </w:tcBorders>
            <w:vAlign w:val="center"/>
          </w:tcPr>
          <w:p w14:paraId="0656F02A" w14:textId="77777777" w:rsidR="004D434D" w:rsidRPr="00720745" w:rsidRDefault="004D434D" w:rsidP="00A0055E">
            <w:pPr>
              <w:pStyle w:val="NormalBulleted"/>
              <w:numPr>
                <w:ilvl w:val="0"/>
                <w:numId w:val="0"/>
              </w:numPr>
              <w:spacing w:line="240" w:lineRule="auto"/>
              <w:ind w:left="360"/>
              <w:rPr>
                <w:rFonts w:ascii="Arial" w:hAnsi="Arial" w:cs="Arial"/>
                <w:b/>
                <w:bCs/>
              </w:rPr>
            </w:pPr>
          </w:p>
        </w:tc>
      </w:tr>
      <w:tr w:rsidR="00880043" w:rsidRPr="00720745" w14:paraId="6AF39F9D" w14:textId="77777777" w:rsidTr="00B00107">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7B893BBA"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AC5390B"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B2A392E"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DE07FE9"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093" w:type="dxa"/>
            <w:tcBorders>
              <w:top w:val="single" w:sz="4" w:space="0" w:color="auto"/>
              <w:left w:val="single" w:sz="4" w:space="0" w:color="auto"/>
              <w:bottom w:val="single" w:sz="4" w:space="0" w:color="auto"/>
              <w:right w:val="single" w:sz="4" w:space="0" w:color="auto"/>
            </w:tcBorders>
            <w:vAlign w:val="center"/>
          </w:tcPr>
          <w:p w14:paraId="2898048F" w14:textId="77777777" w:rsidR="004D434D" w:rsidRPr="00720745" w:rsidRDefault="004D434D" w:rsidP="00A0055E">
            <w:pPr>
              <w:pStyle w:val="NormalBulleted"/>
              <w:numPr>
                <w:ilvl w:val="0"/>
                <w:numId w:val="0"/>
              </w:numPr>
              <w:spacing w:line="240" w:lineRule="auto"/>
              <w:ind w:left="360"/>
              <w:rPr>
                <w:rFonts w:ascii="Arial" w:hAnsi="Arial" w:cs="Arial"/>
                <w:b/>
                <w:bCs/>
              </w:rPr>
            </w:pPr>
          </w:p>
        </w:tc>
      </w:tr>
      <w:tr w:rsidR="004D434D" w:rsidRPr="00720745" w14:paraId="706F65A6" w14:textId="77777777" w:rsidTr="00B00107">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1F3F36AF"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 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72199BC" w14:textId="77777777" w:rsidR="004D434D" w:rsidRPr="00720745" w:rsidRDefault="004D434D" w:rsidP="00A0055E">
            <w:pPr>
              <w:pStyle w:val="NormalBulleted"/>
              <w:numPr>
                <w:ilvl w:val="0"/>
                <w:numId w:val="0"/>
              </w:numPr>
              <w:spacing w:line="240" w:lineRule="auto"/>
              <w:ind w:left="360"/>
              <w:rPr>
                <w:rFonts w:ascii="Arial" w:hAnsi="Arial" w:cs="Arial"/>
                <w:b/>
              </w:rPr>
            </w:pPr>
          </w:p>
        </w:tc>
        <w:tc>
          <w:tcPr>
            <w:tcW w:w="2093" w:type="dxa"/>
            <w:tcBorders>
              <w:top w:val="single" w:sz="4" w:space="0" w:color="auto"/>
              <w:left w:val="single" w:sz="4" w:space="0" w:color="auto"/>
              <w:bottom w:val="single" w:sz="4" w:space="0" w:color="auto"/>
              <w:right w:val="single" w:sz="4" w:space="0" w:color="auto"/>
            </w:tcBorders>
            <w:vAlign w:val="center"/>
          </w:tcPr>
          <w:p w14:paraId="3F13AA0C" w14:textId="77777777" w:rsidR="004D434D" w:rsidRPr="00720745" w:rsidRDefault="004D434D" w:rsidP="00A0055E">
            <w:pPr>
              <w:pStyle w:val="NormalBulleted"/>
              <w:numPr>
                <w:ilvl w:val="0"/>
                <w:numId w:val="0"/>
              </w:numPr>
              <w:spacing w:line="240" w:lineRule="auto"/>
              <w:ind w:left="360"/>
              <w:rPr>
                <w:rFonts w:ascii="Arial" w:hAnsi="Arial" w:cs="Arial"/>
              </w:rPr>
            </w:pPr>
          </w:p>
        </w:tc>
      </w:tr>
      <w:tr w:rsidR="004D434D" w:rsidRPr="00720745" w14:paraId="74EDF3A2" w14:textId="77777777" w:rsidTr="00B001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9B8298"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II.b Manjkajoče pravice porabe bodo zagotovljene s prerazporeditvijo:</w:t>
            </w:r>
          </w:p>
        </w:tc>
      </w:tr>
      <w:tr w:rsidR="00880043" w:rsidRPr="00720745" w14:paraId="1D71E9A6" w14:textId="77777777" w:rsidTr="00B00107">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67A875C6"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4BB2ABC"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B634729"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AADDA12"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4A93A6C6"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Znesek za t + 1 </w:t>
            </w:r>
          </w:p>
        </w:tc>
      </w:tr>
      <w:tr w:rsidR="00880043" w:rsidRPr="00720745" w14:paraId="6D04F395" w14:textId="77777777" w:rsidTr="00B00107">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361D587A" w14:textId="77777777" w:rsidR="004D434D" w:rsidRPr="00720745" w:rsidRDefault="004D434D" w:rsidP="00A0055E">
            <w:pPr>
              <w:pStyle w:val="NormalBulleted"/>
              <w:numPr>
                <w:ilvl w:val="0"/>
                <w:numId w:val="0"/>
              </w:numPr>
              <w:spacing w:line="240" w:lineRule="auto"/>
              <w:ind w:left="360"/>
              <w:rPr>
                <w:rFonts w:ascii="Arial" w:hAnsi="Arial" w:cs="Arial"/>
                <w:b/>
                <w:bCs/>
              </w:rPr>
            </w:pPr>
            <w:r w:rsidRPr="00720745">
              <w:rPr>
                <w:rFonts w:ascii="Arial" w:hAnsi="Arial" w:cs="Arial"/>
                <w:b/>
                <w:bCs/>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D80BA0"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142C1A7"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90C1D46"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093" w:type="dxa"/>
            <w:tcBorders>
              <w:top w:val="single" w:sz="4" w:space="0" w:color="auto"/>
              <w:left w:val="single" w:sz="4" w:space="0" w:color="auto"/>
              <w:bottom w:val="single" w:sz="4" w:space="0" w:color="auto"/>
              <w:right w:val="single" w:sz="4" w:space="0" w:color="auto"/>
            </w:tcBorders>
            <w:vAlign w:val="center"/>
          </w:tcPr>
          <w:p w14:paraId="40CBFF11" w14:textId="77777777" w:rsidR="004D434D" w:rsidRPr="00720745" w:rsidRDefault="004D434D" w:rsidP="00A0055E">
            <w:pPr>
              <w:pStyle w:val="NormalBulleted"/>
              <w:numPr>
                <w:ilvl w:val="0"/>
                <w:numId w:val="0"/>
              </w:numPr>
              <w:spacing w:line="240" w:lineRule="auto"/>
              <w:ind w:left="360"/>
              <w:rPr>
                <w:rFonts w:ascii="Arial" w:hAnsi="Arial" w:cs="Arial"/>
                <w:b/>
                <w:bCs/>
              </w:rPr>
            </w:pPr>
          </w:p>
        </w:tc>
      </w:tr>
      <w:tr w:rsidR="00880043" w:rsidRPr="00720745" w14:paraId="49D5CDAA" w14:textId="77777777" w:rsidTr="00B00107">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7201951C"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C24849"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55BEEC3"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2E38B4D"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093" w:type="dxa"/>
            <w:tcBorders>
              <w:top w:val="single" w:sz="4" w:space="0" w:color="auto"/>
              <w:left w:val="single" w:sz="4" w:space="0" w:color="auto"/>
              <w:bottom w:val="single" w:sz="4" w:space="0" w:color="auto"/>
              <w:right w:val="single" w:sz="4" w:space="0" w:color="auto"/>
            </w:tcBorders>
            <w:vAlign w:val="center"/>
          </w:tcPr>
          <w:p w14:paraId="2E63E85C" w14:textId="77777777" w:rsidR="004D434D" w:rsidRPr="00720745" w:rsidRDefault="004D434D" w:rsidP="00A0055E">
            <w:pPr>
              <w:pStyle w:val="NormalBulleted"/>
              <w:numPr>
                <w:ilvl w:val="0"/>
                <w:numId w:val="0"/>
              </w:numPr>
              <w:spacing w:line="240" w:lineRule="auto"/>
              <w:ind w:left="360"/>
              <w:rPr>
                <w:rFonts w:ascii="Arial" w:hAnsi="Arial" w:cs="Arial"/>
                <w:b/>
                <w:bCs/>
              </w:rPr>
            </w:pPr>
          </w:p>
        </w:tc>
      </w:tr>
      <w:tr w:rsidR="004D434D" w:rsidRPr="00720745" w14:paraId="115506B9" w14:textId="77777777" w:rsidTr="00B00107">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2A3FCE19"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 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CD258AA"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2093" w:type="dxa"/>
            <w:tcBorders>
              <w:top w:val="single" w:sz="4" w:space="0" w:color="auto"/>
              <w:left w:val="single" w:sz="4" w:space="0" w:color="auto"/>
              <w:bottom w:val="single" w:sz="4" w:space="0" w:color="auto"/>
              <w:right w:val="single" w:sz="4" w:space="0" w:color="auto"/>
            </w:tcBorders>
            <w:vAlign w:val="center"/>
          </w:tcPr>
          <w:p w14:paraId="5CA06BD1" w14:textId="77777777" w:rsidR="004D434D" w:rsidRPr="00720745" w:rsidRDefault="004D434D" w:rsidP="00A0055E">
            <w:pPr>
              <w:pStyle w:val="NormalBulleted"/>
              <w:numPr>
                <w:ilvl w:val="0"/>
                <w:numId w:val="0"/>
              </w:numPr>
              <w:spacing w:line="240" w:lineRule="auto"/>
              <w:ind w:left="360"/>
              <w:rPr>
                <w:rFonts w:ascii="Arial" w:hAnsi="Arial" w:cs="Arial"/>
              </w:rPr>
            </w:pPr>
          </w:p>
        </w:tc>
      </w:tr>
      <w:tr w:rsidR="004D434D" w:rsidRPr="00720745" w14:paraId="53EE5EAB" w14:textId="77777777" w:rsidTr="00B001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EF99DD"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 xml:space="preserve"> II.c Načrtovana nadomestitev zmanjšanih prihodkov in povečanih odhodkov proračuna:</w:t>
            </w:r>
          </w:p>
        </w:tc>
      </w:tr>
      <w:tr w:rsidR="004D434D" w:rsidRPr="00720745" w14:paraId="4756ACEB" w14:textId="77777777" w:rsidTr="00B00107">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14:paraId="7AB2A67A"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32A986CA"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2CA4BF96"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Znesek za t + 1</w:t>
            </w:r>
          </w:p>
        </w:tc>
      </w:tr>
      <w:tr w:rsidR="004D434D" w:rsidRPr="00720745" w14:paraId="35AE3DE1" w14:textId="77777777" w:rsidTr="00B00107">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63347B86"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F73C0CF"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46B8AC13" w14:textId="77777777" w:rsidR="004D434D" w:rsidRPr="00720745" w:rsidRDefault="004D434D" w:rsidP="00A0055E">
            <w:pPr>
              <w:pStyle w:val="NormalBulleted"/>
              <w:numPr>
                <w:ilvl w:val="0"/>
                <w:numId w:val="0"/>
              </w:numPr>
              <w:spacing w:line="240" w:lineRule="auto"/>
              <w:ind w:left="360"/>
              <w:rPr>
                <w:rFonts w:ascii="Arial" w:hAnsi="Arial" w:cs="Arial"/>
                <w:b/>
                <w:bCs/>
              </w:rPr>
            </w:pPr>
          </w:p>
        </w:tc>
      </w:tr>
      <w:tr w:rsidR="004D434D" w:rsidRPr="00720745" w14:paraId="4A03BA39" w14:textId="77777777" w:rsidTr="00B00107">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7888A691"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2D6B13F8"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7FE9DE57" w14:textId="77777777" w:rsidR="004D434D" w:rsidRPr="00720745" w:rsidRDefault="004D434D" w:rsidP="00A0055E">
            <w:pPr>
              <w:pStyle w:val="NormalBulleted"/>
              <w:numPr>
                <w:ilvl w:val="0"/>
                <w:numId w:val="0"/>
              </w:numPr>
              <w:spacing w:line="240" w:lineRule="auto"/>
              <w:ind w:left="360"/>
              <w:rPr>
                <w:rFonts w:ascii="Arial" w:hAnsi="Arial" w:cs="Arial"/>
                <w:b/>
                <w:bCs/>
              </w:rPr>
            </w:pPr>
          </w:p>
        </w:tc>
      </w:tr>
      <w:tr w:rsidR="004D434D" w:rsidRPr="00720745" w14:paraId="7260B063" w14:textId="77777777" w:rsidTr="00B00107">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0C0BF80C"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4237A7F2" w14:textId="77777777" w:rsidR="004D434D" w:rsidRPr="00720745" w:rsidRDefault="004D434D" w:rsidP="00A0055E">
            <w:pPr>
              <w:pStyle w:val="NormalBulleted"/>
              <w:numPr>
                <w:ilvl w:val="0"/>
                <w:numId w:val="0"/>
              </w:numPr>
              <w:spacing w:line="240" w:lineRule="auto"/>
              <w:ind w:left="360"/>
              <w:rPr>
                <w:rFonts w:ascii="Arial" w:hAnsi="Arial" w:cs="Arial"/>
                <w:b/>
                <w:bCs/>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6C32C29B" w14:textId="77777777" w:rsidR="004D434D" w:rsidRPr="00720745" w:rsidRDefault="004D434D" w:rsidP="00A0055E">
            <w:pPr>
              <w:pStyle w:val="NormalBulleted"/>
              <w:numPr>
                <w:ilvl w:val="0"/>
                <w:numId w:val="0"/>
              </w:numPr>
              <w:spacing w:line="240" w:lineRule="auto"/>
              <w:ind w:left="360"/>
              <w:rPr>
                <w:rFonts w:ascii="Arial" w:hAnsi="Arial" w:cs="Arial"/>
                <w:b/>
                <w:bCs/>
              </w:rPr>
            </w:pPr>
          </w:p>
        </w:tc>
      </w:tr>
      <w:tr w:rsidR="004D434D" w:rsidRPr="00720745" w14:paraId="05809E40" w14:textId="77777777" w:rsidTr="00B00107">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025BBE61"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14A33ED2" w14:textId="77777777" w:rsidR="004D434D" w:rsidRPr="00720745" w:rsidRDefault="004D434D" w:rsidP="00A0055E">
            <w:pPr>
              <w:pStyle w:val="NormalBulleted"/>
              <w:numPr>
                <w:ilvl w:val="0"/>
                <w:numId w:val="0"/>
              </w:numPr>
              <w:spacing w:line="240" w:lineRule="auto"/>
              <w:ind w:left="360"/>
              <w:rPr>
                <w:rFonts w:ascii="Arial" w:hAnsi="Arial" w:cs="Arial"/>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55ADBEE1" w14:textId="77777777" w:rsidR="004D434D" w:rsidRPr="00720745" w:rsidRDefault="004D434D" w:rsidP="00A0055E">
            <w:pPr>
              <w:pStyle w:val="NormalBulleted"/>
              <w:numPr>
                <w:ilvl w:val="0"/>
                <w:numId w:val="0"/>
              </w:numPr>
              <w:spacing w:line="240" w:lineRule="auto"/>
              <w:ind w:left="360"/>
              <w:rPr>
                <w:rFonts w:ascii="Arial" w:hAnsi="Arial" w:cs="Arial"/>
              </w:rPr>
            </w:pPr>
          </w:p>
        </w:tc>
      </w:tr>
      <w:tr w:rsidR="004D434D" w:rsidRPr="00720745" w14:paraId="6C9FB389"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
        </w:trPr>
        <w:tc>
          <w:tcPr>
            <w:tcW w:w="9200" w:type="dxa"/>
            <w:gridSpan w:val="9"/>
          </w:tcPr>
          <w:p w14:paraId="3243AEEE" w14:textId="77777777" w:rsidR="004D434D" w:rsidRPr="00720745" w:rsidRDefault="004D434D" w:rsidP="00A0055E">
            <w:pPr>
              <w:pStyle w:val="NormalBulleted"/>
              <w:numPr>
                <w:ilvl w:val="0"/>
                <w:numId w:val="0"/>
              </w:numPr>
              <w:spacing w:line="240" w:lineRule="auto"/>
              <w:ind w:left="360"/>
              <w:rPr>
                <w:rFonts w:ascii="Arial" w:hAnsi="Arial" w:cs="Arial"/>
                <w:b/>
              </w:rPr>
            </w:pPr>
          </w:p>
          <w:p w14:paraId="699AA458" w14:textId="77777777" w:rsidR="004D434D" w:rsidRPr="00720745" w:rsidRDefault="004D434D" w:rsidP="00A0055E">
            <w:pPr>
              <w:pStyle w:val="NormalBulleted"/>
              <w:numPr>
                <w:ilvl w:val="0"/>
                <w:numId w:val="0"/>
              </w:numPr>
              <w:spacing w:line="240" w:lineRule="auto"/>
              <w:ind w:left="360"/>
              <w:rPr>
                <w:rFonts w:ascii="Arial" w:hAnsi="Arial" w:cs="Arial"/>
              </w:rPr>
            </w:pPr>
          </w:p>
        </w:tc>
      </w:tr>
      <w:tr w:rsidR="004D434D" w:rsidRPr="002D15D8" w14:paraId="12B666B5"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B77A5E"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7.b Predstavitev ocene finančnih posledic pod 40.000 EUR:</w:t>
            </w:r>
          </w:p>
          <w:p w14:paraId="2ADE3BB2" w14:textId="77777777" w:rsidR="004D434D" w:rsidRPr="00720745" w:rsidRDefault="004D434D" w:rsidP="00A0055E">
            <w:pPr>
              <w:pStyle w:val="NormalBulleted"/>
              <w:numPr>
                <w:ilvl w:val="0"/>
                <w:numId w:val="0"/>
              </w:numPr>
              <w:spacing w:line="240" w:lineRule="auto"/>
              <w:ind w:left="360"/>
              <w:rPr>
                <w:rFonts w:ascii="Arial" w:hAnsi="Arial" w:cs="Arial"/>
                <w:b/>
              </w:rPr>
            </w:pPr>
            <w:r w:rsidRPr="00720745">
              <w:rPr>
                <w:rFonts w:ascii="Arial" w:hAnsi="Arial" w:cs="Arial"/>
                <w:b/>
              </w:rPr>
              <w:t>(Samo če izberete NE pod točko 6.a.)</w:t>
            </w:r>
          </w:p>
          <w:p w14:paraId="2AA4E372" w14:textId="77777777" w:rsidR="004D434D" w:rsidRPr="00720745" w:rsidRDefault="004D434D" w:rsidP="00A0055E">
            <w:pPr>
              <w:pStyle w:val="NormalBulleted"/>
              <w:numPr>
                <w:ilvl w:val="0"/>
                <w:numId w:val="0"/>
              </w:numPr>
              <w:spacing w:line="240" w:lineRule="auto"/>
              <w:ind w:left="360"/>
              <w:rPr>
                <w:rFonts w:ascii="Arial" w:hAnsi="Arial" w:cs="Arial"/>
                <w:b/>
              </w:rPr>
            </w:pPr>
            <w:r w:rsidRPr="00720745">
              <w:rPr>
                <w:rFonts w:ascii="Arial" w:hAnsi="Arial" w:cs="Arial"/>
                <w:b/>
              </w:rPr>
              <w:t>Kratka obrazložitev</w:t>
            </w:r>
          </w:p>
        </w:tc>
      </w:tr>
      <w:tr w:rsidR="004D434D" w:rsidRPr="002D15D8" w14:paraId="55AE4E41"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A8EDC82" w14:textId="77777777" w:rsidR="004D434D" w:rsidRPr="00720745" w:rsidRDefault="004D434D" w:rsidP="00A0055E">
            <w:pPr>
              <w:pStyle w:val="NormalBulleted"/>
              <w:numPr>
                <w:ilvl w:val="0"/>
                <w:numId w:val="0"/>
              </w:numPr>
              <w:spacing w:line="240" w:lineRule="auto"/>
              <w:ind w:left="360"/>
              <w:rPr>
                <w:rFonts w:ascii="Arial" w:hAnsi="Arial" w:cs="Arial"/>
                <w:b/>
              </w:rPr>
            </w:pPr>
            <w:r w:rsidRPr="00720745">
              <w:rPr>
                <w:rFonts w:ascii="Arial" w:hAnsi="Arial" w:cs="Arial"/>
                <w:b/>
              </w:rPr>
              <w:t>8. Predstavitev sodelovanja z združenji občin:</w:t>
            </w:r>
          </w:p>
        </w:tc>
      </w:tr>
      <w:tr w:rsidR="004D434D" w:rsidRPr="00720745" w14:paraId="4D7AFAE3"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FCE42A"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Vsebina predloženega gradiva (predpisa) vpliva na:</w:t>
            </w:r>
          </w:p>
          <w:p w14:paraId="72C9DCD9"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pristojnosti občin,</w:t>
            </w:r>
          </w:p>
          <w:p w14:paraId="452A5682"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delovanje občin,</w:t>
            </w:r>
          </w:p>
          <w:p w14:paraId="0445A5CD"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financiranje občin.</w:t>
            </w:r>
          </w:p>
        </w:tc>
        <w:tc>
          <w:tcPr>
            <w:tcW w:w="2431" w:type="dxa"/>
            <w:gridSpan w:val="2"/>
          </w:tcPr>
          <w:p w14:paraId="7EF66483" w14:textId="77777777" w:rsidR="004D434D" w:rsidRPr="00720745" w:rsidRDefault="004D434D" w:rsidP="00A0055E">
            <w:pPr>
              <w:pStyle w:val="NormalBulleted"/>
              <w:numPr>
                <w:ilvl w:val="0"/>
                <w:numId w:val="0"/>
              </w:numPr>
              <w:spacing w:line="240" w:lineRule="auto"/>
              <w:ind w:left="360"/>
              <w:rPr>
                <w:rFonts w:ascii="Arial" w:hAnsi="Arial" w:cs="Arial"/>
              </w:rPr>
            </w:pPr>
            <w:r w:rsidRPr="00720745">
              <w:rPr>
                <w:rFonts w:ascii="Arial" w:hAnsi="Arial" w:cs="Arial"/>
              </w:rPr>
              <w:t>DA</w:t>
            </w:r>
            <w:r w:rsidRPr="00720745">
              <w:rPr>
                <w:rFonts w:ascii="Arial" w:hAnsi="Arial" w:cs="Arial"/>
                <w:b/>
              </w:rPr>
              <w:t>/NE</w:t>
            </w:r>
          </w:p>
        </w:tc>
      </w:tr>
      <w:tr w:rsidR="004D434D" w:rsidRPr="00720745" w14:paraId="31F930DE"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1F7B5B4"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 xml:space="preserve">Gradivo (predpis) je bilo poslano v mnenje: </w:t>
            </w:r>
          </w:p>
          <w:p w14:paraId="170268B3"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Skupnosti občin Slovenije SOS: DA/</w:t>
            </w:r>
            <w:r w:rsidRPr="00720745">
              <w:rPr>
                <w:rFonts w:ascii="Arial" w:hAnsi="Arial" w:cs="Arial"/>
                <w:b/>
                <w:iCs/>
              </w:rPr>
              <w:t>NE</w:t>
            </w:r>
          </w:p>
          <w:p w14:paraId="5277583F"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Združenju občin Slovenije ZOS: DA/</w:t>
            </w:r>
            <w:r w:rsidRPr="00720745">
              <w:rPr>
                <w:rFonts w:ascii="Arial" w:hAnsi="Arial" w:cs="Arial"/>
                <w:b/>
                <w:iCs/>
              </w:rPr>
              <w:t>NE</w:t>
            </w:r>
          </w:p>
          <w:p w14:paraId="478142BA"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Združenju mestnih občin Slovenije ZMOS:</w:t>
            </w:r>
            <w:r w:rsidRPr="00720745">
              <w:rPr>
                <w:rFonts w:ascii="Arial" w:hAnsi="Arial" w:cs="Arial"/>
                <w:b/>
                <w:iCs/>
              </w:rPr>
              <w:t xml:space="preserve"> DA</w:t>
            </w:r>
            <w:r w:rsidRPr="00720745">
              <w:rPr>
                <w:rFonts w:ascii="Arial" w:hAnsi="Arial" w:cs="Arial"/>
                <w:iCs/>
              </w:rPr>
              <w:t>/NE</w:t>
            </w:r>
          </w:p>
          <w:p w14:paraId="44E9AB3E" w14:textId="77777777" w:rsidR="004D434D" w:rsidRPr="00720745" w:rsidRDefault="004D434D" w:rsidP="00A0055E">
            <w:pPr>
              <w:pStyle w:val="NormalBulleted"/>
              <w:numPr>
                <w:ilvl w:val="0"/>
                <w:numId w:val="0"/>
              </w:numPr>
              <w:spacing w:line="240" w:lineRule="auto"/>
              <w:ind w:left="360"/>
              <w:rPr>
                <w:rFonts w:ascii="Arial" w:hAnsi="Arial" w:cs="Arial"/>
                <w:iCs/>
              </w:rPr>
            </w:pPr>
          </w:p>
          <w:p w14:paraId="535B42E9"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Predlogi in pripombe združenj so bili upoštevani:</w:t>
            </w:r>
          </w:p>
          <w:p w14:paraId="6F22D93B"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v celoti,</w:t>
            </w:r>
          </w:p>
          <w:p w14:paraId="26F49E8D"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večinoma,</w:t>
            </w:r>
          </w:p>
          <w:p w14:paraId="11735347"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delno,</w:t>
            </w:r>
          </w:p>
          <w:p w14:paraId="104E8C49"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niso bili upoštevani.</w:t>
            </w:r>
          </w:p>
          <w:p w14:paraId="3068768E" w14:textId="77777777" w:rsidR="004D434D" w:rsidRPr="00720745" w:rsidRDefault="004D434D" w:rsidP="00A0055E">
            <w:pPr>
              <w:pStyle w:val="NormalBulleted"/>
              <w:numPr>
                <w:ilvl w:val="0"/>
                <w:numId w:val="0"/>
              </w:numPr>
              <w:spacing w:line="240" w:lineRule="auto"/>
              <w:ind w:left="360"/>
              <w:rPr>
                <w:rFonts w:ascii="Arial" w:hAnsi="Arial" w:cs="Arial"/>
                <w:iCs/>
              </w:rPr>
            </w:pPr>
          </w:p>
          <w:p w14:paraId="3298FB9B" w14:textId="77777777" w:rsidR="004D434D" w:rsidRPr="00720745" w:rsidRDefault="004D434D" w:rsidP="00A0055E">
            <w:pPr>
              <w:pStyle w:val="NormalBulleted"/>
              <w:numPr>
                <w:ilvl w:val="0"/>
                <w:numId w:val="0"/>
              </w:numPr>
              <w:spacing w:line="240" w:lineRule="auto"/>
              <w:ind w:left="360"/>
              <w:rPr>
                <w:rFonts w:ascii="Arial" w:hAnsi="Arial" w:cs="Arial"/>
                <w:iCs/>
              </w:rPr>
            </w:pPr>
            <w:r w:rsidRPr="00720745">
              <w:rPr>
                <w:rFonts w:ascii="Arial" w:hAnsi="Arial" w:cs="Arial"/>
                <w:iCs/>
              </w:rPr>
              <w:t>Bistveni predlogi in pripombe, ki niso bili upoštevani.</w:t>
            </w:r>
          </w:p>
        </w:tc>
      </w:tr>
      <w:tr w:rsidR="004D434D" w:rsidRPr="00720745" w14:paraId="555A6663"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D47A08" w14:textId="77777777" w:rsidR="004D434D" w:rsidRPr="00720745" w:rsidRDefault="004D434D" w:rsidP="00A0055E">
            <w:pPr>
              <w:pStyle w:val="Neotevilenodstavek"/>
              <w:widowControl w:val="0"/>
              <w:spacing w:before="0" w:after="0" w:line="240" w:lineRule="auto"/>
              <w:ind w:left="360"/>
              <w:jc w:val="left"/>
              <w:rPr>
                <w:b/>
              </w:rPr>
            </w:pPr>
            <w:r w:rsidRPr="00720745">
              <w:rPr>
                <w:b/>
              </w:rPr>
              <w:t>9. Predstavitev sodelovanja javnosti:</w:t>
            </w:r>
          </w:p>
        </w:tc>
      </w:tr>
      <w:tr w:rsidR="004D434D" w:rsidRPr="00720745" w14:paraId="76CB4203"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816C9DF" w14:textId="77777777" w:rsidR="004D434D" w:rsidRPr="00720745" w:rsidRDefault="004D434D" w:rsidP="00A0055E">
            <w:pPr>
              <w:pStyle w:val="Neotevilenodstavek"/>
              <w:widowControl w:val="0"/>
              <w:spacing w:before="0" w:after="0" w:line="240" w:lineRule="auto"/>
              <w:ind w:left="360"/>
            </w:pPr>
            <w:r w:rsidRPr="00720745">
              <w:rPr>
                <w:iCs/>
              </w:rPr>
              <w:t>Gradivo je bilo predhodno objavljeno na spletni strani predlagatelja:</w:t>
            </w:r>
          </w:p>
        </w:tc>
        <w:tc>
          <w:tcPr>
            <w:tcW w:w="2431" w:type="dxa"/>
            <w:gridSpan w:val="2"/>
          </w:tcPr>
          <w:p w14:paraId="6D4B24AF" w14:textId="77777777" w:rsidR="004D434D" w:rsidRPr="00720745" w:rsidRDefault="004D434D" w:rsidP="00A0055E">
            <w:pPr>
              <w:pStyle w:val="Neotevilenodstavek"/>
              <w:widowControl w:val="0"/>
              <w:spacing w:before="0" w:after="0" w:line="240" w:lineRule="auto"/>
              <w:ind w:left="360"/>
              <w:jc w:val="center"/>
              <w:rPr>
                <w:iCs/>
              </w:rPr>
            </w:pPr>
            <w:r w:rsidRPr="00720745">
              <w:t>DA/</w:t>
            </w:r>
            <w:r w:rsidRPr="00720745">
              <w:rPr>
                <w:b/>
              </w:rPr>
              <w:t>NE</w:t>
            </w:r>
          </w:p>
        </w:tc>
      </w:tr>
      <w:tr w:rsidR="004D434D" w:rsidRPr="002D15D8" w14:paraId="7D305819"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B0516B" w14:textId="77777777" w:rsidR="004D434D" w:rsidRPr="00720745" w:rsidRDefault="004D434D" w:rsidP="00A0055E">
            <w:pPr>
              <w:pStyle w:val="Neotevilenodstavek"/>
              <w:widowControl w:val="0"/>
              <w:spacing w:before="0" w:after="0" w:line="240" w:lineRule="auto"/>
              <w:ind w:left="360"/>
              <w:rPr>
                <w:iCs/>
              </w:rPr>
            </w:pPr>
            <w:r w:rsidRPr="00720745">
              <w:rPr>
                <w:iCs/>
              </w:rPr>
              <w:t>(Če je odgovor NE, navedite, zakaj ni bilo objavljeno.)</w:t>
            </w:r>
          </w:p>
        </w:tc>
      </w:tr>
      <w:tr w:rsidR="004D434D" w:rsidRPr="002D15D8" w14:paraId="3EB23021"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2B0BC61" w14:textId="77777777" w:rsidR="004D434D" w:rsidRPr="00720745" w:rsidRDefault="004D434D" w:rsidP="00A0055E">
            <w:pPr>
              <w:pStyle w:val="Neotevilenodstavek"/>
              <w:widowControl w:val="0"/>
              <w:spacing w:before="0" w:after="0" w:line="240" w:lineRule="auto"/>
              <w:ind w:left="360"/>
              <w:rPr>
                <w:iCs/>
              </w:rPr>
            </w:pPr>
            <w:r w:rsidRPr="00720745">
              <w:rPr>
                <w:iCs/>
              </w:rPr>
              <w:t>(Če je odgovor DA, navedite:</w:t>
            </w:r>
          </w:p>
          <w:p w14:paraId="1137B47A" w14:textId="77777777" w:rsidR="004D434D" w:rsidRPr="00720745" w:rsidRDefault="004D434D" w:rsidP="00A0055E">
            <w:pPr>
              <w:pStyle w:val="Neotevilenodstavek"/>
              <w:widowControl w:val="0"/>
              <w:spacing w:before="0" w:after="0" w:line="240" w:lineRule="auto"/>
              <w:ind w:left="360"/>
              <w:rPr>
                <w:iCs/>
              </w:rPr>
            </w:pPr>
            <w:r w:rsidRPr="00720745">
              <w:rPr>
                <w:iCs/>
              </w:rPr>
              <w:t>Datum objave: ………</w:t>
            </w:r>
          </w:p>
          <w:p w14:paraId="21135AA1" w14:textId="77777777" w:rsidR="004D434D" w:rsidRPr="00720745" w:rsidRDefault="004D434D" w:rsidP="00A0055E">
            <w:pPr>
              <w:pStyle w:val="Neotevilenodstavek"/>
              <w:widowControl w:val="0"/>
              <w:spacing w:before="0" w:after="0" w:line="240" w:lineRule="auto"/>
              <w:ind w:left="360"/>
              <w:rPr>
                <w:iCs/>
              </w:rPr>
            </w:pPr>
            <w:r w:rsidRPr="00720745">
              <w:rPr>
                <w:iCs/>
              </w:rPr>
              <w:t xml:space="preserve">V razpravo so bili vključeni: </w:t>
            </w:r>
          </w:p>
          <w:p w14:paraId="7E888FB4" w14:textId="77777777" w:rsidR="004D434D" w:rsidRPr="00720745" w:rsidRDefault="004D434D" w:rsidP="00A0055E">
            <w:pPr>
              <w:pStyle w:val="Neotevilenodstavek"/>
              <w:widowControl w:val="0"/>
              <w:spacing w:before="0" w:after="0" w:line="240" w:lineRule="auto"/>
              <w:ind w:left="360"/>
              <w:rPr>
                <w:iCs/>
              </w:rPr>
            </w:pPr>
            <w:r w:rsidRPr="00720745">
              <w:rPr>
                <w:iCs/>
              </w:rPr>
              <w:t xml:space="preserve">nevladne organizacije, </w:t>
            </w:r>
          </w:p>
          <w:p w14:paraId="57FDD597" w14:textId="77777777" w:rsidR="004D434D" w:rsidRPr="00720745" w:rsidRDefault="004D434D" w:rsidP="00A0055E">
            <w:pPr>
              <w:pStyle w:val="Neotevilenodstavek"/>
              <w:widowControl w:val="0"/>
              <w:spacing w:before="0" w:after="0" w:line="240" w:lineRule="auto"/>
              <w:ind w:left="360"/>
              <w:rPr>
                <w:iCs/>
              </w:rPr>
            </w:pPr>
            <w:r w:rsidRPr="00720745">
              <w:rPr>
                <w:iCs/>
              </w:rPr>
              <w:t>predstavniki zainteresirane javnosti,</w:t>
            </w:r>
          </w:p>
          <w:p w14:paraId="3FF7DC98" w14:textId="77777777" w:rsidR="004D434D" w:rsidRPr="00720745" w:rsidRDefault="004D434D" w:rsidP="00A0055E">
            <w:pPr>
              <w:pStyle w:val="Neotevilenodstavek"/>
              <w:widowControl w:val="0"/>
              <w:spacing w:before="0" w:after="0" w:line="240" w:lineRule="auto"/>
              <w:ind w:left="360"/>
              <w:rPr>
                <w:iCs/>
              </w:rPr>
            </w:pPr>
            <w:r w:rsidRPr="00720745">
              <w:rPr>
                <w:iCs/>
              </w:rPr>
              <w:t>predstavniki strokovne javnosti.</w:t>
            </w:r>
          </w:p>
          <w:p w14:paraId="22D68BC9" w14:textId="77777777" w:rsidR="004D434D" w:rsidRPr="00720745" w:rsidRDefault="004D434D" w:rsidP="00A0055E">
            <w:pPr>
              <w:pStyle w:val="Neotevilenodstavek"/>
              <w:widowControl w:val="0"/>
              <w:spacing w:before="0" w:after="0" w:line="240" w:lineRule="auto"/>
              <w:ind w:left="360"/>
              <w:rPr>
                <w:iCs/>
              </w:rPr>
            </w:pPr>
            <w:r w:rsidRPr="00720745">
              <w:rPr>
                <w:iCs/>
              </w:rPr>
              <w:t>.</w:t>
            </w:r>
          </w:p>
          <w:p w14:paraId="1BBD6C52" w14:textId="77777777" w:rsidR="004D434D" w:rsidRPr="00720745" w:rsidRDefault="004D434D" w:rsidP="00A0055E">
            <w:pPr>
              <w:pStyle w:val="Neotevilenodstavek"/>
              <w:widowControl w:val="0"/>
              <w:spacing w:before="0" w:after="0" w:line="240" w:lineRule="auto"/>
              <w:ind w:left="360"/>
              <w:rPr>
                <w:iCs/>
              </w:rPr>
            </w:pPr>
            <w:r w:rsidRPr="00720745">
              <w:rPr>
                <w:iCs/>
              </w:rPr>
              <w:t xml:space="preserve">Mnenja, predlogi in pripombe z navedbo predlagateljev </w:t>
            </w:r>
            <w:r w:rsidRPr="00720745">
              <w:rPr>
                <w:color w:val="000000"/>
              </w:rPr>
              <w:t>(imen in priimkov fizičnih oseb, ki niso poslovni subjekti, ne navajajte</w:t>
            </w:r>
            <w:r w:rsidRPr="00720745">
              <w:rPr>
                <w:iCs/>
              </w:rPr>
              <w:t>):</w:t>
            </w:r>
          </w:p>
          <w:p w14:paraId="4CF15882" w14:textId="77777777" w:rsidR="004D434D" w:rsidRPr="00720745" w:rsidRDefault="004D434D" w:rsidP="00A0055E">
            <w:pPr>
              <w:pStyle w:val="Neotevilenodstavek"/>
              <w:widowControl w:val="0"/>
              <w:spacing w:before="0" w:after="0" w:line="240" w:lineRule="auto"/>
              <w:rPr>
                <w:iCs/>
              </w:rPr>
            </w:pPr>
          </w:p>
          <w:p w14:paraId="61DD6172" w14:textId="77777777" w:rsidR="004D434D" w:rsidRPr="00720745" w:rsidRDefault="004D434D" w:rsidP="00A0055E">
            <w:pPr>
              <w:pStyle w:val="Neotevilenodstavek"/>
              <w:widowControl w:val="0"/>
              <w:spacing w:before="0" w:after="0" w:line="240" w:lineRule="auto"/>
              <w:ind w:left="360"/>
              <w:rPr>
                <w:iCs/>
              </w:rPr>
            </w:pPr>
            <w:r w:rsidRPr="00720745">
              <w:rPr>
                <w:iCs/>
              </w:rPr>
              <w:t>Upoštevani so bili:</w:t>
            </w:r>
          </w:p>
          <w:p w14:paraId="04F033AD" w14:textId="77777777" w:rsidR="004D434D" w:rsidRPr="00720745" w:rsidRDefault="004D434D" w:rsidP="00A0055E">
            <w:pPr>
              <w:pStyle w:val="Neotevilenodstavek"/>
              <w:widowControl w:val="0"/>
              <w:spacing w:before="0" w:after="0" w:line="240" w:lineRule="auto"/>
              <w:ind w:left="360"/>
              <w:rPr>
                <w:iCs/>
              </w:rPr>
            </w:pPr>
            <w:r w:rsidRPr="00720745">
              <w:rPr>
                <w:iCs/>
              </w:rPr>
              <w:t>v celoti,</w:t>
            </w:r>
          </w:p>
          <w:p w14:paraId="0DFB1E7C" w14:textId="77777777" w:rsidR="004D434D" w:rsidRPr="00720745" w:rsidRDefault="004D434D" w:rsidP="00A0055E">
            <w:pPr>
              <w:pStyle w:val="Neotevilenodstavek"/>
              <w:widowControl w:val="0"/>
              <w:spacing w:before="0" w:after="0" w:line="240" w:lineRule="auto"/>
              <w:ind w:left="360"/>
              <w:rPr>
                <w:iCs/>
              </w:rPr>
            </w:pPr>
            <w:r w:rsidRPr="00720745">
              <w:rPr>
                <w:iCs/>
              </w:rPr>
              <w:t>večinoma,</w:t>
            </w:r>
          </w:p>
          <w:p w14:paraId="75CD3C15" w14:textId="77777777" w:rsidR="004D434D" w:rsidRPr="00720745" w:rsidRDefault="004D434D" w:rsidP="00A0055E">
            <w:pPr>
              <w:pStyle w:val="Neotevilenodstavek"/>
              <w:widowControl w:val="0"/>
              <w:spacing w:before="0" w:after="0" w:line="240" w:lineRule="auto"/>
              <w:ind w:left="360"/>
              <w:rPr>
                <w:iCs/>
              </w:rPr>
            </w:pPr>
            <w:r w:rsidRPr="00720745">
              <w:rPr>
                <w:iCs/>
              </w:rPr>
              <w:t>delno,</w:t>
            </w:r>
          </w:p>
          <w:p w14:paraId="5D86E4F1" w14:textId="77777777" w:rsidR="004D434D" w:rsidRPr="00720745" w:rsidRDefault="004D434D" w:rsidP="00A0055E">
            <w:pPr>
              <w:pStyle w:val="Neotevilenodstavek"/>
              <w:widowControl w:val="0"/>
              <w:spacing w:before="0" w:after="0" w:line="240" w:lineRule="auto"/>
              <w:ind w:left="360"/>
              <w:rPr>
                <w:iCs/>
              </w:rPr>
            </w:pPr>
            <w:r w:rsidRPr="00720745">
              <w:rPr>
                <w:iCs/>
              </w:rPr>
              <w:t>niso bili upoštevani.</w:t>
            </w:r>
          </w:p>
          <w:p w14:paraId="1B09E05F" w14:textId="77777777" w:rsidR="004D434D" w:rsidRPr="00720745" w:rsidRDefault="004D434D" w:rsidP="00A0055E">
            <w:pPr>
              <w:pStyle w:val="Neotevilenodstavek"/>
              <w:widowControl w:val="0"/>
              <w:spacing w:before="0" w:after="0" w:line="240" w:lineRule="auto"/>
              <w:rPr>
                <w:iCs/>
              </w:rPr>
            </w:pPr>
          </w:p>
          <w:p w14:paraId="64F168C9" w14:textId="77777777" w:rsidR="004D434D" w:rsidRPr="00720745" w:rsidRDefault="004D434D" w:rsidP="00A0055E">
            <w:pPr>
              <w:pStyle w:val="Neotevilenodstavek"/>
              <w:widowControl w:val="0"/>
              <w:spacing w:before="0" w:after="0" w:line="240" w:lineRule="auto"/>
              <w:ind w:left="360"/>
              <w:rPr>
                <w:iCs/>
              </w:rPr>
            </w:pPr>
            <w:r w:rsidRPr="00720745">
              <w:rPr>
                <w:iCs/>
              </w:rPr>
              <w:t>Bistvena mnenja, predlogi in pripombe, ki niso bili upoštevani, ter razlogi za neupoštevanje:</w:t>
            </w:r>
          </w:p>
          <w:p w14:paraId="1C4DE3C7" w14:textId="77777777" w:rsidR="004D434D" w:rsidRPr="00720745" w:rsidRDefault="004D434D" w:rsidP="00A0055E">
            <w:pPr>
              <w:pStyle w:val="Neotevilenodstavek"/>
              <w:widowControl w:val="0"/>
              <w:spacing w:before="0" w:after="0" w:line="240" w:lineRule="auto"/>
              <w:rPr>
                <w:iCs/>
              </w:rPr>
            </w:pPr>
          </w:p>
          <w:p w14:paraId="73280D53" w14:textId="77777777" w:rsidR="004D434D" w:rsidRPr="00720745" w:rsidRDefault="004D434D" w:rsidP="00A0055E">
            <w:pPr>
              <w:pStyle w:val="Neotevilenodstavek"/>
              <w:widowControl w:val="0"/>
              <w:spacing w:before="0" w:after="0" w:line="240" w:lineRule="auto"/>
              <w:ind w:left="360"/>
              <w:rPr>
                <w:iCs/>
              </w:rPr>
            </w:pPr>
            <w:r w:rsidRPr="00720745">
              <w:rPr>
                <w:iCs/>
              </w:rPr>
              <w:t>Poročilo je bilo dano ……………..</w:t>
            </w:r>
          </w:p>
          <w:p w14:paraId="629426A8" w14:textId="77777777" w:rsidR="004D434D" w:rsidRPr="00720745" w:rsidRDefault="004D434D" w:rsidP="00A0055E">
            <w:pPr>
              <w:pStyle w:val="Neotevilenodstavek"/>
              <w:widowControl w:val="0"/>
              <w:spacing w:before="0" w:after="0" w:line="240" w:lineRule="auto"/>
              <w:rPr>
                <w:iCs/>
              </w:rPr>
            </w:pPr>
          </w:p>
          <w:p w14:paraId="689BDE75" w14:textId="77777777" w:rsidR="004D434D" w:rsidRPr="00720745" w:rsidRDefault="004D434D" w:rsidP="00A0055E">
            <w:pPr>
              <w:pStyle w:val="Neotevilenodstavek"/>
              <w:widowControl w:val="0"/>
              <w:spacing w:before="0" w:after="0" w:line="240" w:lineRule="auto"/>
              <w:ind w:left="360"/>
              <w:rPr>
                <w:iCs/>
              </w:rPr>
            </w:pPr>
            <w:r w:rsidRPr="00720745">
              <w:rPr>
                <w:iCs/>
              </w:rPr>
              <w:lastRenderedPageBreak/>
              <w:t>Javnost je bila vključena v pripravo gradiva v skladu z Zakonom o …, kar je navedeno v predlogu predpisa.)</w:t>
            </w:r>
          </w:p>
        </w:tc>
      </w:tr>
      <w:tr w:rsidR="004D434D" w:rsidRPr="00720745" w14:paraId="7DFE80FC"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4ED44F8" w14:textId="77777777" w:rsidR="004D434D" w:rsidRPr="00720745" w:rsidRDefault="004D434D" w:rsidP="00A0055E">
            <w:pPr>
              <w:pStyle w:val="Neotevilenodstavek"/>
              <w:widowControl w:val="0"/>
              <w:spacing w:before="0" w:after="0" w:line="240" w:lineRule="auto"/>
              <w:ind w:left="360"/>
              <w:jc w:val="left"/>
            </w:pPr>
            <w:r w:rsidRPr="00720745">
              <w:rPr>
                <w:b/>
              </w:rPr>
              <w:lastRenderedPageBreak/>
              <w:t>10. Pri pripravi gradiva so bile upoštevane zahteve iz Resolucije o normativni dejavnosti:</w:t>
            </w:r>
          </w:p>
        </w:tc>
        <w:tc>
          <w:tcPr>
            <w:tcW w:w="2431" w:type="dxa"/>
            <w:gridSpan w:val="2"/>
            <w:vAlign w:val="center"/>
          </w:tcPr>
          <w:p w14:paraId="2D7BB5E9" w14:textId="77777777" w:rsidR="004D434D" w:rsidRPr="00720745" w:rsidRDefault="004D434D" w:rsidP="00A0055E">
            <w:pPr>
              <w:pStyle w:val="Neotevilenodstavek"/>
              <w:widowControl w:val="0"/>
              <w:spacing w:before="0" w:after="0" w:line="240" w:lineRule="auto"/>
              <w:ind w:left="360"/>
              <w:jc w:val="center"/>
              <w:rPr>
                <w:iCs/>
              </w:rPr>
            </w:pPr>
            <w:r w:rsidRPr="00720745">
              <w:t>DA/</w:t>
            </w:r>
            <w:r w:rsidRPr="00720745">
              <w:rPr>
                <w:b/>
              </w:rPr>
              <w:t>NE</w:t>
            </w:r>
          </w:p>
        </w:tc>
      </w:tr>
      <w:tr w:rsidR="004D434D" w:rsidRPr="00720745" w14:paraId="33C5AA99"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7A73F7B" w14:textId="77777777" w:rsidR="004D434D" w:rsidRPr="00720745" w:rsidRDefault="004D434D" w:rsidP="00A0055E">
            <w:pPr>
              <w:pStyle w:val="Neotevilenodstavek"/>
              <w:widowControl w:val="0"/>
              <w:spacing w:before="0" w:after="0" w:line="240" w:lineRule="auto"/>
              <w:ind w:left="360"/>
              <w:jc w:val="left"/>
              <w:rPr>
                <w:b/>
              </w:rPr>
            </w:pPr>
            <w:r w:rsidRPr="00720745">
              <w:rPr>
                <w:b/>
              </w:rPr>
              <w:t>11. Gradivo je uvrščeno v delovni program vlade:</w:t>
            </w:r>
          </w:p>
        </w:tc>
        <w:tc>
          <w:tcPr>
            <w:tcW w:w="2431" w:type="dxa"/>
            <w:gridSpan w:val="2"/>
            <w:vAlign w:val="center"/>
          </w:tcPr>
          <w:p w14:paraId="563B15F1" w14:textId="77777777" w:rsidR="004D434D" w:rsidRPr="00720745" w:rsidRDefault="004D434D" w:rsidP="00A0055E">
            <w:pPr>
              <w:pStyle w:val="Neotevilenodstavek"/>
              <w:widowControl w:val="0"/>
              <w:spacing w:before="0" w:after="0" w:line="240" w:lineRule="auto"/>
              <w:ind w:left="360"/>
              <w:jc w:val="center"/>
            </w:pPr>
            <w:r w:rsidRPr="00720745">
              <w:t>DA/</w:t>
            </w:r>
            <w:r w:rsidRPr="00720745">
              <w:rPr>
                <w:b/>
              </w:rPr>
              <w:t>NE</w:t>
            </w:r>
          </w:p>
        </w:tc>
      </w:tr>
      <w:tr w:rsidR="004D434D" w:rsidRPr="00720745" w14:paraId="6CD61C43"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12E8693" w14:textId="77777777" w:rsidR="004D434D" w:rsidRPr="00720745" w:rsidRDefault="004D434D" w:rsidP="00A0055E">
            <w:pPr>
              <w:pStyle w:val="Poglavje"/>
              <w:widowControl w:val="0"/>
              <w:spacing w:before="0" w:after="0" w:line="240" w:lineRule="auto"/>
              <w:ind w:left="360"/>
              <w:jc w:val="left"/>
            </w:pPr>
          </w:p>
          <w:p w14:paraId="30ED8AD2" w14:textId="77777777" w:rsidR="004D434D" w:rsidRPr="00720745" w:rsidRDefault="004D434D" w:rsidP="00A0055E">
            <w:pPr>
              <w:pStyle w:val="Poglavje"/>
              <w:widowControl w:val="0"/>
              <w:spacing w:before="0" w:after="0" w:line="240" w:lineRule="auto"/>
              <w:ind w:left="6372"/>
              <w:jc w:val="left"/>
            </w:pPr>
            <w:r w:rsidRPr="00720745">
              <w:t>Zdravko Počivalšek</w:t>
            </w:r>
          </w:p>
          <w:p w14:paraId="23F376D4" w14:textId="77777777" w:rsidR="004D434D" w:rsidRPr="00720745" w:rsidRDefault="004D434D" w:rsidP="00A0055E">
            <w:pPr>
              <w:pStyle w:val="Poglavje"/>
              <w:widowControl w:val="0"/>
              <w:spacing w:before="0" w:after="0" w:line="240" w:lineRule="auto"/>
              <w:ind w:left="6372"/>
              <w:jc w:val="left"/>
            </w:pPr>
            <w:r w:rsidRPr="00720745">
              <w:t xml:space="preserve">Minister </w:t>
            </w:r>
          </w:p>
          <w:p w14:paraId="4E226301" w14:textId="77777777" w:rsidR="008A5BEF" w:rsidRPr="00720745" w:rsidRDefault="008A5BEF" w:rsidP="00A0055E">
            <w:pPr>
              <w:pStyle w:val="Poglavje"/>
              <w:widowControl w:val="0"/>
              <w:spacing w:before="0" w:after="0" w:line="240" w:lineRule="auto"/>
              <w:ind w:left="6372"/>
              <w:jc w:val="left"/>
            </w:pPr>
          </w:p>
          <w:p w14:paraId="090DADED" w14:textId="77777777" w:rsidR="004D434D" w:rsidRPr="00720745" w:rsidRDefault="004D434D" w:rsidP="00EE0FBE">
            <w:pPr>
              <w:pStyle w:val="Poglavje"/>
              <w:widowControl w:val="0"/>
              <w:spacing w:before="0" w:after="0" w:line="240" w:lineRule="auto"/>
              <w:jc w:val="left"/>
            </w:pPr>
          </w:p>
        </w:tc>
      </w:tr>
    </w:tbl>
    <w:p w14:paraId="70C12155" w14:textId="77777777" w:rsidR="00EE0FBE" w:rsidRPr="00720745" w:rsidRDefault="00EE0FBE" w:rsidP="00A0055E">
      <w:pPr>
        <w:spacing w:after="240"/>
        <w:jc w:val="center"/>
        <w:rPr>
          <w:rFonts w:ascii="Arial" w:hAnsi="Arial" w:cs="Arial"/>
          <w:b/>
          <w:sz w:val="20"/>
          <w:szCs w:val="20"/>
          <w:lang w:val="sl-SI" w:eastAsia="sl-SI"/>
        </w:rPr>
      </w:pPr>
    </w:p>
    <w:p w14:paraId="5A993F22" w14:textId="77777777" w:rsidR="002C6486" w:rsidRDefault="002C6486">
      <w:pPr>
        <w:spacing w:after="160" w:line="259" w:lineRule="auto"/>
        <w:rPr>
          <w:rFonts w:ascii="Arial" w:hAnsi="Arial" w:cs="Arial"/>
          <w:b/>
          <w:sz w:val="20"/>
          <w:szCs w:val="20"/>
          <w:lang w:val="sl-SI" w:eastAsia="sl-SI"/>
        </w:rPr>
      </w:pPr>
      <w:r>
        <w:rPr>
          <w:rFonts w:ascii="Arial" w:hAnsi="Arial" w:cs="Arial"/>
          <w:b/>
          <w:sz w:val="20"/>
          <w:szCs w:val="20"/>
          <w:lang w:val="sl-SI" w:eastAsia="sl-SI"/>
        </w:rPr>
        <w:br w:type="page"/>
      </w:r>
    </w:p>
    <w:p w14:paraId="47DF5EDF" w14:textId="48E95708" w:rsidR="00F526E5" w:rsidRPr="00720745" w:rsidRDefault="004D434D" w:rsidP="00A0055E">
      <w:pPr>
        <w:spacing w:after="240"/>
        <w:jc w:val="center"/>
        <w:rPr>
          <w:rFonts w:ascii="Arial" w:hAnsi="Arial" w:cs="Arial"/>
          <w:b/>
          <w:sz w:val="20"/>
          <w:szCs w:val="20"/>
          <w:lang w:val="sl-SI" w:eastAsia="sl-SI"/>
        </w:rPr>
      </w:pPr>
      <w:r w:rsidRPr="00720745">
        <w:rPr>
          <w:rFonts w:ascii="Arial" w:hAnsi="Arial" w:cs="Arial"/>
          <w:b/>
          <w:sz w:val="20"/>
          <w:szCs w:val="20"/>
          <w:lang w:val="sl-SI" w:eastAsia="sl-SI"/>
        </w:rPr>
        <w:lastRenderedPageBreak/>
        <w:t>OBRAZLOŽITEV</w:t>
      </w:r>
    </w:p>
    <w:p w14:paraId="3543EB22" w14:textId="36908029" w:rsidR="00F526E5" w:rsidRDefault="00F526E5" w:rsidP="00F66539">
      <w:pPr>
        <w:spacing w:after="240"/>
        <w:jc w:val="both"/>
        <w:rPr>
          <w:rFonts w:ascii="Arial" w:hAnsi="Arial" w:cs="Arial"/>
          <w:sz w:val="22"/>
          <w:szCs w:val="22"/>
          <w:lang w:val="sl-SI"/>
        </w:rPr>
      </w:pPr>
      <w:r w:rsidRPr="00F66539">
        <w:rPr>
          <w:rFonts w:ascii="Arial" w:hAnsi="Arial" w:cs="Arial"/>
          <w:sz w:val="22"/>
          <w:szCs w:val="22"/>
          <w:lang w:val="sl-SI"/>
        </w:rPr>
        <w:t xml:space="preserve">Vlada Republike Slovenije je s sklepom </w:t>
      </w:r>
      <w:r>
        <w:rPr>
          <w:rFonts w:ascii="Arial" w:hAnsi="Arial" w:cs="Arial"/>
          <w:sz w:val="22"/>
          <w:szCs w:val="22"/>
          <w:lang w:val="sl-SI"/>
        </w:rPr>
        <w:t xml:space="preserve">št. </w:t>
      </w:r>
      <w:r w:rsidRPr="00092F77">
        <w:rPr>
          <w:rFonts w:ascii="Arial" w:hAnsi="Arial" w:cs="Arial"/>
          <w:sz w:val="22"/>
          <w:szCs w:val="22"/>
          <w:lang w:val="sl-SI"/>
        </w:rPr>
        <w:t>30300-4/2017/4</w:t>
      </w:r>
      <w:r>
        <w:rPr>
          <w:rFonts w:ascii="Arial" w:hAnsi="Arial" w:cs="Arial"/>
          <w:sz w:val="22"/>
          <w:szCs w:val="22"/>
          <w:lang w:val="sl-SI"/>
        </w:rPr>
        <w:t xml:space="preserve"> z dne 15.6.2017 dala soglasje h </w:t>
      </w:r>
      <w:bookmarkStart w:id="4" w:name="_Hlk491371880"/>
      <w:r w:rsidRPr="00F526E5">
        <w:rPr>
          <w:rFonts w:ascii="Arial" w:hAnsi="Arial" w:cs="Arial"/>
          <w:sz w:val="22"/>
          <w:szCs w:val="22"/>
          <w:lang w:val="sl-SI"/>
        </w:rPr>
        <w:t>Ključnim elementom finančnih instrumentov v programskem obdobju 2014 – 2020</w:t>
      </w:r>
      <w:r>
        <w:rPr>
          <w:rFonts w:ascii="Arial" w:hAnsi="Arial" w:cs="Arial"/>
          <w:sz w:val="22"/>
          <w:szCs w:val="22"/>
          <w:lang w:val="sl-SI"/>
        </w:rPr>
        <w:t xml:space="preserve">. </w:t>
      </w:r>
      <w:bookmarkEnd w:id="4"/>
    </w:p>
    <w:p w14:paraId="13B563D2" w14:textId="6DD8ED2C" w:rsidR="00D87BD8" w:rsidRDefault="00B31258" w:rsidP="00F66539">
      <w:pPr>
        <w:spacing w:after="240"/>
        <w:jc w:val="both"/>
        <w:rPr>
          <w:rFonts w:ascii="Arial" w:hAnsi="Arial" w:cs="Arial"/>
          <w:sz w:val="22"/>
          <w:szCs w:val="22"/>
          <w:lang w:val="sl-SI"/>
        </w:rPr>
      </w:pPr>
      <w:r>
        <w:rPr>
          <w:rFonts w:ascii="Arial" w:hAnsi="Arial" w:cs="Arial"/>
          <w:sz w:val="22"/>
          <w:szCs w:val="22"/>
          <w:lang w:val="sl-SI"/>
        </w:rPr>
        <w:t>V okviru</w:t>
      </w:r>
      <w:r w:rsidR="00067434">
        <w:rPr>
          <w:rFonts w:ascii="Arial" w:hAnsi="Arial" w:cs="Arial"/>
          <w:sz w:val="22"/>
          <w:szCs w:val="22"/>
          <w:lang w:val="sl-SI"/>
        </w:rPr>
        <w:t xml:space="preserve"> medresorskega usklajevanja vladnega gradiva </w:t>
      </w:r>
      <w:r w:rsidR="00146D09" w:rsidRPr="00146D09">
        <w:rPr>
          <w:rFonts w:ascii="Arial" w:hAnsi="Arial" w:cs="Arial"/>
          <w:sz w:val="22"/>
          <w:szCs w:val="22"/>
          <w:lang w:val="sl-SI"/>
        </w:rPr>
        <w:t>Načrt izvajanja finančnih instrumentov za leti 2018 in 2019</w:t>
      </w:r>
      <w:r>
        <w:rPr>
          <w:rFonts w:ascii="Arial" w:hAnsi="Arial" w:cs="Arial"/>
          <w:sz w:val="22"/>
          <w:szCs w:val="22"/>
          <w:lang w:val="sl-SI"/>
        </w:rPr>
        <w:t xml:space="preserve">, ki ga </w:t>
      </w:r>
      <w:r w:rsidR="00667A63">
        <w:rPr>
          <w:rFonts w:ascii="Arial" w:hAnsi="Arial" w:cs="Arial"/>
          <w:sz w:val="22"/>
          <w:szCs w:val="22"/>
          <w:lang w:val="sl-SI"/>
        </w:rPr>
        <w:t xml:space="preserve">je </w:t>
      </w:r>
      <w:r>
        <w:rPr>
          <w:rFonts w:ascii="Arial" w:hAnsi="Arial" w:cs="Arial"/>
          <w:sz w:val="22"/>
          <w:szCs w:val="22"/>
          <w:lang w:val="sl-SI"/>
        </w:rPr>
        <w:t>mora</w:t>
      </w:r>
      <w:r w:rsidR="00667A63">
        <w:rPr>
          <w:rFonts w:ascii="Arial" w:hAnsi="Arial" w:cs="Arial"/>
          <w:sz w:val="22"/>
          <w:szCs w:val="22"/>
          <w:lang w:val="sl-SI"/>
        </w:rPr>
        <w:t>lo</w:t>
      </w:r>
      <w:r>
        <w:rPr>
          <w:rFonts w:ascii="Arial" w:hAnsi="Arial" w:cs="Arial"/>
          <w:sz w:val="22"/>
          <w:szCs w:val="22"/>
          <w:lang w:val="sl-SI"/>
        </w:rPr>
        <w:t xml:space="preserve"> n</w:t>
      </w:r>
      <w:r w:rsidR="00B411E6">
        <w:rPr>
          <w:rFonts w:ascii="Arial" w:hAnsi="Arial" w:cs="Arial"/>
          <w:sz w:val="22"/>
          <w:szCs w:val="22"/>
          <w:lang w:val="sl-SI"/>
        </w:rPr>
        <w:t>a podlagi</w:t>
      </w:r>
      <w:bookmarkStart w:id="5" w:name="_Hlk491370045"/>
      <w:r w:rsidR="00B411E6">
        <w:rPr>
          <w:rFonts w:ascii="Arial" w:hAnsi="Arial" w:cs="Arial"/>
          <w:sz w:val="22"/>
          <w:szCs w:val="22"/>
          <w:lang w:val="sl-SI"/>
        </w:rPr>
        <w:t xml:space="preserve"> </w:t>
      </w:r>
      <w:r w:rsidR="00B411E6" w:rsidRPr="00B411E6">
        <w:rPr>
          <w:rFonts w:ascii="Arial" w:hAnsi="Arial" w:cs="Arial"/>
          <w:sz w:val="22"/>
          <w:szCs w:val="22"/>
          <w:lang w:val="sl-SI"/>
        </w:rPr>
        <w:t>75. člena ZIPRS za leti 2017 in 2018 ter sklepa Vlade R</w:t>
      </w:r>
      <w:r w:rsidR="00A75F76">
        <w:rPr>
          <w:rFonts w:ascii="Arial" w:hAnsi="Arial" w:cs="Arial"/>
          <w:sz w:val="22"/>
          <w:szCs w:val="22"/>
          <w:lang w:val="sl-SI"/>
        </w:rPr>
        <w:t xml:space="preserve">epublike </w:t>
      </w:r>
      <w:r w:rsidR="00B411E6" w:rsidRPr="00B411E6">
        <w:rPr>
          <w:rFonts w:ascii="Arial" w:hAnsi="Arial" w:cs="Arial"/>
          <w:sz w:val="22"/>
          <w:szCs w:val="22"/>
          <w:lang w:val="sl-SI"/>
        </w:rPr>
        <w:t>S</w:t>
      </w:r>
      <w:r w:rsidR="00A75F76">
        <w:rPr>
          <w:rFonts w:ascii="Arial" w:hAnsi="Arial" w:cs="Arial"/>
          <w:sz w:val="22"/>
          <w:szCs w:val="22"/>
          <w:lang w:val="sl-SI"/>
        </w:rPr>
        <w:t>lovenije</w:t>
      </w:r>
      <w:r w:rsidR="00B411E6" w:rsidRPr="00B411E6">
        <w:rPr>
          <w:rFonts w:ascii="Arial" w:hAnsi="Arial" w:cs="Arial"/>
          <w:sz w:val="22"/>
          <w:szCs w:val="22"/>
          <w:lang w:val="sl-SI"/>
        </w:rPr>
        <w:t xml:space="preserve"> št. 4</w:t>
      </w:r>
      <w:r>
        <w:rPr>
          <w:rFonts w:ascii="Arial" w:hAnsi="Arial" w:cs="Arial"/>
          <w:sz w:val="22"/>
          <w:szCs w:val="22"/>
          <w:lang w:val="sl-SI"/>
        </w:rPr>
        <w:t xml:space="preserve">1003-4/2017/11 z dne 20.7.2017 MGRT </w:t>
      </w:r>
      <w:r w:rsidR="00B411E6" w:rsidRPr="00B411E6">
        <w:rPr>
          <w:rFonts w:ascii="Arial" w:hAnsi="Arial" w:cs="Arial"/>
          <w:sz w:val="22"/>
          <w:szCs w:val="22"/>
          <w:lang w:val="sl-SI"/>
        </w:rPr>
        <w:t>predloži</w:t>
      </w:r>
      <w:r>
        <w:rPr>
          <w:rFonts w:ascii="Arial" w:hAnsi="Arial" w:cs="Arial"/>
          <w:sz w:val="22"/>
          <w:szCs w:val="22"/>
          <w:lang w:val="sl-SI"/>
        </w:rPr>
        <w:t>ti</w:t>
      </w:r>
      <w:r w:rsidR="00B411E6" w:rsidRPr="00B411E6">
        <w:rPr>
          <w:rFonts w:ascii="Arial" w:hAnsi="Arial" w:cs="Arial"/>
          <w:sz w:val="22"/>
          <w:szCs w:val="22"/>
          <w:lang w:val="sl-SI"/>
        </w:rPr>
        <w:t xml:space="preserve"> </w:t>
      </w:r>
      <w:r>
        <w:rPr>
          <w:rFonts w:ascii="Arial" w:hAnsi="Arial" w:cs="Arial"/>
          <w:sz w:val="22"/>
          <w:szCs w:val="22"/>
          <w:lang w:val="sl-SI"/>
        </w:rPr>
        <w:t xml:space="preserve">na Vlado Republike Slovenije do 31.8.2017, se je ugotovilo neskladje </w:t>
      </w:r>
      <w:r w:rsidR="00D87BD8">
        <w:rPr>
          <w:rFonts w:ascii="Arial" w:hAnsi="Arial" w:cs="Arial"/>
          <w:sz w:val="22"/>
          <w:szCs w:val="22"/>
          <w:lang w:val="sl-SI"/>
        </w:rPr>
        <w:t>med Ključnimi elementi</w:t>
      </w:r>
      <w:r w:rsidR="00D87BD8" w:rsidRPr="00D87BD8">
        <w:rPr>
          <w:rFonts w:ascii="Arial" w:hAnsi="Arial" w:cs="Arial"/>
          <w:sz w:val="22"/>
          <w:szCs w:val="22"/>
          <w:lang w:val="sl-SI"/>
        </w:rPr>
        <w:t xml:space="preserve"> finančnih instrumentov v programskem obdobju 2014 – 2020</w:t>
      </w:r>
      <w:r w:rsidR="005168CF">
        <w:rPr>
          <w:rFonts w:ascii="Arial" w:hAnsi="Arial" w:cs="Arial"/>
          <w:sz w:val="22"/>
          <w:szCs w:val="22"/>
          <w:lang w:val="sl-SI"/>
        </w:rPr>
        <w:t xml:space="preserve"> in </w:t>
      </w:r>
      <w:r w:rsidR="00660287">
        <w:rPr>
          <w:rFonts w:ascii="Arial" w:hAnsi="Arial" w:cs="Arial"/>
          <w:sz w:val="22"/>
          <w:szCs w:val="22"/>
          <w:lang w:val="sl-SI"/>
        </w:rPr>
        <w:t xml:space="preserve">predlagane spremembe </w:t>
      </w:r>
      <w:bookmarkStart w:id="6" w:name="_Hlk491372702"/>
      <w:r w:rsidR="00660287">
        <w:rPr>
          <w:rFonts w:ascii="Arial" w:hAnsi="Arial" w:cs="Arial"/>
          <w:sz w:val="22"/>
          <w:szCs w:val="22"/>
          <w:lang w:val="sl-SI"/>
        </w:rPr>
        <w:t>O</w:t>
      </w:r>
      <w:r w:rsidR="005168CF" w:rsidRPr="007D0139">
        <w:rPr>
          <w:rFonts w:ascii="Arial" w:hAnsi="Arial" w:cs="Arial"/>
          <w:sz w:val="22"/>
          <w:szCs w:val="22"/>
          <w:lang w:val="sl-SI"/>
        </w:rPr>
        <w:t xml:space="preserve">perativnega programa </w:t>
      </w:r>
      <w:r w:rsidR="00660287" w:rsidRPr="00660287">
        <w:rPr>
          <w:rFonts w:ascii="Arial" w:hAnsi="Arial" w:cs="Arial"/>
          <w:sz w:val="22"/>
          <w:szCs w:val="22"/>
          <w:lang w:val="sl-SI"/>
        </w:rPr>
        <w:t>za izvajanje evropske kohezijske politike v obdobju 2014-2020</w:t>
      </w:r>
      <w:bookmarkEnd w:id="6"/>
      <w:r w:rsidR="00660287">
        <w:rPr>
          <w:rFonts w:ascii="Arial" w:hAnsi="Arial" w:cs="Arial"/>
          <w:sz w:val="22"/>
          <w:szCs w:val="22"/>
          <w:lang w:val="sl-SI"/>
        </w:rPr>
        <w:t xml:space="preserve"> </w:t>
      </w:r>
      <w:r w:rsidR="005168CF" w:rsidRPr="007D0139">
        <w:rPr>
          <w:rFonts w:ascii="Arial" w:hAnsi="Arial" w:cs="Arial"/>
          <w:sz w:val="22"/>
          <w:szCs w:val="22"/>
          <w:lang w:val="sl-SI"/>
        </w:rPr>
        <w:t>Evropski komisiji</w:t>
      </w:r>
      <w:r w:rsidR="005168CF">
        <w:rPr>
          <w:rFonts w:ascii="Arial" w:hAnsi="Arial" w:cs="Arial"/>
          <w:sz w:val="22"/>
          <w:szCs w:val="22"/>
          <w:lang w:val="sl-SI"/>
        </w:rPr>
        <w:t xml:space="preserve"> (</w:t>
      </w:r>
      <w:r w:rsidR="00E6717D">
        <w:rPr>
          <w:rFonts w:ascii="Arial" w:hAnsi="Arial" w:cs="Arial"/>
          <w:sz w:val="22"/>
          <w:szCs w:val="22"/>
        </w:rPr>
        <w:t>“</w:t>
      </w:r>
      <w:r w:rsidR="005168CF" w:rsidRPr="00E6717D">
        <w:rPr>
          <w:rFonts w:ascii="Arial" w:hAnsi="Arial" w:cs="Arial"/>
          <w:sz w:val="22"/>
          <w:szCs w:val="22"/>
        </w:rPr>
        <w:t>Amendment of the Operational Programme for the Implementation of the European Cohesion Policy in the Period 2014-2020</w:t>
      </w:r>
      <w:r w:rsidR="005168CF" w:rsidRPr="005168CF">
        <w:rPr>
          <w:rFonts w:ascii="Arial" w:hAnsi="Arial" w:cs="Arial"/>
          <w:sz w:val="22"/>
          <w:szCs w:val="22"/>
          <w:lang w:val="sl-SI"/>
        </w:rPr>
        <w:t>” z dne 11. 7. 2017</w:t>
      </w:r>
      <w:r w:rsidR="005168CF">
        <w:rPr>
          <w:rFonts w:ascii="Arial" w:hAnsi="Arial" w:cs="Arial"/>
          <w:sz w:val="22"/>
          <w:szCs w:val="22"/>
          <w:lang w:val="sl-SI"/>
        </w:rPr>
        <w:t xml:space="preserve">) glede </w:t>
      </w:r>
      <w:r w:rsidR="00D87BD8">
        <w:rPr>
          <w:rFonts w:ascii="Arial" w:hAnsi="Arial" w:cs="Arial"/>
          <w:sz w:val="22"/>
          <w:szCs w:val="22"/>
          <w:lang w:val="sl-SI"/>
        </w:rPr>
        <w:t>razdelitve sredstev za izvajanje finančnih instrumentov na prednostni naložbi 1.2 in 3.1 med Vzhodno in Zahodno kohezijsko regijo</w:t>
      </w:r>
      <w:r w:rsidR="005168CF">
        <w:rPr>
          <w:rFonts w:ascii="Arial" w:hAnsi="Arial" w:cs="Arial"/>
          <w:sz w:val="22"/>
          <w:szCs w:val="22"/>
          <w:lang w:val="sl-SI"/>
        </w:rPr>
        <w:t>.</w:t>
      </w:r>
    </w:p>
    <w:p w14:paraId="05091910" w14:textId="1D02118F" w:rsidR="005168CF" w:rsidRDefault="00660287" w:rsidP="00F66539">
      <w:pPr>
        <w:spacing w:after="240"/>
        <w:jc w:val="both"/>
        <w:rPr>
          <w:rFonts w:ascii="Arial" w:hAnsi="Arial" w:cs="Arial"/>
          <w:sz w:val="22"/>
          <w:szCs w:val="22"/>
          <w:lang w:val="sl-SI"/>
        </w:rPr>
      </w:pPr>
      <w:r>
        <w:rPr>
          <w:rFonts w:ascii="Arial" w:hAnsi="Arial" w:cs="Arial"/>
          <w:sz w:val="22"/>
          <w:szCs w:val="22"/>
          <w:lang w:val="sl-SI"/>
        </w:rPr>
        <w:t xml:space="preserve">Predlagano spremembo </w:t>
      </w:r>
      <w:bookmarkStart w:id="7" w:name="_Hlk491373599"/>
      <w:r w:rsidRPr="00660287">
        <w:rPr>
          <w:rFonts w:ascii="Arial" w:hAnsi="Arial" w:cs="Arial"/>
          <w:sz w:val="22"/>
          <w:szCs w:val="22"/>
          <w:lang w:val="sl-SI"/>
        </w:rPr>
        <w:t>Operativnega programa za izvajanje evropske kohezijske politike v obdobju 2014-2020</w:t>
      </w:r>
      <w:r>
        <w:rPr>
          <w:rFonts w:ascii="Arial" w:hAnsi="Arial" w:cs="Arial"/>
          <w:sz w:val="22"/>
          <w:szCs w:val="22"/>
          <w:lang w:val="sl-SI"/>
        </w:rPr>
        <w:t xml:space="preserve"> </w:t>
      </w:r>
      <w:bookmarkEnd w:id="7"/>
      <w:r>
        <w:rPr>
          <w:rFonts w:ascii="Arial" w:hAnsi="Arial" w:cs="Arial"/>
          <w:sz w:val="22"/>
          <w:szCs w:val="22"/>
          <w:lang w:val="sl-SI"/>
        </w:rPr>
        <w:t xml:space="preserve">je Evropski komisiji posredovala </w:t>
      </w:r>
      <w:r w:rsidRPr="00660287">
        <w:rPr>
          <w:rFonts w:ascii="Arial" w:hAnsi="Arial" w:cs="Arial"/>
          <w:sz w:val="22"/>
          <w:szCs w:val="22"/>
          <w:lang w:val="sl-SI"/>
        </w:rPr>
        <w:t>Služba Vlade R</w:t>
      </w:r>
      <w:r w:rsidR="00577180">
        <w:rPr>
          <w:rFonts w:ascii="Arial" w:hAnsi="Arial" w:cs="Arial"/>
          <w:sz w:val="22"/>
          <w:szCs w:val="22"/>
          <w:lang w:val="sl-SI"/>
        </w:rPr>
        <w:t>epublike Slovenije</w:t>
      </w:r>
      <w:r w:rsidRPr="00660287">
        <w:rPr>
          <w:rFonts w:ascii="Arial" w:hAnsi="Arial" w:cs="Arial"/>
          <w:sz w:val="22"/>
          <w:szCs w:val="22"/>
          <w:lang w:val="sl-SI"/>
        </w:rPr>
        <w:t xml:space="preserve"> za razvoj in evropsko kohezijsko politiko</w:t>
      </w:r>
      <w:bookmarkStart w:id="8" w:name="_Hlk491373026"/>
      <w:r w:rsidR="004428C5">
        <w:rPr>
          <w:rFonts w:ascii="Arial" w:hAnsi="Arial" w:cs="Arial"/>
          <w:sz w:val="22"/>
          <w:szCs w:val="22"/>
          <w:lang w:val="sl-SI"/>
        </w:rPr>
        <w:t xml:space="preserve"> na podlagi sklepa št. 9 </w:t>
      </w:r>
      <w:r w:rsidR="005168CF" w:rsidRPr="003E6357">
        <w:rPr>
          <w:rFonts w:ascii="Arial" w:hAnsi="Arial" w:cs="Arial"/>
          <w:sz w:val="22"/>
          <w:szCs w:val="22"/>
          <w:lang w:val="sl-SI"/>
        </w:rPr>
        <w:t xml:space="preserve">Odbora za spremljanje Operativnega programa </w:t>
      </w:r>
      <w:bookmarkStart w:id="9" w:name="_Hlk491372670"/>
      <w:r w:rsidR="005168CF" w:rsidRPr="003E6357">
        <w:rPr>
          <w:rFonts w:ascii="Arial" w:hAnsi="Arial" w:cs="Arial"/>
          <w:sz w:val="22"/>
          <w:szCs w:val="22"/>
          <w:lang w:val="sl-SI"/>
        </w:rPr>
        <w:t>za izvajanje evropske kohezijske politike v obdobju 2014-2020</w:t>
      </w:r>
      <w:bookmarkEnd w:id="9"/>
      <w:r w:rsidR="005168CF" w:rsidRPr="003E6357">
        <w:rPr>
          <w:rFonts w:ascii="Arial" w:hAnsi="Arial" w:cs="Arial"/>
          <w:sz w:val="22"/>
          <w:szCs w:val="22"/>
          <w:lang w:val="sl-SI"/>
        </w:rPr>
        <w:t xml:space="preserve"> </w:t>
      </w:r>
      <w:bookmarkEnd w:id="8"/>
      <w:r w:rsidR="004E0AB9">
        <w:rPr>
          <w:rFonts w:ascii="Arial" w:hAnsi="Arial" w:cs="Arial"/>
          <w:sz w:val="22"/>
          <w:szCs w:val="22"/>
          <w:lang w:val="sl-SI"/>
        </w:rPr>
        <w:t>(dokument št. 303-8/2015-</w:t>
      </w:r>
      <w:r w:rsidR="005168CF" w:rsidRPr="003E6357">
        <w:rPr>
          <w:rFonts w:ascii="Arial" w:hAnsi="Arial" w:cs="Arial"/>
          <w:sz w:val="22"/>
          <w:szCs w:val="22"/>
          <w:lang w:val="sl-SI"/>
        </w:rPr>
        <w:t>258 z dne 13. 6. 2017)</w:t>
      </w:r>
      <w:r>
        <w:rPr>
          <w:rFonts w:ascii="Arial" w:hAnsi="Arial" w:cs="Arial"/>
          <w:sz w:val="22"/>
          <w:szCs w:val="22"/>
          <w:lang w:val="sl-SI"/>
        </w:rPr>
        <w:t xml:space="preserve">, sprejetega na 4. seji dne 13. 6. 2017, ki se glasi: </w:t>
      </w:r>
      <w:r w:rsidRPr="00F66539">
        <w:rPr>
          <w:rFonts w:ascii="Arial" w:hAnsi="Arial" w:cs="Arial"/>
          <w:i/>
          <w:sz w:val="22"/>
          <w:szCs w:val="22"/>
          <w:lang w:val="sl-SI"/>
        </w:rPr>
        <w:t>»Odbor za spremljanje se je seznanil in potrdil predlagane spremembe Operativnega programa za izvajanje evropske kohezijske politike v obdobju 2014-2020 na osnovi predstavljenih in na Vladi RS potrjenih izhodišč za spremembo Operativnega programa za izvajanje evropske kohezijske politike v obdobju 2</w:t>
      </w:r>
      <w:r w:rsidR="004E0AB9">
        <w:rPr>
          <w:rFonts w:ascii="Arial" w:hAnsi="Arial" w:cs="Arial"/>
          <w:i/>
          <w:sz w:val="22"/>
          <w:szCs w:val="22"/>
          <w:lang w:val="sl-SI"/>
        </w:rPr>
        <w:t>014-2020. Odbor pooblašča Službo</w:t>
      </w:r>
      <w:r w:rsidRPr="00F66539">
        <w:rPr>
          <w:rFonts w:ascii="Arial" w:hAnsi="Arial" w:cs="Arial"/>
          <w:i/>
          <w:sz w:val="22"/>
          <w:szCs w:val="22"/>
          <w:lang w:val="sl-SI"/>
        </w:rPr>
        <w:t xml:space="preserve"> Vlade R</w:t>
      </w:r>
      <w:r w:rsidR="007014E4" w:rsidRPr="00F66539">
        <w:rPr>
          <w:rFonts w:ascii="Arial" w:hAnsi="Arial" w:cs="Arial"/>
          <w:i/>
          <w:sz w:val="22"/>
          <w:szCs w:val="22"/>
          <w:lang w:val="sl-SI"/>
        </w:rPr>
        <w:t xml:space="preserve">epublike </w:t>
      </w:r>
      <w:r w:rsidRPr="00F66539">
        <w:rPr>
          <w:rFonts w:ascii="Arial" w:hAnsi="Arial" w:cs="Arial"/>
          <w:i/>
          <w:sz w:val="22"/>
          <w:szCs w:val="22"/>
          <w:lang w:val="sl-SI"/>
        </w:rPr>
        <w:t>S</w:t>
      </w:r>
      <w:r w:rsidR="007014E4" w:rsidRPr="00F66539">
        <w:rPr>
          <w:rFonts w:ascii="Arial" w:hAnsi="Arial" w:cs="Arial"/>
          <w:i/>
          <w:sz w:val="22"/>
          <w:szCs w:val="22"/>
          <w:lang w:val="sl-SI"/>
        </w:rPr>
        <w:t>lovenije</w:t>
      </w:r>
      <w:r w:rsidRPr="00F66539">
        <w:rPr>
          <w:rFonts w:ascii="Arial" w:hAnsi="Arial" w:cs="Arial"/>
          <w:i/>
          <w:sz w:val="22"/>
          <w:szCs w:val="22"/>
          <w:lang w:val="sl-SI"/>
        </w:rPr>
        <w:t xml:space="preserve"> za razvoj in evropsko kohezijsko politiko</w:t>
      </w:r>
      <w:r w:rsidR="007014E4" w:rsidRPr="00F66539">
        <w:rPr>
          <w:rFonts w:ascii="Arial" w:hAnsi="Arial" w:cs="Arial"/>
          <w:i/>
          <w:sz w:val="22"/>
          <w:szCs w:val="22"/>
          <w:lang w:val="sl-SI"/>
        </w:rPr>
        <w:t>, da Operativni program za izvajanje evropske kohezijske politike v obdobju 2014-2020</w:t>
      </w:r>
      <w:r w:rsidR="004E0AB9">
        <w:rPr>
          <w:rFonts w:ascii="Arial" w:hAnsi="Arial" w:cs="Arial"/>
          <w:i/>
          <w:sz w:val="22"/>
          <w:szCs w:val="22"/>
          <w:lang w:val="sl-SI"/>
        </w:rPr>
        <w:t>,</w:t>
      </w:r>
      <w:r w:rsidR="007014E4" w:rsidRPr="00F66539">
        <w:rPr>
          <w:rFonts w:ascii="Arial" w:hAnsi="Arial" w:cs="Arial"/>
          <w:i/>
          <w:sz w:val="22"/>
          <w:szCs w:val="22"/>
          <w:lang w:val="sl-SI"/>
        </w:rPr>
        <w:t xml:space="preserve"> v skladu s sprejetimi izhodišči </w:t>
      </w:r>
      <w:r w:rsidR="00FE5216" w:rsidRPr="00F66539">
        <w:rPr>
          <w:rFonts w:ascii="Arial" w:hAnsi="Arial" w:cs="Arial"/>
          <w:i/>
          <w:sz w:val="22"/>
          <w:szCs w:val="22"/>
          <w:lang w:val="sl-SI"/>
        </w:rPr>
        <w:t>tehnično uskladi in posr</w:t>
      </w:r>
      <w:r w:rsidR="004E0AB9">
        <w:rPr>
          <w:rFonts w:ascii="Arial" w:hAnsi="Arial" w:cs="Arial"/>
          <w:i/>
          <w:sz w:val="22"/>
          <w:szCs w:val="22"/>
          <w:lang w:val="sl-SI"/>
        </w:rPr>
        <w:t>eduje v potrditev Evropski komisiji</w:t>
      </w:r>
      <w:r w:rsidR="00FE5216" w:rsidRPr="00F66539">
        <w:rPr>
          <w:rFonts w:ascii="Arial" w:hAnsi="Arial" w:cs="Arial"/>
          <w:i/>
          <w:sz w:val="22"/>
          <w:szCs w:val="22"/>
          <w:lang w:val="sl-SI"/>
        </w:rPr>
        <w:t>.«</w:t>
      </w:r>
    </w:p>
    <w:p w14:paraId="4931063A" w14:textId="10A06C1F" w:rsidR="00DE3251" w:rsidRDefault="005626FC" w:rsidP="00F66539">
      <w:pPr>
        <w:spacing w:after="240"/>
        <w:jc w:val="both"/>
        <w:rPr>
          <w:rFonts w:ascii="Arial" w:hAnsi="Arial" w:cs="Arial"/>
          <w:sz w:val="22"/>
          <w:szCs w:val="22"/>
          <w:lang w:val="sl-SI"/>
        </w:rPr>
      </w:pPr>
      <w:r>
        <w:rPr>
          <w:rFonts w:ascii="Arial" w:hAnsi="Arial" w:cs="Arial"/>
          <w:sz w:val="22"/>
          <w:szCs w:val="22"/>
          <w:lang w:val="sl-SI"/>
        </w:rPr>
        <w:t xml:space="preserve">Zaradi </w:t>
      </w:r>
      <w:r w:rsidRPr="005626FC">
        <w:rPr>
          <w:rFonts w:ascii="Arial" w:hAnsi="Arial" w:cs="Arial"/>
          <w:sz w:val="22"/>
          <w:szCs w:val="22"/>
          <w:lang w:val="sl-SI"/>
        </w:rPr>
        <w:t>uskladitve razdelitve finančnih sredstev za finančne instrumente na pred</w:t>
      </w:r>
      <w:r>
        <w:rPr>
          <w:rFonts w:ascii="Arial" w:hAnsi="Arial" w:cs="Arial"/>
          <w:sz w:val="22"/>
          <w:szCs w:val="22"/>
          <w:lang w:val="sl-SI"/>
        </w:rPr>
        <w:t xml:space="preserve">nostnih naložbah 1.2 in 3.1. med </w:t>
      </w:r>
      <w:r w:rsidRPr="005626FC">
        <w:rPr>
          <w:rFonts w:ascii="Arial" w:hAnsi="Arial" w:cs="Arial"/>
          <w:sz w:val="22"/>
          <w:szCs w:val="22"/>
          <w:lang w:val="sl-SI"/>
        </w:rPr>
        <w:t>Vzhodno in Zahodno kohezijsko regijo</w:t>
      </w:r>
      <w:r w:rsidR="00DE3251">
        <w:rPr>
          <w:rFonts w:ascii="Arial" w:hAnsi="Arial" w:cs="Arial"/>
          <w:sz w:val="22"/>
          <w:szCs w:val="22"/>
          <w:lang w:val="sl-SI"/>
        </w:rPr>
        <w:t xml:space="preserve"> s predlagano spremembo </w:t>
      </w:r>
      <w:r w:rsidR="00DE3251" w:rsidRPr="00DE3251">
        <w:rPr>
          <w:rFonts w:ascii="Arial" w:hAnsi="Arial" w:cs="Arial"/>
          <w:sz w:val="22"/>
          <w:szCs w:val="22"/>
          <w:lang w:val="sl-SI"/>
        </w:rPr>
        <w:t>Operativnega programa za izvajanje evropske kohezijske politike v obdobju 2014-2020</w:t>
      </w:r>
      <w:r w:rsidR="00DE3251">
        <w:rPr>
          <w:rFonts w:ascii="Arial" w:hAnsi="Arial" w:cs="Arial"/>
          <w:sz w:val="22"/>
          <w:szCs w:val="22"/>
          <w:lang w:val="sl-SI"/>
        </w:rPr>
        <w:t xml:space="preserve"> Evropski komisiji se </w:t>
      </w:r>
      <w:r w:rsidR="00DE3251" w:rsidRPr="00DE3251">
        <w:rPr>
          <w:rFonts w:ascii="Arial" w:hAnsi="Arial" w:cs="Arial"/>
          <w:sz w:val="22"/>
          <w:szCs w:val="22"/>
          <w:lang w:val="sl-SI"/>
        </w:rPr>
        <w:t>Ključni elementi finančnih instrumentov v programskem obdobju 2014 – 2020</w:t>
      </w:r>
      <w:r w:rsidR="00DE3251">
        <w:rPr>
          <w:rFonts w:ascii="Arial" w:hAnsi="Arial" w:cs="Arial"/>
          <w:sz w:val="22"/>
          <w:szCs w:val="22"/>
          <w:lang w:val="sl-SI"/>
        </w:rPr>
        <w:t xml:space="preserve"> spremenijo tako, da se </w:t>
      </w:r>
    </w:p>
    <w:p w14:paraId="45C3B076" w14:textId="77777777" w:rsidR="00F66539" w:rsidRDefault="00DE3251" w:rsidP="00F66539">
      <w:pPr>
        <w:spacing w:after="240"/>
        <w:jc w:val="both"/>
        <w:rPr>
          <w:rFonts w:ascii="Arial" w:hAnsi="Arial" w:cs="Arial"/>
          <w:sz w:val="22"/>
          <w:szCs w:val="22"/>
          <w:lang w:val="sl-SI"/>
        </w:rPr>
      </w:pPr>
      <w:bookmarkStart w:id="10" w:name="_Hlk491374030"/>
      <w:r w:rsidRPr="00DE3251">
        <w:rPr>
          <w:rFonts w:ascii="Arial" w:hAnsi="Arial" w:cs="Arial"/>
          <w:sz w:val="22"/>
          <w:szCs w:val="22"/>
          <w:lang w:val="sl-SI"/>
        </w:rPr>
        <w:t xml:space="preserve">»Tabela 10: Finančna sredstva za FI </w:t>
      </w:r>
      <w:r>
        <w:rPr>
          <w:rFonts w:ascii="Arial" w:hAnsi="Arial" w:cs="Arial"/>
          <w:sz w:val="22"/>
          <w:szCs w:val="22"/>
          <w:lang w:val="sl-SI"/>
        </w:rPr>
        <w:t xml:space="preserve">po letih in kohezijskih regijah </w:t>
      </w:r>
    </w:p>
    <w:tbl>
      <w:tblPr>
        <w:tblW w:w="1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50"/>
        <w:gridCol w:w="1430"/>
        <w:gridCol w:w="1547"/>
        <w:gridCol w:w="1430"/>
        <w:gridCol w:w="1688"/>
        <w:gridCol w:w="1660"/>
      </w:tblGrid>
      <w:tr w:rsidR="00F66539" w:rsidRPr="00720745" w14:paraId="203F73EC" w14:textId="77777777" w:rsidTr="0017158B">
        <w:trPr>
          <w:trHeight w:val="300"/>
        </w:trPr>
        <w:tc>
          <w:tcPr>
            <w:tcW w:w="1560" w:type="dxa"/>
            <w:shd w:val="clear" w:color="auto" w:fill="auto"/>
            <w:noWrap/>
            <w:vAlign w:val="bottom"/>
            <w:hideMark/>
          </w:tcPr>
          <w:bookmarkEnd w:id="10"/>
          <w:p w14:paraId="7FB872E3" w14:textId="77777777" w:rsidR="00F66539" w:rsidRPr="00720745" w:rsidRDefault="00F66539" w:rsidP="00A75F76">
            <w:pPr>
              <w:rPr>
                <w:rFonts w:ascii="Arial" w:hAnsi="Arial" w:cs="Arial"/>
                <w:color w:val="000000"/>
                <w:sz w:val="20"/>
                <w:szCs w:val="20"/>
                <w:lang w:val="sl-SI" w:eastAsia="sl-SI"/>
              </w:rPr>
            </w:pPr>
            <w:r w:rsidRPr="00720745">
              <w:rPr>
                <w:rFonts w:ascii="Arial" w:hAnsi="Arial" w:cs="Arial"/>
                <w:color w:val="000000"/>
                <w:sz w:val="20"/>
                <w:szCs w:val="20"/>
                <w:lang w:val="sl-SI" w:eastAsia="sl-SI"/>
              </w:rPr>
              <w:t>Prednostna naložba</w:t>
            </w:r>
          </w:p>
        </w:tc>
        <w:tc>
          <w:tcPr>
            <w:tcW w:w="850" w:type="dxa"/>
            <w:shd w:val="clear" w:color="auto" w:fill="auto"/>
            <w:noWrap/>
            <w:vAlign w:val="bottom"/>
            <w:hideMark/>
          </w:tcPr>
          <w:p w14:paraId="621C6407" w14:textId="77777777" w:rsidR="00F66539" w:rsidRPr="00720745" w:rsidRDefault="00F66539" w:rsidP="00A75F76">
            <w:pPr>
              <w:rPr>
                <w:rFonts w:ascii="Arial" w:hAnsi="Arial" w:cs="Arial"/>
                <w:color w:val="000000"/>
                <w:sz w:val="20"/>
                <w:szCs w:val="20"/>
                <w:lang w:val="sl-SI" w:eastAsia="sl-SI"/>
              </w:rPr>
            </w:pPr>
            <w:r w:rsidRPr="00720745">
              <w:rPr>
                <w:rFonts w:ascii="Arial" w:hAnsi="Arial" w:cs="Arial"/>
                <w:color w:val="000000"/>
                <w:sz w:val="20"/>
                <w:szCs w:val="20"/>
                <w:lang w:val="sl-SI" w:eastAsia="sl-SI"/>
              </w:rPr>
              <w:t>Regija</w:t>
            </w:r>
          </w:p>
        </w:tc>
        <w:tc>
          <w:tcPr>
            <w:tcW w:w="1430" w:type="dxa"/>
            <w:shd w:val="clear" w:color="auto" w:fill="auto"/>
            <w:noWrap/>
            <w:vAlign w:val="bottom"/>
            <w:hideMark/>
          </w:tcPr>
          <w:p w14:paraId="76363A3B" w14:textId="77777777" w:rsidR="00F66539" w:rsidRPr="00720745" w:rsidRDefault="00F66539" w:rsidP="00A75F76">
            <w:pPr>
              <w:jc w:val="right"/>
              <w:rPr>
                <w:rFonts w:ascii="Arial" w:hAnsi="Arial" w:cs="Arial"/>
                <w:color w:val="000000"/>
                <w:sz w:val="20"/>
                <w:szCs w:val="20"/>
                <w:lang w:val="sl-SI" w:eastAsia="sl-SI"/>
              </w:rPr>
            </w:pPr>
            <w:r w:rsidRPr="00720745">
              <w:rPr>
                <w:rFonts w:ascii="Arial" w:hAnsi="Arial" w:cs="Arial"/>
                <w:color w:val="000000"/>
                <w:sz w:val="20"/>
                <w:szCs w:val="20"/>
                <w:lang w:val="sl-SI" w:eastAsia="sl-SI"/>
              </w:rPr>
              <w:t>2017</w:t>
            </w:r>
          </w:p>
        </w:tc>
        <w:tc>
          <w:tcPr>
            <w:tcW w:w="1547" w:type="dxa"/>
            <w:shd w:val="clear" w:color="auto" w:fill="auto"/>
            <w:noWrap/>
            <w:vAlign w:val="bottom"/>
            <w:hideMark/>
          </w:tcPr>
          <w:p w14:paraId="1964D389" w14:textId="77777777" w:rsidR="00F66539" w:rsidRPr="00720745" w:rsidRDefault="00F66539" w:rsidP="00A75F76">
            <w:pPr>
              <w:jc w:val="right"/>
              <w:rPr>
                <w:rFonts w:ascii="Arial" w:hAnsi="Arial" w:cs="Arial"/>
                <w:color w:val="000000"/>
                <w:sz w:val="20"/>
                <w:szCs w:val="20"/>
                <w:lang w:val="sl-SI" w:eastAsia="sl-SI"/>
              </w:rPr>
            </w:pPr>
            <w:r w:rsidRPr="00720745">
              <w:rPr>
                <w:rFonts w:ascii="Arial" w:hAnsi="Arial" w:cs="Arial"/>
                <w:color w:val="000000"/>
                <w:sz w:val="20"/>
                <w:szCs w:val="20"/>
                <w:lang w:val="sl-SI" w:eastAsia="sl-SI"/>
              </w:rPr>
              <w:t>2019</w:t>
            </w:r>
          </w:p>
        </w:tc>
        <w:tc>
          <w:tcPr>
            <w:tcW w:w="1430" w:type="dxa"/>
            <w:shd w:val="clear" w:color="auto" w:fill="auto"/>
            <w:noWrap/>
            <w:vAlign w:val="bottom"/>
            <w:hideMark/>
          </w:tcPr>
          <w:p w14:paraId="4C13EA0A" w14:textId="77777777" w:rsidR="00F66539" w:rsidRPr="00720745" w:rsidRDefault="00F66539" w:rsidP="00A75F76">
            <w:pPr>
              <w:jc w:val="right"/>
              <w:rPr>
                <w:rFonts w:ascii="Arial" w:hAnsi="Arial" w:cs="Arial"/>
                <w:color w:val="000000"/>
                <w:sz w:val="20"/>
                <w:szCs w:val="20"/>
                <w:lang w:val="sl-SI" w:eastAsia="sl-SI"/>
              </w:rPr>
            </w:pPr>
            <w:r w:rsidRPr="00720745">
              <w:rPr>
                <w:rFonts w:ascii="Arial" w:hAnsi="Arial" w:cs="Arial"/>
                <w:color w:val="000000"/>
                <w:sz w:val="20"/>
                <w:szCs w:val="20"/>
                <w:lang w:val="sl-SI" w:eastAsia="sl-SI"/>
              </w:rPr>
              <w:t>2021</w:t>
            </w:r>
          </w:p>
        </w:tc>
        <w:tc>
          <w:tcPr>
            <w:tcW w:w="1688" w:type="dxa"/>
            <w:shd w:val="clear" w:color="auto" w:fill="auto"/>
            <w:noWrap/>
            <w:vAlign w:val="bottom"/>
            <w:hideMark/>
          </w:tcPr>
          <w:p w14:paraId="33064F1C" w14:textId="77777777" w:rsidR="00F66539" w:rsidRPr="00720745" w:rsidRDefault="00F66539" w:rsidP="00A75F76">
            <w:pPr>
              <w:jc w:val="right"/>
              <w:rPr>
                <w:rFonts w:ascii="Arial" w:hAnsi="Arial" w:cs="Arial"/>
                <w:color w:val="000000"/>
                <w:sz w:val="20"/>
                <w:szCs w:val="20"/>
                <w:lang w:val="sl-SI" w:eastAsia="sl-SI"/>
              </w:rPr>
            </w:pPr>
            <w:r w:rsidRPr="00720745">
              <w:rPr>
                <w:rFonts w:ascii="Arial" w:hAnsi="Arial" w:cs="Arial"/>
                <w:color w:val="000000"/>
                <w:sz w:val="20"/>
                <w:szCs w:val="20"/>
                <w:lang w:val="sl-SI" w:eastAsia="sl-SI"/>
              </w:rPr>
              <w:t>2022</w:t>
            </w:r>
          </w:p>
        </w:tc>
        <w:tc>
          <w:tcPr>
            <w:tcW w:w="1660" w:type="dxa"/>
            <w:shd w:val="clear" w:color="auto" w:fill="auto"/>
            <w:noWrap/>
            <w:vAlign w:val="bottom"/>
            <w:hideMark/>
          </w:tcPr>
          <w:p w14:paraId="1415B7F8" w14:textId="77777777" w:rsidR="00F66539" w:rsidRPr="00720745" w:rsidRDefault="00F66539" w:rsidP="00A75F76">
            <w:pPr>
              <w:rPr>
                <w:rFonts w:ascii="Arial" w:hAnsi="Arial" w:cs="Arial"/>
                <w:color w:val="000000"/>
                <w:sz w:val="20"/>
                <w:szCs w:val="20"/>
                <w:lang w:val="sl-SI" w:eastAsia="sl-SI"/>
              </w:rPr>
            </w:pPr>
            <w:r w:rsidRPr="00720745">
              <w:rPr>
                <w:rFonts w:ascii="Arial" w:hAnsi="Arial" w:cs="Arial"/>
                <w:color w:val="000000"/>
                <w:sz w:val="20"/>
                <w:szCs w:val="20"/>
                <w:lang w:val="sl-SI" w:eastAsia="sl-SI"/>
              </w:rPr>
              <w:t>Skupaj</w:t>
            </w:r>
          </w:p>
        </w:tc>
      </w:tr>
      <w:tr w:rsidR="00F66539" w:rsidRPr="00720745" w14:paraId="22746982" w14:textId="77777777" w:rsidTr="0017158B">
        <w:trPr>
          <w:trHeight w:val="300"/>
        </w:trPr>
        <w:tc>
          <w:tcPr>
            <w:tcW w:w="1560" w:type="dxa"/>
            <w:shd w:val="clear" w:color="auto" w:fill="auto"/>
            <w:noWrap/>
            <w:vAlign w:val="bottom"/>
            <w:hideMark/>
          </w:tcPr>
          <w:p w14:paraId="3D4EDB82"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1.2</w:t>
            </w:r>
          </w:p>
        </w:tc>
        <w:tc>
          <w:tcPr>
            <w:tcW w:w="850" w:type="dxa"/>
            <w:shd w:val="clear" w:color="auto" w:fill="auto"/>
            <w:noWrap/>
            <w:vAlign w:val="bottom"/>
            <w:hideMark/>
          </w:tcPr>
          <w:p w14:paraId="1547DB9A"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Vzhod</w:t>
            </w:r>
          </w:p>
        </w:tc>
        <w:tc>
          <w:tcPr>
            <w:tcW w:w="1430" w:type="dxa"/>
            <w:shd w:val="clear" w:color="auto" w:fill="auto"/>
            <w:noWrap/>
            <w:vAlign w:val="bottom"/>
            <w:hideMark/>
          </w:tcPr>
          <w:p w14:paraId="00C06077"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8.800.000,00</w:t>
            </w:r>
          </w:p>
        </w:tc>
        <w:tc>
          <w:tcPr>
            <w:tcW w:w="1547" w:type="dxa"/>
            <w:shd w:val="clear" w:color="auto" w:fill="auto"/>
            <w:noWrap/>
            <w:vAlign w:val="bottom"/>
            <w:hideMark/>
          </w:tcPr>
          <w:p w14:paraId="6F416D93"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8.800.000,00</w:t>
            </w:r>
          </w:p>
        </w:tc>
        <w:tc>
          <w:tcPr>
            <w:tcW w:w="1430" w:type="dxa"/>
            <w:shd w:val="clear" w:color="auto" w:fill="auto"/>
            <w:noWrap/>
            <w:vAlign w:val="bottom"/>
            <w:hideMark/>
          </w:tcPr>
          <w:p w14:paraId="3C159105"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8.800.000,00</w:t>
            </w:r>
          </w:p>
        </w:tc>
        <w:tc>
          <w:tcPr>
            <w:tcW w:w="1688" w:type="dxa"/>
            <w:shd w:val="clear" w:color="auto" w:fill="auto"/>
            <w:noWrap/>
            <w:vAlign w:val="bottom"/>
            <w:hideMark/>
          </w:tcPr>
          <w:p w14:paraId="2269527F"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8.800.000,00</w:t>
            </w:r>
          </w:p>
        </w:tc>
        <w:tc>
          <w:tcPr>
            <w:tcW w:w="1660" w:type="dxa"/>
            <w:shd w:val="clear" w:color="auto" w:fill="auto"/>
            <w:noWrap/>
            <w:vAlign w:val="bottom"/>
            <w:hideMark/>
          </w:tcPr>
          <w:p w14:paraId="3D8E9845"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35.200.000,00</w:t>
            </w:r>
          </w:p>
        </w:tc>
      </w:tr>
      <w:tr w:rsidR="00F66539" w:rsidRPr="00720745" w14:paraId="2553ACB7" w14:textId="77777777" w:rsidTr="0017158B">
        <w:trPr>
          <w:trHeight w:val="300"/>
        </w:trPr>
        <w:tc>
          <w:tcPr>
            <w:tcW w:w="1560" w:type="dxa"/>
            <w:shd w:val="clear" w:color="auto" w:fill="auto"/>
            <w:noWrap/>
            <w:vAlign w:val="bottom"/>
            <w:hideMark/>
          </w:tcPr>
          <w:p w14:paraId="67005CEB"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1.2</w:t>
            </w:r>
          </w:p>
        </w:tc>
        <w:tc>
          <w:tcPr>
            <w:tcW w:w="850" w:type="dxa"/>
            <w:shd w:val="clear" w:color="auto" w:fill="auto"/>
            <w:noWrap/>
            <w:vAlign w:val="bottom"/>
            <w:hideMark/>
          </w:tcPr>
          <w:p w14:paraId="13F98229"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Zahod</w:t>
            </w:r>
          </w:p>
        </w:tc>
        <w:tc>
          <w:tcPr>
            <w:tcW w:w="1430" w:type="dxa"/>
            <w:shd w:val="clear" w:color="auto" w:fill="auto"/>
            <w:noWrap/>
            <w:vAlign w:val="bottom"/>
            <w:hideMark/>
          </w:tcPr>
          <w:p w14:paraId="660309C0"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13.200.000,00</w:t>
            </w:r>
          </w:p>
        </w:tc>
        <w:tc>
          <w:tcPr>
            <w:tcW w:w="1547" w:type="dxa"/>
            <w:shd w:val="clear" w:color="auto" w:fill="auto"/>
            <w:noWrap/>
            <w:vAlign w:val="bottom"/>
            <w:hideMark/>
          </w:tcPr>
          <w:p w14:paraId="1D9A070F"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13.200.000,00</w:t>
            </w:r>
          </w:p>
        </w:tc>
        <w:tc>
          <w:tcPr>
            <w:tcW w:w="1430" w:type="dxa"/>
            <w:shd w:val="clear" w:color="auto" w:fill="auto"/>
            <w:noWrap/>
            <w:vAlign w:val="bottom"/>
            <w:hideMark/>
          </w:tcPr>
          <w:p w14:paraId="390D8B0A"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13.200.000,00</w:t>
            </w:r>
          </w:p>
        </w:tc>
        <w:tc>
          <w:tcPr>
            <w:tcW w:w="1688" w:type="dxa"/>
            <w:shd w:val="clear" w:color="auto" w:fill="auto"/>
            <w:noWrap/>
            <w:vAlign w:val="bottom"/>
            <w:hideMark/>
          </w:tcPr>
          <w:p w14:paraId="579BC823"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13.200.000,00</w:t>
            </w:r>
          </w:p>
        </w:tc>
        <w:tc>
          <w:tcPr>
            <w:tcW w:w="1660" w:type="dxa"/>
            <w:shd w:val="clear" w:color="auto" w:fill="auto"/>
            <w:noWrap/>
            <w:vAlign w:val="bottom"/>
            <w:hideMark/>
          </w:tcPr>
          <w:p w14:paraId="0E59C7D3"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52.800.000,00</w:t>
            </w:r>
          </w:p>
        </w:tc>
      </w:tr>
      <w:tr w:rsidR="00F66539" w:rsidRPr="00720745" w14:paraId="3BB4F7E9" w14:textId="77777777" w:rsidTr="0017158B">
        <w:trPr>
          <w:trHeight w:val="300"/>
        </w:trPr>
        <w:tc>
          <w:tcPr>
            <w:tcW w:w="1560" w:type="dxa"/>
            <w:shd w:val="clear" w:color="auto" w:fill="auto"/>
            <w:noWrap/>
            <w:vAlign w:val="bottom"/>
            <w:hideMark/>
          </w:tcPr>
          <w:p w14:paraId="1615B1C3" w14:textId="77777777" w:rsidR="00F66539" w:rsidRPr="00720745" w:rsidRDefault="00F66539" w:rsidP="00A75F76">
            <w:pPr>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1.2 Vsota</w:t>
            </w:r>
          </w:p>
        </w:tc>
        <w:tc>
          <w:tcPr>
            <w:tcW w:w="850" w:type="dxa"/>
            <w:shd w:val="clear" w:color="auto" w:fill="auto"/>
            <w:noWrap/>
            <w:vAlign w:val="bottom"/>
            <w:hideMark/>
          </w:tcPr>
          <w:p w14:paraId="5951520A" w14:textId="77777777" w:rsidR="00F66539" w:rsidRPr="00720745" w:rsidRDefault="00F66539" w:rsidP="00A75F76">
            <w:pPr>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1FC53F6C"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22.000.000,00</w:t>
            </w:r>
          </w:p>
        </w:tc>
        <w:tc>
          <w:tcPr>
            <w:tcW w:w="1547" w:type="dxa"/>
            <w:shd w:val="clear" w:color="auto" w:fill="auto"/>
            <w:noWrap/>
            <w:vAlign w:val="bottom"/>
            <w:hideMark/>
          </w:tcPr>
          <w:p w14:paraId="6D1EDA63"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22.000.000,00</w:t>
            </w:r>
          </w:p>
        </w:tc>
        <w:tc>
          <w:tcPr>
            <w:tcW w:w="1430" w:type="dxa"/>
            <w:shd w:val="clear" w:color="auto" w:fill="auto"/>
            <w:noWrap/>
            <w:vAlign w:val="bottom"/>
            <w:hideMark/>
          </w:tcPr>
          <w:p w14:paraId="53AD0518"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22.000.000,00</w:t>
            </w:r>
          </w:p>
        </w:tc>
        <w:tc>
          <w:tcPr>
            <w:tcW w:w="1688" w:type="dxa"/>
            <w:shd w:val="clear" w:color="auto" w:fill="auto"/>
            <w:noWrap/>
            <w:vAlign w:val="bottom"/>
            <w:hideMark/>
          </w:tcPr>
          <w:p w14:paraId="2FA950BF"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22.000.000,00</w:t>
            </w:r>
          </w:p>
        </w:tc>
        <w:tc>
          <w:tcPr>
            <w:tcW w:w="1660" w:type="dxa"/>
            <w:shd w:val="clear" w:color="auto" w:fill="auto"/>
            <w:noWrap/>
            <w:vAlign w:val="bottom"/>
            <w:hideMark/>
          </w:tcPr>
          <w:p w14:paraId="0D8B7FDD"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88.000.000,00</w:t>
            </w:r>
          </w:p>
        </w:tc>
      </w:tr>
      <w:tr w:rsidR="00F66539" w:rsidRPr="00720745" w14:paraId="5D65EE91" w14:textId="77777777" w:rsidTr="0017158B">
        <w:trPr>
          <w:trHeight w:val="300"/>
        </w:trPr>
        <w:tc>
          <w:tcPr>
            <w:tcW w:w="1560" w:type="dxa"/>
            <w:shd w:val="clear" w:color="auto" w:fill="auto"/>
            <w:noWrap/>
            <w:vAlign w:val="bottom"/>
            <w:hideMark/>
          </w:tcPr>
          <w:p w14:paraId="28976915"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3.1</w:t>
            </w:r>
          </w:p>
        </w:tc>
        <w:tc>
          <w:tcPr>
            <w:tcW w:w="850" w:type="dxa"/>
            <w:shd w:val="clear" w:color="auto" w:fill="auto"/>
            <w:noWrap/>
            <w:vAlign w:val="bottom"/>
            <w:hideMark/>
          </w:tcPr>
          <w:p w14:paraId="53A71063"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Vzhod</w:t>
            </w:r>
          </w:p>
        </w:tc>
        <w:tc>
          <w:tcPr>
            <w:tcW w:w="1430" w:type="dxa"/>
            <w:shd w:val="clear" w:color="auto" w:fill="auto"/>
            <w:noWrap/>
            <w:vAlign w:val="bottom"/>
            <w:hideMark/>
          </w:tcPr>
          <w:p w14:paraId="4B2C83ED"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13.500.000,00</w:t>
            </w:r>
          </w:p>
        </w:tc>
        <w:tc>
          <w:tcPr>
            <w:tcW w:w="1547" w:type="dxa"/>
            <w:shd w:val="clear" w:color="auto" w:fill="auto"/>
            <w:noWrap/>
            <w:vAlign w:val="bottom"/>
            <w:hideMark/>
          </w:tcPr>
          <w:p w14:paraId="05CDEC66"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13.500.000,00</w:t>
            </w:r>
          </w:p>
        </w:tc>
        <w:tc>
          <w:tcPr>
            <w:tcW w:w="1430" w:type="dxa"/>
            <w:shd w:val="clear" w:color="auto" w:fill="auto"/>
            <w:noWrap/>
            <w:vAlign w:val="bottom"/>
            <w:hideMark/>
          </w:tcPr>
          <w:p w14:paraId="47F2BB9A"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13.500.000,00</w:t>
            </w:r>
          </w:p>
        </w:tc>
        <w:tc>
          <w:tcPr>
            <w:tcW w:w="1688" w:type="dxa"/>
            <w:shd w:val="clear" w:color="auto" w:fill="auto"/>
            <w:noWrap/>
            <w:vAlign w:val="bottom"/>
            <w:hideMark/>
          </w:tcPr>
          <w:p w14:paraId="4613E5C7"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13.500.000,00</w:t>
            </w:r>
          </w:p>
        </w:tc>
        <w:tc>
          <w:tcPr>
            <w:tcW w:w="1660" w:type="dxa"/>
            <w:shd w:val="clear" w:color="auto" w:fill="auto"/>
            <w:noWrap/>
            <w:vAlign w:val="bottom"/>
            <w:hideMark/>
          </w:tcPr>
          <w:p w14:paraId="0462CD2D"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54.000.000,00</w:t>
            </w:r>
          </w:p>
        </w:tc>
      </w:tr>
      <w:tr w:rsidR="00F66539" w:rsidRPr="00720745" w14:paraId="1BC83CE3" w14:textId="77777777" w:rsidTr="0017158B">
        <w:trPr>
          <w:trHeight w:val="300"/>
        </w:trPr>
        <w:tc>
          <w:tcPr>
            <w:tcW w:w="1560" w:type="dxa"/>
            <w:shd w:val="clear" w:color="auto" w:fill="auto"/>
            <w:noWrap/>
            <w:vAlign w:val="bottom"/>
            <w:hideMark/>
          </w:tcPr>
          <w:p w14:paraId="2A7E2BDC"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3.1</w:t>
            </w:r>
          </w:p>
        </w:tc>
        <w:tc>
          <w:tcPr>
            <w:tcW w:w="850" w:type="dxa"/>
            <w:shd w:val="clear" w:color="auto" w:fill="auto"/>
            <w:noWrap/>
            <w:vAlign w:val="bottom"/>
            <w:hideMark/>
          </w:tcPr>
          <w:p w14:paraId="45656213"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Zahod</w:t>
            </w:r>
          </w:p>
        </w:tc>
        <w:tc>
          <w:tcPr>
            <w:tcW w:w="1430" w:type="dxa"/>
            <w:shd w:val="clear" w:color="auto" w:fill="auto"/>
            <w:noWrap/>
            <w:vAlign w:val="bottom"/>
            <w:hideMark/>
          </w:tcPr>
          <w:p w14:paraId="5D7053DC"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20.250.000,00</w:t>
            </w:r>
          </w:p>
        </w:tc>
        <w:tc>
          <w:tcPr>
            <w:tcW w:w="1547" w:type="dxa"/>
            <w:shd w:val="clear" w:color="auto" w:fill="auto"/>
            <w:noWrap/>
            <w:vAlign w:val="bottom"/>
            <w:hideMark/>
          </w:tcPr>
          <w:p w14:paraId="394DFA69"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20.250.000,00</w:t>
            </w:r>
          </w:p>
        </w:tc>
        <w:tc>
          <w:tcPr>
            <w:tcW w:w="1430" w:type="dxa"/>
            <w:shd w:val="clear" w:color="auto" w:fill="auto"/>
            <w:noWrap/>
            <w:vAlign w:val="bottom"/>
            <w:hideMark/>
          </w:tcPr>
          <w:p w14:paraId="7F8C5FAA"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20.250.000,00</w:t>
            </w:r>
          </w:p>
        </w:tc>
        <w:tc>
          <w:tcPr>
            <w:tcW w:w="1688" w:type="dxa"/>
            <w:shd w:val="clear" w:color="auto" w:fill="auto"/>
            <w:noWrap/>
            <w:vAlign w:val="bottom"/>
            <w:hideMark/>
          </w:tcPr>
          <w:p w14:paraId="473EEE93"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20.250.000,00</w:t>
            </w:r>
          </w:p>
        </w:tc>
        <w:tc>
          <w:tcPr>
            <w:tcW w:w="1660" w:type="dxa"/>
            <w:shd w:val="clear" w:color="auto" w:fill="auto"/>
            <w:noWrap/>
            <w:vAlign w:val="bottom"/>
            <w:hideMark/>
          </w:tcPr>
          <w:p w14:paraId="545353F2"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81.000.000,00</w:t>
            </w:r>
          </w:p>
        </w:tc>
      </w:tr>
      <w:tr w:rsidR="00F66539" w:rsidRPr="00720745" w14:paraId="28FF9908" w14:textId="77777777" w:rsidTr="0017158B">
        <w:trPr>
          <w:trHeight w:val="300"/>
        </w:trPr>
        <w:tc>
          <w:tcPr>
            <w:tcW w:w="1560" w:type="dxa"/>
            <w:shd w:val="clear" w:color="auto" w:fill="auto"/>
            <w:noWrap/>
            <w:vAlign w:val="bottom"/>
            <w:hideMark/>
          </w:tcPr>
          <w:p w14:paraId="6BD49F5D" w14:textId="77777777" w:rsidR="00F66539" w:rsidRPr="00720745" w:rsidRDefault="00F66539" w:rsidP="00A75F76">
            <w:pPr>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3.1 Vsota</w:t>
            </w:r>
          </w:p>
        </w:tc>
        <w:tc>
          <w:tcPr>
            <w:tcW w:w="850" w:type="dxa"/>
            <w:shd w:val="clear" w:color="auto" w:fill="auto"/>
            <w:noWrap/>
            <w:vAlign w:val="bottom"/>
            <w:hideMark/>
          </w:tcPr>
          <w:p w14:paraId="56F296E3" w14:textId="77777777" w:rsidR="00F66539" w:rsidRPr="00720745" w:rsidRDefault="00F66539" w:rsidP="00A75F76">
            <w:pPr>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33937615"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33.750.000,00</w:t>
            </w:r>
          </w:p>
        </w:tc>
        <w:tc>
          <w:tcPr>
            <w:tcW w:w="1547" w:type="dxa"/>
            <w:shd w:val="clear" w:color="auto" w:fill="auto"/>
            <w:noWrap/>
            <w:vAlign w:val="bottom"/>
            <w:hideMark/>
          </w:tcPr>
          <w:p w14:paraId="3B25C185"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33.750.000,00</w:t>
            </w:r>
          </w:p>
        </w:tc>
        <w:tc>
          <w:tcPr>
            <w:tcW w:w="1430" w:type="dxa"/>
            <w:shd w:val="clear" w:color="auto" w:fill="auto"/>
            <w:noWrap/>
            <w:vAlign w:val="bottom"/>
            <w:hideMark/>
          </w:tcPr>
          <w:p w14:paraId="327DE681"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33.750.000,00</w:t>
            </w:r>
          </w:p>
        </w:tc>
        <w:tc>
          <w:tcPr>
            <w:tcW w:w="1688" w:type="dxa"/>
            <w:shd w:val="clear" w:color="auto" w:fill="auto"/>
            <w:noWrap/>
            <w:vAlign w:val="bottom"/>
            <w:hideMark/>
          </w:tcPr>
          <w:p w14:paraId="2300BEE1"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33.750.000,00</w:t>
            </w:r>
          </w:p>
        </w:tc>
        <w:tc>
          <w:tcPr>
            <w:tcW w:w="1660" w:type="dxa"/>
            <w:shd w:val="clear" w:color="auto" w:fill="auto"/>
            <w:noWrap/>
            <w:vAlign w:val="bottom"/>
            <w:hideMark/>
          </w:tcPr>
          <w:p w14:paraId="6EA7734F"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135.000.000,00</w:t>
            </w:r>
          </w:p>
        </w:tc>
      </w:tr>
      <w:tr w:rsidR="00F66539" w:rsidRPr="00720745" w14:paraId="39AC8181" w14:textId="77777777" w:rsidTr="0017158B">
        <w:trPr>
          <w:trHeight w:val="300"/>
        </w:trPr>
        <w:tc>
          <w:tcPr>
            <w:tcW w:w="1560" w:type="dxa"/>
            <w:shd w:val="clear" w:color="auto" w:fill="auto"/>
            <w:noWrap/>
            <w:vAlign w:val="bottom"/>
            <w:hideMark/>
          </w:tcPr>
          <w:p w14:paraId="709EA125"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4.1</w:t>
            </w:r>
          </w:p>
        </w:tc>
        <w:tc>
          <w:tcPr>
            <w:tcW w:w="850" w:type="dxa"/>
            <w:shd w:val="clear" w:color="auto" w:fill="auto"/>
            <w:noWrap/>
            <w:vAlign w:val="bottom"/>
            <w:hideMark/>
          </w:tcPr>
          <w:p w14:paraId="1098EF19"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SI</w:t>
            </w:r>
          </w:p>
        </w:tc>
        <w:tc>
          <w:tcPr>
            <w:tcW w:w="1430" w:type="dxa"/>
            <w:shd w:val="clear" w:color="auto" w:fill="auto"/>
            <w:noWrap/>
            <w:vAlign w:val="bottom"/>
            <w:hideMark/>
          </w:tcPr>
          <w:p w14:paraId="56193FDD"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6.250.000,00</w:t>
            </w:r>
          </w:p>
        </w:tc>
        <w:tc>
          <w:tcPr>
            <w:tcW w:w="1547" w:type="dxa"/>
            <w:shd w:val="clear" w:color="auto" w:fill="auto"/>
            <w:noWrap/>
            <w:vAlign w:val="bottom"/>
            <w:hideMark/>
          </w:tcPr>
          <w:p w14:paraId="21B3DA74"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6.250.000,00</w:t>
            </w:r>
          </w:p>
        </w:tc>
        <w:tc>
          <w:tcPr>
            <w:tcW w:w="1430" w:type="dxa"/>
            <w:shd w:val="clear" w:color="auto" w:fill="auto"/>
            <w:noWrap/>
            <w:vAlign w:val="bottom"/>
            <w:hideMark/>
          </w:tcPr>
          <w:p w14:paraId="0BD04D77"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6.250.000,00</w:t>
            </w:r>
          </w:p>
        </w:tc>
        <w:tc>
          <w:tcPr>
            <w:tcW w:w="1688" w:type="dxa"/>
            <w:shd w:val="clear" w:color="auto" w:fill="auto"/>
            <w:noWrap/>
            <w:vAlign w:val="bottom"/>
            <w:hideMark/>
          </w:tcPr>
          <w:p w14:paraId="51387FFB"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6.250.000,00</w:t>
            </w:r>
          </w:p>
        </w:tc>
        <w:tc>
          <w:tcPr>
            <w:tcW w:w="1660" w:type="dxa"/>
            <w:shd w:val="clear" w:color="auto" w:fill="auto"/>
            <w:noWrap/>
            <w:vAlign w:val="bottom"/>
            <w:hideMark/>
          </w:tcPr>
          <w:p w14:paraId="7F92B166"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25.000.000,00</w:t>
            </w:r>
          </w:p>
        </w:tc>
      </w:tr>
      <w:tr w:rsidR="00F66539" w:rsidRPr="00720745" w14:paraId="46E9A7C8" w14:textId="77777777" w:rsidTr="0017158B">
        <w:trPr>
          <w:trHeight w:val="300"/>
        </w:trPr>
        <w:tc>
          <w:tcPr>
            <w:tcW w:w="1560" w:type="dxa"/>
            <w:shd w:val="clear" w:color="auto" w:fill="auto"/>
            <w:noWrap/>
            <w:vAlign w:val="bottom"/>
            <w:hideMark/>
          </w:tcPr>
          <w:p w14:paraId="29F0F7A0" w14:textId="77777777" w:rsidR="00F66539" w:rsidRPr="00720745" w:rsidRDefault="00F66539" w:rsidP="00A75F76">
            <w:pPr>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4.1 Vsota</w:t>
            </w:r>
          </w:p>
        </w:tc>
        <w:tc>
          <w:tcPr>
            <w:tcW w:w="850" w:type="dxa"/>
            <w:shd w:val="clear" w:color="auto" w:fill="auto"/>
            <w:noWrap/>
            <w:vAlign w:val="bottom"/>
            <w:hideMark/>
          </w:tcPr>
          <w:p w14:paraId="1C586CB9" w14:textId="77777777" w:rsidR="00F66539" w:rsidRPr="00720745" w:rsidRDefault="00F66539" w:rsidP="00A75F76">
            <w:pPr>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074FC682"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6.250.000,00</w:t>
            </w:r>
          </w:p>
        </w:tc>
        <w:tc>
          <w:tcPr>
            <w:tcW w:w="1547" w:type="dxa"/>
            <w:shd w:val="clear" w:color="auto" w:fill="auto"/>
            <w:noWrap/>
            <w:vAlign w:val="bottom"/>
            <w:hideMark/>
          </w:tcPr>
          <w:p w14:paraId="1A7F1FC7"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6.250.000,00</w:t>
            </w:r>
          </w:p>
        </w:tc>
        <w:tc>
          <w:tcPr>
            <w:tcW w:w="1430" w:type="dxa"/>
            <w:shd w:val="clear" w:color="auto" w:fill="auto"/>
            <w:noWrap/>
            <w:vAlign w:val="bottom"/>
            <w:hideMark/>
          </w:tcPr>
          <w:p w14:paraId="19F2D1C3"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6.250.000,00</w:t>
            </w:r>
          </w:p>
        </w:tc>
        <w:tc>
          <w:tcPr>
            <w:tcW w:w="1688" w:type="dxa"/>
            <w:shd w:val="clear" w:color="auto" w:fill="auto"/>
            <w:noWrap/>
            <w:vAlign w:val="bottom"/>
            <w:hideMark/>
          </w:tcPr>
          <w:p w14:paraId="1365EFB9"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6.250.000,00</w:t>
            </w:r>
          </w:p>
        </w:tc>
        <w:tc>
          <w:tcPr>
            <w:tcW w:w="1660" w:type="dxa"/>
            <w:shd w:val="clear" w:color="auto" w:fill="auto"/>
            <w:noWrap/>
            <w:vAlign w:val="bottom"/>
            <w:hideMark/>
          </w:tcPr>
          <w:p w14:paraId="48AA436E"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25.000.000,00</w:t>
            </w:r>
          </w:p>
        </w:tc>
      </w:tr>
      <w:tr w:rsidR="00F66539" w:rsidRPr="00720745" w14:paraId="36C244E5" w14:textId="77777777" w:rsidTr="0017158B">
        <w:trPr>
          <w:trHeight w:val="300"/>
        </w:trPr>
        <w:tc>
          <w:tcPr>
            <w:tcW w:w="1560" w:type="dxa"/>
            <w:shd w:val="clear" w:color="auto" w:fill="auto"/>
            <w:noWrap/>
            <w:vAlign w:val="bottom"/>
            <w:hideMark/>
          </w:tcPr>
          <w:p w14:paraId="0CD66ED0"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6.3</w:t>
            </w:r>
          </w:p>
        </w:tc>
        <w:tc>
          <w:tcPr>
            <w:tcW w:w="850" w:type="dxa"/>
            <w:shd w:val="clear" w:color="auto" w:fill="auto"/>
            <w:noWrap/>
            <w:vAlign w:val="bottom"/>
            <w:hideMark/>
          </w:tcPr>
          <w:p w14:paraId="1965DC29"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Vzhod</w:t>
            </w:r>
          </w:p>
        </w:tc>
        <w:tc>
          <w:tcPr>
            <w:tcW w:w="1430" w:type="dxa"/>
            <w:shd w:val="clear" w:color="auto" w:fill="auto"/>
            <w:noWrap/>
            <w:vAlign w:val="bottom"/>
            <w:hideMark/>
          </w:tcPr>
          <w:p w14:paraId="73BBC604"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800.000,00</w:t>
            </w:r>
          </w:p>
        </w:tc>
        <w:tc>
          <w:tcPr>
            <w:tcW w:w="1547" w:type="dxa"/>
            <w:shd w:val="clear" w:color="auto" w:fill="auto"/>
            <w:noWrap/>
            <w:vAlign w:val="bottom"/>
            <w:hideMark/>
          </w:tcPr>
          <w:p w14:paraId="05A87F58"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800.000,00</w:t>
            </w:r>
          </w:p>
        </w:tc>
        <w:tc>
          <w:tcPr>
            <w:tcW w:w="1430" w:type="dxa"/>
            <w:shd w:val="clear" w:color="auto" w:fill="auto"/>
            <w:noWrap/>
            <w:vAlign w:val="bottom"/>
            <w:hideMark/>
          </w:tcPr>
          <w:p w14:paraId="2C29F80F"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800.000,00</w:t>
            </w:r>
          </w:p>
        </w:tc>
        <w:tc>
          <w:tcPr>
            <w:tcW w:w="1688" w:type="dxa"/>
            <w:shd w:val="clear" w:color="auto" w:fill="auto"/>
            <w:noWrap/>
            <w:vAlign w:val="bottom"/>
            <w:hideMark/>
          </w:tcPr>
          <w:p w14:paraId="611E2DEA"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800.000,00</w:t>
            </w:r>
          </w:p>
        </w:tc>
        <w:tc>
          <w:tcPr>
            <w:tcW w:w="1660" w:type="dxa"/>
            <w:shd w:val="clear" w:color="auto" w:fill="auto"/>
            <w:noWrap/>
            <w:vAlign w:val="bottom"/>
            <w:hideMark/>
          </w:tcPr>
          <w:p w14:paraId="5DD45B5F"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3.200.000,00</w:t>
            </w:r>
          </w:p>
        </w:tc>
      </w:tr>
      <w:tr w:rsidR="00F66539" w:rsidRPr="00720745" w14:paraId="5F2BF737" w14:textId="77777777" w:rsidTr="0017158B">
        <w:trPr>
          <w:trHeight w:val="300"/>
        </w:trPr>
        <w:tc>
          <w:tcPr>
            <w:tcW w:w="1560" w:type="dxa"/>
            <w:shd w:val="clear" w:color="auto" w:fill="auto"/>
            <w:noWrap/>
            <w:vAlign w:val="bottom"/>
            <w:hideMark/>
          </w:tcPr>
          <w:p w14:paraId="55D9E8EC"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6.3</w:t>
            </w:r>
          </w:p>
        </w:tc>
        <w:tc>
          <w:tcPr>
            <w:tcW w:w="850" w:type="dxa"/>
            <w:shd w:val="clear" w:color="auto" w:fill="auto"/>
            <w:noWrap/>
            <w:vAlign w:val="bottom"/>
            <w:hideMark/>
          </w:tcPr>
          <w:p w14:paraId="23C97682" w14:textId="77777777" w:rsidR="00F66539" w:rsidRPr="00720745" w:rsidRDefault="00F66539" w:rsidP="00A75F76">
            <w:pPr>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Zahod</w:t>
            </w:r>
          </w:p>
        </w:tc>
        <w:tc>
          <w:tcPr>
            <w:tcW w:w="1430" w:type="dxa"/>
            <w:shd w:val="clear" w:color="auto" w:fill="auto"/>
            <w:noWrap/>
            <w:vAlign w:val="bottom"/>
            <w:hideMark/>
          </w:tcPr>
          <w:p w14:paraId="02D42BBA"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450.000,00</w:t>
            </w:r>
          </w:p>
        </w:tc>
        <w:tc>
          <w:tcPr>
            <w:tcW w:w="1547" w:type="dxa"/>
            <w:shd w:val="clear" w:color="auto" w:fill="auto"/>
            <w:noWrap/>
            <w:vAlign w:val="bottom"/>
            <w:hideMark/>
          </w:tcPr>
          <w:p w14:paraId="209E3186"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450.000,00</w:t>
            </w:r>
          </w:p>
        </w:tc>
        <w:tc>
          <w:tcPr>
            <w:tcW w:w="1430" w:type="dxa"/>
            <w:shd w:val="clear" w:color="auto" w:fill="auto"/>
            <w:noWrap/>
            <w:vAlign w:val="bottom"/>
            <w:hideMark/>
          </w:tcPr>
          <w:p w14:paraId="6FDEA8F0"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450.000,00</w:t>
            </w:r>
          </w:p>
        </w:tc>
        <w:tc>
          <w:tcPr>
            <w:tcW w:w="1688" w:type="dxa"/>
            <w:shd w:val="clear" w:color="auto" w:fill="auto"/>
            <w:noWrap/>
            <w:vAlign w:val="bottom"/>
            <w:hideMark/>
          </w:tcPr>
          <w:p w14:paraId="4C03E610"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450.000,00</w:t>
            </w:r>
          </w:p>
        </w:tc>
        <w:tc>
          <w:tcPr>
            <w:tcW w:w="1660" w:type="dxa"/>
            <w:shd w:val="clear" w:color="auto" w:fill="auto"/>
            <w:noWrap/>
            <w:vAlign w:val="bottom"/>
            <w:hideMark/>
          </w:tcPr>
          <w:p w14:paraId="4C9DDCC9" w14:textId="77777777" w:rsidR="00F66539" w:rsidRPr="00720745" w:rsidRDefault="00F66539" w:rsidP="00A75F76">
            <w:pPr>
              <w:jc w:val="right"/>
              <w:outlineLvl w:val="1"/>
              <w:rPr>
                <w:rFonts w:ascii="Arial" w:hAnsi="Arial" w:cs="Arial"/>
                <w:color w:val="000000"/>
                <w:sz w:val="20"/>
                <w:szCs w:val="20"/>
                <w:lang w:val="sl-SI" w:eastAsia="sl-SI"/>
              </w:rPr>
            </w:pPr>
            <w:r w:rsidRPr="00720745">
              <w:rPr>
                <w:rFonts w:ascii="Arial" w:hAnsi="Arial" w:cs="Arial"/>
                <w:color w:val="000000"/>
                <w:sz w:val="20"/>
                <w:szCs w:val="20"/>
                <w:lang w:val="sl-SI" w:eastAsia="sl-SI"/>
              </w:rPr>
              <w:t>1.800.000,00</w:t>
            </w:r>
          </w:p>
        </w:tc>
      </w:tr>
      <w:tr w:rsidR="00F66539" w:rsidRPr="00720745" w14:paraId="4569A924" w14:textId="77777777" w:rsidTr="0017158B">
        <w:trPr>
          <w:trHeight w:val="300"/>
        </w:trPr>
        <w:tc>
          <w:tcPr>
            <w:tcW w:w="1560" w:type="dxa"/>
            <w:shd w:val="clear" w:color="auto" w:fill="auto"/>
            <w:noWrap/>
            <w:vAlign w:val="bottom"/>
            <w:hideMark/>
          </w:tcPr>
          <w:p w14:paraId="34B7DDE9" w14:textId="77777777" w:rsidR="00F66539" w:rsidRPr="00720745" w:rsidRDefault="00F66539" w:rsidP="00A75F76">
            <w:pPr>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lastRenderedPageBreak/>
              <w:t>6.3 Vsota</w:t>
            </w:r>
          </w:p>
        </w:tc>
        <w:tc>
          <w:tcPr>
            <w:tcW w:w="850" w:type="dxa"/>
            <w:shd w:val="clear" w:color="auto" w:fill="auto"/>
            <w:noWrap/>
            <w:vAlign w:val="bottom"/>
            <w:hideMark/>
          </w:tcPr>
          <w:p w14:paraId="0CC900D3" w14:textId="77777777" w:rsidR="00F66539" w:rsidRPr="00720745" w:rsidRDefault="00F66539" w:rsidP="00A75F76">
            <w:pPr>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16315594"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1.250.000,00</w:t>
            </w:r>
          </w:p>
        </w:tc>
        <w:tc>
          <w:tcPr>
            <w:tcW w:w="1547" w:type="dxa"/>
            <w:shd w:val="clear" w:color="auto" w:fill="auto"/>
            <w:noWrap/>
            <w:vAlign w:val="bottom"/>
            <w:hideMark/>
          </w:tcPr>
          <w:p w14:paraId="7DACC7B5"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1.250.000,00</w:t>
            </w:r>
          </w:p>
        </w:tc>
        <w:tc>
          <w:tcPr>
            <w:tcW w:w="1430" w:type="dxa"/>
            <w:shd w:val="clear" w:color="auto" w:fill="auto"/>
            <w:noWrap/>
            <w:vAlign w:val="bottom"/>
            <w:hideMark/>
          </w:tcPr>
          <w:p w14:paraId="68766CC1"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1.250.000,00</w:t>
            </w:r>
          </w:p>
        </w:tc>
        <w:tc>
          <w:tcPr>
            <w:tcW w:w="1688" w:type="dxa"/>
            <w:shd w:val="clear" w:color="auto" w:fill="auto"/>
            <w:noWrap/>
            <w:vAlign w:val="bottom"/>
            <w:hideMark/>
          </w:tcPr>
          <w:p w14:paraId="223707A6"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1.250.000,00</w:t>
            </w:r>
          </w:p>
        </w:tc>
        <w:tc>
          <w:tcPr>
            <w:tcW w:w="1660" w:type="dxa"/>
            <w:shd w:val="clear" w:color="auto" w:fill="auto"/>
            <w:noWrap/>
            <w:vAlign w:val="bottom"/>
            <w:hideMark/>
          </w:tcPr>
          <w:p w14:paraId="342D357C" w14:textId="77777777" w:rsidR="00F66539" w:rsidRPr="00720745" w:rsidRDefault="00F66539" w:rsidP="00A75F76">
            <w:pPr>
              <w:jc w:val="right"/>
              <w:outlineLvl w:val="0"/>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5.000.000,00</w:t>
            </w:r>
          </w:p>
        </w:tc>
      </w:tr>
      <w:tr w:rsidR="00F66539" w:rsidRPr="00720745" w14:paraId="4A4CD7D6" w14:textId="77777777" w:rsidTr="0017158B">
        <w:trPr>
          <w:trHeight w:val="300"/>
        </w:trPr>
        <w:tc>
          <w:tcPr>
            <w:tcW w:w="1560" w:type="dxa"/>
            <w:shd w:val="clear" w:color="auto" w:fill="auto"/>
            <w:noWrap/>
            <w:vAlign w:val="bottom"/>
            <w:hideMark/>
          </w:tcPr>
          <w:p w14:paraId="018AB4C8" w14:textId="77777777" w:rsidR="00F66539" w:rsidRPr="00720745" w:rsidRDefault="00F66539" w:rsidP="00A75F76">
            <w:pPr>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Skupna vsota</w:t>
            </w:r>
          </w:p>
        </w:tc>
        <w:tc>
          <w:tcPr>
            <w:tcW w:w="850" w:type="dxa"/>
            <w:shd w:val="clear" w:color="auto" w:fill="auto"/>
            <w:noWrap/>
            <w:vAlign w:val="bottom"/>
            <w:hideMark/>
          </w:tcPr>
          <w:p w14:paraId="414602F2" w14:textId="77777777" w:rsidR="00F66539" w:rsidRPr="00720745" w:rsidRDefault="00F66539" w:rsidP="00A75F76">
            <w:pPr>
              <w:rPr>
                <w:rFonts w:ascii="Arial" w:hAnsi="Arial" w:cs="Arial"/>
                <w:b/>
                <w:bCs/>
                <w:color w:val="000000"/>
                <w:sz w:val="20"/>
                <w:szCs w:val="20"/>
                <w:lang w:val="sl-SI" w:eastAsia="sl-SI"/>
              </w:rPr>
            </w:pPr>
          </w:p>
        </w:tc>
        <w:tc>
          <w:tcPr>
            <w:tcW w:w="1430" w:type="dxa"/>
            <w:shd w:val="clear" w:color="auto" w:fill="auto"/>
            <w:noWrap/>
            <w:vAlign w:val="bottom"/>
            <w:hideMark/>
          </w:tcPr>
          <w:p w14:paraId="35EBD0C9" w14:textId="77777777" w:rsidR="00F66539" w:rsidRPr="00720745" w:rsidRDefault="00F66539" w:rsidP="00A75F76">
            <w:pPr>
              <w:jc w:val="right"/>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63.250.000,00</w:t>
            </w:r>
          </w:p>
        </w:tc>
        <w:tc>
          <w:tcPr>
            <w:tcW w:w="1547" w:type="dxa"/>
            <w:shd w:val="clear" w:color="auto" w:fill="auto"/>
            <w:noWrap/>
            <w:vAlign w:val="bottom"/>
            <w:hideMark/>
          </w:tcPr>
          <w:p w14:paraId="32B59047" w14:textId="77777777" w:rsidR="00F66539" w:rsidRPr="00720745" w:rsidRDefault="00F66539" w:rsidP="00A75F76">
            <w:pPr>
              <w:jc w:val="right"/>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63.250.000,00</w:t>
            </w:r>
          </w:p>
        </w:tc>
        <w:tc>
          <w:tcPr>
            <w:tcW w:w="1430" w:type="dxa"/>
            <w:shd w:val="clear" w:color="auto" w:fill="auto"/>
            <w:noWrap/>
            <w:vAlign w:val="bottom"/>
            <w:hideMark/>
          </w:tcPr>
          <w:p w14:paraId="7A6CC4CA" w14:textId="77777777" w:rsidR="00F66539" w:rsidRPr="00720745" w:rsidRDefault="00F66539" w:rsidP="00A75F76">
            <w:pPr>
              <w:jc w:val="right"/>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63.250.000,00</w:t>
            </w:r>
          </w:p>
        </w:tc>
        <w:tc>
          <w:tcPr>
            <w:tcW w:w="1688" w:type="dxa"/>
            <w:shd w:val="clear" w:color="auto" w:fill="auto"/>
            <w:noWrap/>
            <w:vAlign w:val="bottom"/>
            <w:hideMark/>
          </w:tcPr>
          <w:p w14:paraId="39C660C9" w14:textId="77777777" w:rsidR="00F66539" w:rsidRPr="00720745" w:rsidRDefault="00F66539" w:rsidP="00A75F76">
            <w:pPr>
              <w:jc w:val="right"/>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63.250.000,00</w:t>
            </w:r>
          </w:p>
        </w:tc>
        <w:tc>
          <w:tcPr>
            <w:tcW w:w="1660" w:type="dxa"/>
            <w:shd w:val="clear" w:color="auto" w:fill="auto"/>
            <w:noWrap/>
            <w:vAlign w:val="bottom"/>
            <w:hideMark/>
          </w:tcPr>
          <w:p w14:paraId="0A7BCBF9" w14:textId="77777777" w:rsidR="00F66539" w:rsidRPr="00720745" w:rsidRDefault="00F66539" w:rsidP="00A75F76">
            <w:pPr>
              <w:jc w:val="right"/>
              <w:rPr>
                <w:rFonts w:ascii="Arial" w:hAnsi="Arial" w:cs="Arial"/>
                <w:b/>
                <w:bCs/>
                <w:color w:val="000000"/>
                <w:sz w:val="20"/>
                <w:szCs w:val="20"/>
                <w:lang w:val="sl-SI" w:eastAsia="sl-SI"/>
              </w:rPr>
            </w:pPr>
            <w:r w:rsidRPr="00720745">
              <w:rPr>
                <w:rFonts w:ascii="Arial" w:hAnsi="Arial" w:cs="Arial"/>
                <w:b/>
                <w:bCs/>
                <w:color w:val="000000"/>
                <w:sz w:val="20"/>
                <w:szCs w:val="20"/>
                <w:lang w:val="sl-SI" w:eastAsia="sl-SI"/>
              </w:rPr>
              <w:t>253.000.000,00</w:t>
            </w:r>
          </w:p>
        </w:tc>
      </w:tr>
    </w:tbl>
    <w:p w14:paraId="61E03D92" w14:textId="0D80D942" w:rsidR="00A75F76" w:rsidRDefault="00A75F76" w:rsidP="00A57E32">
      <w:pPr>
        <w:spacing w:after="240" w:line="480" w:lineRule="auto"/>
        <w:jc w:val="both"/>
        <w:rPr>
          <w:rFonts w:ascii="Arial" w:hAnsi="Arial" w:cs="Arial"/>
          <w:sz w:val="22"/>
          <w:szCs w:val="22"/>
          <w:lang w:val="sl-SI"/>
        </w:rPr>
      </w:pPr>
      <w:r>
        <w:rPr>
          <w:rFonts w:ascii="Arial" w:hAnsi="Arial" w:cs="Arial"/>
          <w:sz w:val="22"/>
          <w:szCs w:val="22"/>
          <w:lang w:val="sl-SI"/>
        </w:rPr>
        <w:t>«</w:t>
      </w:r>
    </w:p>
    <w:p w14:paraId="325C5F29" w14:textId="726ADCD5" w:rsidR="00F66539" w:rsidRDefault="00F66539" w:rsidP="0017158B">
      <w:pPr>
        <w:spacing w:after="240"/>
        <w:jc w:val="both"/>
        <w:rPr>
          <w:rFonts w:ascii="Arial" w:hAnsi="Arial" w:cs="Arial"/>
          <w:sz w:val="22"/>
          <w:szCs w:val="22"/>
          <w:lang w:val="sl-SI"/>
        </w:rPr>
      </w:pPr>
      <w:r>
        <w:rPr>
          <w:rFonts w:ascii="Arial" w:hAnsi="Arial" w:cs="Arial"/>
          <w:sz w:val="22"/>
          <w:szCs w:val="22"/>
          <w:lang w:val="sl-SI"/>
        </w:rPr>
        <w:t xml:space="preserve">nadomesti </w:t>
      </w:r>
      <w:r w:rsidR="002C6486">
        <w:rPr>
          <w:rFonts w:ascii="Arial" w:hAnsi="Arial" w:cs="Arial"/>
          <w:sz w:val="22"/>
          <w:szCs w:val="22"/>
          <w:lang w:val="sl-SI"/>
        </w:rPr>
        <w:t>s</w:t>
      </w:r>
    </w:p>
    <w:p w14:paraId="14221CFA" w14:textId="08A6C980" w:rsidR="00D87BD8" w:rsidRDefault="00F66539" w:rsidP="0017158B">
      <w:pPr>
        <w:spacing w:after="240"/>
        <w:jc w:val="both"/>
        <w:rPr>
          <w:rFonts w:ascii="Arial" w:hAnsi="Arial" w:cs="Arial"/>
          <w:sz w:val="22"/>
          <w:szCs w:val="22"/>
          <w:lang w:val="sl-SI"/>
        </w:rPr>
      </w:pPr>
      <w:r w:rsidRPr="00F66539">
        <w:rPr>
          <w:rFonts w:ascii="Arial" w:hAnsi="Arial" w:cs="Arial"/>
          <w:sz w:val="22"/>
          <w:szCs w:val="22"/>
          <w:lang w:val="sl-SI"/>
        </w:rPr>
        <w:t>»Tabela 10: Finančna sredstva za FI po letih in kohezijskih regijah</w:t>
      </w:r>
      <w:r w:rsidR="00DF04C1">
        <w:rPr>
          <w:rFonts w:ascii="Arial" w:hAnsi="Arial" w:cs="Arial"/>
          <w:sz w:val="22"/>
          <w:szCs w:val="22"/>
          <w:lang w:val="sl-SI"/>
        </w:rPr>
        <w:t xml:space="preserve"> </w:t>
      </w:r>
      <w:r w:rsidR="002C6486">
        <w:rPr>
          <w:rFonts w:ascii="Arial" w:hAnsi="Arial" w:cs="Arial"/>
          <w:sz w:val="22"/>
          <w:szCs w:val="22"/>
          <w:lang w:val="sl-SI"/>
        </w:rPr>
        <w:t xml:space="preserve"> </w:t>
      </w:r>
    </w:p>
    <w:tbl>
      <w:tblPr>
        <w:tblW w:w="1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50"/>
        <w:gridCol w:w="1430"/>
        <w:gridCol w:w="1547"/>
        <w:gridCol w:w="1430"/>
        <w:gridCol w:w="1688"/>
        <w:gridCol w:w="1660"/>
      </w:tblGrid>
      <w:tr w:rsidR="00577180" w:rsidRPr="00577180" w14:paraId="6754CAAD" w14:textId="77777777" w:rsidTr="00A3052A">
        <w:trPr>
          <w:trHeight w:val="300"/>
        </w:trPr>
        <w:tc>
          <w:tcPr>
            <w:tcW w:w="1560" w:type="dxa"/>
            <w:shd w:val="clear" w:color="auto" w:fill="auto"/>
            <w:noWrap/>
            <w:vAlign w:val="bottom"/>
            <w:hideMark/>
          </w:tcPr>
          <w:p w14:paraId="6A5BB19F" w14:textId="77777777" w:rsidR="00577180" w:rsidRPr="00577180" w:rsidRDefault="00577180" w:rsidP="00577180">
            <w:pPr>
              <w:jc w:val="both"/>
              <w:rPr>
                <w:rFonts w:ascii="Arial" w:hAnsi="Arial" w:cs="Arial"/>
                <w:color w:val="000000"/>
                <w:sz w:val="20"/>
                <w:szCs w:val="20"/>
                <w:lang w:val="sl-SI" w:eastAsia="sl-SI"/>
              </w:rPr>
            </w:pPr>
            <w:r w:rsidRPr="00577180">
              <w:rPr>
                <w:rFonts w:ascii="Arial" w:hAnsi="Arial" w:cs="Arial"/>
                <w:color w:val="000000"/>
                <w:sz w:val="20"/>
                <w:szCs w:val="20"/>
                <w:lang w:val="sl-SI" w:eastAsia="sl-SI"/>
              </w:rPr>
              <w:t>Prednostna naložba</w:t>
            </w:r>
          </w:p>
        </w:tc>
        <w:tc>
          <w:tcPr>
            <w:tcW w:w="850" w:type="dxa"/>
            <w:shd w:val="clear" w:color="auto" w:fill="auto"/>
            <w:noWrap/>
            <w:vAlign w:val="bottom"/>
            <w:hideMark/>
          </w:tcPr>
          <w:p w14:paraId="5ABA0EAE" w14:textId="77777777" w:rsidR="00577180" w:rsidRPr="00577180" w:rsidRDefault="00577180" w:rsidP="00577180">
            <w:pPr>
              <w:jc w:val="both"/>
              <w:rPr>
                <w:rFonts w:ascii="Arial" w:hAnsi="Arial" w:cs="Arial"/>
                <w:color w:val="000000"/>
                <w:sz w:val="20"/>
                <w:szCs w:val="20"/>
                <w:lang w:val="sl-SI" w:eastAsia="sl-SI"/>
              </w:rPr>
            </w:pPr>
            <w:r w:rsidRPr="00577180">
              <w:rPr>
                <w:rFonts w:ascii="Arial" w:hAnsi="Arial" w:cs="Arial"/>
                <w:color w:val="000000"/>
                <w:sz w:val="20"/>
                <w:szCs w:val="20"/>
                <w:lang w:val="sl-SI" w:eastAsia="sl-SI"/>
              </w:rPr>
              <w:t>Regija</w:t>
            </w:r>
          </w:p>
        </w:tc>
        <w:tc>
          <w:tcPr>
            <w:tcW w:w="1430" w:type="dxa"/>
            <w:shd w:val="clear" w:color="auto" w:fill="auto"/>
            <w:noWrap/>
            <w:vAlign w:val="bottom"/>
            <w:hideMark/>
          </w:tcPr>
          <w:p w14:paraId="2ED214F6" w14:textId="77777777" w:rsidR="00577180" w:rsidRPr="00577180" w:rsidRDefault="00577180" w:rsidP="00577180">
            <w:pPr>
              <w:jc w:val="right"/>
              <w:rPr>
                <w:rFonts w:ascii="Arial" w:hAnsi="Arial" w:cs="Arial"/>
                <w:color w:val="000000"/>
                <w:sz w:val="20"/>
                <w:szCs w:val="20"/>
                <w:lang w:val="sl-SI" w:eastAsia="sl-SI"/>
              </w:rPr>
            </w:pPr>
            <w:r w:rsidRPr="00577180">
              <w:rPr>
                <w:rFonts w:ascii="Arial" w:hAnsi="Arial" w:cs="Arial"/>
                <w:color w:val="000000"/>
                <w:sz w:val="20"/>
                <w:szCs w:val="20"/>
                <w:lang w:val="sl-SI" w:eastAsia="sl-SI"/>
              </w:rPr>
              <w:t>2017</w:t>
            </w:r>
          </w:p>
        </w:tc>
        <w:tc>
          <w:tcPr>
            <w:tcW w:w="1547" w:type="dxa"/>
            <w:shd w:val="clear" w:color="auto" w:fill="auto"/>
            <w:noWrap/>
            <w:vAlign w:val="bottom"/>
            <w:hideMark/>
          </w:tcPr>
          <w:p w14:paraId="4C7ADC7C" w14:textId="77777777" w:rsidR="00577180" w:rsidRPr="00577180" w:rsidRDefault="00577180" w:rsidP="00577180">
            <w:pPr>
              <w:jc w:val="right"/>
              <w:rPr>
                <w:rFonts w:ascii="Arial" w:hAnsi="Arial" w:cs="Arial"/>
                <w:color w:val="000000"/>
                <w:sz w:val="20"/>
                <w:szCs w:val="20"/>
                <w:lang w:val="sl-SI" w:eastAsia="sl-SI"/>
              </w:rPr>
            </w:pPr>
            <w:r w:rsidRPr="00577180">
              <w:rPr>
                <w:rFonts w:ascii="Arial" w:hAnsi="Arial" w:cs="Arial"/>
                <w:color w:val="000000"/>
                <w:sz w:val="20"/>
                <w:szCs w:val="20"/>
                <w:lang w:val="sl-SI" w:eastAsia="sl-SI"/>
              </w:rPr>
              <w:t>2019</w:t>
            </w:r>
          </w:p>
        </w:tc>
        <w:tc>
          <w:tcPr>
            <w:tcW w:w="1430" w:type="dxa"/>
            <w:shd w:val="clear" w:color="auto" w:fill="auto"/>
            <w:noWrap/>
            <w:vAlign w:val="bottom"/>
            <w:hideMark/>
          </w:tcPr>
          <w:p w14:paraId="206966F4" w14:textId="77777777" w:rsidR="00577180" w:rsidRPr="00577180" w:rsidRDefault="00577180" w:rsidP="00577180">
            <w:pPr>
              <w:jc w:val="right"/>
              <w:rPr>
                <w:rFonts w:ascii="Arial" w:hAnsi="Arial" w:cs="Arial"/>
                <w:color w:val="000000"/>
                <w:sz w:val="20"/>
                <w:szCs w:val="20"/>
                <w:lang w:val="sl-SI" w:eastAsia="sl-SI"/>
              </w:rPr>
            </w:pPr>
            <w:r w:rsidRPr="00577180">
              <w:rPr>
                <w:rFonts w:ascii="Arial" w:hAnsi="Arial" w:cs="Arial"/>
                <w:color w:val="000000"/>
                <w:sz w:val="20"/>
                <w:szCs w:val="20"/>
                <w:lang w:val="sl-SI" w:eastAsia="sl-SI"/>
              </w:rPr>
              <w:t>2021</w:t>
            </w:r>
          </w:p>
        </w:tc>
        <w:tc>
          <w:tcPr>
            <w:tcW w:w="1688" w:type="dxa"/>
            <w:shd w:val="clear" w:color="auto" w:fill="auto"/>
            <w:noWrap/>
            <w:vAlign w:val="bottom"/>
            <w:hideMark/>
          </w:tcPr>
          <w:p w14:paraId="069F5352" w14:textId="77777777" w:rsidR="00577180" w:rsidRPr="00577180" w:rsidRDefault="00577180" w:rsidP="00577180">
            <w:pPr>
              <w:jc w:val="right"/>
              <w:rPr>
                <w:rFonts w:ascii="Arial" w:hAnsi="Arial" w:cs="Arial"/>
                <w:color w:val="000000"/>
                <w:sz w:val="20"/>
                <w:szCs w:val="20"/>
                <w:lang w:val="sl-SI" w:eastAsia="sl-SI"/>
              </w:rPr>
            </w:pPr>
            <w:r w:rsidRPr="00577180">
              <w:rPr>
                <w:rFonts w:ascii="Arial" w:hAnsi="Arial" w:cs="Arial"/>
                <w:color w:val="000000"/>
                <w:sz w:val="20"/>
                <w:szCs w:val="20"/>
                <w:lang w:val="sl-SI" w:eastAsia="sl-SI"/>
              </w:rPr>
              <w:t>2022</w:t>
            </w:r>
          </w:p>
        </w:tc>
        <w:tc>
          <w:tcPr>
            <w:tcW w:w="1660" w:type="dxa"/>
            <w:shd w:val="clear" w:color="auto" w:fill="auto"/>
            <w:noWrap/>
            <w:vAlign w:val="bottom"/>
            <w:hideMark/>
          </w:tcPr>
          <w:p w14:paraId="294C1881" w14:textId="77777777" w:rsidR="00577180" w:rsidRPr="00577180" w:rsidRDefault="00577180" w:rsidP="00577180">
            <w:pPr>
              <w:jc w:val="both"/>
              <w:rPr>
                <w:rFonts w:ascii="Arial" w:hAnsi="Arial" w:cs="Arial"/>
                <w:color w:val="000000"/>
                <w:sz w:val="20"/>
                <w:szCs w:val="20"/>
                <w:lang w:val="sl-SI" w:eastAsia="sl-SI"/>
              </w:rPr>
            </w:pPr>
            <w:r w:rsidRPr="00577180">
              <w:rPr>
                <w:rFonts w:ascii="Arial" w:hAnsi="Arial" w:cs="Arial"/>
                <w:color w:val="000000"/>
                <w:sz w:val="20"/>
                <w:szCs w:val="20"/>
                <w:lang w:val="sl-SI" w:eastAsia="sl-SI"/>
              </w:rPr>
              <w:t>Skupaj</w:t>
            </w:r>
          </w:p>
        </w:tc>
      </w:tr>
      <w:tr w:rsidR="00577180" w:rsidRPr="00577180" w14:paraId="7F2A2D1B" w14:textId="77777777" w:rsidTr="00A3052A">
        <w:trPr>
          <w:trHeight w:val="300"/>
        </w:trPr>
        <w:tc>
          <w:tcPr>
            <w:tcW w:w="1560" w:type="dxa"/>
            <w:shd w:val="clear" w:color="auto" w:fill="auto"/>
            <w:noWrap/>
            <w:vAlign w:val="bottom"/>
            <w:hideMark/>
          </w:tcPr>
          <w:p w14:paraId="3AF0496E"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1.2</w:t>
            </w:r>
          </w:p>
        </w:tc>
        <w:tc>
          <w:tcPr>
            <w:tcW w:w="850" w:type="dxa"/>
            <w:shd w:val="clear" w:color="auto" w:fill="auto"/>
            <w:noWrap/>
            <w:vAlign w:val="bottom"/>
            <w:hideMark/>
          </w:tcPr>
          <w:p w14:paraId="2F3DE118"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Vzhod</w:t>
            </w:r>
          </w:p>
        </w:tc>
        <w:tc>
          <w:tcPr>
            <w:tcW w:w="1430" w:type="dxa"/>
            <w:shd w:val="clear" w:color="auto" w:fill="auto"/>
            <w:noWrap/>
            <w:vAlign w:val="bottom"/>
            <w:hideMark/>
          </w:tcPr>
          <w:p w14:paraId="73F13147" w14:textId="77777777" w:rsidR="00577180" w:rsidRPr="00577180" w:rsidRDefault="00577180" w:rsidP="00577180">
            <w:pPr>
              <w:jc w:val="right"/>
              <w:rPr>
                <w:rFonts w:ascii="Arial" w:hAnsi="Arial"/>
                <w:sz w:val="20"/>
                <w:szCs w:val="20"/>
              </w:rPr>
            </w:pPr>
            <w:r w:rsidRPr="00577180">
              <w:rPr>
                <w:rFonts w:ascii="Arial" w:hAnsi="Arial"/>
                <w:sz w:val="20"/>
                <w:szCs w:val="20"/>
              </w:rPr>
              <w:t>8.550.000,00</w:t>
            </w:r>
          </w:p>
          <w:p w14:paraId="06FC6FA6" w14:textId="77777777" w:rsidR="00577180" w:rsidRPr="00577180" w:rsidRDefault="00577180" w:rsidP="00577180">
            <w:pPr>
              <w:jc w:val="right"/>
              <w:rPr>
                <w:rFonts w:ascii="Arial" w:hAnsi="Arial"/>
                <w:sz w:val="20"/>
                <w:szCs w:val="20"/>
              </w:rPr>
            </w:pPr>
          </w:p>
        </w:tc>
        <w:tc>
          <w:tcPr>
            <w:tcW w:w="1547" w:type="dxa"/>
            <w:shd w:val="clear" w:color="auto" w:fill="auto"/>
            <w:noWrap/>
            <w:vAlign w:val="bottom"/>
            <w:hideMark/>
          </w:tcPr>
          <w:p w14:paraId="1D53FAB7" w14:textId="77777777" w:rsidR="00577180" w:rsidRPr="00577180" w:rsidRDefault="00577180" w:rsidP="00577180">
            <w:pPr>
              <w:jc w:val="right"/>
              <w:rPr>
                <w:rFonts w:ascii="Arial" w:hAnsi="Arial"/>
                <w:sz w:val="20"/>
                <w:szCs w:val="20"/>
              </w:rPr>
            </w:pPr>
            <w:r w:rsidRPr="00577180">
              <w:rPr>
                <w:rFonts w:ascii="Arial" w:hAnsi="Arial"/>
                <w:sz w:val="20"/>
                <w:szCs w:val="20"/>
              </w:rPr>
              <w:t>8.550.000,00</w:t>
            </w:r>
          </w:p>
          <w:p w14:paraId="39C5F5EE" w14:textId="77777777" w:rsidR="00577180" w:rsidRPr="00577180" w:rsidRDefault="00577180" w:rsidP="00577180">
            <w:pPr>
              <w:jc w:val="right"/>
              <w:rPr>
                <w:rFonts w:ascii="Arial" w:hAnsi="Arial"/>
                <w:sz w:val="20"/>
                <w:szCs w:val="20"/>
              </w:rPr>
            </w:pPr>
          </w:p>
        </w:tc>
        <w:tc>
          <w:tcPr>
            <w:tcW w:w="1430" w:type="dxa"/>
            <w:shd w:val="clear" w:color="auto" w:fill="auto"/>
            <w:noWrap/>
            <w:vAlign w:val="bottom"/>
            <w:hideMark/>
          </w:tcPr>
          <w:p w14:paraId="7A786ED1" w14:textId="77777777" w:rsidR="00577180" w:rsidRPr="00577180" w:rsidRDefault="00577180" w:rsidP="00577180">
            <w:pPr>
              <w:jc w:val="right"/>
              <w:rPr>
                <w:rFonts w:ascii="Arial" w:hAnsi="Arial"/>
                <w:sz w:val="20"/>
                <w:szCs w:val="20"/>
              </w:rPr>
            </w:pPr>
            <w:r w:rsidRPr="00577180">
              <w:rPr>
                <w:rFonts w:ascii="Arial" w:hAnsi="Arial"/>
                <w:sz w:val="20"/>
                <w:szCs w:val="20"/>
              </w:rPr>
              <w:t>8.550.000,00</w:t>
            </w:r>
          </w:p>
          <w:p w14:paraId="79405370" w14:textId="77777777" w:rsidR="00577180" w:rsidRPr="00577180" w:rsidRDefault="00577180" w:rsidP="00577180">
            <w:pPr>
              <w:jc w:val="right"/>
              <w:rPr>
                <w:rFonts w:ascii="Arial" w:hAnsi="Arial"/>
                <w:sz w:val="20"/>
                <w:szCs w:val="20"/>
              </w:rPr>
            </w:pPr>
          </w:p>
        </w:tc>
        <w:tc>
          <w:tcPr>
            <w:tcW w:w="1688" w:type="dxa"/>
            <w:shd w:val="clear" w:color="auto" w:fill="auto"/>
            <w:noWrap/>
            <w:vAlign w:val="bottom"/>
            <w:hideMark/>
          </w:tcPr>
          <w:p w14:paraId="33CDF848" w14:textId="77777777" w:rsidR="00577180" w:rsidRPr="00577180" w:rsidRDefault="00577180" w:rsidP="00577180">
            <w:pPr>
              <w:jc w:val="right"/>
              <w:rPr>
                <w:rFonts w:ascii="Arial" w:hAnsi="Arial"/>
                <w:sz w:val="20"/>
                <w:szCs w:val="20"/>
              </w:rPr>
            </w:pPr>
            <w:r w:rsidRPr="00577180">
              <w:rPr>
                <w:rFonts w:ascii="Arial" w:hAnsi="Arial"/>
                <w:sz w:val="20"/>
                <w:szCs w:val="20"/>
              </w:rPr>
              <w:t>8.550.000,00</w:t>
            </w:r>
          </w:p>
          <w:p w14:paraId="7FBAC116" w14:textId="77777777" w:rsidR="00577180" w:rsidRPr="00577180" w:rsidRDefault="00577180" w:rsidP="00577180">
            <w:pPr>
              <w:jc w:val="right"/>
              <w:rPr>
                <w:rFonts w:ascii="Arial" w:hAnsi="Arial"/>
                <w:sz w:val="20"/>
                <w:szCs w:val="20"/>
              </w:rPr>
            </w:pPr>
          </w:p>
        </w:tc>
        <w:tc>
          <w:tcPr>
            <w:tcW w:w="1660" w:type="dxa"/>
            <w:shd w:val="clear" w:color="auto" w:fill="auto"/>
            <w:noWrap/>
            <w:vAlign w:val="bottom"/>
            <w:hideMark/>
          </w:tcPr>
          <w:p w14:paraId="3A8E6E84" w14:textId="77777777" w:rsidR="00577180" w:rsidRPr="00577180" w:rsidRDefault="00577180" w:rsidP="00577180">
            <w:pPr>
              <w:jc w:val="right"/>
              <w:rPr>
                <w:rFonts w:ascii="Arial" w:hAnsi="Arial"/>
                <w:sz w:val="20"/>
                <w:szCs w:val="20"/>
              </w:rPr>
            </w:pPr>
            <w:r w:rsidRPr="00577180">
              <w:rPr>
                <w:rFonts w:ascii="Arial" w:hAnsi="Arial"/>
                <w:sz w:val="20"/>
                <w:szCs w:val="20"/>
              </w:rPr>
              <w:t>34.200.000,00</w:t>
            </w:r>
          </w:p>
          <w:p w14:paraId="05328BCF" w14:textId="77777777" w:rsidR="00577180" w:rsidRPr="00577180" w:rsidRDefault="00577180" w:rsidP="00577180">
            <w:pPr>
              <w:jc w:val="right"/>
              <w:rPr>
                <w:rFonts w:ascii="Arial" w:hAnsi="Arial"/>
                <w:sz w:val="20"/>
                <w:szCs w:val="20"/>
              </w:rPr>
            </w:pPr>
          </w:p>
        </w:tc>
      </w:tr>
      <w:tr w:rsidR="00577180" w:rsidRPr="00577180" w14:paraId="0C00A8EF" w14:textId="77777777" w:rsidTr="00A3052A">
        <w:trPr>
          <w:trHeight w:val="300"/>
        </w:trPr>
        <w:tc>
          <w:tcPr>
            <w:tcW w:w="1560" w:type="dxa"/>
            <w:shd w:val="clear" w:color="auto" w:fill="auto"/>
            <w:noWrap/>
            <w:vAlign w:val="bottom"/>
            <w:hideMark/>
          </w:tcPr>
          <w:p w14:paraId="10116BC2"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1.2</w:t>
            </w:r>
          </w:p>
        </w:tc>
        <w:tc>
          <w:tcPr>
            <w:tcW w:w="850" w:type="dxa"/>
            <w:shd w:val="clear" w:color="auto" w:fill="auto"/>
            <w:noWrap/>
            <w:vAlign w:val="bottom"/>
            <w:hideMark/>
          </w:tcPr>
          <w:p w14:paraId="075FAA33"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Zahod</w:t>
            </w:r>
          </w:p>
        </w:tc>
        <w:tc>
          <w:tcPr>
            <w:tcW w:w="1430" w:type="dxa"/>
            <w:shd w:val="clear" w:color="auto" w:fill="auto"/>
            <w:noWrap/>
            <w:vAlign w:val="bottom"/>
            <w:hideMark/>
          </w:tcPr>
          <w:p w14:paraId="7C112D42" w14:textId="77777777" w:rsidR="00577180" w:rsidRPr="00577180" w:rsidRDefault="00577180" w:rsidP="00577180">
            <w:pPr>
              <w:jc w:val="right"/>
              <w:rPr>
                <w:rFonts w:ascii="Arial" w:hAnsi="Arial"/>
                <w:sz w:val="20"/>
                <w:szCs w:val="20"/>
              </w:rPr>
            </w:pPr>
            <w:r w:rsidRPr="00577180">
              <w:rPr>
                <w:rFonts w:ascii="Arial" w:hAnsi="Arial"/>
                <w:sz w:val="20"/>
                <w:szCs w:val="20"/>
              </w:rPr>
              <w:t>13.450.000,00</w:t>
            </w:r>
          </w:p>
          <w:p w14:paraId="3A0228CD" w14:textId="77777777" w:rsidR="00577180" w:rsidRPr="00577180" w:rsidRDefault="00577180" w:rsidP="00577180">
            <w:pPr>
              <w:jc w:val="right"/>
              <w:rPr>
                <w:rFonts w:ascii="Arial" w:hAnsi="Arial"/>
                <w:sz w:val="20"/>
                <w:szCs w:val="20"/>
              </w:rPr>
            </w:pPr>
          </w:p>
        </w:tc>
        <w:tc>
          <w:tcPr>
            <w:tcW w:w="1547" w:type="dxa"/>
            <w:shd w:val="clear" w:color="auto" w:fill="auto"/>
            <w:noWrap/>
            <w:vAlign w:val="bottom"/>
            <w:hideMark/>
          </w:tcPr>
          <w:p w14:paraId="7FE402A1" w14:textId="77777777" w:rsidR="00577180" w:rsidRPr="00577180" w:rsidRDefault="00577180" w:rsidP="00577180">
            <w:pPr>
              <w:jc w:val="right"/>
              <w:rPr>
                <w:rFonts w:ascii="Arial" w:hAnsi="Arial"/>
                <w:sz w:val="20"/>
                <w:szCs w:val="20"/>
              </w:rPr>
            </w:pPr>
            <w:r w:rsidRPr="00577180">
              <w:rPr>
                <w:rFonts w:ascii="Arial" w:hAnsi="Arial"/>
                <w:sz w:val="20"/>
                <w:szCs w:val="20"/>
              </w:rPr>
              <w:t>13.450.000,00</w:t>
            </w:r>
          </w:p>
          <w:p w14:paraId="6945E999" w14:textId="77777777" w:rsidR="00577180" w:rsidRPr="00577180" w:rsidRDefault="00577180" w:rsidP="00577180">
            <w:pPr>
              <w:jc w:val="right"/>
              <w:rPr>
                <w:rFonts w:ascii="Arial" w:hAnsi="Arial"/>
                <w:sz w:val="20"/>
                <w:szCs w:val="20"/>
              </w:rPr>
            </w:pPr>
          </w:p>
        </w:tc>
        <w:tc>
          <w:tcPr>
            <w:tcW w:w="1430" w:type="dxa"/>
            <w:shd w:val="clear" w:color="auto" w:fill="auto"/>
            <w:noWrap/>
            <w:vAlign w:val="bottom"/>
            <w:hideMark/>
          </w:tcPr>
          <w:p w14:paraId="3A1F9063" w14:textId="77777777" w:rsidR="00577180" w:rsidRPr="00577180" w:rsidRDefault="00577180" w:rsidP="00577180">
            <w:pPr>
              <w:jc w:val="right"/>
              <w:rPr>
                <w:rFonts w:ascii="Arial" w:hAnsi="Arial"/>
                <w:sz w:val="20"/>
                <w:szCs w:val="20"/>
              </w:rPr>
            </w:pPr>
            <w:r w:rsidRPr="00577180">
              <w:rPr>
                <w:rFonts w:ascii="Arial" w:hAnsi="Arial"/>
                <w:sz w:val="20"/>
                <w:szCs w:val="20"/>
              </w:rPr>
              <w:t>13.450.000,00</w:t>
            </w:r>
          </w:p>
          <w:p w14:paraId="67F2FED4" w14:textId="77777777" w:rsidR="00577180" w:rsidRPr="00577180" w:rsidRDefault="00577180" w:rsidP="00577180">
            <w:pPr>
              <w:jc w:val="right"/>
              <w:rPr>
                <w:rFonts w:ascii="Arial" w:hAnsi="Arial"/>
                <w:sz w:val="20"/>
                <w:szCs w:val="20"/>
              </w:rPr>
            </w:pPr>
          </w:p>
        </w:tc>
        <w:tc>
          <w:tcPr>
            <w:tcW w:w="1688" w:type="dxa"/>
            <w:shd w:val="clear" w:color="auto" w:fill="auto"/>
            <w:noWrap/>
            <w:vAlign w:val="bottom"/>
            <w:hideMark/>
          </w:tcPr>
          <w:p w14:paraId="7026F530" w14:textId="77777777" w:rsidR="00577180" w:rsidRPr="00577180" w:rsidRDefault="00577180" w:rsidP="00577180">
            <w:pPr>
              <w:jc w:val="right"/>
              <w:rPr>
                <w:rFonts w:ascii="Arial" w:hAnsi="Arial"/>
                <w:sz w:val="20"/>
                <w:szCs w:val="20"/>
              </w:rPr>
            </w:pPr>
            <w:r w:rsidRPr="00577180">
              <w:rPr>
                <w:rFonts w:ascii="Arial" w:hAnsi="Arial"/>
                <w:sz w:val="20"/>
                <w:szCs w:val="20"/>
              </w:rPr>
              <w:t>13.450.000,00</w:t>
            </w:r>
          </w:p>
          <w:p w14:paraId="21991B0A" w14:textId="77777777" w:rsidR="00577180" w:rsidRPr="00577180" w:rsidRDefault="00577180" w:rsidP="00577180">
            <w:pPr>
              <w:jc w:val="right"/>
              <w:rPr>
                <w:rFonts w:ascii="Arial" w:hAnsi="Arial"/>
                <w:sz w:val="20"/>
                <w:szCs w:val="20"/>
              </w:rPr>
            </w:pPr>
          </w:p>
        </w:tc>
        <w:tc>
          <w:tcPr>
            <w:tcW w:w="1660" w:type="dxa"/>
            <w:shd w:val="clear" w:color="auto" w:fill="auto"/>
            <w:noWrap/>
            <w:vAlign w:val="bottom"/>
            <w:hideMark/>
          </w:tcPr>
          <w:p w14:paraId="09AF17FE" w14:textId="77777777" w:rsidR="00577180" w:rsidRPr="00577180" w:rsidRDefault="00577180" w:rsidP="00577180">
            <w:pPr>
              <w:jc w:val="right"/>
              <w:rPr>
                <w:rFonts w:ascii="Arial" w:hAnsi="Arial"/>
                <w:sz w:val="20"/>
                <w:szCs w:val="20"/>
              </w:rPr>
            </w:pPr>
            <w:r w:rsidRPr="00577180">
              <w:rPr>
                <w:rFonts w:ascii="Arial" w:hAnsi="Arial"/>
                <w:sz w:val="20"/>
                <w:szCs w:val="20"/>
              </w:rPr>
              <w:t>53.800.000,00</w:t>
            </w:r>
          </w:p>
          <w:p w14:paraId="1D381815" w14:textId="77777777" w:rsidR="00577180" w:rsidRPr="00577180" w:rsidRDefault="00577180" w:rsidP="00577180">
            <w:pPr>
              <w:jc w:val="right"/>
              <w:rPr>
                <w:rFonts w:ascii="Arial" w:hAnsi="Arial"/>
                <w:sz w:val="20"/>
                <w:szCs w:val="20"/>
              </w:rPr>
            </w:pPr>
          </w:p>
        </w:tc>
      </w:tr>
      <w:tr w:rsidR="00577180" w:rsidRPr="00577180" w14:paraId="002B4122" w14:textId="77777777" w:rsidTr="00A3052A">
        <w:trPr>
          <w:trHeight w:val="300"/>
        </w:trPr>
        <w:tc>
          <w:tcPr>
            <w:tcW w:w="1560" w:type="dxa"/>
            <w:shd w:val="clear" w:color="auto" w:fill="auto"/>
            <w:noWrap/>
            <w:vAlign w:val="bottom"/>
            <w:hideMark/>
          </w:tcPr>
          <w:p w14:paraId="105DA15C" w14:textId="77777777" w:rsidR="00577180" w:rsidRPr="00577180" w:rsidRDefault="00577180" w:rsidP="00577180">
            <w:pPr>
              <w:jc w:val="both"/>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1.2 Vsota</w:t>
            </w:r>
          </w:p>
        </w:tc>
        <w:tc>
          <w:tcPr>
            <w:tcW w:w="850" w:type="dxa"/>
            <w:shd w:val="clear" w:color="auto" w:fill="auto"/>
            <w:noWrap/>
            <w:vAlign w:val="bottom"/>
            <w:hideMark/>
          </w:tcPr>
          <w:p w14:paraId="7303F34D" w14:textId="77777777" w:rsidR="00577180" w:rsidRPr="00577180" w:rsidRDefault="00577180" w:rsidP="00577180">
            <w:pPr>
              <w:jc w:val="both"/>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7999C99B"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22.000.000,00</w:t>
            </w:r>
          </w:p>
        </w:tc>
        <w:tc>
          <w:tcPr>
            <w:tcW w:w="1547" w:type="dxa"/>
            <w:shd w:val="clear" w:color="auto" w:fill="auto"/>
            <w:noWrap/>
            <w:vAlign w:val="bottom"/>
            <w:hideMark/>
          </w:tcPr>
          <w:p w14:paraId="1BD82A3C"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22.000.000,00</w:t>
            </w:r>
          </w:p>
        </w:tc>
        <w:tc>
          <w:tcPr>
            <w:tcW w:w="1430" w:type="dxa"/>
            <w:shd w:val="clear" w:color="auto" w:fill="auto"/>
            <w:noWrap/>
            <w:vAlign w:val="bottom"/>
            <w:hideMark/>
          </w:tcPr>
          <w:p w14:paraId="4ED8FB11"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22.000.000,00</w:t>
            </w:r>
          </w:p>
        </w:tc>
        <w:tc>
          <w:tcPr>
            <w:tcW w:w="1688" w:type="dxa"/>
            <w:shd w:val="clear" w:color="auto" w:fill="auto"/>
            <w:noWrap/>
            <w:vAlign w:val="bottom"/>
            <w:hideMark/>
          </w:tcPr>
          <w:p w14:paraId="752488A6"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22.000.000,00</w:t>
            </w:r>
          </w:p>
        </w:tc>
        <w:tc>
          <w:tcPr>
            <w:tcW w:w="1660" w:type="dxa"/>
            <w:shd w:val="clear" w:color="auto" w:fill="auto"/>
            <w:noWrap/>
            <w:vAlign w:val="bottom"/>
            <w:hideMark/>
          </w:tcPr>
          <w:p w14:paraId="159B4177"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88.000.000,00</w:t>
            </w:r>
          </w:p>
        </w:tc>
      </w:tr>
      <w:tr w:rsidR="00577180" w:rsidRPr="00577180" w14:paraId="29D395AC" w14:textId="77777777" w:rsidTr="00A3052A">
        <w:trPr>
          <w:trHeight w:val="300"/>
        </w:trPr>
        <w:tc>
          <w:tcPr>
            <w:tcW w:w="1560" w:type="dxa"/>
            <w:shd w:val="clear" w:color="auto" w:fill="auto"/>
            <w:noWrap/>
            <w:vAlign w:val="bottom"/>
            <w:hideMark/>
          </w:tcPr>
          <w:p w14:paraId="166E7318"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3.1</w:t>
            </w:r>
          </w:p>
        </w:tc>
        <w:tc>
          <w:tcPr>
            <w:tcW w:w="850" w:type="dxa"/>
            <w:shd w:val="clear" w:color="auto" w:fill="auto"/>
            <w:noWrap/>
            <w:vAlign w:val="bottom"/>
            <w:hideMark/>
          </w:tcPr>
          <w:p w14:paraId="26422CF9"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Vzhod</w:t>
            </w:r>
          </w:p>
        </w:tc>
        <w:tc>
          <w:tcPr>
            <w:tcW w:w="1430" w:type="dxa"/>
            <w:shd w:val="clear" w:color="auto" w:fill="auto"/>
            <w:noWrap/>
            <w:vAlign w:val="bottom"/>
            <w:hideMark/>
          </w:tcPr>
          <w:p w14:paraId="53C418B7"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13.875.000,00</w:t>
            </w:r>
          </w:p>
          <w:p w14:paraId="24F502BE" w14:textId="77777777" w:rsidR="00577180" w:rsidRPr="00577180" w:rsidRDefault="00577180" w:rsidP="00577180">
            <w:pPr>
              <w:jc w:val="right"/>
              <w:outlineLvl w:val="1"/>
              <w:rPr>
                <w:rFonts w:ascii="Arial" w:hAnsi="Arial" w:cs="Arial"/>
                <w:color w:val="000000"/>
                <w:sz w:val="20"/>
                <w:szCs w:val="20"/>
                <w:lang w:val="sl-SI" w:eastAsia="sl-SI"/>
              </w:rPr>
            </w:pPr>
          </w:p>
        </w:tc>
        <w:tc>
          <w:tcPr>
            <w:tcW w:w="1547" w:type="dxa"/>
            <w:shd w:val="clear" w:color="auto" w:fill="auto"/>
            <w:noWrap/>
            <w:vAlign w:val="bottom"/>
            <w:hideMark/>
          </w:tcPr>
          <w:p w14:paraId="6676F9D4"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13.875.000,00</w:t>
            </w:r>
          </w:p>
          <w:p w14:paraId="7D5B2CCD" w14:textId="77777777" w:rsidR="00577180" w:rsidRPr="00577180" w:rsidRDefault="00577180" w:rsidP="00577180">
            <w:pPr>
              <w:jc w:val="right"/>
              <w:outlineLvl w:val="1"/>
              <w:rPr>
                <w:rFonts w:ascii="Arial" w:hAnsi="Arial" w:cs="Arial"/>
                <w:color w:val="000000"/>
                <w:sz w:val="20"/>
                <w:szCs w:val="20"/>
                <w:lang w:val="sl-SI" w:eastAsia="sl-SI"/>
              </w:rPr>
            </w:pPr>
          </w:p>
        </w:tc>
        <w:tc>
          <w:tcPr>
            <w:tcW w:w="1430" w:type="dxa"/>
            <w:shd w:val="clear" w:color="auto" w:fill="auto"/>
            <w:noWrap/>
            <w:vAlign w:val="bottom"/>
            <w:hideMark/>
          </w:tcPr>
          <w:p w14:paraId="2DD2BF2B"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13.875.000,00</w:t>
            </w:r>
          </w:p>
          <w:p w14:paraId="08FC907E" w14:textId="77777777" w:rsidR="00577180" w:rsidRPr="00577180" w:rsidRDefault="00577180" w:rsidP="00577180">
            <w:pPr>
              <w:jc w:val="right"/>
              <w:outlineLvl w:val="1"/>
              <w:rPr>
                <w:rFonts w:ascii="Arial" w:hAnsi="Arial" w:cs="Arial"/>
                <w:color w:val="000000"/>
                <w:sz w:val="20"/>
                <w:szCs w:val="20"/>
                <w:lang w:val="sl-SI" w:eastAsia="sl-SI"/>
              </w:rPr>
            </w:pPr>
          </w:p>
        </w:tc>
        <w:tc>
          <w:tcPr>
            <w:tcW w:w="1688" w:type="dxa"/>
            <w:shd w:val="clear" w:color="auto" w:fill="auto"/>
            <w:noWrap/>
            <w:vAlign w:val="bottom"/>
            <w:hideMark/>
          </w:tcPr>
          <w:p w14:paraId="5C3FEA45"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13.875.000,00</w:t>
            </w:r>
          </w:p>
          <w:p w14:paraId="1B0B3142" w14:textId="77777777" w:rsidR="00577180" w:rsidRPr="00577180" w:rsidRDefault="00577180" w:rsidP="00577180">
            <w:pPr>
              <w:jc w:val="right"/>
              <w:outlineLvl w:val="1"/>
              <w:rPr>
                <w:rFonts w:ascii="Arial" w:hAnsi="Arial" w:cs="Arial"/>
                <w:color w:val="000000"/>
                <w:sz w:val="20"/>
                <w:szCs w:val="20"/>
                <w:lang w:val="sl-SI" w:eastAsia="sl-SI"/>
              </w:rPr>
            </w:pPr>
          </w:p>
        </w:tc>
        <w:tc>
          <w:tcPr>
            <w:tcW w:w="1660" w:type="dxa"/>
            <w:shd w:val="clear" w:color="auto" w:fill="auto"/>
            <w:noWrap/>
            <w:vAlign w:val="bottom"/>
            <w:hideMark/>
          </w:tcPr>
          <w:p w14:paraId="176D82CD"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55.500.000,00</w:t>
            </w:r>
          </w:p>
          <w:p w14:paraId="5F3FB36F" w14:textId="77777777" w:rsidR="00577180" w:rsidRPr="00577180" w:rsidRDefault="00577180" w:rsidP="00577180">
            <w:pPr>
              <w:jc w:val="right"/>
              <w:outlineLvl w:val="1"/>
              <w:rPr>
                <w:rFonts w:ascii="Arial" w:hAnsi="Arial" w:cs="Arial"/>
                <w:color w:val="000000"/>
                <w:sz w:val="20"/>
                <w:szCs w:val="20"/>
                <w:lang w:val="sl-SI" w:eastAsia="sl-SI"/>
              </w:rPr>
            </w:pPr>
          </w:p>
        </w:tc>
      </w:tr>
      <w:tr w:rsidR="00577180" w:rsidRPr="00577180" w14:paraId="41AF447D" w14:textId="77777777" w:rsidTr="00A3052A">
        <w:trPr>
          <w:trHeight w:val="300"/>
        </w:trPr>
        <w:tc>
          <w:tcPr>
            <w:tcW w:w="1560" w:type="dxa"/>
            <w:shd w:val="clear" w:color="auto" w:fill="auto"/>
            <w:noWrap/>
            <w:vAlign w:val="bottom"/>
            <w:hideMark/>
          </w:tcPr>
          <w:p w14:paraId="3521B3FD"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3.1</w:t>
            </w:r>
          </w:p>
        </w:tc>
        <w:tc>
          <w:tcPr>
            <w:tcW w:w="850" w:type="dxa"/>
            <w:shd w:val="clear" w:color="auto" w:fill="auto"/>
            <w:noWrap/>
            <w:vAlign w:val="bottom"/>
            <w:hideMark/>
          </w:tcPr>
          <w:p w14:paraId="6902B5D8"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Zahod</w:t>
            </w:r>
          </w:p>
        </w:tc>
        <w:tc>
          <w:tcPr>
            <w:tcW w:w="1430" w:type="dxa"/>
            <w:shd w:val="clear" w:color="auto" w:fill="auto"/>
            <w:noWrap/>
            <w:vAlign w:val="bottom"/>
            <w:hideMark/>
          </w:tcPr>
          <w:p w14:paraId="2806FD81" w14:textId="77777777" w:rsidR="00577180" w:rsidRPr="00577180" w:rsidRDefault="00577180" w:rsidP="00577180">
            <w:pPr>
              <w:jc w:val="right"/>
              <w:outlineLvl w:val="1"/>
              <w:rPr>
                <w:rFonts w:ascii="Arial" w:hAnsi="Arial" w:cs="Arial"/>
                <w:color w:val="000000"/>
                <w:sz w:val="20"/>
                <w:szCs w:val="20"/>
              </w:rPr>
            </w:pPr>
            <w:r w:rsidRPr="00577180">
              <w:rPr>
                <w:rFonts w:ascii="Arial" w:hAnsi="Arial" w:cs="Arial"/>
                <w:color w:val="000000"/>
                <w:sz w:val="20"/>
                <w:szCs w:val="20"/>
              </w:rPr>
              <w:t>19.875.000,00</w:t>
            </w:r>
          </w:p>
          <w:p w14:paraId="2F381621" w14:textId="77777777" w:rsidR="00577180" w:rsidRPr="00577180" w:rsidRDefault="00577180" w:rsidP="00577180">
            <w:pPr>
              <w:jc w:val="right"/>
              <w:outlineLvl w:val="1"/>
              <w:rPr>
                <w:rFonts w:ascii="Arial" w:hAnsi="Arial" w:cs="Arial"/>
                <w:color w:val="000000"/>
                <w:sz w:val="20"/>
                <w:szCs w:val="20"/>
                <w:lang w:val="sl-SI" w:eastAsia="sl-SI"/>
              </w:rPr>
            </w:pPr>
          </w:p>
        </w:tc>
        <w:tc>
          <w:tcPr>
            <w:tcW w:w="1547" w:type="dxa"/>
            <w:shd w:val="clear" w:color="auto" w:fill="auto"/>
            <w:noWrap/>
            <w:vAlign w:val="bottom"/>
            <w:hideMark/>
          </w:tcPr>
          <w:p w14:paraId="15B5C8C8" w14:textId="77777777" w:rsidR="00577180" w:rsidRPr="00577180" w:rsidRDefault="00577180" w:rsidP="00577180">
            <w:pPr>
              <w:jc w:val="right"/>
              <w:outlineLvl w:val="1"/>
              <w:rPr>
                <w:rFonts w:ascii="Arial" w:hAnsi="Arial" w:cs="Arial"/>
                <w:color w:val="000000"/>
                <w:sz w:val="20"/>
                <w:szCs w:val="20"/>
              </w:rPr>
            </w:pPr>
            <w:r w:rsidRPr="00577180">
              <w:rPr>
                <w:rFonts w:ascii="Arial" w:hAnsi="Arial" w:cs="Arial"/>
                <w:color w:val="000000"/>
                <w:sz w:val="20"/>
                <w:szCs w:val="20"/>
              </w:rPr>
              <w:t>19.875.000,00</w:t>
            </w:r>
          </w:p>
          <w:p w14:paraId="79E45D7F" w14:textId="77777777" w:rsidR="00577180" w:rsidRPr="00577180" w:rsidRDefault="00577180" w:rsidP="00577180">
            <w:pPr>
              <w:jc w:val="right"/>
              <w:outlineLvl w:val="1"/>
              <w:rPr>
                <w:rFonts w:ascii="Arial" w:hAnsi="Arial" w:cs="Arial"/>
                <w:color w:val="000000"/>
                <w:sz w:val="20"/>
                <w:szCs w:val="20"/>
                <w:lang w:val="sl-SI" w:eastAsia="sl-SI"/>
              </w:rPr>
            </w:pPr>
          </w:p>
        </w:tc>
        <w:tc>
          <w:tcPr>
            <w:tcW w:w="1430" w:type="dxa"/>
            <w:shd w:val="clear" w:color="auto" w:fill="auto"/>
            <w:noWrap/>
            <w:vAlign w:val="bottom"/>
            <w:hideMark/>
          </w:tcPr>
          <w:p w14:paraId="48E3BDDC" w14:textId="77777777" w:rsidR="00577180" w:rsidRPr="00577180" w:rsidRDefault="00577180" w:rsidP="00577180">
            <w:pPr>
              <w:jc w:val="right"/>
              <w:outlineLvl w:val="1"/>
              <w:rPr>
                <w:rFonts w:ascii="Arial" w:hAnsi="Arial" w:cs="Arial"/>
                <w:color w:val="000000"/>
                <w:sz w:val="20"/>
                <w:szCs w:val="20"/>
              </w:rPr>
            </w:pPr>
            <w:r w:rsidRPr="00577180">
              <w:rPr>
                <w:rFonts w:ascii="Arial" w:hAnsi="Arial" w:cs="Arial"/>
                <w:color w:val="000000"/>
                <w:sz w:val="20"/>
                <w:szCs w:val="20"/>
              </w:rPr>
              <w:t>19.875.000,00</w:t>
            </w:r>
          </w:p>
          <w:p w14:paraId="63F769FA" w14:textId="77777777" w:rsidR="00577180" w:rsidRPr="00577180" w:rsidRDefault="00577180" w:rsidP="00577180">
            <w:pPr>
              <w:jc w:val="right"/>
              <w:outlineLvl w:val="1"/>
              <w:rPr>
                <w:rFonts w:ascii="Arial" w:hAnsi="Arial" w:cs="Arial"/>
                <w:color w:val="000000"/>
                <w:sz w:val="20"/>
                <w:szCs w:val="20"/>
                <w:lang w:val="sl-SI" w:eastAsia="sl-SI"/>
              </w:rPr>
            </w:pPr>
          </w:p>
        </w:tc>
        <w:tc>
          <w:tcPr>
            <w:tcW w:w="1688" w:type="dxa"/>
            <w:shd w:val="clear" w:color="auto" w:fill="auto"/>
            <w:noWrap/>
            <w:vAlign w:val="bottom"/>
            <w:hideMark/>
          </w:tcPr>
          <w:p w14:paraId="25A9797C" w14:textId="77777777" w:rsidR="00577180" w:rsidRPr="00577180" w:rsidRDefault="00577180" w:rsidP="00577180">
            <w:pPr>
              <w:jc w:val="right"/>
              <w:outlineLvl w:val="1"/>
              <w:rPr>
                <w:rFonts w:ascii="Arial" w:hAnsi="Arial" w:cs="Arial"/>
                <w:color w:val="000000"/>
                <w:sz w:val="20"/>
                <w:szCs w:val="20"/>
              </w:rPr>
            </w:pPr>
            <w:r w:rsidRPr="00577180">
              <w:rPr>
                <w:rFonts w:ascii="Arial" w:hAnsi="Arial" w:cs="Arial"/>
                <w:color w:val="000000"/>
                <w:sz w:val="20"/>
                <w:szCs w:val="20"/>
              </w:rPr>
              <w:t>19.875.000,00</w:t>
            </w:r>
          </w:p>
          <w:p w14:paraId="71A63F78" w14:textId="77777777" w:rsidR="00577180" w:rsidRPr="00577180" w:rsidRDefault="00577180" w:rsidP="00577180">
            <w:pPr>
              <w:jc w:val="right"/>
              <w:outlineLvl w:val="1"/>
              <w:rPr>
                <w:rFonts w:ascii="Arial" w:hAnsi="Arial" w:cs="Arial"/>
                <w:color w:val="000000"/>
                <w:sz w:val="20"/>
                <w:szCs w:val="20"/>
                <w:lang w:val="sl-SI" w:eastAsia="sl-SI"/>
              </w:rPr>
            </w:pPr>
          </w:p>
        </w:tc>
        <w:tc>
          <w:tcPr>
            <w:tcW w:w="1660" w:type="dxa"/>
            <w:shd w:val="clear" w:color="auto" w:fill="auto"/>
            <w:noWrap/>
            <w:vAlign w:val="bottom"/>
            <w:hideMark/>
          </w:tcPr>
          <w:p w14:paraId="11DDCBFE" w14:textId="77777777" w:rsidR="00577180" w:rsidRPr="00577180" w:rsidRDefault="00577180" w:rsidP="00577180">
            <w:pPr>
              <w:jc w:val="right"/>
              <w:outlineLvl w:val="1"/>
              <w:rPr>
                <w:rFonts w:ascii="Arial" w:hAnsi="Arial" w:cs="Arial"/>
                <w:color w:val="000000"/>
                <w:sz w:val="20"/>
                <w:szCs w:val="20"/>
              </w:rPr>
            </w:pPr>
            <w:r w:rsidRPr="00577180">
              <w:rPr>
                <w:rFonts w:ascii="Arial" w:hAnsi="Arial" w:cs="Arial"/>
                <w:color w:val="000000"/>
                <w:sz w:val="20"/>
                <w:szCs w:val="20"/>
              </w:rPr>
              <w:t>79.500.000,00</w:t>
            </w:r>
          </w:p>
          <w:p w14:paraId="04E78A3F" w14:textId="77777777" w:rsidR="00577180" w:rsidRPr="00577180" w:rsidRDefault="00577180" w:rsidP="00577180">
            <w:pPr>
              <w:jc w:val="right"/>
              <w:outlineLvl w:val="1"/>
              <w:rPr>
                <w:rFonts w:ascii="Arial" w:hAnsi="Arial" w:cs="Arial"/>
                <w:color w:val="000000"/>
                <w:sz w:val="20"/>
                <w:szCs w:val="20"/>
                <w:lang w:val="sl-SI" w:eastAsia="sl-SI"/>
              </w:rPr>
            </w:pPr>
          </w:p>
        </w:tc>
      </w:tr>
      <w:tr w:rsidR="00577180" w:rsidRPr="00577180" w14:paraId="78E70BF7" w14:textId="77777777" w:rsidTr="00A3052A">
        <w:trPr>
          <w:trHeight w:val="300"/>
        </w:trPr>
        <w:tc>
          <w:tcPr>
            <w:tcW w:w="1560" w:type="dxa"/>
            <w:shd w:val="clear" w:color="auto" w:fill="auto"/>
            <w:noWrap/>
            <w:vAlign w:val="bottom"/>
            <w:hideMark/>
          </w:tcPr>
          <w:p w14:paraId="7BE352B0" w14:textId="77777777" w:rsidR="00577180" w:rsidRPr="00577180" w:rsidRDefault="00577180" w:rsidP="00577180">
            <w:pPr>
              <w:jc w:val="both"/>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3.1 Vsota</w:t>
            </w:r>
          </w:p>
        </w:tc>
        <w:tc>
          <w:tcPr>
            <w:tcW w:w="850" w:type="dxa"/>
            <w:shd w:val="clear" w:color="auto" w:fill="auto"/>
            <w:noWrap/>
            <w:vAlign w:val="bottom"/>
            <w:hideMark/>
          </w:tcPr>
          <w:p w14:paraId="5AE81DA0" w14:textId="77777777" w:rsidR="00577180" w:rsidRPr="00577180" w:rsidRDefault="00577180" w:rsidP="00577180">
            <w:pPr>
              <w:jc w:val="both"/>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15C56E5A"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33.750.000,00</w:t>
            </w:r>
          </w:p>
        </w:tc>
        <w:tc>
          <w:tcPr>
            <w:tcW w:w="1547" w:type="dxa"/>
            <w:shd w:val="clear" w:color="auto" w:fill="auto"/>
            <w:noWrap/>
            <w:vAlign w:val="bottom"/>
            <w:hideMark/>
          </w:tcPr>
          <w:p w14:paraId="52272366"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33.750.000,00</w:t>
            </w:r>
          </w:p>
        </w:tc>
        <w:tc>
          <w:tcPr>
            <w:tcW w:w="1430" w:type="dxa"/>
            <w:shd w:val="clear" w:color="auto" w:fill="auto"/>
            <w:noWrap/>
            <w:vAlign w:val="bottom"/>
            <w:hideMark/>
          </w:tcPr>
          <w:p w14:paraId="4285DC71"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33.750.000,00</w:t>
            </w:r>
          </w:p>
        </w:tc>
        <w:tc>
          <w:tcPr>
            <w:tcW w:w="1688" w:type="dxa"/>
            <w:shd w:val="clear" w:color="auto" w:fill="auto"/>
            <w:noWrap/>
            <w:vAlign w:val="bottom"/>
            <w:hideMark/>
          </w:tcPr>
          <w:p w14:paraId="2466B378"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33.750.000,00</w:t>
            </w:r>
          </w:p>
        </w:tc>
        <w:tc>
          <w:tcPr>
            <w:tcW w:w="1660" w:type="dxa"/>
            <w:shd w:val="clear" w:color="auto" w:fill="auto"/>
            <w:noWrap/>
            <w:vAlign w:val="bottom"/>
            <w:hideMark/>
          </w:tcPr>
          <w:p w14:paraId="12FFC2F6"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135.000.000,00</w:t>
            </w:r>
          </w:p>
        </w:tc>
      </w:tr>
      <w:tr w:rsidR="00577180" w:rsidRPr="00577180" w14:paraId="416F1D56" w14:textId="77777777" w:rsidTr="00A3052A">
        <w:trPr>
          <w:trHeight w:val="300"/>
        </w:trPr>
        <w:tc>
          <w:tcPr>
            <w:tcW w:w="1560" w:type="dxa"/>
            <w:shd w:val="clear" w:color="auto" w:fill="auto"/>
            <w:noWrap/>
            <w:vAlign w:val="bottom"/>
            <w:hideMark/>
          </w:tcPr>
          <w:p w14:paraId="52C2F033"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4.1</w:t>
            </w:r>
          </w:p>
        </w:tc>
        <w:tc>
          <w:tcPr>
            <w:tcW w:w="850" w:type="dxa"/>
            <w:shd w:val="clear" w:color="auto" w:fill="auto"/>
            <w:noWrap/>
            <w:vAlign w:val="bottom"/>
            <w:hideMark/>
          </w:tcPr>
          <w:p w14:paraId="1B85BCE8"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SI</w:t>
            </w:r>
          </w:p>
        </w:tc>
        <w:tc>
          <w:tcPr>
            <w:tcW w:w="1430" w:type="dxa"/>
            <w:shd w:val="clear" w:color="auto" w:fill="auto"/>
            <w:noWrap/>
            <w:vAlign w:val="bottom"/>
            <w:hideMark/>
          </w:tcPr>
          <w:p w14:paraId="74ACC4BA"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6.250.000,00</w:t>
            </w:r>
          </w:p>
        </w:tc>
        <w:tc>
          <w:tcPr>
            <w:tcW w:w="1547" w:type="dxa"/>
            <w:shd w:val="clear" w:color="auto" w:fill="auto"/>
            <w:noWrap/>
            <w:vAlign w:val="bottom"/>
            <w:hideMark/>
          </w:tcPr>
          <w:p w14:paraId="23041978"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6.250.000,00</w:t>
            </w:r>
          </w:p>
        </w:tc>
        <w:tc>
          <w:tcPr>
            <w:tcW w:w="1430" w:type="dxa"/>
            <w:shd w:val="clear" w:color="auto" w:fill="auto"/>
            <w:noWrap/>
            <w:vAlign w:val="bottom"/>
            <w:hideMark/>
          </w:tcPr>
          <w:p w14:paraId="6F51DAD8"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6.250.000,00</w:t>
            </w:r>
          </w:p>
        </w:tc>
        <w:tc>
          <w:tcPr>
            <w:tcW w:w="1688" w:type="dxa"/>
            <w:shd w:val="clear" w:color="auto" w:fill="auto"/>
            <w:noWrap/>
            <w:vAlign w:val="bottom"/>
            <w:hideMark/>
          </w:tcPr>
          <w:p w14:paraId="324590E6"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6.250.000,00</w:t>
            </w:r>
          </w:p>
        </w:tc>
        <w:tc>
          <w:tcPr>
            <w:tcW w:w="1660" w:type="dxa"/>
            <w:shd w:val="clear" w:color="auto" w:fill="auto"/>
            <w:noWrap/>
            <w:vAlign w:val="bottom"/>
            <w:hideMark/>
          </w:tcPr>
          <w:p w14:paraId="31D487EB"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25.000.000,00</w:t>
            </w:r>
          </w:p>
        </w:tc>
      </w:tr>
      <w:tr w:rsidR="00577180" w:rsidRPr="00577180" w14:paraId="1AF0895B" w14:textId="77777777" w:rsidTr="00A3052A">
        <w:trPr>
          <w:trHeight w:val="300"/>
        </w:trPr>
        <w:tc>
          <w:tcPr>
            <w:tcW w:w="1560" w:type="dxa"/>
            <w:shd w:val="clear" w:color="auto" w:fill="auto"/>
            <w:noWrap/>
            <w:vAlign w:val="bottom"/>
            <w:hideMark/>
          </w:tcPr>
          <w:p w14:paraId="5EC53359" w14:textId="77777777" w:rsidR="00577180" w:rsidRPr="00577180" w:rsidRDefault="00577180" w:rsidP="00577180">
            <w:pPr>
              <w:jc w:val="both"/>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4.1 Vsota</w:t>
            </w:r>
          </w:p>
        </w:tc>
        <w:tc>
          <w:tcPr>
            <w:tcW w:w="850" w:type="dxa"/>
            <w:shd w:val="clear" w:color="auto" w:fill="auto"/>
            <w:noWrap/>
            <w:vAlign w:val="bottom"/>
            <w:hideMark/>
          </w:tcPr>
          <w:p w14:paraId="4E4FC5A2" w14:textId="77777777" w:rsidR="00577180" w:rsidRPr="00577180" w:rsidRDefault="00577180" w:rsidP="00577180">
            <w:pPr>
              <w:jc w:val="both"/>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655DABB2"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6.250.000,00</w:t>
            </w:r>
          </w:p>
        </w:tc>
        <w:tc>
          <w:tcPr>
            <w:tcW w:w="1547" w:type="dxa"/>
            <w:shd w:val="clear" w:color="auto" w:fill="auto"/>
            <w:noWrap/>
            <w:vAlign w:val="bottom"/>
            <w:hideMark/>
          </w:tcPr>
          <w:p w14:paraId="5590AF51"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6.250.000,00</w:t>
            </w:r>
          </w:p>
        </w:tc>
        <w:tc>
          <w:tcPr>
            <w:tcW w:w="1430" w:type="dxa"/>
            <w:shd w:val="clear" w:color="auto" w:fill="auto"/>
            <w:noWrap/>
            <w:vAlign w:val="bottom"/>
            <w:hideMark/>
          </w:tcPr>
          <w:p w14:paraId="2AA2A698"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6.250.000,00</w:t>
            </w:r>
          </w:p>
        </w:tc>
        <w:tc>
          <w:tcPr>
            <w:tcW w:w="1688" w:type="dxa"/>
            <w:shd w:val="clear" w:color="auto" w:fill="auto"/>
            <w:noWrap/>
            <w:vAlign w:val="bottom"/>
            <w:hideMark/>
          </w:tcPr>
          <w:p w14:paraId="3CDDEBD6"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6.250.000,00</w:t>
            </w:r>
          </w:p>
        </w:tc>
        <w:tc>
          <w:tcPr>
            <w:tcW w:w="1660" w:type="dxa"/>
            <w:shd w:val="clear" w:color="auto" w:fill="auto"/>
            <w:noWrap/>
            <w:vAlign w:val="bottom"/>
            <w:hideMark/>
          </w:tcPr>
          <w:p w14:paraId="28AD49AF"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25.000.000,00</w:t>
            </w:r>
          </w:p>
        </w:tc>
      </w:tr>
      <w:tr w:rsidR="00577180" w:rsidRPr="00577180" w14:paraId="11DDA1BA" w14:textId="77777777" w:rsidTr="00A3052A">
        <w:trPr>
          <w:trHeight w:val="300"/>
        </w:trPr>
        <w:tc>
          <w:tcPr>
            <w:tcW w:w="1560" w:type="dxa"/>
            <w:shd w:val="clear" w:color="auto" w:fill="auto"/>
            <w:noWrap/>
            <w:vAlign w:val="bottom"/>
            <w:hideMark/>
          </w:tcPr>
          <w:p w14:paraId="18D2262D"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6.3</w:t>
            </w:r>
          </w:p>
        </w:tc>
        <w:tc>
          <w:tcPr>
            <w:tcW w:w="850" w:type="dxa"/>
            <w:shd w:val="clear" w:color="auto" w:fill="auto"/>
            <w:noWrap/>
            <w:vAlign w:val="bottom"/>
            <w:hideMark/>
          </w:tcPr>
          <w:p w14:paraId="510F5614"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Vzhod</w:t>
            </w:r>
          </w:p>
        </w:tc>
        <w:tc>
          <w:tcPr>
            <w:tcW w:w="1430" w:type="dxa"/>
            <w:shd w:val="clear" w:color="auto" w:fill="auto"/>
            <w:noWrap/>
            <w:vAlign w:val="bottom"/>
            <w:hideMark/>
          </w:tcPr>
          <w:p w14:paraId="54660CEA"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800.000,00</w:t>
            </w:r>
          </w:p>
        </w:tc>
        <w:tc>
          <w:tcPr>
            <w:tcW w:w="1547" w:type="dxa"/>
            <w:shd w:val="clear" w:color="auto" w:fill="auto"/>
            <w:noWrap/>
            <w:vAlign w:val="bottom"/>
            <w:hideMark/>
          </w:tcPr>
          <w:p w14:paraId="6A0A4A11"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800.000,00</w:t>
            </w:r>
          </w:p>
        </w:tc>
        <w:tc>
          <w:tcPr>
            <w:tcW w:w="1430" w:type="dxa"/>
            <w:shd w:val="clear" w:color="auto" w:fill="auto"/>
            <w:noWrap/>
            <w:vAlign w:val="bottom"/>
            <w:hideMark/>
          </w:tcPr>
          <w:p w14:paraId="27C85EF2"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800.000,00</w:t>
            </w:r>
          </w:p>
        </w:tc>
        <w:tc>
          <w:tcPr>
            <w:tcW w:w="1688" w:type="dxa"/>
            <w:shd w:val="clear" w:color="auto" w:fill="auto"/>
            <w:noWrap/>
            <w:vAlign w:val="bottom"/>
            <w:hideMark/>
          </w:tcPr>
          <w:p w14:paraId="4CEF2B8D"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800.000,00</w:t>
            </w:r>
          </w:p>
        </w:tc>
        <w:tc>
          <w:tcPr>
            <w:tcW w:w="1660" w:type="dxa"/>
            <w:shd w:val="clear" w:color="auto" w:fill="auto"/>
            <w:noWrap/>
            <w:vAlign w:val="bottom"/>
            <w:hideMark/>
          </w:tcPr>
          <w:p w14:paraId="0E669E90"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3.200.000,00</w:t>
            </w:r>
          </w:p>
        </w:tc>
      </w:tr>
      <w:tr w:rsidR="00577180" w:rsidRPr="00577180" w14:paraId="0255F773" w14:textId="77777777" w:rsidTr="00A3052A">
        <w:trPr>
          <w:trHeight w:val="300"/>
        </w:trPr>
        <w:tc>
          <w:tcPr>
            <w:tcW w:w="1560" w:type="dxa"/>
            <w:shd w:val="clear" w:color="auto" w:fill="auto"/>
            <w:noWrap/>
            <w:vAlign w:val="bottom"/>
            <w:hideMark/>
          </w:tcPr>
          <w:p w14:paraId="7E9224DF"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6.3</w:t>
            </w:r>
          </w:p>
        </w:tc>
        <w:tc>
          <w:tcPr>
            <w:tcW w:w="850" w:type="dxa"/>
            <w:shd w:val="clear" w:color="auto" w:fill="auto"/>
            <w:noWrap/>
            <w:vAlign w:val="bottom"/>
            <w:hideMark/>
          </w:tcPr>
          <w:p w14:paraId="479D8A14" w14:textId="77777777" w:rsidR="00577180" w:rsidRPr="00577180" w:rsidRDefault="00577180" w:rsidP="00577180">
            <w:pPr>
              <w:jc w:val="both"/>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Zahod</w:t>
            </w:r>
          </w:p>
        </w:tc>
        <w:tc>
          <w:tcPr>
            <w:tcW w:w="1430" w:type="dxa"/>
            <w:shd w:val="clear" w:color="auto" w:fill="auto"/>
            <w:noWrap/>
            <w:vAlign w:val="bottom"/>
            <w:hideMark/>
          </w:tcPr>
          <w:p w14:paraId="01C6FFE7"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450.000,00</w:t>
            </w:r>
          </w:p>
        </w:tc>
        <w:tc>
          <w:tcPr>
            <w:tcW w:w="1547" w:type="dxa"/>
            <w:shd w:val="clear" w:color="auto" w:fill="auto"/>
            <w:noWrap/>
            <w:vAlign w:val="bottom"/>
            <w:hideMark/>
          </w:tcPr>
          <w:p w14:paraId="4A540434"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450.000,00</w:t>
            </w:r>
          </w:p>
        </w:tc>
        <w:tc>
          <w:tcPr>
            <w:tcW w:w="1430" w:type="dxa"/>
            <w:shd w:val="clear" w:color="auto" w:fill="auto"/>
            <w:noWrap/>
            <w:vAlign w:val="bottom"/>
            <w:hideMark/>
          </w:tcPr>
          <w:p w14:paraId="14321D15"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450.000,00</w:t>
            </w:r>
          </w:p>
        </w:tc>
        <w:tc>
          <w:tcPr>
            <w:tcW w:w="1688" w:type="dxa"/>
            <w:shd w:val="clear" w:color="auto" w:fill="auto"/>
            <w:noWrap/>
            <w:vAlign w:val="bottom"/>
            <w:hideMark/>
          </w:tcPr>
          <w:p w14:paraId="61925F1B"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450.000,00</w:t>
            </w:r>
          </w:p>
        </w:tc>
        <w:tc>
          <w:tcPr>
            <w:tcW w:w="1660" w:type="dxa"/>
            <w:shd w:val="clear" w:color="auto" w:fill="auto"/>
            <w:noWrap/>
            <w:vAlign w:val="bottom"/>
            <w:hideMark/>
          </w:tcPr>
          <w:p w14:paraId="47577CA7" w14:textId="77777777" w:rsidR="00577180" w:rsidRPr="00577180" w:rsidRDefault="00577180" w:rsidP="00577180">
            <w:pPr>
              <w:jc w:val="right"/>
              <w:outlineLvl w:val="1"/>
              <w:rPr>
                <w:rFonts w:ascii="Arial" w:hAnsi="Arial" w:cs="Arial"/>
                <w:color w:val="000000"/>
                <w:sz w:val="20"/>
                <w:szCs w:val="20"/>
                <w:lang w:val="sl-SI" w:eastAsia="sl-SI"/>
              </w:rPr>
            </w:pPr>
            <w:r w:rsidRPr="00577180">
              <w:rPr>
                <w:rFonts w:ascii="Arial" w:hAnsi="Arial" w:cs="Arial"/>
                <w:color w:val="000000"/>
                <w:sz w:val="20"/>
                <w:szCs w:val="20"/>
                <w:lang w:val="sl-SI" w:eastAsia="sl-SI"/>
              </w:rPr>
              <w:t>1.800.000,00</w:t>
            </w:r>
          </w:p>
        </w:tc>
      </w:tr>
      <w:tr w:rsidR="00577180" w:rsidRPr="00577180" w14:paraId="1E5EA484" w14:textId="77777777" w:rsidTr="00A3052A">
        <w:trPr>
          <w:trHeight w:val="300"/>
        </w:trPr>
        <w:tc>
          <w:tcPr>
            <w:tcW w:w="1560" w:type="dxa"/>
            <w:shd w:val="clear" w:color="auto" w:fill="auto"/>
            <w:noWrap/>
            <w:vAlign w:val="bottom"/>
            <w:hideMark/>
          </w:tcPr>
          <w:p w14:paraId="3702B605" w14:textId="77777777" w:rsidR="00577180" w:rsidRPr="00577180" w:rsidRDefault="00577180" w:rsidP="00577180">
            <w:pPr>
              <w:jc w:val="both"/>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6.3 Vsota</w:t>
            </w:r>
          </w:p>
        </w:tc>
        <w:tc>
          <w:tcPr>
            <w:tcW w:w="850" w:type="dxa"/>
            <w:shd w:val="clear" w:color="auto" w:fill="auto"/>
            <w:noWrap/>
            <w:vAlign w:val="bottom"/>
            <w:hideMark/>
          </w:tcPr>
          <w:p w14:paraId="7E0D9CFB" w14:textId="77777777" w:rsidR="00577180" w:rsidRPr="00577180" w:rsidRDefault="00577180" w:rsidP="00577180">
            <w:pPr>
              <w:jc w:val="both"/>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6B4C3EBE"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1.250.000,00</w:t>
            </w:r>
          </w:p>
        </w:tc>
        <w:tc>
          <w:tcPr>
            <w:tcW w:w="1547" w:type="dxa"/>
            <w:shd w:val="clear" w:color="auto" w:fill="auto"/>
            <w:noWrap/>
            <w:vAlign w:val="bottom"/>
            <w:hideMark/>
          </w:tcPr>
          <w:p w14:paraId="670FFF13"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1.250.000,00</w:t>
            </w:r>
          </w:p>
        </w:tc>
        <w:tc>
          <w:tcPr>
            <w:tcW w:w="1430" w:type="dxa"/>
            <w:shd w:val="clear" w:color="auto" w:fill="auto"/>
            <w:noWrap/>
            <w:vAlign w:val="bottom"/>
            <w:hideMark/>
          </w:tcPr>
          <w:p w14:paraId="6BB96613"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1.250.000,00</w:t>
            </w:r>
          </w:p>
        </w:tc>
        <w:tc>
          <w:tcPr>
            <w:tcW w:w="1688" w:type="dxa"/>
            <w:shd w:val="clear" w:color="auto" w:fill="auto"/>
            <w:noWrap/>
            <w:vAlign w:val="bottom"/>
            <w:hideMark/>
          </w:tcPr>
          <w:p w14:paraId="428DCF81"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1.250.000,00</w:t>
            </w:r>
          </w:p>
        </w:tc>
        <w:tc>
          <w:tcPr>
            <w:tcW w:w="1660" w:type="dxa"/>
            <w:shd w:val="clear" w:color="auto" w:fill="auto"/>
            <w:noWrap/>
            <w:vAlign w:val="bottom"/>
            <w:hideMark/>
          </w:tcPr>
          <w:p w14:paraId="555E5138" w14:textId="77777777" w:rsidR="00577180" w:rsidRPr="00577180" w:rsidRDefault="00577180" w:rsidP="00577180">
            <w:pPr>
              <w:jc w:val="right"/>
              <w:outlineLvl w:val="0"/>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5.000.000,00</w:t>
            </w:r>
          </w:p>
        </w:tc>
      </w:tr>
      <w:tr w:rsidR="00577180" w:rsidRPr="00577180" w14:paraId="240F30FA" w14:textId="77777777" w:rsidTr="00A3052A">
        <w:trPr>
          <w:trHeight w:val="300"/>
        </w:trPr>
        <w:tc>
          <w:tcPr>
            <w:tcW w:w="1560" w:type="dxa"/>
            <w:shd w:val="clear" w:color="auto" w:fill="auto"/>
            <w:noWrap/>
            <w:vAlign w:val="bottom"/>
            <w:hideMark/>
          </w:tcPr>
          <w:p w14:paraId="2FDA2742" w14:textId="77777777" w:rsidR="00577180" w:rsidRPr="00577180" w:rsidRDefault="00577180" w:rsidP="00577180">
            <w:pPr>
              <w:jc w:val="both"/>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Skupna vsota</w:t>
            </w:r>
          </w:p>
        </w:tc>
        <w:tc>
          <w:tcPr>
            <w:tcW w:w="850" w:type="dxa"/>
            <w:shd w:val="clear" w:color="auto" w:fill="auto"/>
            <w:noWrap/>
            <w:vAlign w:val="bottom"/>
            <w:hideMark/>
          </w:tcPr>
          <w:p w14:paraId="5F20D781" w14:textId="77777777" w:rsidR="00577180" w:rsidRPr="00577180" w:rsidRDefault="00577180" w:rsidP="00577180">
            <w:pPr>
              <w:jc w:val="both"/>
              <w:rPr>
                <w:rFonts w:ascii="Arial" w:hAnsi="Arial" w:cs="Arial"/>
                <w:b/>
                <w:bCs/>
                <w:color w:val="000000"/>
                <w:sz w:val="20"/>
                <w:szCs w:val="20"/>
                <w:lang w:val="sl-SI" w:eastAsia="sl-SI"/>
              </w:rPr>
            </w:pPr>
          </w:p>
        </w:tc>
        <w:tc>
          <w:tcPr>
            <w:tcW w:w="1430" w:type="dxa"/>
            <w:shd w:val="clear" w:color="auto" w:fill="auto"/>
            <w:noWrap/>
            <w:vAlign w:val="bottom"/>
            <w:hideMark/>
          </w:tcPr>
          <w:p w14:paraId="09F8697A" w14:textId="77777777" w:rsidR="00577180" w:rsidRPr="00577180" w:rsidRDefault="00577180" w:rsidP="00577180">
            <w:pPr>
              <w:jc w:val="right"/>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63.250.000,00</w:t>
            </w:r>
          </w:p>
        </w:tc>
        <w:tc>
          <w:tcPr>
            <w:tcW w:w="1547" w:type="dxa"/>
            <w:shd w:val="clear" w:color="auto" w:fill="auto"/>
            <w:noWrap/>
            <w:vAlign w:val="bottom"/>
            <w:hideMark/>
          </w:tcPr>
          <w:p w14:paraId="19F3193B" w14:textId="77777777" w:rsidR="00577180" w:rsidRPr="00577180" w:rsidRDefault="00577180" w:rsidP="00577180">
            <w:pPr>
              <w:jc w:val="right"/>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63.250.000,00</w:t>
            </w:r>
          </w:p>
        </w:tc>
        <w:tc>
          <w:tcPr>
            <w:tcW w:w="1430" w:type="dxa"/>
            <w:shd w:val="clear" w:color="auto" w:fill="auto"/>
            <w:noWrap/>
            <w:vAlign w:val="bottom"/>
            <w:hideMark/>
          </w:tcPr>
          <w:p w14:paraId="1E1BB0D8" w14:textId="77777777" w:rsidR="00577180" w:rsidRPr="00577180" w:rsidRDefault="00577180" w:rsidP="00577180">
            <w:pPr>
              <w:jc w:val="right"/>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63.250.000,00</w:t>
            </w:r>
          </w:p>
        </w:tc>
        <w:tc>
          <w:tcPr>
            <w:tcW w:w="1688" w:type="dxa"/>
            <w:shd w:val="clear" w:color="auto" w:fill="auto"/>
            <w:noWrap/>
            <w:vAlign w:val="bottom"/>
            <w:hideMark/>
          </w:tcPr>
          <w:p w14:paraId="275C2217" w14:textId="77777777" w:rsidR="00577180" w:rsidRPr="00577180" w:rsidRDefault="00577180" w:rsidP="00577180">
            <w:pPr>
              <w:jc w:val="right"/>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63.250.000,00</w:t>
            </w:r>
          </w:p>
        </w:tc>
        <w:tc>
          <w:tcPr>
            <w:tcW w:w="1660" w:type="dxa"/>
            <w:shd w:val="clear" w:color="auto" w:fill="auto"/>
            <w:noWrap/>
            <w:vAlign w:val="bottom"/>
            <w:hideMark/>
          </w:tcPr>
          <w:p w14:paraId="14949B1C" w14:textId="77777777" w:rsidR="00577180" w:rsidRPr="00577180" w:rsidRDefault="00577180" w:rsidP="00577180">
            <w:pPr>
              <w:jc w:val="right"/>
              <w:rPr>
                <w:rFonts w:ascii="Arial" w:hAnsi="Arial" w:cs="Arial"/>
                <w:b/>
                <w:bCs/>
                <w:color w:val="000000"/>
                <w:sz w:val="20"/>
                <w:szCs w:val="20"/>
                <w:lang w:val="sl-SI" w:eastAsia="sl-SI"/>
              </w:rPr>
            </w:pPr>
            <w:r w:rsidRPr="00577180">
              <w:rPr>
                <w:rFonts w:ascii="Arial" w:hAnsi="Arial" w:cs="Arial"/>
                <w:b/>
                <w:bCs/>
                <w:color w:val="000000"/>
                <w:sz w:val="20"/>
                <w:szCs w:val="20"/>
                <w:lang w:val="sl-SI" w:eastAsia="sl-SI"/>
              </w:rPr>
              <w:t>253.000.000,00</w:t>
            </w:r>
          </w:p>
        </w:tc>
      </w:tr>
    </w:tbl>
    <w:p w14:paraId="42B48E10" w14:textId="111A34B1" w:rsidR="00577180" w:rsidRDefault="00E6717D" w:rsidP="0017158B">
      <w:pPr>
        <w:spacing w:after="240"/>
        <w:jc w:val="both"/>
        <w:rPr>
          <w:rFonts w:ascii="Arial" w:hAnsi="Arial" w:cs="Arial"/>
          <w:sz w:val="22"/>
          <w:szCs w:val="22"/>
          <w:lang w:val="sl-SI"/>
        </w:rPr>
      </w:pPr>
      <w:r>
        <w:rPr>
          <w:rFonts w:ascii="Arial" w:hAnsi="Arial" w:cs="Arial"/>
          <w:sz w:val="22"/>
          <w:szCs w:val="22"/>
          <w:lang w:val="sl-SI"/>
        </w:rPr>
        <w:t>«</w:t>
      </w:r>
      <w:r w:rsidR="00B500E0">
        <w:rPr>
          <w:rFonts w:ascii="Arial" w:hAnsi="Arial" w:cs="Arial"/>
          <w:sz w:val="22"/>
          <w:szCs w:val="22"/>
          <w:lang w:val="sl-SI"/>
        </w:rPr>
        <w:t>.</w:t>
      </w:r>
    </w:p>
    <w:p w14:paraId="4E356CEB" w14:textId="430B1828" w:rsidR="00DE3251" w:rsidRDefault="00DF04C1" w:rsidP="0017158B">
      <w:pPr>
        <w:spacing w:after="240"/>
        <w:jc w:val="both"/>
        <w:rPr>
          <w:rFonts w:ascii="Arial" w:hAnsi="Arial" w:cs="Arial"/>
          <w:sz w:val="22"/>
          <w:szCs w:val="22"/>
          <w:lang w:val="sl-SI"/>
        </w:rPr>
      </w:pPr>
      <w:r w:rsidRPr="00DF04C1">
        <w:rPr>
          <w:rFonts w:ascii="Arial" w:hAnsi="Arial" w:cs="Arial"/>
          <w:sz w:val="22"/>
          <w:szCs w:val="22"/>
          <w:lang w:val="sl-SI"/>
        </w:rPr>
        <w:t>V ostalem s</w:t>
      </w:r>
      <w:r>
        <w:rPr>
          <w:rFonts w:ascii="Arial" w:hAnsi="Arial" w:cs="Arial"/>
          <w:sz w:val="22"/>
          <w:szCs w:val="22"/>
          <w:lang w:val="sl-SI"/>
        </w:rPr>
        <w:t>e</w:t>
      </w:r>
      <w:r w:rsidRPr="00DF04C1">
        <w:rPr>
          <w:rFonts w:ascii="Arial" w:hAnsi="Arial" w:cs="Arial"/>
          <w:sz w:val="22"/>
          <w:szCs w:val="22"/>
          <w:lang w:val="sl-SI"/>
        </w:rPr>
        <w:t xml:space="preserve"> Ključni elementi finančnih instrumentov v programskem ob</w:t>
      </w:r>
      <w:r>
        <w:rPr>
          <w:rFonts w:ascii="Arial" w:hAnsi="Arial" w:cs="Arial"/>
          <w:sz w:val="22"/>
          <w:szCs w:val="22"/>
          <w:lang w:val="sl-SI"/>
        </w:rPr>
        <w:t>dobju 2014 – 2020 ne spreminjajo.</w:t>
      </w:r>
    </w:p>
    <w:p w14:paraId="17EE6C16" w14:textId="0EDA8625" w:rsidR="00B411E6" w:rsidRDefault="00B411E6" w:rsidP="0017158B">
      <w:pPr>
        <w:spacing w:after="240"/>
        <w:jc w:val="both"/>
        <w:rPr>
          <w:rFonts w:ascii="Arial" w:hAnsi="Arial" w:cs="Arial"/>
          <w:sz w:val="22"/>
          <w:szCs w:val="22"/>
          <w:lang w:val="sl-SI"/>
        </w:rPr>
      </w:pPr>
    </w:p>
    <w:bookmarkEnd w:id="5"/>
    <w:p w14:paraId="35DDBDA1" w14:textId="77777777" w:rsidR="009C1E93" w:rsidRDefault="009C1E93">
      <w:pPr>
        <w:rPr>
          <w:rFonts w:ascii="Arial" w:hAnsi="Arial" w:cs="Arial"/>
          <w:sz w:val="22"/>
          <w:szCs w:val="22"/>
          <w:lang w:val="sl-SI"/>
        </w:rPr>
      </w:pPr>
    </w:p>
    <w:p w14:paraId="772B9DAB" w14:textId="77777777" w:rsidR="00C55C5A" w:rsidRDefault="00C55C5A">
      <w:pPr>
        <w:rPr>
          <w:rFonts w:ascii="Arial" w:hAnsi="Arial" w:cs="Arial"/>
          <w:sz w:val="22"/>
          <w:szCs w:val="22"/>
          <w:lang w:val="sl-SI"/>
        </w:rPr>
      </w:pPr>
    </w:p>
    <w:p w14:paraId="5F4CAF3E" w14:textId="77777777" w:rsidR="00C55C5A" w:rsidRDefault="00C55C5A">
      <w:pPr>
        <w:rPr>
          <w:rFonts w:ascii="Arial" w:hAnsi="Arial" w:cs="Arial"/>
          <w:sz w:val="22"/>
          <w:szCs w:val="22"/>
          <w:lang w:val="sl-SI"/>
        </w:rPr>
      </w:pPr>
    </w:p>
    <w:p w14:paraId="1BEBBCC3" w14:textId="77777777" w:rsidR="00C55C5A" w:rsidRDefault="00C55C5A">
      <w:pPr>
        <w:rPr>
          <w:rFonts w:ascii="Arial" w:hAnsi="Arial" w:cs="Arial"/>
          <w:sz w:val="22"/>
          <w:szCs w:val="22"/>
          <w:lang w:val="sl-SI"/>
        </w:rPr>
      </w:pPr>
    </w:p>
    <w:p w14:paraId="3DB53325" w14:textId="77777777" w:rsidR="00C55C5A" w:rsidRDefault="00C55C5A">
      <w:pPr>
        <w:rPr>
          <w:rFonts w:ascii="Arial" w:hAnsi="Arial" w:cs="Arial"/>
          <w:sz w:val="22"/>
          <w:szCs w:val="22"/>
          <w:lang w:val="sl-SI"/>
        </w:rPr>
      </w:pPr>
    </w:p>
    <w:p w14:paraId="6B77F605" w14:textId="77777777" w:rsidR="00C55C5A" w:rsidRDefault="00C55C5A">
      <w:pPr>
        <w:rPr>
          <w:rFonts w:ascii="Arial" w:hAnsi="Arial" w:cs="Arial"/>
          <w:sz w:val="22"/>
          <w:szCs w:val="22"/>
          <w:lang w:val="sl-SI"/>
        </w:rPr>
      </w:pPr>
    </w:p>
    <w:p w14:paraId="74260703" w14:textId="77777777" w:rsidR="00C55C5A" w:rsidRDefault="00C55C5A">
      <w:pPr>
        <w:rPr>
          <w:rFonts w:ascii="Arial" w:hAnsi="Arial" w:cs="Arial"/>
          <w:sz w:val="22"/>
          <w:szCs w:val="22"/>
          <w:lang w:val="sl-SI"/>
        </w:rPr>
      </w:pPr>
    </w:p>
    <w:p w14:paraId="71E7FF30" w14:textId="77777777" w:rsidR="00C55C5A" w:rsidRDefault="00C55C5A">
      <w:pPr>
        <w:rPr>
          <w:rFonts w:ascii="Arial" w:hAnsi="Arial" w:cs="Arial"/>
          <w:sz w:val="22"/>
          <w:szCs w:val="22"/>
          <w:lang w:val="sl-SI"/>
        </w:rPr>
      </w:pPr>
    </w:p>
    <w:p w14:paraId="6C35D370" w14:textId="77777777" w:rsidR="00C55C5A" w:rsidRDefault="00C55C5A">
      <w:pPr>
        <w:rPr>
          <w:rFonts w:ascii="Arial" w:hAnsi="Arial" w:cs="Arial"/>
          <w:sz w:val="22"/>
          <w:szCs w:val="22"/>
          <w:lang w:val="sl-SI"/>
        </w:rPr>
      </w:pPr>
    </w:p>
    <w:p w14:paraId="67FD6B64" w14:textId="77777777" w:rsidR="00C55C5A" w:rsidRDefault="00C55C5A">
      <w:pPr>
        <w:rPr>
          <w:rFonts w:ascii="Arial" w:hAnsi="Arial" w:cs="Arial"/>
          <w:sz w:val="22"/>
          <w:szCs w:val="22"/>
          <w:lang w:val="sl-SI"/>
        </w:rPr>
      </w:pPr>
    </w:p>
    <w:p w14:paraId="000DD757" w14:textId="77777777" w:rsidR="00C55C5A" w:rsidRDefault="00C55C5A">
      <w:pPr>
        <w:rPr>
          <w:rFonts w:ascii="Arial" w:hAnsi="Arial" w:cs="Arial"/>
          <w:sz w:val="22"/>
          <w:szCs w:val="22"/>
          <w:lang w:val="sl-SI"/>
        </w:rPr>
      </w:pPr>
    </w:p>
    <w:p w14:paraId="2E0AC952" w14:textId="77777777" w:rsidR="00C55C5A" w:rsidRDefault="00C55C5A">
      <w:pPr>
        <w:rPr>
          <w:rFonts w:ascii="Arial" w:hAnsi="Arial" w:cs="Arial"/>
          <w:sz w:val="22"/>
          <w:szCs w:val="22"/>
          <w:lang w:val="sl-SI"/>
        </w:rPr>
      </w:pPr>
    </w:p>
    <w:p w14:paraId="42D44CAE" w14:textId="77777777" w:rsidR="00C55C5A" w:rsidRDefault="00C55C5A">
      <w:pPr>
        <w:rPr>
          <w:rFonts w:ascii="Arial" w:hAnsi="Arial" w:cs="Arial"/>
          <w:sz w:val="22"/>
          <w:szCs w:val="22"/>
          <w:lang w:val="sl-SI"/>
        </w:rPr>
      </w:pPr>
    </w:p>
    <w:p w14:paraId="4FEE356D" w14:textId="77777777" w:rsidR="00C55C5A" w:rsidRPr="00C55C5A" w:rsidRDefault="00C55C5A" w:rsidP="00C55C5A">
      <w:pPr>
        <w:spacing w:after="160"/>
        <w:jc w:val="both"/>
        <w:rPr>
          <w:rFonts w:ascii="Arial" w:hAnsi="Arial" w:cs="Arial"/>
          <w:sz w:val="32"/>
          <w:szCs w:val="32"/>
          <w:lang w:val="sl-SI"/>
        </w:rPr>
      </w:pPr>
    </w:p>
    <w:p w14:paraId="00846FEB" w14:textId="77777777" w:rsidR="00C55C5A" w:rsidRPr="00C55C5A" w:rsidRDefault="00C55C5A" w:rsidP="00C55C5A">
      <w:pPr>
        <w:jc w:val="both"/>
        <w:rPr>
          <w:rFonts w:ascii="Arial" w:hAnsi="Arial" w:cs="Arial"/>
          <w:sz w:val="32"/>
          <w:szCs w:val="32"/>
          <w:lang w:val="sl-SI"/>
        </w:rPr>
      </w:pPr>
    </w:p>
    <w:p w14:paraId="73C62B43" w14:textId="77777777" w:rsidR="00C55C5A" w:rsidRPr="00C55C5A" w:rsidRDefault="00C55C5A" w:rsidP="00C55C5A">
      <w:pPr>
        <w:jc w:val="center"/>
        <w:rPr>
          <w:rFonts w:ascii="Arial" w:hAnsi="Arial" w:cs="Arial"/>
          <w:b/>
          <w:sz w:val="72"/>
          <w:szCs w:val="72"/>
          <w:lang w:val="sl-SI"/>
        </w:rPr>
      </w:pPr>
    </w:p>
    <w:p w14:paraId="14769F95" w14:textId="77777777" w:rsidR="00C55C5A" w:rsidRPr="00C55C5A" w:rsidRDefault="00C55C5A" w:rsidP="00C55C5A">
      <w:pPr>
        <w:jc w:val="center"/>
        <w:rPr>
          <w:rFonts w:ascii="Arial" w:hAnsi="Arial" w:cs="Arial"/>
          <w:b/>
          <w:sz w:val="72"/>
          <w:szCs w:val="72"/>
          <w:lang w:val="sl-SI"/>
        </w:rPr>
      </w:pPr>
      <w:r w:rsidRPr="00C55C5A">
        <w:rPr>
          <w:rFonts w:ascii="Arial" w:hAnsi="Arial" w:cs="Arial"/>
          <w:b/>
          <w:sz w:val="72"/>
          <w:szCs w:val="72"/>
          <w:lang w:val="sl-SI"/>
        </w:rPr>
        <w:t>KLJUČNI ELEMENTI</w:t>
      </w:r>
    </w:p>
    <w:p w14:paraId="25D4C7E9" w14:textId="77777777" w:rsidR="00C55C5A" w:rsidRPr="00C55C5A" w:rsidRDefault="00C55C5A" w:rsidP="00C55C5A">
      <w:pPr>
        <w:jc w:val="center"/>
        <w:rPr>
          <w:rFonts w:ascii="Arial" w:hAnsi="Arial" w:cs="Arial"/>
          <w:b/>
          <w:sz w:val="72"/>
          <w:szCs w:val="72"/>
          <w:lang w:val="sl-SI"/>
        </w:rPr>
      </w:pPr>
    </w:p>
    <w:p w14:paraId="6F05F2A2" w14:textId="77777777" w:rsidR="00C55C5A" w:rsidRPr="00C55C5A" w:rsidRDefault="00C55C5A" w:rsidP="00C55C5A">
      <w:pPr>
        <w:jc w:val="center"/>
        <w:rPr>
          <w:rFonts w:ascii="Arial" w:hAnsi="Arial" w:cs="Arial"/>
          <w:b/>
          <w:sz w:val="36"/>
          <w:szCs w:val="36"/>
          <w:lang w:val="sl-SI"/>
        </w:rPr>
      </w:pPr>
      <w:r w:rsidRPr="00C55C5A">
        <w:rPr>
          <w:rFonts w:ascii="Arial" w:hAnsi="Arial" w:cs="Arial"/>
          <w:b/>
          <w:sz w:val="36"/>
          <w:szCs w:val="36"/>
          <w:lang w:val="sl-SI"/>
        </w:rPr>
        <w:t>finančnih instrumentov</w:t>
      </w:r>
    </w:p>
    <w:p w14:paraId="523A2B82" w14:textId="77777777" w:rsidR="00C55C5A" w:rsidRPr="00C55C5A" w:rsidRDefault="00C55C5A" w:rsidP="00C55C5A">
      <w:pPr>
        <w:jc w:val="center"/>
        <w:rPr>
          <w:rFonts w:ascii="Arial" w:hAnsi="Arial" w:cs="Arial"/>
          <w:b/>
          <w:sz w:val="36"/>
          <w:szCs w:val="36"/>
          <w:lang w:val="sl-SI"/>
        </w:rPr>
      </w:pPr>
    </w:p>
    <w:p w14:paraId="1CA40168" w14:textId="77777777" w:rsidR="00C55C5A" w:rsidRPr="00C55C5A" w:rsidRDefault="00C55C5A" w:rsidP="00C55C5A">
      <w:pPr>
        <w:jc w:val="center"/>
        <w:rPr>
          <w:rFonts w:ascii="Arial" w:hAnsi="Arial" w:cs="Arial"/>
          <w:b/>
          <w:sz w:val="36"/>
          <w:szCs w:val="36"/>
          <w:lang w:val="sl-SI"/>
        </w:rPr>
      </w:pPr>
      <w:r w:rsidRPr="00C55C5A">
        <w:rPr>
          <w:rFonts w:ascii="Arial" w:hAnsi="Arial" w:cs="Arial"/>
          <w:b/>
          <w:sz w:val="36"/>
          <w:szCs w:val="36"/>
          <w:lang w:val="sl-SI"/>
        </w:rPr>
        <w:t>v programskem obdobju</w:t>
      </w:r>
    </w:p>
    <w:p w14:paraId="5AD6AAD4" w14:textId="77777777" w:rsidR="00C55C5A" w:rsidRPr="00C55C5A" w:rsidRDefault="00C55C5A" w:rsidP="00C55C5A">
      <w:pPr>
        <w:jc w:val="center"/>
        <w:rPr>
          <w:rFonts w:ascii="Arial" w:hAnsi="Arial" w:cs="Arial"/>
          <w:b/>
          <w:sz w:val="36"/>
          <w:szCs w:val="36"/>
          <w:lang w:val="sl-SI"/>
        </w:rPr>
      </w:pPr>
    </w:p>
    <w:p w14:paraId="78645BC2" w14:textId="77777777" w:rsidR="00C55C5A" w:rsidRPr="00C55C5A" w:rsidRDefault="00C55C5A" w:rsidP="00C55C5A">
      <w:pPr>
        <w:jc w:val="center"/>
        <w:rPr>
          <w:rFonts w:ascii="Arial" w:hAnsi="Arial" w:cs="Arial"/>
          <w:b/>
          <w:sz w:val="36"/>
          <w:szCs w:val="36"/>
          <w:lang w:val="sl-SI"/>
        </w:rPr>
      </w:pPr>
      <w:r w:rsidRPr="00C55C5A">
        <w:rPr>
          <w:rFonts w:ascii="Arial" w:hAnsi="Arial" w:cs="Arial"/>
          <w:b/>
          <w:sz w:val="36"/>
          <w:szCs w:val="36"/>
          <w:lang w:val="sl-SI"/>
        </w:rPr>
        <w:t>2014–2020</w:t>
      </w:r>
    </w:p>
    <w:p w14:paraId="3D210C06" w14:textId="77777777" w:rsidR="00C55C5A" w:rsidRPr="00C55C5A" w:rsidRDefault="00C55C5A" w:rsidP="00C55C5A">
      <w:pPr>
        <w:jc w:val="both"/>
        <w:rPr>
          <w:rFonts w:ascii="Arial" w:hAnsi="Arial" w:cs="Arial"/>
          <w:sz w:val="40"/>
          <w:szCs w:val="40"/>
          <w:lang w:val="sl-SI"/>
        </w:rPr>
      </w:pPr>
    </w:p>
    <w:p w14:paraId="37D72769" w14:textId="77777777" w:rsidR="00C55C5A" w:rsidRPr="00C55C5A" w:rsidRDefault="00C55C5A" w:rsidP="00C55C5A">
      <w:pPr>
        <w:jc w:val="both"/>
        <w:rPr>
          <w:rFonts w:ascii="Arial" w:hAnsi="Arial" w:cs="Arial"/>
          <w:sz w:val="40"/>
          <w:szCs w:val="40"/>
          <w:lang w:val="sl-SI"/>
        </w:rPr>
      </w:pPr>
    </w:p>
    <w:p w14:paraId="540FA9D4" w14:textId="77777777" w:rsidR="00C55C5A" w:rsidRPr="00C55C5A" w:rsidRDefault="00C55C5A" w:rsidP="00C55C5A">
      <w:pPr>
        <w:jc w:val="both"/>
        <w:rPr>
          <w:rFonts w:ascii="Arial" w:hAnsi="Arial" w:cs="Arial"/>
          <w:sz w:val="40"/>
          <w:szCs w:val="40"/>
          <w:lang w:val="sl-SI"/>
        </w:rPr>
      </w:pPr>
    </w:p>
    <w:p w14:paraId="77F31D2D" w14:textId="77777777" w:rsidR="00C55C5A" w:rsidRPr="00C55C5A" w:rsidRDefault="00C55C5A" w:rsidP="00C55C5A">
      <w:pPr>
        <w:jc w:val="both"/>
        <w:rPr>
          <w:rFonts w:ascii="Arial" w:hAnsi="Arial" w:cs="Arial"/>
          <w:sz w:val="40"/>
          <w:szCs w:val="40"/>
          <w:lang w:val="sl-SI"/>
        </w:rPr>
      </w:pPr>
    </w:p>
    <w:p w14:paraId="44B34E85" w14:textId="77777777" w:rsidR="00C55C5A" w:rsidRPr="00C55C5A" w:rsidRDefault="00C55C5A" w:rsidP="00C55C5A">
      <w:pPr>
        <w:jc w:val="both"/>
        <w:rPr>
          <w:rFonts w:ascii="Arial" w:hAnsi="Arial" w:cs="Arial"/>
          <w:sz w:val="40"/>
          <w:szCs w:val="40"/>
          <w:lang w:val="sl-SI"/>
        </w:rPr>
      </w:pPr>
    </w:p>
    <w:p w14:paraId="2DD811DE" w14:textId="77777777" w:rsidR="00C55C5A" w:rsidRPr="00C55C5A" w:rsidRDefault="00C55C5A" w:rsidP="00C55C5A">
      <w:pPr>
        <w:jc w:val="both"/>
        <w:rPr>
          <w:rFonts w:ascii="Arial" w:hAnsi="Arial" w:cs="Arial"/>
          <w:sz w:val="32"/>
          <w:szCs w:val="32"/>
          <w:lang w:val="sl-SI"/>
        </w:rPr>
      </w:pPr>
    </w:p>
    <w:p w14:paraId="55324B69" w14:textId="77777777" w:rsidR="00C55C5A" w:rsidRPr="00C55C5A" w:rsidRDefault="00C55C5A" w:rsidP="00C55C5A">
      <w:pPr>
        <w:jc w:val="center"/>
        <w:rPr>
          <w:rFonts w:ascii="Arial" w:hAnsi="Arial" w:cs="Arial"/>
          <w:sz w:val="32"/>
          <w:szCs w:val="32"/>
          <w:lang w:val="sl-SI"/>
        </w:rPr>
      </w:pPr>
      <w:r w:rsidRPr="00C55C5A">
        <w:rPr>
          <w:rFonts w:ascii="Arial" w:hAnsi="Arial" w:cs="Arial"/>
          <w:sz w:val="32"/>
          <w:szCs w:val="32"/>
          <w:lang w:val="sl-SI"/>
        </w:rPr>
        <w:t>24. 8. 2017</w:t>
      </w:r>
    </w:p>
    <w:p w14:paraId="0583EC37" w14:textId="77777777" w:rsidR="00C55C5A" w:rsidRPr="00C55C5A" w:rsidRDefault="00C55C5A" w:rsidP="00C55C5A">
      <w:pPr>
        <w:jc w:val="both"/>
        <w:rPr>
          <w:rFonts w:ascii="Arial" w:hAnsi="Arial" w:cs="Arial"/>
          <w:sz w:val="40"/>
          <w:szCs w:val="40"/>
          <w:lang w:val="sl-SI"/>
        </w:rPr>
      </w:pPr>
    </w:p>
    <w:p w14:paraId="3109B121" w14:textId="77777777" w:rsidR="00C55C5A" w:rsidRPr="00C55C5A" w:rsidRDefault="00C55C5A" w:rsidP="00C55C5A">
      <w:pPr>
        <w:jc w:val="center"/>
        <w:rPr>
          <w:rFonts w:ascii="Arial" w:hAnsi="Arial" w:cs="Arial"/>
          <w:sz w:val="40"/>
          <w:szCs w:val="40"/>
          <w:lang w:val="sl-SI"/>
        </w:rPr>
      </w:pPr>
      <w:r w:rsidRPr="00C55C5A">
        <w:rPr>
          <w:rFonts w:ascii="Arial" w:hAnsi="Arial" w:cs="Arial"/>
          <w:noProof/>
          <w:color w:val="000000"/>
          <w:sz w:val="20"/>
          <w:szCs w:val="20"/>
          <w:lang w:val="sl-SI" w:eastAsia="sl-SI"/>
        </w:rPr>
        <w:drawing>
          <wp:inline distT="0" distB="0" distL="0" distR="0" wp14:anchorId="707E650C" wp14:editId="3BF77745">
            <wp:extent cx="2668772" cy="1291077"/>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034" cy="1321197"/>
                    </a:xfrm>
                    <a:prstGeom prst="rect">
                      <a:avLst/>
                    </a:prstGeom>
                    <a:noFill/>
                    <a:ln>
                      <a:noFill/>
                    </a:ln>
                  </pic:spPr>
                </pic:pic>
              </a:graphicData>
            </a:graphic>
          </wp:inline>
        </w:drawing>
      </w:r>
    </w:p>
    <w:sdt>
      <w:sdtPr>
        <w:rPr>
          <w:rFonts w:ascii="Arial" w:hAnsi="Arial" w:cs="Arial"/>
        </w:rPr>
        <w:id w:val="1722247980"/>
        <w:docPartObj>
          <w:docPartGallery w:val="Table of Contents"/>
          <w:docPartUnique/>
        </w:docPartObj>
      </w:sdtPr>
      <w:sdtEndPr>
        <w:rPr>
          <w:bCs/>
          <w:sz w:val="22"/>
        </w:rPr>
      </w:sdtEndPr>
      <w:sdtContent>
        <w:p w14:paraId="5BDD0CD6" w14:textId="77777777" w:rsidR="00C55C5A" w:rsidRPr="00C55C5A" w:rsidRDefault="00C55C5A" w:rsidP="00C55C5A">
          <w:pPr>
            <w:keepNext/>
            <w:keepLines/>
            <w:rPr>
              <w:rFonts w:ascii="Arial" w:hAnsi="Arial" w:cs="Arial"/>
              <w:color w:val="2E74B5"/>
              <w:sz w:val="32"/>
              <w:szCs w:val="32"/>
              <w:lang w:val="sl-SI" w:eastAsia="sl-SI"/>
            </w:rPr>
          </w:pPr>
          <w:r w:rsidRPr="00C55C5A">
            <w:rPr>
              <w:rFonts w:ascii="Arial" w:hAnsi="Arial" w:cs="Arial"/>
              <w:lang w:val="sl-SI"/>
            </w:rPr>
            <w:br w:type="page"/>
          </w:r>
        </w:p>
        <w:p w14:paraId="4A426361" w14:textId="77777777" w:rsidR="00C55C5A" w:rsidRPr="00C55C5A" w:rsidRDefault="00C55C5A" w:rsidP="00C55C5A">
          <w:pPr>
            <w:keepNext/>
            <w:keepLines/>
            <w:rPr>
              <w:rFonts w:ascii="Arial" w:hAnsi="Arial" w:cs="Arial"/>
              <w:color w:val="2E74B5"/>
              <w:sz w:val="32"/>
              <w:szCs w:val="32"/>
              <w:lang w:val="sl-SI" w:eastAsia="sl-SI"/>
            </w:rPr>
          </w:pPr>
          <w:r w:rsidRPr="00C55C5A">
            <w:rPr>
              <w:rFonts w:ascii="Arial" w:hAnsi="Arial" w:cs="Arial"/>
              <w:color w:val="2E74B5"/>
              <w:sz w:val="32"/>
              <w:szCs w:val="32"/>
              <w:lang w:val="sl-SI" w:eastAsia="sl-SI"/>
            </w:rPr>
            <w:lastRenderedPageBreak/>
            <w:t>Vsebina</w:t>
          </w:r>
        </w:p>
        <w:p w14:paraId="6FEB60D1" w14:textId="77777777" w:rsidR="00C55C5A" w:rsidRPr="00C55C5A" w:rsidRDefault="00C55C5A" w:rsidP="00C55C5A">
          <w:pPr>
            <w:tabs>
              <w:tab w:val="left" w:pos="660"/>
              <w:tab w:val="right" w:leader="dot" w:pos="9062"/>
            </w:tabs>
            <w:spacing w:after="100"/>
            <w:ind w:left="220"/>
            <w:jc w:val="both"/>
            <w:rPr>
              <w:rFonts w:ascii="Calibri" w:hAnsi="Calibri"/>
              <w:noProof/>
              <w:sz w:val="22"/>
              <w:szCs w:val="22"/>
              <w:lang w:val="sl-SI" w:eastAsia="sl-SI"/>
            </w:rPr>
          </w:pPr>
          <w:r w:rsidRPr="00C55C5A">
            <w:rPr>
              <w:rFonts w:ascii="Arial" w:hAnsi="Arial" w:cs="Arial"/>
              <w:lang w:val="sl-SI" w:eastAsia="sl-SI"/>
            </w:rPr>
            <w:fldChar w:fldCharType="begin"/>
          </w:r>
          <w:r w:rsidRPr="00C55C5A">
            <w:rPr>
              <w:rFonts w:ascii="Arial" w:hAnsi="Arial" w:cs="Arial"/>
              <w:lang w:val="sl-SI" w:eastAsia="sl-SI"/>
            </w:rPr>
            <w:instrText xml:space="preserve"> TOC \o "1-3" \h \z \u </w:instrText>
          </w:r>
          <w:r w:rsidRPr="00C55C5A">
            <w:rPr>
              <w:rFonts w:ascii="Arial" w:hAnsi="Arial" w:cs="Arial"/>
              <w:lang w:val="sl-SI" w:eastAsia="sl-SI"/>
            </w:rPr>
            <w:fldChar w:fldCharType="separate"/>
          </w:r>
          <w:hyperlink w:anchor="_Toc479162931" w:history="1">
            <w:r w:rsidRPr="00C55C5A">
              <w:rPr>
                <w:rFonts w:ascii="Arial" w:hAnsi="Arial"/>
                <w:noProof/>
                <w:color w:val="0000FF"/>
                <w:sz w:val="22"/>
                <w:szCs w:val="22"/>
                <w:u w:val="single"/>
                <w:lang w:val="sl-SI" w:eastAsia="sl-SI"/>
              </w:rPr>
              <w:t>Seznam kratic</w:t>
            </w:r>
            <w:r w:rsidRPr="00C55C5A">
              <w:rPr>
                <w:rFonts w:ascii="Calibri" w:hAnsi="Calibri"/>
                <w:noProof/>
                <w:webHidden/>
                <w:sz w:val="22"/>
                <w:szCs w:val="22"/>
                <w:lang w:val="sl-SI" w:eastAsia="sl-SI"/>
              </w:rPr>
              <w:tab/>
            </w:r>
            <w:r w:rsidRPr="00C55C5A">
              <w:rPr>
                <w:rFonts w:ascii="Calibri" w:hAnsi="Calibri"/>
                <w:noProof/>
                <w:webHidden/>
                <w:sz w:val="22"/>
                <w:szCs w:val="22"/>
                <w:lang w:val="sl-SI" w:eastAsia="sl-SI"/>
              </w:rPr>
              <w:fldChar w:fldCharType="begin"/>
            </w:r>
            <w:r w:rsidRPr="00C55C5A">
              <w:rPr>
                <w:rFonts w:ascii="Calibri" w:hAnsi="Calibri"/>
                <w:noProof/>
                <w:webHidden/>
                <w:sz w:val="22"/>
                <w:szCs w:val="22"/>
                <w:lang w:val="sl-SI" w:eastAsia="sl-SI"/>
              </w:rPr>
              <w:instrText xml:space="preserve"> PAGEREF _Toc479162931 \h </w:instrText>
            </w:r>
            <w:r w:rsidRPr="00C55C5A">
              <w:rPr>
                <w:rFonts w:ascii="Calibri" w:hAnsi="Calibri"/>
                <w:noProof/>
                <w:webHidden/>
                <w:sz w:val="22"/>
                <w:szCs w:val="22"/>
                <w:lang w:val="sl-SI" w:eastAsia="sl-SI"/>
              </w:rPr>
            </w:r>
            <w:r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11</w:t>
            </w:r>
            <w:r w:rsidRPr="00C55C5A">
              <w:rPr>
                <w:rFonts w:ascii="Calibri" w:hAnsi="Calibri"/>
                <w:noProof/>
                <w:webHidden/>
                <w:sz w:val="22"/>
                <w:szCs w:val="22"/>
                <w:lang w:val="sl-SI" w:eastAsia="sl-SI"/>
              </w:rPr>
              <w:fldChar w:fldCharType="end"/>
            </w:r>
          </w:hyperlink>
        </w:p>
        <w:p w14:paraId="33EE374D"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32" w:history="1">
            <w:r w:rsidR="00C55C5A" w:rsidRPr="00C55C5A">
              <w:rPr>
                <w:rFonts w:ascii="Arial" w:hAnsi="Arial"/>
                <w:noProof/>
                <w:color w:val="0000FF"/>
                <w:sz w:val="22"/>
                <w:szCs w:val="22"/>
                <w:u w:val="single"/>
                <w:lang w:val="sl-SI" w:eastAsia="sl-SI"/>
              </w:rPr>
              <w:t>Povzetek</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_Toc479162932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12</w:t>
            </w:r>
            <w:r w:rsidR="00C55C5A" w:rsidRPr="00C55C5A">
              <w:rPr>
                <w:rFonts w:ascii="Calibri" w:hAnsi="Calibri"/>
                <w:noProof/>
                <w:webHidden/>
                <w:sz w:val="22"/>
                <w:szCs w:val="22"/>
                <w:lang w:val="sl-SI" w:eastAsia="sl-SI"/>
              </w:rPr>
              <w:fldChar w:fldCharType="end"/>
            </w:r>
          </w:hyperlink>
        </w:p>
        <w:p w14:paraId="54CC44BC"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33" w:history="1">
            <w:r w:rsidR="00C55C5A" w:rsidRPr="00C55C5A">
              <w:rPr>
                <w:rFonts w:ascii="Arial" w:hAnsi="Arial"/>
                <w:noProof/>
                <w:color w:val="0000FF"/>
                <w:sz w:val="22"/>
                <w:szCs w:val="22"/>
                <w:u w:val="single"/>
                <w:lang w:val="sl-SI" w:eastAsia="sl-SI"/>
              </w:rPr>
              <w:t>1. Uvod</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_Toc479162933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14</w:t>
            </w:r>
            <w:r w:rsidR="00C55C5A" w:rsidRPr="00C55C5A">
              <w:rPr>
                <w:rFonts w:ascii="Calibri" w:hAnsi="Calibri"/>
                <w:noProof/>
                <w:webHidden/>
                <w:sz w:val="22"/>
                <w:szCs w:val="22"/>
                <w:lang w:val="sl-SI" w:eastAsia="sl-SI"/>
              </w:rPr>
              <w:fldChar w:fldCharType="end"/>
            </w:r>
          </w:hyperlink>
        </w:p>
        <w:p w14:paraId="3B75D03E"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34" w:history="1">
            <w:r w:rsidR="00C55C5A" w:rsidRPr="00C55C5A">
              <w:rPr>
                <w:rFonts w:ascii="Arial" w:hAnsi="Arial"/>
                <w:noProof/>
                <w:color w:val="0000FF"/>
                <w:sz w:val="22"/>
                <w:szCs w:val="22"/>
                <w:u w:val="single"/>
                <w:lang w:val="sl-SI" w:eastAsia="sl-SI"/>
              </w:rPr>
              <w:t>2. Izhodišča</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_Toc479162934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17</w:t>
            </w:r>
            <w:r w:rsidR="00C55C5A" w:rsidRPr="00C55C5A">
              <w:rPr>
                <w:rFonts w:ascii="Calibri" w:hAnsi="Calibri"/>
                <w:noProof/>
                <w:webHidden/>
                <w:sz w:val="22"/>
                <w:szCs w:val="22"/>
                <w:lang w:val="sl-SI" w:eastAsia="sl-SI"/>
              </w:rPr>
              <w:fldChar w:fldCharType="end"/>
            </w:r>
          </w:hyperlink>
        </w:p>
        <w:p w14:paraId="31C29C3D"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35" w:history="1">
            <w:r w:rsidR="00C55C5A" w:rsidRPr="00C55C5A">
              <w:rPr>
                <w:rFonts w:ascii="Arial" w:hAnsi="Arial" w:cs="Arial"/>
                <w:noProof/>
                <w:color w:val="0000FF"/>
                <w:sz w:val="22"/>
                <w:szCs w:val="22"/>
                <w:u w:val="single"/>
                <w:lang w:val="sl-SI" w:eastAsia="sl-SI"/>
              </w:rPr>
              <w:t>2.1 Pravne podlage</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_Toc479162935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17</w:t>
            </w:r>
            <w:r w:rsidR="00C55C5A" w:rsidRPr="00C55C5A">
              <w:rPr>
                <w:rFonts w:ascii="Calibri" w:hAnsi="Calibri"/>
                <w:noProof/>
                <w:webHidden/>
                <w:sz w:val="22"/>
                <w:szCs w:val="22"/>
                <w:lang w:val="sl-SI" w:eastAsia="sl-SI"/>
              </w:rPr>
              <w:fldChar w:fldCharType="end"/>
            </w:r>
          </w:hyperlink>
        </w:p>
        <w:p w14:paraId="11F08F1A"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36" w:history="1">
            <w:r w:rsidR="00C55C5A" w:rsidRPr="00C55C5A">
              <w:rPr>
                <w:rFonts w:ascii="Arial" w:hAnsi="Arial" w:cs="Arial"/>
                <w:noProof/>
                <w:color w:val="0000FF"/>
                <w:sz w:val="22"/>
                <w:szCs w:val="22"/>
                <w:u w:val="single"/>
                <w:lang w:val="sl-SI" w:eastAsia="sl-SI"/>
              </w:rPr>
              <w:t>2.2 Tržne vrzeli na področju finančnih instrumentov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_Toc479162936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19</w:t>
            </w:r>
            <w:r w:rsidR="00C55C5A" w:rsidRPr="00C55C5A">
              <w:rPr>
                <w:rFonts w:ascii="Calibri" w:hAnsi="Calibri"/>
                <w:noProof/>
                <w:webHidden/>
                <w:sz w:val="22"/>
                <w:szCs w:val="22"/>
                <w:lang w:val="sl-SI" w:eastAsia="sl-SI"/>
              </w:rPr>
              <w:fldChar w:fldCharType="end"/>
            </w:r>
          </w:hyperlink>
        </w:p>
        <w:p w14:paraId="54AEA219"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37" w:history="1">
            <w:r w:rsidR="00C55C5A" w:rsidRPr="00C55C5A">
              <w:rPr>
                <w:rFonts w:ascii="Arial" w:hAnsi="Arial" w:cs="Arial"/>
                <w:noProof/>
                <w:color w:val="0000FF"/>
                <w:sz w:val="22"/>
                <w:szCs w:val="22"/>
                <w:u w:val="single"/>
                <w:lang w:val="sl-SI" w:eastAsia="sl-SI"/>
              </w:rPr>
              <w:t>2.3 Obstoječi finančni instrumenti in pridobljene izkušnje</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_Toc479162937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23</w:t>
            </w:r>
            <w:r w:rsidR="00C55C5A" w:rsidRPr="00C55C5A">
              <w:rPr>
                <w:rFonts w:ascii="Calibri" w:hAnsi="Calibri"/>
                <w:noProof/>
                <w:webHidden/>
                <w:sz w:val="22"/>
                <w:szCs w:val="22"/>
                <w:lang w:val="sl-SI" w:eastAsia="sl-SI"/>
              </w:rPr>
              <w:fldChar w:fldCharType="end"/>
            </w:r>
          </w:hyperlink>
        </w:p>
        <w:p w14:paraId="4A8D8820"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38" w:history="1">
            <w:r w:rsidR="00C55C5A" w:rsidRPr="00C55C5A">
              <w:rPr>
                <w:rFonts w:ascii="Arial" w:hAnsi="Arial"/>
                <w:noProof/>
                <w:color w:val="0000FF"/>
                <w:sz w:val="22"/>
                <w:szCs w:val="22"/>
                <w:u w:val="single"/>
                <w:lang w:val="sl-SI" w:eastAsia="sl-SI"/>
              </w:rPr>
              <w:t>3. Naložbena strategija in načrtovanje finančnih instrumentov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_Toc479162938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27</w:t>
            </w:r>
            <w:r w:rsidR="00C55C5A" w:rsidRPr="00C55C5A">
              <w:rPr>
                <w:rFonts w:ascii="Calibri" w:hAnsi="Calibri"/>
                <w:noProof/>
                <w:webHidden/>
                <w:sz w:val="22"/>
                <w:szCs w:val="22"/>
                <w:lang w:val="sl-SI" w:eastAsia="sl-SI"/>
              </w:rPr>
              <w:fldChar w:fldCharType="end"/>
            </w:r>
          </w:hyperlink>
        </w:p>
        <w:p w14:paraId="32AC14CF"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39" w:history="1">
            <w:r w:rsidR="00C55C5A" w:rsidRPr="00C55C5A">
              <w:rPr>
                <w:rFonts w:ascii="Arial" w:eastAsia="Calibri" w:hAnsi="Arial" w:cs="Arial"/>
                <w:noProof/>
                <w:color w:val="0000FF"/>
                <w:sz w:val="22"/>
                <w:szCs w:val="22"/>
                <w:u w:val="single"/>
                <w:lang w:val="sl-SI" w:eastAsia="sl-SI"/>
              </w:rPr>
              <w:t>3.1 Izvedbeni pogoji</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_Toc479162939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27</w:t>
            </w:r>
            <w:r w:rsidR="00C55C5A" w:rsidRPr="00C55C5A">
              <w:rPr>
                <w:rFonts w:ascii="Calibri" w:hAnsi="Calibri"/>
                <w:noProof/>
                <w:webHidden/>
                <w:sz w:val="22"/>
                <w:szCs w:val="22"/>
                <w:lang w:val="sl-SI" w:eastAsia="sl-SI"/>
              </w:rPr>
              <w:fldChar w:fldCharType="end"/>
            </w:r>
          </w:hyperlink>
        </w:p>
        <w:p w14:paraId="0EA7133B"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40" w:history="1">
            <w:r w:rsidR="00C55C5A" w:rsidRPr="00C55C5A">
              <w:rPr>
                <w:rFonts w:ascii="Arial" w:eastAsia="Calibri" w:hAnsi="Arial" w:cs="Arial"/>
                <w:noProof/>
                <w:color w:val="0000FF"/>
                <w:sz w:val="22"/>
                <w:szCs w:val="22"/>
                <w:u w:val="single"/>
                <w:lang w:val="sl-SI" w:eastAsia="sl-SI"/>
              </w:rPr>
              <w:t>3.2 Načrtovani finančni produkti in ciljne skupine</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_Toc479162940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31</w:t>
            </w:r>
            <w:r w:rsidR="00C55C5A" w:rsidRPr="00C55C5A">
              <w:rPr>
                <w:rFonts w:ascii="Calibri" w:hAnsi="Calibri"/>
                <w:noProof/>
                <w:webHidden/>
                <w:sz w:val="22"/>
                <w:szCs w:val="22"/>
                <w:lang w:val="sl-SI" w:eastAsia="sl-SI"/>
              </w:rPr>
              <w:fldChar w:fldCharType="end"/>
            </w:r>
          </w:hyperlink>
        </w:p>
        <w:p w14:paraId="3A998398"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41" w:history="1">
            <w:r w:rsidR="00C55C5A" w:rsidRPr="00C55C5A">
              <w:rPr>
                <w:rFonts w:ascii="Arial" w:eastAsia="Calibri" w:hAnsi="Arial" w:cs="Arial"/>
                <w:noProof/>
                <w:color w:val="0000FF"/>
                <w:sz w:val="22"/>
                <w:szCs w:val="22"/>
                <w:u w:val="single"/>
                <w:lang w:val="sl-SI" w:eastAsia="sl-SI"/>
              </w:rPr>
              <w:t>3.3 Kombinacija z nepovratnimi sredstvi ESI skladov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_Toc479162941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42</w:t>
            </w:r>
            <w:r w:rsidR="00C55C5A" w:rsidRPr="00C55C5A">
              <w:rPr>
                <w:rFonts w:ascii="Calibri" w:hAnsi="Calibri"/>
                <w:noProof/>
                <w:webHidden/>
                <w:sz w:val="22"/>
                <w:szCs w:val="22"/>
                <w:lang w:val="sl-SI" w:eastAsia="sl-SI"/>
              </w:rPr>
              <w:fldChar w:fldCharType="end"/>
            </w:r>
          </w:hyperlink>
        </w:p>
        <w:p w14:paraId="2E5A2ACC"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42" w:history="1">
            <w:r w:rsidR="00C55C5A" w:rsidRPr="00C55C5A">
              <w:rPr>
                <w:rFonts w:ascii="Arial" w:eastAsia="Calibri" w:hAnsi="Arial" w:cs="Arial"/>
                <w:noProof/>
                <w:color w:val="0000FF"/>
                <w:sz w:val="22"/>
                <w:szCs w:val="22"/>
                <w:u w:val="single"/>
                <w:lang w:val="sl-SI" w:eastAsia="sl-SI"/>
              </w:rPr>
              <w:t>3.4 Drugi viri financiranja finančnih instrumentov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_Toc479162942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42</w:t>
            </w:r>
            <w:r w:rsidR="00C55C5A" w:rsidRPr="00C55C5A">
              <w:rPr>
                <w:rFonts w:ascii="Calibri" w:hAnsi="Calibri"/>
                <w:noProof/>
                <w:webHidden/>
                <w:sz w:val="22"/>
                <w:szCs w:val="22"/>
                <w:lang w:val="sl-SI" w:eastAsia="sl-SI"/>
              </w:rPr>
              <w:fldChar w:fldCharType="end"/>
            </w:r>
          </w:hyperlink>
        </w:p>
        <w:p w14:paraId="5428A003"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43" w:history="1">
            <w:r w:rsidR="00C55C5A" w:rsidRPr="00C55C5A">
              <w:rPr>
                <w:rFonts w:ascii="Arial" w:hAnsi="Arial"/>
                <w:noProof/>
                <w:color w:val="0000FF"/>
                <w:sz w:val="22"/>
                <w:szCs w:val="22"/>
                <w:u w:val="single"/>
                <w:lang w:val="sl-SI" w:eastAsia="sl-SI"/>
              </w:rPr>
              <w:t>4. Spremljanje izvajanja in poročanje</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_Toc479162943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44</w:t>
            </w:r>
            <w:r w:rsidR="00C55C5A" w:rsidRPr="00C55C5A">
              <w:rPr>
                <w:rFonts w:ascii="Calibri" w:hAnsi="Calibri"/>
                <w:noProof/>
                <w:webHidden/>
                <w:sz w:val="22"/>
                <w:szCs w:val="22"/>
                <w:lang w:val="sl-SI" w:eastAsia="sl-SI"/>
              </w:rPr>
              <w:fldChar w:fldCharType="end"/>
            </w:r>
          </w:hyperlink>
        </w:p>
        <w:p w14:paraId="358F6D01"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44" w:history="1">
            <w:r w:rsidR="00C55C5A" w:rsidRPr="00C55C5A">
              <w:rPr>
                <w:rFonts w:ascii="Arial" w:hAnsi="Arial"/>
                <w:noProof/>
                <w:color w:val="0000FF"/>
                <w:sz w:val="22"/>
                <w:szCs w:val="22"/>
                <w:u w:val="single"/>
                <w:lang w:val="sl-SI" w:eastAsia="sl-SI"/>
              </w:rPr>
              <w:t>5. Izdelan program porabe sredstev za FI</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_Toc479162944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46</w:t>
            </w:r>
            <w:r w:rsidR="00C55C5A" w:rsidRPr="00C55C5A">
              <w:rPr>
                <w:rFonts w:ascii="Calibri" w:hAnsi="Calibri"/>
                <w:noProof/>
                <w:webHidden/>
                <w:sz w:val="22"/>
                <w:szCs w:val="22"/>
                <w:lang w:val="sl-SI" w:eastAsia="sl-SI"/>
              </w:rPr>
              <w:fldChar w:fldCharType="end"/>
            </w:r>
          </w:hyperlink>
        </w:p>
        <w:p w14:paraId="5A559801"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45" w:history="1">
            <w:r w:rsidR="00C55C5A" w:rsidRPr="00C55C5A">
              <w:rPr>
                <w:rFonts w:ascii="Arial" w:hAnsi="Arial"/>
                <w:noProof/>
                <w:color w:val="0000FF"/>
                <w:sz w:val="22"/>
                <w:szCs w:val="22"/>
                <w:u w:val="single"/>
                <w:lang w:val="sl-SI" w:eastAsia="sl-SI"/>
              </w:rPr>
              <w:t>6. Obdobje porabe sredstev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_Toc479162945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48</w:t>
            </w:r>
            <w:r w:rsidR="00C55C5A" w:rsidRPr="00C55C5A">
              <w:rPr>
                <w:rFonts w:ascii="Calibri" w:hAnsi="Calibri"/>
                <w:noProof/>
                <w:webHidden/>
                <w:sz w:val="22"/>
                <w:szCs w:val="22"/>
                <w:lang w:val="sl-SI" w:eastAsia="sl-SI"/>
              </w:rPr>
              <w:fldChar w:fldCharType="end"/>
            </w:r>
          </w:hyperlink>
        </w:p>
        <w:p w14:paraId="20B533A2"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46" w:history="1">
            <w:r w:rsidR="00C55C5A" w:rsidRPr="00C55C5A">
              <w:rPr>
                <w:rFonts w:ascii="Arial" w:hAnsi="Arial"/>
                <w:noProof/>
                <w:color w:val="0000FF"/>
                <w:sz w:val="22"/>
                <w:szCs w:val="22"/>
                <w:u w:val="single"/>
                <w:lang w:val="sl-SI" w:eastAsia="sl-SI"/>
              </w:rPr>
              <w:t>7. Način ponovne uporabe sredstev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_Toc479162946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50</w:t>
            </w:r>
            <w:r w:rsidR="00C55C5A" w:rsidRPr="00C55C5A">
              <w:rPr>
                <w:rFonts w:ascii="Calibri" w:hAnsi="Calibri"/>
                <w:noProof/>
                <w:webHidden/>
                <w:sz w:val="22"/>
                <w:szCs w:val="22"/>
                <w:lang w:val="sl-SI" w:eastAsia="sl-SI"/>
              </w:rPr>
              <w:fldChar w:fldCharType="end"/>
            </w:r>
          </w:hyperlink>
        </w:p>
        <w:p w14:paraId="628A9C73"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47" w:history="1">
            <w:r w:rsidR="00C55C5A" w:rsidRPr="00C55C5A">
              <w:rPr>
                <w:rFonts w:ascii="Arial" w:hAnsi="Arial"/>
                <w:noProof/>
                <w:color w:val="0000FF"/>
                <w:sz w:val="22"/>
                <w:szCs w:val="22"/>
                <w:u w:val="single"/>
                <w:lang w:val="sl-SI" w:eastAsia="sl-SI"/>
              </w:rPr>
              <w:t>8. Obresti in drugi donosi od finančnih instrumentov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_Toc479162947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51</w:t>
            </w:r>
            <w:r w:rsidR="00C55C5A" w:rsidRPr="00C55C5A">
              <w:rPr>
                <w:rFonts w:ascii="Calibri" w:hAnsi="Calibri"/>
                <w:noProof/>
                <w:webHidden/>
                <w:sz w:val="22"/>
                <w:szCs w:val="22"/>
                <w:lang w:val="sl-SI" w:eastAsia="sl-SI"/>
              </w:rPr>
              <w:fldChar w:fldCharType="end"/>
            </w:r>
          </w:hyperlink>
        </w:p>
        <w:p w14:paraId="7AA0D65E"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48" w:history="1">
            <w:r w:rsidR="00C55C5A" w:rsidRPr="00C55C5A">
              <w:rPr>
                <w:rFonts w:ascii="Arial" w:hAnsi="Arial"/>
                <w:noProof/>
                <w:color w:val="0000FF"/>
                <w:sz w:val="22"/>
                <w:szCs w:val="22"/>
                <w:u w:val="single"/>
                <w:lang w:val="sl-SI" w:eastAsia="sl-SI"/>
              </w:rPr>
              <w:t>9. Pogoji prispevka v finančne instrumente</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_Toc479162948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52</w:t>
            </w:r>
            <w:r w:rsidR="00C55C5A" w:rsidRPr="00C55C5A">
              <w:rPr>
                <w:rFonts w:ascii="Calibri" w:hAnsi="Calibri"/>
                <w:noProof/>
                <w:webHidden/>
                <w:sz w:val="22"/>
                <w:szCs w:val="22"/>
                <w:lang w:val="sl-SI" w:eastAsia="sl-SI"/>
              </w:rPr>
              <w:fldChar w:fldCharType="end"/>
            </w:r>
          </w:hyperlink>
        </w:p>
        <w:p w14:paraId="074CD840"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49" w:history="1">
            <w:r w:rsidR="00C55C5A" w:rsidRPr="00C55C5A">
              <w:rPr>
                <w:rFonts w:ascii="Arial" w:eastAsia="Calibri" w:hAnsi="Arial" w:cs="Arial"/>
                <w:noProof/>
                <w:color w:val="0000FF"/>
                <w:sz w:val="22"/>
                <w:szCs w:val="22"/>
                <w:u w:val="single"/>
                <w:lang w:val="sl-SI" w:eastAsia="sl-SI"/>
              </w:rPr>
              <w:t>9.1 Učinek finančnega vzvoda (»leverage effect«)</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_Toc479162949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52</w:t>
            </w:r>
            <w:r w:rsidR="00C55C5A" w:rsidRPr="00C55C5A">
              <w:rPr>
                <w:rFonts w:ascii="Calibri" w:hAnsi="Calibri"/>
                <w:noProof/>
                <w:webHidden/>
                <w:sz w:val="22"/>
                <w:szCs w:val="22"/>
                <w:lang w:val="sl-SI" w:eastAsia="sl-SI"/>
              </w:rPr>
              <w:fldChar w:fldCharType="end"/>
            </w:r>
          </w:hyperlink>
        </w:p>
        <w:p w14:paraId="2A10CBB8"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50" w:history="1">
            <w:r w:rsidR="00C55C5A" w:rsidRPr="00C55C5A">
              <w:rPr>
                <w:rFonts w:ascii="Arial" w:eastAsia="Calibri" w:hAnsi="Arial" w:cs="Arial"/>
                <w:noProof/>
                <w:color w:val="0000FF"/>
                <w:sz w:val="22"/>
                <w:szCs w:val="22"/>
                <w:u w:val="single"/>
                <w:lang w:val="sl-SI" w:eastAsia="sl-SI"/>
              </w:rPr>
              <w:t>9.2 Upravljavska provizija sklada skladov in finančnih posrednikov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_Toc479162950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54</w:t>
            </w:r>
            <w:r w:rsidR="00C55C5A" w:rsidRPr="00C55C5A">
              <w:rPr>
                <w:rFonts w:ascii="Calibri" w:hAnsi="Calibri"/>
                <w:noProof/>
                <w:webHidden/>
                <w:sz w:val="22"/>
                <w:szCs w:val="22"/>
                <w:lang w:val="sl-SI" w:eastAsia="sl-SI"/>
              </w:rPr>
              <w:fldChar w:fldCharType="end"/>
            </w:r>
          </w:hyperlink>
        </w:p>
        <w:p w14:paraId="61641BB9"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51" w:history="1">
            <w:r w:rsidR="00C55C5A" w:rsidRPr="00C55C5A">
              <w:rPr>
                <w:rFonts w:ascii="Arial" w:eastAsia="Calibri" w:hAnsi="Arial" w:cs="Arial"/>
                <w:noProof/>
                <w:color w:val="0000FF"/>
                <w:sz w:val="22"/>
                <w:szCs w:val="22"/>
                <w:u w:val="single"/>
                <w:lang w:val="sl-SI" w:eastAsia="sl-SI"/>
              </w:rPr>
              <w:t>9.3 Hranjenje dokumentacije</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_Toc479162951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54</w:t>
            </w:r>
            <w:r w:rsidR="00C55C5A" w:rsidRPr="00C55C5A">
              <w:rPr>
                <w:rFonts w:ascii="Calibri" w:hAnsi="Calibri"/>
                <w:noProof/>
                <w:webHidden/>
                <w:sz w:val="22"/>
                <w:szCs w:val="22"/>
                <w:lang w:val="sl-SI" w:eastAsia="sl-SI"/>
              </w:rPr>
              <w:fldChar w:fldCharType="end"/>
            </w:r>
          </w:hyperlink>
        </w:p>
        <w:p w14:paraId="588865CB"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52" w:history="1">
            <w:r w:rsidR="00C55C5A" w:rsidRPr="00C55C5A">
              <w:rPr>
                <w:rFonts w:ascii="Arial" w:hAnsi="Arial" w:cs="Arial"/>
                <w:noProof/>
                <w:color w:val="0000FF"/>
                <w:sz w:val="22"/>
                <w:szCs w:val="22"/>
                <w:u w:val="single"/>
                <w:lang w:val="sl-SI" w:eastAsia="sl-SI"/>
              </w:rPr>
              <w:t>9.4 Spremljanje državnih pomoči</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_Toc479162952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54</w:t>
            </w:r>
            <w:r w:rsidR="00C55C5A" w:rsidRPr="00C55C5A">
              <w:rPr>
                <w:rFonts w:ascii="Calibri" w:hAnsi="Calibri"/>
                <w:noProof/>
                <w:webHidden/>
                <w:sz w:val="22"/>
                <w:szCs w:val="22"/>
                <w:lang w:val="sl-SI" w:eastAsia="sl-SI"/>
              </w:rPr>
              <w:fldChar w:fldCharType="end"/>
            </w:r>
          </w:hyperlink>
        </w:p>
        <w:p w14:paraId="03B5F192"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53" w:history="1">
            <w:r w:rsidR="00C55C5A" w:rsidRPr="00C55C5A">
              <w:rPr>
                <w:rFonts w:ascii="Arial" w:eastAsia="Calibri" w:hAnsi="Arial" w:cs="Arial"/>
                <w:noProof/>
                <w:color w:val="0000FF"/>
                <w:sz w:val="22"/>
                <w:szCs w:val="22"/>
                <w:u w:val="single"/>
                <w:lang w:val="sl-SI" w:eastAsia="sl-SI"/>
              </w:rPr>
              <w:t>9.5 Spremljanje ciljev in kazalnikov</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_Toc479162953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55</w:t>
            </w:r>
            <w:r w:rsidR="00C55C5A" w:rsidRPr="00C55C5A">
              <w:rPr>
                <w:rFonts w:ascii="Calibri" w:hAnsi="Calibri"/>
                <w:noProof/>
                <w:webHidden/>
                <w:sz w:val="22"/>
                <w:szCs w:val="22"/>
                <w:lang w:val="sl-SI" w:eastAsia="sl-SI"/>
              </w:rPr>
              <w:fldChar w:fldCharType="end"/>
            </w:r>
          </w:hyperlink>
        </w:p>
        <w:p w14:paraId="760112D3"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54" w:history="1">
            <w:r w:rsidR="00C55C5A" w:rsidRPr="00C55C5A">
              <w:rPr>
                <w:rFonts w:ascii="Arial" w:eastAsia="Calibri" w:hAnsi="Arial" w:cs="Arial"/>
                <w:noProof/>
                <w:color w:val="0000FF"/>
                <w:sz w:val="22"/>
                <w:szCs w:val="22"/>
                <w:u w:val="single"/>
                <w:lang w:val="sl-SI" w:eastAsia="sl-SI"/>
              </w:rPr>
              <w:t>9.6 Informiranje in obveščanje</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_Toc479162954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57</w:t>
            </w:r>
            <w:r w:rsidR="00C55C5A" w:rsidRPr="00C55C5A">
              <w:rPr>
                <w:rFonts w:ascii="Calibri" w:hAnsi="Calibri"/>
                <w:noProof/>
                <w:webHidden/>
                <w:sz w:val="22"/>
                <w:szCs w:val="22"/>
                <w:lang w:val="sl-SI" w:eastAsia="sl-SI"/>
              </w:rPr>
              <w:fldChar w:fldCharType="end"/>
            </w:r>
          </w:hyperlink>
        </w:p>
        <w:p w14:paraId="223C2FFA"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55" w:history="1">
            <w:r w:rsidR="00C55C5A" w:rsidRPr="00C55C5A">
              <w:rPr>
                <w:rFonts w:ascii="Arial" w:eastAsia="Calibri" w:hAnsi="Arial" w:cs="Arial"/>
                <w:noProof/>
                <w:color w:val="0000FF"/>
                <w:sz w:val="22"/>
                <w:szCs w:val="22"/>
                <w:u w:val="single"/>
                <w:lang w:val="sl-SI" w:eastAsia="sl-SI"/>
              </w:rPr>
              <w:t>9.7 Obvladovanje tveganj</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_Toc479162955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57</w:t>
            </w:r>
            <w:r w:rsidR="00C55C5A" w:rsidRPr="00C55C5A">
              <w:rPr>
                <w:rFonts w:ascii="Calibri" w:hAnsi="Calibri"/>
                <w:noProof/>
                <w:webHidden/>
                <w:sz w:val="22"/>
                <w:szCs w:val="22"/>
                <w:lang w:val="sl-SI" w:eastAsia="sl-SI"/>
              </w:rPr>
              <w:fldChar w:fldCharType="end"/>
            </w:r>
          </w:hyperlink>
        </w:p>
        <w:p w14:paraId="7A093F17" w14:textId="77777777" w:rsidR="00C55C5A" w:rsidRPr="00C55C5A" w:rsidRDefault="004B79AC" w:rsidP="00C55C5A">
          <w:pPr>
            <w:tabs>
              <w:tab w:val="right" w:leader="dot" w:pos="9062"/>
            </w:tabs>
            <w:spacing w:line="276" w:lineRule="auto"/>
            <w:ind w:left="440"/>
            <w:jc w:val="both"/>
            <w:rPr>
              <w:rFonts w:ascii="Calibri" w:hAnsi="Calibri"/>
              <w:noProof/>
              <w:sz w:val="22"/>
              <w:szCs w:val="22"/>
              <w:lang w:val="sl-SI" w:eastAsia="sl-SI"/>
            </w:rPr>
          </w:pPr>
          <w:hyperlink w:anchor="_Toc479162956" w:history="1">
            <w:r w:rsidR="00C55C5A" w:rsidRPr="00C55C5A">
              <w:rPr>
                <w:rFonts w:ascii="Arial" w:eastAsia="Calibri" w:hAnsi="Arial" w:cs="Arial"/>
                <w:noProof/>
                <w:color w:val="0000FF"/>
                <w:sz w:val="22"/>
                <w:szCs w:val="22"/>
                <w:u w:val="single"/>
                <w:lang w:val="sl-SI" w:eastAsia="sl-SI"/>
              </w:rPr>
              <w:t>9.8 Strategija izstopa</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_Toc479162956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57</w:t>
            </w:r>
            <w:r w:rsidR="00C55C5A" w:rsidRPr="00C55C5A">
              <w:rPr>
                <w:rFonts w:ascii="Calibri" w:hAnsi="Calibri"/>
                <w:noProof/>
                <w:webHidden/>
                <w:sz w:val="22"/>
                <w:szCs w:val="22"/>
                <w:lang w:val="sl-SI" w:eastAsia="sl-SI"/>
              </w:rPr>
              <w:fldChar w:fldCharType="end"/>
            </w:r>
          </w:hyperlink>
        </w:p>
        <w:p w14:paraId="4FC65B2D"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57" w:history="1">
            <w:r w:rsidR="00C55C5A" w:rsidRPr="00C55C5A">
              <w:rPr>
                <w:rFonts w:ascii="Arial" w:hAnsi="Arial"/>
                <w:noProof/>
                <w:color w:val="0000FF"/>
                <w:sz w:val="22"/>
                <w:szCs w:val="22"/>
                <w:u w:val="single"/>
                <w:lang w:val="sl-SI" w:eastAsia="sl-SI"/>
              </w:rPr>
              <w:t>10. Politika prekinitve finančnega instrumenta</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_Toc479162957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59</w:t>
            </w:r>
            <w:r w:rsidR="00C55C5A" w:rsidRPr="00C55C5A">
              <w:rPr>
                <w:rFonts w:ascii="Calibri" w:hAnsi="Calibri"/>
                <w:noProof/>
                <w:webHidden/>
                <w:sz w:val="22"/>
                <w:szCs w:val="22"/>
                <w:lang w:val="sl-SI" w:eastAsia="sl-SI"/>
              </w:rPr>
              <w:fldChar w:fldCharType="end"/>
            </w:r>
          </w:hyperlink>
        </w:p>
        <w:p w14:paraId="07A4B713"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58" w:history="1">
            <w:r w:rsidR="00C55C5A" w:rsidRPr="00C55C5A">
              <w:rPr>
                <w:rFonts w:ascii="Arial" w:hAnsi="Arial"/>
                <w:noProof/>
                <w:color w:val="0000FF"/>
                <w:sz w:val="22"/>
                <w:szCs w:val="22"/>
                <w:u w:val="single"/>
                <w:lang w:val="sl-SI" w:eastAsia="sl-SI"/>
              </w:rPr>
              <w:t>11. Podlaga za izvajanje nadzora</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_Toc479162958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60</w:t>
            </w:r>
            <w:r w:rsidR="00C55C5A" w:rsidRPr="00C55C5A">
              <w:rPr>
                <w:rFonts w:ascii="Calibri" w:hAnsi="Calibri"/>
                <w:noProof/>
                <w:webHidden/>
                <w:sz w:val="22"/>
                <w:szCs w:val="22"/>
                <w:lang w:val="sl-SI" w:eastAsia="sl-SI"/>
              </w:rPr>
              <w:fldChar w:fldCharType="end"/>
            </w:r>
          </w:hyperlink>
        </w:p>
        <w:p w14:paraId="551012B1" w14:textId="77777777" w:rsidR="00C55C5A" w:rsidRPr="00C55C5A" w:rsidRDefault="004B79AC" w:rsidP="00C55C5A">
          <w:pPr>
            <w:tabs>
              <w:tab w:val="left" w:pos="660"/>
              <w:tab w:val="right" w:leader="dot" w:pos="9062"/>
            </w:tabs>
            <w:spacing w:after="100"/>
            <w:ind w:left="220"/>
            <w:jc w:val="both"/>
            <w:rPr>
              <w:rFonts w:ascii="Calibri" w:hAnsi="Calibri"/>
              <w:noProof/>
              <w:sz w:val="22"/>
              <w:szCs w:val="22"/>
              <w:lang w:val="sl-SI" w:eastAsia="sl-SI"/>
            </w:rPr>
          </w:pPr>
          <w:hyperlink w:anchor="_Toc479162959" w:history="1">
            <w:r w:rsidR="00C55C5A" w:rsidRPr="00C55C5A">
              <w:rPr>
                <w:rFonts w:ascii="Arial" w:hAnsi="Arial"/>
                <w:noProof/>
                <w:color w:val="0000FF"/>
                <w:sz w:val="22"/>
                <w:szCs w:val="22"/>
                <w:u w:val="single"/>
                <w:lang w:val="sl-SI" w:eastAsia="sl-SI"/>
              </w:rPr>
              <w:t>Priloga: Preverjanje izpolnjevanja pogojev po 28. členu ZJN-3 SID banke kot izvajalca sklada skladov ter evidentiranje sredstev za finančne instrumente</w:t>
            </w:r>
            <w:r w:rsidR="00C55C5A" w:rsidRPr="00C55C5A">
              <w:rPr>
                <w:rFonts w:ascii="Calibri" w:hAnsi="Calibri"/>
                <w:noProof/>
                <w:webHidden/>
                <w:sz w:val="22"/>
                <w:szCs w:val="22"/>
                <w:lang w:val="sl-SI" w:eastAsia="sl-SI"/>
              </w:rPr>
              <w:tab/>
            </w:r>
            <w:r w:rsidR="00C55C5A" w:rsidRPr="00C55C5A">
              <w:rPr>
                <w:rFonts w:ascii="Calibri" w:hAnsi="Calibri"/>
                <w:noProof/>
                <w:webHidden/>
                <w:sz w:val="22"/>
                <w:szCs w:val="22"/>
                <w:lang w:val="sl-SI" w:eastAsia="sl-SI"/>
              </w:rPr>
              <w:fldChar w:fldCharType="begin"/>
            </w:r>
            <w:r w:rsidR="00C55C5A" w:rsidRPr="00C55C5A">
              <w:rPr>
                <w:rFonts w:ascii="Calibri" w:hAnsi="Calibri"/>
                <w:noProof/>
                <w:webHidden/>
                <w:sz w:val="22"/>
                <w:szCs w:val="22"/>
                <w:lang w:val="sl-SI" w:eastAsia="sl-SI"/>
              </w:rPr>
              <w:instrText xml:space="preserve"> PAGEREF _Toc479162959 \h </w:instrText>
            </w:r>
            <w:r w:rsidR="00C55C5A" w:rsidRPr="00C55C5A">
              <w:rPr>
                <w:rFonts w:ascii="Calibri" w:hAnsi="Calibri"/>
                <w:noProof/>
                <w:webHidden/>
                <w:sz w:val="22"/>
                <w:szCs w:val="22"/>
                <w:lang w:val="sl-SI" w:eastAsia="sl-SI"/>
              </w:rPr>
            </w:r>
            <w:r w:rsidR="00C55C5A" w:rsidRPr="00C55C5A">
              <w:rPr>
                <w:rFonts w:ascii="Calibri" w:hAnsi="Calibri"/>
                <w:noProof/>
                <w:webHidden/>
                <w:sz w:val="22"/>
                <w:szCs w:val="22"/>
                <w:lang w:val="sl-SI" w:eastAsia="sl-SI"/>
              </w:rPr>
              <w:fldChar w:fldCharType="separate"/>
            </w:r>
            <w:r w:rsidR="00E6701A">
              <w:rPr>
                <w:rFonts w:ascii="Calibri" w:hAnsi="Calibri"/>
                <w:noProof/>
                <w:webHidden/>
                <w:sz w:val="22"/>
                <w:szCs w:val="22"/>
                <w:lang w:val="sl-SI" w:eastAsia="sl-SI"/>
              </w:rPr>
              <w:t>61</w:t>
            </w:r>
            <w:r w:rsidR="00C55C5A" w:rsidRPr="00C55C5A">
              <w:rPr>
                <w:rFonts w:ascii="Calibri" w:hAnsi="Calibri"/>
                <w:noProof/>
                <w:webHidden/>
                <w:sz w:val="22"/>
                <w:szCs w:val="22"/>
                <w:lang w:val="sl-SI" w:eastAsia="sl-SI"/>
              </w:rPr>
              <w:fldChar w:fldCharType="end"/>
            </w:r>
          </w:hyperlink>
        </w:p>
        <w:p w14:paraId="64A9F261" w14:textId="77777777" w:rsidR="00C55C5A" w:rsidRPr="00C55C5A" w:rsidRDefault="00C55C5A" w:rsidP="00C55C5A">
          <w:pPr>
            <w:jc w:val="both"/>
            <w:rPr>
              <w:rFonts w:ascii="Arial" w:hAnsi="Arial" w:cs="Arial"/>
              <w:sz w:val="22"/>
              <w:lang w:val="sl-SI"/>
            </w:rPr>
          </w:pPr>
          <w:r w:rsidRPr="00C55C5A">
            <w:rPr>
              <w:rFonts w:ascii="Arial" w:hAnsi="Arial" w:cs="Arial"/>
              <w:bCs/>
              <w:sz w:val="22"/>
              <w:lang w:val="sl-SI"/>
            </w:rPr>
            <w:fldChar w:fldCharType="end"/>
          </w:r>
        </w:p>
      </w:sdtContent>
    </w:sdt>
    <w:p w14:paraId="66C46A86" w14:textId="77777777" w:rsidR="00C55C5A" w:rsidRPr="00C55C5A" w:rsidRDefault="00C55C5A" w:rsidP="00C55C5A">
      <w:pPr>
        <w:spacing w:after="160"/>
        <w:jc w:val="both"/>
        <w:rPr>
          <w:rFonts w:ascii="Arial" w:hAnsi="Arial" w:cs="Arial"/>
          <w:b/>
          <w:sz w:val="32"/>
          <w:szCs w:val="32"/>
          <w:lang w:val="sl-SI"/>
        </w:rPr>
      </w:pPr>
      <w:r w:rsidRPr="00C55C5A">
        <w:rPr>
          <w:rFonts w:ascii="Arial" w:hAnsi="Arial"/>
          <w:bCs/>
          <w:iCs/>
          <w:sz w:val="32"/>
          <w:szCs w:val="32"/>
          <w:lang w:val="sl-SI"/>
        </w:rPr>
        <w:br w:type="page"/>
      </w:r>
    </w:p>
    <w:p w14:paraId="1837771D" w14:textId="77777777" w:rsidR="00C55C5A" w:rsidRPr="00C55C5A" w:rsidRDefault="00C55C5A" w:rsidP="00C55C5A">
      <w:pPr>
        <w:keepNext/>
        <w:shd w:val="clear" w:color="auto" w:fill="9CC2E5"/>
        <w:outlineLvl w:val="1"/>
        <w:rPr>
          <w:rFonts w:ascii="Arial" w:hAnsi="Arial" w:cs="Arial"/>
          <w:b/>
          <w:sz w:val="32"/>
          <w:szCs w:val="32"/>
          <w:lang w:val="sl-SI"/>
        </w:rPr>
      </w:pPr>
      <w:bookmarkStart w:id="11" w:name="_Toc479162931"/>
      <w:r w:rsidRPr="00C55C5A">
        <w:rPr>
          <w:rFonts w:ascii="Arial" w:hAnsi="Arial" w:cs="Arial"/>
          <w:b/>
          <w:sz w:val="32"/>
          <w:szCs w:val="32"/>
          <w:lang w:val="sl-SI"/>
        </w:rPr>
        <w:lastRenderedPageBreak/>
        <w:t>Seznam kratic</w:t>
      </w:r>
      <w:bookmarkEnd w:id="11"/>
    </w:p>
    <w:p w14:paraId="22E1649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lang w:val="sl-SI"/>
        </w:rPr>
        <w:br/>
      </w:r>
      <w:r w:rsidRPr="00C55C5A">
        <w:rPr>
          <w:rFonts w:ascii="Arial" w:hAnsi="Arial" w:cs="Arial"/>
          <w:sz w:val="22"/>
          <w:szCs w:val="22"/>
          <w:lang w:val="sl-SI"/>
        </w:rPr>
        <w:t>CTN</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celostne teritorialne naložbe</w:t>
      </w:r>
    </w:p>
    <w:p w14:paraId="3BDD7CA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EE</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energetska učinkovitost</w:t>
      </w:r>
    </w:p>
    <w:p w14:paraId="3B04E80B"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ESCO</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podjetje za energetske storitve (Energy Service Company)</w:t>
      </w:r>
    </w:p>
    <w:p w14:paraId="4646B6C0"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EFSI</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evropski sklad za strateške naložbe (European Fund for Strategic Investments)</w:t>
      </w:r>
    </w:p>
    <w:p w14:paraId="21DDCBE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FI</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finančni instrumenti</w:t>
      </w:r>
    </w:p>
    <w:p w14:paraId="54E422D3"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ESIF</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evropski strukturni in investicijski skladi (European Structural and Investment Funds</w:t>
      </w:r>
    </w:p>
    <w:p w14:paraId="4F18E48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MGRT</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Ministrstvo za gospodarski razvoj in tehnologijo</w:t>
      </w:r>
    </w:p>
    <w:p w14:paraId="0904BE48"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MOP</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Ministrstvo za okolje in prostor</w:t>
      </w:r>
    </w:p>
    <w:p w14:paraId="16048775"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MSP</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mala in srednje velika podjetja</w:t>
      </w:r>
    </w:p>
    <w:p w14:paraId="46CD48ED"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MZI</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Ministrstvo za infrastrukturo</w:t>
      </w:r>
    </w:p>
    <w:p w14:paraId="4C73997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OP 2014 – 2020</w:t>
      </w:r>
      <w:r w:rsidRPr="00C55C5A">
        <w:rPr>
          <w:rFonts w:ascii="Arial" w:hAnsi="Arial" w:cs="Arial"/>
          <w:sz w:val="22"/>
          <w:szCs w:val="22"/>
          <w:lang w:val="sl-SI"/>
        </w:rPr>
        <w:tab/>
        <w:t>– Operativni program za izvajanje evropske kohezijske politike v obdobju 2014 – 2020</w:t>
      </w:r>
    </w:p>
    <w:p w14:paraId="09D4581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OU</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organ upravljanja</w:t>
      </w:r>
    </w:p>
    <w:p w14:paraId="3244DBC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MF-CA </w:t>
      </w:r>
      <w:r w:rsidRPr="00C55C5A">
        <w:rPr>
          <w:rFonts w:ascii="Arial" w:hAnsi="Arial" w:cs="Arial"/>
          <w:sz w:val="22"/>
          <w:szCs w:val="22"/>
          <w:lang w:val="sl-SI"/>
        </w:rPr>
        <w:tab/>
      </w:r>
      <w:r w:rsidRPr="00C55C5A">
        <w:rPr>
          <w:rFonts w:ascii="Arial" w:hAnsi="Arial" w:cs="Arial"/>
          <w:sz w:val="22"/>
          <w:szCs w:val="22"/>
          <w:lang w:val="sl-SI"/>
        </w:rPr>
        <w:tab/>
        <w:t>- organ za potrjevanje</w:t>
      </w:r>
    </w:p>
    <w:p w14:paraId="16B01E36"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OVE</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obnovljivi viri energije</w:t>
      </w:r>
    </w:p>
    <w:p w14:paraId="7D83CAF1"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PO</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posredniški organ</w:t>
      </w:r>
    </w:p>
    <w:p w14:paraId="440D6AC6"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RRI</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raziskave, razvoj in inovacije</w:t>
      </w:r>
    </w:p>
    <w:p w14:paraId="51C60512"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TC 1</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tematski cilj 1 (v okviru OP 2014 – 2020)</w:t>
      </w:r>
    </w:p>
    <w:p w14:paraId="34BD66E5"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TC 3</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tematski cilj 3 (v okviru OP 2014 – 2020)</w:t>
      </w:r>
    </w:p>
    <w:p w14:paraId="6121337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TC 4</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tematski cilj 4 (v okviru OP 2014 – 2020)</w:t>
      </w:r>
    </w:p>
    <w:p w14:paraId="51C10326"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TC 6</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tematski cilj 6 (v okviru OP 2014 – 2020)</w:t>
      </w:r>
    </w:p>
    <w:p w14:paraId="74A2A03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URE</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učinkovita raba energije</w:t>
      </w:r>
    </w:p>
    <w:p w14:paraId="1DEA69C1"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ZMOS</w:t>
      </w:r>
      <w:r w:rsidRPr="00C55C5A">
        <w:rPr>
          <w:rFonts w:ascii="Arial" w:hAnsi="Arial" w:cs="Arial"/>
          <w:sz w:val="22"/>
          <w:szCs w:val="22"/>
          <w:lang w:val="sl-SI"/>
        </w:rPr>
        <w:tab/>
      </w:r>
      <w:r w:rsidRPr="00C55C5A">
        <w:rPr>
          <w:rFonts w:ascii="Arial" w:hAnsi="Arial" w:cs="Arial"/>
          <w:sz w:val="22"/>
          <w:szCs w:val="22"/>
          <w:lang w:val="sl-SI"/>
        </w:rPr>
        <w:tab/>
      </w:r>
      <w:r w:rsidRPr="00C55C5A">
        <w:rPr>
          <w:rFonts w:ascii="Arial" w:hAnsi="Arial" w:cs="Arial"/>
          <w:sz w:val="22"/>
          <w:szCs w:val="22"/>
          <w:lang w:val="sl-SI"/>
        </w:rPr>
        <w:tab/>
        <w:t>– Združenje mestnih občin Slovenije</w:t>
      </w:r>
    </w:p>
    <w:p w14:paraId="44E7D513" w14:textId="77777777" w:rsidR="00C55C5A" w:rsidRPr="00C55C5A" w:rsidRDefault="00C55C5A" w:rsidP="00C55C5A">
      <w:pPr>
        <w:jc w:val="both"/>
        <w:rPr>
          <w:rFonts w:ascii="Arial" w:hAnsi="Arial" w:cs="Arial"/>
          <w:sz w:val="22"/>
          <w:lang w:val="sl-SI"/>
        </w:rPr>
      </w:pPr>
    </w:p>
    <w:p w14:paraId="0CE60A14" w14:textId="77777777" w:rsidR="00C55C5A" w:rsidRPr="00C55C5A" w:rsidRDefault="00C55C5A" w:rsidP="00C55C5A">
      <w:pPr>
        <w:spacing w:after="160"/>
        <w:jc w:val="both"/>
        <w:rPr>
          <w:rFonts w:ascii="Arial" w:hAnsi="Arial" w:cs="Arial"/>
          <w:b/>
          <w:sz w:val="32"/>
          <w:szCs w:val="32"/>
          <w:lang w:val="sl-SI"/>
        </w:rPr>
      </w:pPr>
      <w:r w:rsidRPr="00C55C5A">
        <w:rPr>
          <w:rFonts w:ascii="Arial" w:hAnsi="Arial" w:cs="Arial"/>
          <w:bCs/>
          <w:iCs/>
          <w:sz w:val="32"/>
          <w:szCs w:val="32"/>
          <w:lang w:val="sl-SI"/>
        </w:rPr>
        <w:br w:type="page"/>
      </w:r>
    </w:p>
    <w:p w14:paraId="701D6260" w14:textId="77777777" w:rsidR="00C55C5A" w:rsidRPr="00C55C5A" w:rsidRDefault="00C55C5A" w:rsidP="00C55C5A">
      <w:pPr>
        <w:keepNext/>
        <w:shd w:val="clear" w:color="auto" w:fill="9CC2E5"/>
        <w:outlineLvl w:val="1"/>
        <w:rPr>
          <w:rFonts w:ascii="Arial" w:hAnsi="Arial" w:cs="Arial"/>
          <w:b/>
          <w:sz w:val="32"/>
          <w:szCs w:val="32"/>
          <w:lang w:val="sl-SI"/>
        </w:rPr>
      </w:pPr>
      <w:bookmarkStart w:id="12" w:name="_Toc479162932"/>
      <w:r w:rsidRPr="00C55C5A">
        <w:rPr>
          <w:rFonts w:ascii="Arial" w:hAnsi="Arial" w:cs="Arial"/>
          <w:b/>
          <w:sz w:val="32"/>
          <w:szCs w:val="32"/>
          <w:lang w:val="sl-SI"/>
        </w:rPr>
        <w:lastRenderedPageBreak/>
        <w:t>Povzetek</w:t>
      </w:r>
      <w:bookmarkEnd w:id="12"/>
    </w:p>
    <w:p w14:paraId="3253F729" w14:textId="77777777" w:rsidR="00C55C5A" w:rsidRPr="00C55C5A" w:rsidRDefault="00C55C5A" w:rsidP="00C55C5A">
      <w:pPr>
        <w:jc w:val="both"/>
        <w:rPr>
          <w:rFonts w:ascii="Arial" w:hAnsi="Arial" w:cs="Arial"/>
          <w:sz w:val="22"/>
          <w:lang w:val="sl-SI"/>
        </w:rPr>
      </w:pPr>
    </w:p>
    <w:p w14:paraId="5A3DA42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Ključni elementi finančnih instrumentov v programskem obdobju 2014 – 2020 so pripravljeni skladno z drugim odstavkom 17. člena Uredbe o postopku, merilih in načinih dodeljevanja sredstev za spodbujanje razvojnih programov in prednostnih nalog in 37.b členom Uredbe o porabi sredstev evropske kohezijske politike v Republiki Sloveniji v programskem obdobju 2014–2020 za cilj naložbe za rast in delovna mesta. V kolikor se predpisi Republike Slovenije glede izvajanja finančnih instrumentov in sklada skladov razlikujejo od predpisov EU, se uporabljajo predpisi EU. Temelja za pripravo Ključnih elementov FI sta Predhodna ocena finančnih instrumentov v Sloveniji in Analiza Evropske investicijske banke. Ključni elementi FI bodo prispevali k doseganju ciljev Operativnega programa za izvajanje evropske kohezijske politike v obdobju 2014-2020. </w:t>
      </w:r>
    </w:p>
    <w:p w14:paraId="09CF5838" w14:textId="77777777" w:rsidR="00C55C5A" w:rsidRPr="00C55C5A" w:rsidRDefault="00C55C5A" w:rsidP="00C55C5A">
      <w:pPr>
        <w:jc w:val="both"/>
        <w:rPr>
          <w:rFonts w:ascii="Arial" w:hAnsi="Arial" w:cs="Arial"/>
          <w:sz w:val="22"/>
          <w:szCs w:val="22"/>
          <w:lang w:val="sl-SI" w:eastAsia="sl-SI"/>
        </w:rPr>
      </w:pPr>
    </w:p>
    <w:p w14:paraId="72780CF8" w14:textId="77777777" w:rsidR="00C55C5A" w:rsidRPr="00C55C5A" w:rsidRDefault="00C55C5A" w:rsidP="00C55C5A">
      <w:pPr>
        <w:jc w:val="both"/>
        <w:rPr>
          <w:rFonts w:ascii="Arial" w:hAnsi="Arial" w:cs="Arial"/>
          <w:sz w:val="22"/>
          <w:szCs w:val="22"/>
          <w:lang w:val="sl-SI" w:eastAsia="sl-SI"/>
        </w:rPr>
      </w:pPr>
      <w:r w:rsidRPr="00C55C5A">
        <w:rPr>
          <w:rFonts w:ascii="Arial" w:hAnsi="Arial" w:cs="Arial"/>
          <w:sz w:val="22"/>
          <w:szCs w:val="22"/>
          <w:lang w:val="sl-SI" w:eastAsia="sl-SI"/>
        </w:rPr>
        <w:t>V poglavju Izhodišča so predstavljene pravne podlage in tržne vrzeli financiranja mikro, malih in srednje velikih podjetij (MSP), raziskav, razvoja in inovacij (RRI), energetske učinkovitosti ter urbanega razvoja.</w:t>
      </w:r>
    </w:p>
    <w:p w14:paraId="029681E1" w14:textId="77777777" w:rsidR="00C55C5A" w:rsidRPr="00C55C5A" w:rsidRDefault="00C55C5A" w:rsidP="00C55C5A">
      <w:pPr>
        <w:jc w:val="both"/>
        <w:rPr>
          <w:rFonts w:ascii="Arial" w:hAnsi="Arial" w:cs="Arial"/>
          <w:sz w:val="22"/>
          <w:szCs w:val="22"/>
          <w:lang w:val="sl-SI" w:eastAsia="sl-SI"/>
        </w:rPr>
      </w:pPr>
    </w:p>
    <w:p w14:paraId="63014AE9" w14:textId="77777777" w:rsidR="00C55C5A" w:rsidRPr="00C55C5A" w:rsidRDefault="00C55C5A" w:rsidP="00C55C5A">
      <w:pPr>
        <w:jc w:val="both"/>
        <w:rPr>
          <w:rFonts w:ascii="Arial" w:hAnsi="Arial" w:cs="Arial"/>
          <w:sz w:val="22"/>
          <w:szCs w:val="22"/>
          <w:lang w:val="sl-SI" w:eastAsia="sl-SI"/>
        </w:rPr>
      </w:pPr>
      <w:r w:rsidRPr="00C55C5A">
        <w:rPr>
          <w:rFonts w:ascii="Arial" w:hAnsi="Arial" w:cs="Arial"/>
          <w:sz w:val="22"/>
          <w:szCs w:val="22"/>
          <w:lang w:val="sl-SI" w:eastAsia="sl-SI"/>
        </w:rPr>
        <w:t>V poglavju Naložbena strategija in načrtovanje finančnih instrumentov so prikazani:</w:t>
      </w:r>
    </w:p>
    <w:p w14:paraId="43A3B300"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eastAsia="sl-SI"/>
        </w:rPr>
        <w:t>struktura upravljanja in izvajanja finančnih instrumentov prek sklada skladov in finančnih posrednikov,</w:t>
      </w:r>
    </w:p>
    <w:p w14:paraId="7A16D61F"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eastAsia="sl-SI"/>
        </w:rPr>
        <w:t>načrtovani finančni produkti in ciljne skupine končnih prejemnikov po posameznih področjih:</w:t>
      </w:r>
    </w:p>
    <w:tbl>
      <w:tblPr>
        <w:tblStyle w:val="Tabelamrea"/>
        <w:tblW w:w="10348" w:type="dxa"/>
        <w:tblInd w:w="-147" w:type="dxa"/>
        <w:tblLook w:val="04A0" w:firstRow="1" w:lastRow="0" w:firstColumn="1" w:lastColumn="0" w:noHBand="0" w:noVBand="1"/>
      </w:tblPr>
      <w:tblGrid>
        <w:gridCol w:w="2836"/>
        <w:gridCol w:w="2693"/>
        <w:gridCol w:w="4819"/>
      </w:tblGrid>
      <w:tr w:rsidR="00C55C5A" w:rsidRPr="00C55C5A" w14:paraId="6A467B7F" w14:textId="77777777" w:rsidTr="00E6701A">
        <w:tc>
          <w:tcPr>
            <w:tcW w:w="2836" w:type="dxa"/>
          </w:tcPr>
          <w:p w14:paraId="59215C45"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Finančni produkt</w:t>
            </w:r>
          </w:p>
        </w:tc>
        <w:tc>
          <w:tcPr>
            <w:tcW w:w="2693" w:type="dxa"/>
          </w:tcPr>
          <w:p w14:paraId="6FDDAA64"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Okvirna višina sredstev</w:t>
            </w:r>
          </w:p>
        </w:tc>
        <w:tc>
          <w:tcPr>
            <w:tcW w:w="4819" w:type="dxa"/>
          </w:tcPr>
          <w:p w14:paraId="25DEAAAD"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Ciljna skupina</w:t>
            </w:r>
          </w:p>
        </w:tc>
      </w:tr>
      <w:tr w:rsidR="00C55C5A" w:rsidRPr="00C55C5A" w14:paraId="7507024D" w14:textId="77777777" w:rsidTr="00E6701A">
        <w:tc>
          <w:tcPr>
            <w:tcW w:w="10348" w:type="dxa"/>
            <w:gridSpan w:val="3"/>
            <w:shd w:val="clear" w:color="auto" w:fill="BDD6EE" w:themeFill="accent1" w:themeFillTint="66"/>
          </w:tcPr>
          <w:p w14:paraId="2CFCB05F" w14:textId="77777777" w:rsidR="00C55C5A" w:rsidRPr="00C55C5A" w:rsidRDefault="00C55C5A" w:rsidP="00C55C5A">
            <w:pPr>
              <w:jc w:val="center"/>
              <w:rPr>
                <w:rFonts w:ascii="Arial" w:eastAsia="Calibri" w:hAnsi="Arial" w:cs="Arial"/>
                <w:sz w:val="22"/>
                <w:szCs w:val="22"/>
                <w:lang w:val="sl-SI"/>
              </w:rPr>
            </w:pPr>
            <w:r w:rsidRPr="00C55C5A">
              <w:rPr>
                <w:rFonts w:ascii="Arial" w:eastAsia="Calibri" w:hAnsi="Arial" w:cs="Arial"/>
                <w:sz w:val="22"/>
                <w:szCs w:val="22"/>
                <w:lang w:val="sl-SI"/>
              </w:rPr>
              <w:t>Področje: RRI - TC 1</w:t>
            </w:r>
          </w:p>
        </w:tc>
      </w:tr>
      <w:tr w:rsidR="00C55C5A" w:rsidRPr="00C55C5A" w14:paraId="4320D161" w14:textId="77777777" w:rsidTr="00E6701A">
        <w:tc>
          <w:tcPr>
            <w:tcW w:w="2836" w:type="dxa"/>
          </w:tcPr>
          <w:p w14:paraId="28F0435A"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Posojila</w:t>
            </w:r>
          </w:p>
        </w:tc>
        <w:tc>
          <w:tcPr>
            <w:tcW w:w="2693" w:type="dxa"/>
          </w:tcPr>
          <w:p w14:paraId="2454A572"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58 mio EUR</w:t>
            </w:r>
          </w:p>
        </w:tc>
        <w:tc>
          <w:tcPr>
            <w:tcW w:w="4819" w:type="dxa"/>
          </w:tcPr>
          <w:p w14:paraId="5E5BC068"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 xml:space="preserve">Vsa podjetja </w:t>
            </w:r>
          </w:p>
          <w:p w14:paraId="00F14641"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(38 mio EUR MSP, 20 mio EUR velika podjetja)</w:t>
            </w:r>
          </w:p>
        </w:tc>
      </w:tr>
      <w:tr w:rsidR="00C55C5A" w:rsidRPr="00C55C5A" w14:paraId="56C37C84" w14:textId="77777777" w:rsidTr="00E6701A">
        <w:tc>
          <w:tcPr>
            <w:tcW w:w="2836" w:type="dxa"/>
          </w:tcPr>
          <w:p w14:paraId="5D0D3EB2"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Portfeljske garancije</w:t>
            </w:r>
          </w:p>
        </w:tc>
        <w:tc>
          <w:tcPr>
            <w:tcW w:w="2693" w:type="dxa"/>
          </w:tcPr>
          <w:p w14:paraId="602B0A67"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30 mio EUR</w:t>
            </w:r>
          </w:p>
        </w:tc>
        <w:tc>
          <w:tcPr>
            <w:tcW w:w="4819" w:type="dxa"/>
          </w:tcPr>
          <w:p w14:paraId="6E3B0627"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 xml:space="preserve">Vsa podjetja </w:t>
            </w:r>
          </w:p>
          <w:p w14:paraId="69680638"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(20 mio EUR MSP, 10 mio EUR velika podjetja</w:t>
            </w:r>
          </w:p>
        </w:tc>
      </w:tr>
      <w:tr w:rsidR="00C55C5A" w:rsidRPr="00C55C5A" w14:paraId="462A5CF1" w14:textId="77777777" w:rsidTr="00E6701A">
        <w:tc>
          <w:tcPr>
            <w:tcW w:w="10348" w:type="dxa"/>
            <w:gridSpan w:val="3"/>
            <w:shd w:val="clear" w:color="auto" w:fill="BDD6EE" w:themeFill="accent1" w:themeFillTint="66"/>
          </w:tcPr>
          <w:p w14:paraId="248CBC8E" w14:textId="77777777" w:rsidR="00C55C5A" w:rsidRPr="00C55C5A" w:rsidRDefault="00C55C5A" w:rsidP="00C55C5A">
            <w:pPr>
              <w:jc w:val="center"/>
              <w:rPr>
                <w:rFonts w:ascii="Arial" w:eastAsia="Calibri" w:hAnsi="Arial" w:cs="Arial"/>
                <w:sz w:val="22"/>
                <w:szCs w:val="22"/>
                <w:lang w:val="sl-SI"/>
              </w:rPr>
            </w:pPr>
            <w:r w:rsidRPr="00C55C5A">
              <w:rPr>
                <w:rFonts w:ascii="Arial" w:eastAsia="Calibri" w:hAnsi="Arial" w:cs="Arial"/>
                <w:sz w:val="22"/>
                <w:szCs w:val="22"/>
                <w:lang w:val="sl-SI"/>
              </w:rPr>
              <w:t>Področje: MSP - TC 3</w:t>
            </w:r>
          </w:p>
        </w:tc>
      </w:tr>
      <w:tr w:rsidR="00C55C5A" w:rsidRPr="00C55C5A" w14:paraId="64E56A81" w14:textId="77777777" w:rsidTr="00E6701A">
        <w:tc>
          <w:tcPr>
            <w:tcW w:w="2836" w:type="dxa"/>
          </w:tcPr>
          <w:p w14:paraId="623C5CB8"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Mikrokrediti</w:t>
            </w:r>
          </w:p>
        </w:tc>
        <w:tc>
          <w:tcPr>
            <w:tcW w:w="2693" w:type="dxa"/>
          </w:tcPr>
          <w:p w14:paraId="40BDF083"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60 mio EUR</w:t>
            </w:r>
          </w:p>
        </w:tc>
        <w:tc>
          <w:tcPr>
            <w:tcW w:w="4819" w:type="dxa"/>
          </w:tcPr>
          <w:p w14:paraId="51C09A1F"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Mikro podjetja</w:t>
            </w:r>
          </w:p>
        </w:tc>
      </w:tr>
      <w:tr w:rsidR="00C55C5A" w:rsidRPr="00C55C5A" w14:paraId="5B59C24F" w14:textId="77777777" w:rsidTr="00E6701A">
        <w:tc>
          <w:tcPr>
            <w:tcW w:w="2836" w:type="dxa"/>
          </w:tcPr>
          <w:p w14:paraId="5033CF7F"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Portfeljske garancije</w:t>
            </w:r>
          </w:p>
        </w:tc>
        <w:tc>
          <w:tcPr>
            <w:tcW w:w="2693" w:type="dxa"/>
          </w:tcPr>
          <w:p w14:paraId="6EAC25E8"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65 mio EUR</w:t>
            </w:r>
          </w:p>
        </w:tc>
        <w:tc>
          <w:tcPr>
            <w:tcW w:w="4819" w:type="dxa"/>
          </w:tcPr>
          <w:p w14:paraId="5D372F43"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 xml:space="preserve">MSP </w:t>
            </w:r>
          </w:p>
          <w:p w14:paraId="291D1274"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(od tega 25 mio EUR snovna/energetska učinkovitost)</w:t>
            </w:r>
          </w:p>
        </w:tc>
      </w:tr>
      <w:tr w:rsidR="00C55C5A" w:rsidRPr="00C55C5A" w14:paraId="535DB489" w14:textId="77777777" w:rsidTr="00E6701A">
        <w:tc>
          <w:tcPr>
            <w:tcW w:w="2836" w:type="dxa"/>
          </w:tcPr>
          <w:p w14:paraId="1D802632"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Lastniško financiranje</w:t>
            </w:r>
          </w:p>
        </w:tc>
        <w:tc>
          <w:tcPr>
            <w:tcW w:w="2693" w:type="dxa"/>
          </w:tcPr>
          <w:p w14:paraId="5846094E"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10 mio EUR</w:t>
            </w:r>
          </w:p>
        </w:tc>
        <w:tc>
          <w:tcPr>
            <w:tcW w:w="4819" w:type="dxa"/>
          </w:tcPr>
          <w:p w14:paraId="11DFD792"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MSP</w:t>
            </w:r>
          </w:p>
        </w:tc>
      </w:tr>
      <w:tr w:rsidR="00C55C5A" w:rsidRPr="00C55C5A" w14:paraId="58E18630" w14:textId="77777777" w:rsidTr="00E6701A">
        <w:tc>
          <w:tcPr>
            <w:tcW w:w="10348" w:type="dxa"/>
            <w:gridSpan w:val="3"/>
            <w:shd w:val="clear" w:color="auto" w:fill="BDD6EE" w:themeFill="accent1" w:themeFillTint="66"/>
          </w:tcPr>
          <w:p w14:paraId="4CE3C3F6" w14:textId="77777777" w:rsidR="00C55C5A" w:rsidRPr="00C55C5A" w:rsidRDefault="00C55C5A" w:rsidP="00C55C5A">
            <w:pPr>
              <w:jc w:val="center"/>
              <w:rPr>
                <w:rFonts w:ascii="Arial" w:eastAsia="Calibri" w:hAnsi="Arial" w:cs="Arial"/>
                <w:sz w:val="22"/>
                <w:szCs w:val="22"/>
                <w:lang w:val="sl-SI"/>
              </w:rPr>
            </w:pPr>
            <w:r w:rsidRPr="00C55C5A">
              <w:rPr>
                <w:rFonts w:ascii="Arial" w:eastAsia="Calibri" w:hAnsi="Arial" w:cs="Arial"/>
                <w:sz w:val="22"/>
                <w:szCs w:val="22"/>
                <w:lang w:val="sl-SI"/>
              </w:rPr>
              <w:t>Področje: Energetska učinkovitost - TC 4</w:t>
            </w:r>
          </w:p>
        </w:tc>
      </w:tr>
      <w:tr w:rsidR="00C55C5A" w:rsidRPr="00C55C5A" w14:paraId="24E39115" w14:textId="77777777" w:rsidTr="00E6701A">
        <w:tc>
          <w:tcPr>
            <w:tcW w:w="2836" w:type="dxa"/>
          </w:tcPr>
          <w:p w14:paraId="5EE5C6C3" w14:textId="77777777" w:rsidR="00C55C5A" w:rsidRPr="00C55C5A" w:rsidRDefault="00C55C5A" w:rsidP="00C55C5A">
            <w:pPr>
              <w:jc w:val="both"/>
              <w:rPr>
                <w:rFonts w:ascii="Arial" w:hAnsi="Arial"/>
                <w:sz w:val="22"/>
                <w:szCs w:val="22"/>
                <w:lang w:val="sl-SI"/>
              </w:rPr>
            </w:pPr>
            <w:r w:rsidRPr="00C55C5A">
              <w:rPr>
                <w:rFonts w:ascii="Arial" w:hAnsi="Arial" w:cs="Arial"/>
                <w:sz w:val="22"/>
                <w:szCs w:val="22"/>
                <w:lang w:val="sl-SI"/>
              </w:rPr>
              <w:t>Posojila, garancijske sheme, lastniško financiranje</w:t>
            </w:r>
            <w:r w:rsidRPr="00C55C5A">
              <w:rPr>
                <w:rFonts w:ascii="Arial" w:hAnsi="Arial" w:cs="Arial"/>
                <w:sz w:val="22"/>
                <w:szCs w:val="22"/>
                <w:vertAlign w:val="superscript"/>
                <w:lang w:val="sl-SI"/>
              </w:rPr>
              <w:footnoteReference w:id="2"/>
            </w:r>
          </w:p>
          <w:p w14:paraId="30071330" w14:textId="77777777" w:rsidR="00C55C5A" w:rsidRPr="00C55C5A" w:rsidRDefault="00C55C5A" w:rsidP="00C55C5A">
            <w:pPr>
              <w:jc w:val="both"/>
              <w:rPr>
                <w:rFonts w:ascii="Arial" w:eastAsia="Calibri" w:hAnsi="Arial" w:cs="Arial"/>
                <w:sz w:val="22"/>
                <w:szCs w:val="22"/>
                <w:lang w:val="sl-SI"/>
              </w:rPr>
            </w:pPr>
          </w:p>
        </w:tc>
        <w:tc>
          <w:tcPr>
            <w:tcW w:w="2693" w:type="dxa"/>
          </w:tcPr>
          <w:p w14:paraId="1A77E4F1"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25 mio EUR</w:t>
            </w:r>
          </w:p>
        </w:tc>
        <w:tc>
          <w:tcPr>
            <w:tcW w:w="4819" w:type="dxa"/>
          </w:tcPr>
          <w:p w14:paraId="0496B67D"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Javni sektor, ESCO podjetja</w:t>
            </w:r>
          </w:p>
        </w:tc>
      </w:tr>
      <w:tr w:rsidR="00C55C5A" w:rsidRPr="00C55C5A" w14:paraId="7745EBFA" w14:textId="77777777" w:rsidTr="00E6701A">
        <w:tc>
          <w:tcPr>
            <w:tcW w:w="10348" w:type="dxa"/>
            <w:gridSpan w:val="3"/>
            <w:shd w:val="clear" w:color="auto" w:fill="BDD6EE" w:themeFill="accent1" w:themeFillTint="66"/>
          </w:tcPr>
          <w:p w14:paraId="4941AAE5" w14:textId="77777777" w:rsidR="00C55C5A" w:rsidRPr="00C55C5A" w:rsidRDefault="00C55C5A" w:rsidP="00C55C5A">
            <w:pPr>
              <w:jc w:val="center"/>
              <w:rPr>
                <w:rFonts w:ascii="Arial" w:eastAsia="Calibri" w:hAnsi="Arial" w:cs="Arial"/>
                <w:sz w:val="22"/>
                <w:szCs w:val="22"/>
                <w:lang w:val="sl-SI"/>
              </w:rPr>
            </w:pPr>
            <w:r w:rsidRPr="00C55C5A">
              <w:rPr>
                <w:rFonts w:ascii="Arial" w:eastAsia="Calibri" w:hAnsi="Arial" w:cs="Arial"/>
                <w:sz w:val="22"/>
                <w:szCs w:val="22"/>
                <w:lang w:val="sl-SI"/>
              </w:rPr>
              <w:t>Področje: Urbani razvoj - TC 6</w:t>
            </w:r>
          </w:p>
        </w:tc>
      </w:tr>
      <w:tr w:rsidR="00C55C5A" w:rsidRPr="00C55C5A" w14:paraId="2AFD4311" w14:textId="77777777" w:rsidTr="00E6701A">
        <w:tc>
          <w:tcPr>
            <w:tcW w:w="2836" w:type="dxa"/>
          </w:tcPr>
          <w:p w14:paraId="507ADF63"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Posojila</w:t>
            </w:r>
          </w:p>
        </w:tc>
        <w:tc>
          <w:tcPr>
            <w:tcW w:w="2693" w:type="dxa"/>
          </w:tcPr>
          <w:p w14:paraId="14D8C5B0"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5 mio EUR</w:t>
            </w:r>
          </w:p>
        </w:tc>
        <w:tc>
          <w:tcPr>
            <w:tcW w:w="4819" w:type="dxa"/>
          </w:tcPr>
          <w:p w14:paraId="5B24B9EB"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 xml:space="preserve">Gospodarstvo, lokalne skupnosti, upravljavci javnih površin in stavb, stanovanjske </w:t>
            </w:r>
            <w:r w:rsidRPr="00C55C5A">
              <w:rPr>
                <w:rFonts w:ascii="Arial" w:eastAsia="Calibri" w:hAnsi="Arial" w:cs="Arial"/>
                <w:sz w:val="22"/>
                <w:szCs w:val="22"/>
                <w:lang w:val="sl-SI"/>
              </w:rPr>
              <w:lastRenderedPageBreak/>
              <w:t>kooperative in ponudniki drugih alternativnih oblik bivanja v mestih.</w:t>
            </w:r>
          </w:p>
        </w:tc>
      </w:tr>
    </w:tbl>
    <w:p w14:paraId="51029CB8"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lastRenderedPageBreak/>
        <w:t xml:space="preserve">Kombinacija FI z nepovratnimi viri je možna. </w:t>
      </w:r>
    </w:p>
    <w:p w14:paraId="6C432BDD"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Viri za izvajanje FI se lahko zagotavljajo iz sredstev evropskih strukturnih in investicijskih skladov (ESIF), nacionalnih virov, drugih EU virov (npr. EFSI), lastnih virov upravljavca sklada skladov, lastnih virov finančnih posrednikov in drugih virov. Prav tako je mogoče v okviru sklada skladov ponovno uporabiti vrnjena sredstva iz naslova prve porabe sredstev ESIF.</w:t>
      </w:r>
    </w:p>
    <w:p w14:paraId="67F6A223" w14:textId="77777777" w:rsidR="00C55C5A" w:rsidRPr="00C55C5A" w:rsidRDefault="00C55C5A" w:rsidP="00C55C5A">
      <w:pPr>
        <w:jc w:val="both"/>
        <w:rPr>
          <w:rFonts w:ascii="Arial" w:hAnsi="Arial" w:cs="Arial"/>
          <w:sz w:val="22"/>
          <w:szCs w:val="22"/>
          <w:lang w:val="sl-SI"/>
        </w:rPr>
      </w:pPr>
    </w:p>
    <w:p w14:paraId="7BB7056F" w14:textId="77777777" w:rsidR="00C55C5A" w:rsidRPr="00C55C5A" w:rsidRDefault="00C55C5A" w:rsidP="00C55C5A">
      <w:pPr>
        <w:spacing w:after="160"/>
        <w:jc w:val="both"/>
        <w:rPr>
          <w:rFonts w:ascii="Arial" w:hAnsi="Arial" w:cs="Arial"/>
          <w:sz w:val="22"/>
          <w:szCs w:val="22"/>
          <w:lang w:val="sl-SI"/>
        </w:rPr>
      </w:pPr>
      <w:r w:rsidRPr="00C55C5A">
        <w:rPr>
          <w:rFonts w:ascii="Arial" w:hAnsi="Arial" w:cs="Arial"/>
          <w:sz w:val="22"/>
          <w:szCs w:val="22"/>
          <w:lang w:val="sl-SI"/>
        </w:rPr>
        <w:t>V poglavju Spremljanje izvajanja in poročanje so predvidena potrebna poročila z namenom spremljanja izvajanja FI. Upravljavec sklada skladov bo moral vzpostaviti enoten informacijski sistem, v katerem bo evidentiral podatke z namenom stalnega spremljanja sredstev vplačanih v sklad skladov do prenehanja njegovega delovanja, doseganja ciljev in kazalnikov, itd.</w:t>
      </w:r>
    </w:p>
    <w:p w14:paraId="375862AB"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poglavju Izdelan program porabe sredstev so predvidena vplačila ESIF sredstev v sklad skladov v okviru štirih področij – tematskih ciljev: raziskave, razvoj in inovacije (TC 1), mala in srednje velika podjetja (TC 3), energetska učinkovitost (TC 4) in urbani razvoj (TC 6). Prva tranša bo izplačana po podpisu sporazuma o financiranju v višini 63,25 mio EUR (25% celotne predvidene alokacije sredstev na sklad skladov). Ostala sredstva bodo vplačana v sklad skladov skladno z 41. členom Uredbe EU 1303/2013, pri čemer je za nemoteno izvajanje FI potrebno zagotoviti določeno fleksibilnost, med drugim tudi na način, kot ga omogoča Delegirana uredba EK 480/2014 (10. člen).</w:t>
      </w:r>
    </w:p>
    <w:p w14:paraId="54CE10F6" w14:textId="77777777" w:rsidR="00C55C5A" w:rsidRPr="00C55C5A" w:rsidRDefault="00C55C5A" w:rsidP="00C55C5A">
      <w:pPr>
        <w:jc w:val="both"/>
        <w:rPr>
          <w:rFonts w:ascii="Arial" w:hAnsi="Arial" w:cs="Arial"/>
          <w:sz w:val="22"/>
          <w:szCs w:val="22"/>
          <w:lang w:val="sl-SI"/>
        </w:rPr>
      </w:pPr>
    </w:p>
    <w:p w14:paraId="006D9B3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poglavju Obdobje porabe sredstev je določeno obdobje potrebnega vplačila sredstev ESIF skladov v sklad skladov od 1.1.2014 – 31.12.2022. Skrajni rok za nakazilo sredstev končnim prejemnikom oziroma za odobritev kreditov v primeru garancij ali drugih instrumentov prevzema tveganj je 31.12.2023 oz. kasneje v primeru podaljšanja rokov s strani Evropske komisije, in se določi s sporazumom o financiranju. Rok se lahko tudi skrajša zaradi postopkov zaključevanja OP 2014 – 2020.</w:t>
      </w:r>
    </w:p>
    <w:p w14:paraId="07E84B66" w14:textId="77777777" w:rsidR="00C55C5A" w:rsidRPr="00C55C5A" w:rsidRDefault="00C55C5A" w:rsidP="00C55C5A">
      <w:pPr>
        <w:jc w:val="both"/>
        <w:rPr>
          <w:rFonts w:ascii="Arial" w:hAnsi="Arial" w:cs="Arial"/>
          <w:sz w:val="22"/>
          <w:szCs w:val="22"/>
          <w:lang w:val="sl-SI"/>
        </w:rPr>
      </w:pPr>
    </w:p>
    <w:p w14:paraId="75A1474B"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poglavju Način ponovne uporabe sredstev so predstavljene možnosti ponovne uporabe sredstev skladno s 44. členom Uredbe EU št. 1303/2013.</w:t>
      </w:r>
    </w:p>
    <w:p w14:paraId="4738F946" w14:textId="77777777" w:rsidR="00C55C5A" w:rsidRPr="00C55C5A" w:rsidRDefault="00C55C5A" w:rsidP="00C55C5A">
      <w:pPr>
        <w:jc w:val="both"/>
        <w:rPr>
          <w:rFonts w:ascii="Arial" w:hAnsi="Arial" w:cs="Arial"/>
          <w:sz w:val="22"/>
          <w:szCs w:val="22"/>
          <w:lang w:val="sl-SI"/>
        </w:rPr>
      </w:pPr>
    </w:p>
    <w:p w14:paraId="6FBFDFBF"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poglavju Obresti od finančnih instrumentov je navedeno, da se obresti in drugi donosi uporabijo za financiranje dejavnosti FI, v skladu z namenom in vsebino OP 2014 – 2020.</w:t>
      </w:r>
    </w:p>
    <w:p w14:paraId="2EF7A31D" w14:textId="77777777" w:rsidR="00C55C5A" w:rsidRPr="00C55C5A" w:rsidRDefault="00C55C5A" w:rsidP="00C55C5A">
      <w:pPr>
        <w:jc w:val="both"/>
        <w:rPr>
          <w:rFonts w:ascii="Arial" w:hAnsi="Arial" w:cs="Arial"/>
          <w:sz w:val="22"/>
          <w:szCs w:val="22"/>
          <w:lang w:val="sl-SI"/>
        </w:rPr>
      </w:pPr>
    </w:p>
    <w:p w14:paraId="6D396BC5"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poglavju Pogoji prispevka iz državnega proračuna v finančne instrumente so predstavljeni:</w:t>
      </w:r>
    </w:p>
    <w:p w14:paraId="4EE85568"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učinek finančnega vzvoda,</w:t>
      </w:r>
    </w:p>
    <w:p w14:paraId="422165E6"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upravljavska provizija,</w:t>
      </w:r>
    </w:p>
    <w:p w14:paraId="164F10B5"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vodenje evidenc,</w:t>
      </w:r>
    </w:p>
    <w:p w14:paraId="7240B5A9"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 xml:space="preserve">hranjenje dokumentacije, </w:t>
      </w:r>
    </w:p>
    <w:p w14:paraId="3786004B"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spremljanje državnih pomoči,</w:t>
      </w:r>
    </w:p>
    <w:p w14:paraId="2AC6064E"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spremljanje ciljev in kazalnikov,</w:t>
      </w:r>
    </w:p>
    <w:p w14:paraId="09EC95A3"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informiranje in obveščanje,</w:t>
      </w:r>
    </w:p>
    <w:p w14:paraId="543543A3"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 xml:space="preserve">obvladovanje tveganja, </w:t>
      </w:r>
    </w:p>
    <w:p w14:paraId="1A70B19D" w14:textId="77777777" w:rsidR="00C55C5A" w:rsidRPr="00C55C5A" w:rsidRDefault="00C55C5A" w:rsidP="00C55C5A">
      <w:pPr>
        <w:numPr>
          <w:ilvl w:val="0"/>
          <w:numId w:val="24"/>
        </w:numPr>
        <w:jc w:val="both"/>
        <w:rPr>
          <w:rFonts w:ascii="Arial" w:eastAsia="Calibri" w:hAnsi="Arial" w:cs="Arial"/>
          <w:sz w:val="22"/>
          <w:szCs w:val="22"/>
          <w:lang w:val="sl-SI"/>
        </w:rPr>
      </w:pPr>
      <w:r w:rsidRPr="00C55C5A">
        <w:rPr>
          <w:rFonts w:ascii="Arial" w:eastAsia="Calibri" w:hAnsi="Arial" w:cs="Arial"/>
          <w:sz w:val="22"/>
          <w:szCs w:val="22"/>
          <w:lang w:val="sl-SI"/>
        </w:rPr>
        <w:t>strategija izstopa.</w:t>
      </w:r>
    </w:p>
    <w:p w14:paraId="705A8F00" w14:textId="77777777" w:rsidR="00C55C5A" w:rsidRPr="00C55C5A" w:rsidRDefault="00C55C5A" w:rsidP="00C55C5A">
      <w:pPr>
        <w:jc w:val="both"/>
        <w:rPr>
          <w:rFonts w:ascii="Arial" w:hAnsi="Arial" w:cs="Arial"/>
          <w:sz w:val="22"/>
          <w:szCs w:val="22"/>
          <w:lang w:val="sl-SI"/>
        </w:rPr>
      </w:pPr>
    </w:p>
    <w:p w14:paraId="5D2CF154"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poglavju Politika prekinitve finančnega instrumenta je predvidena možnost prekinitve finančnega instrumenta v obdobju upravičenosti.</w:t>
      </w:r>
    </w:p>
    <w:p w14:paraId="203306F3" w14:textId="77777777" w:rsidR="00C55C5A" w:rsidRPr="00C55C5A" w:rsidRDefault="00C55C5A" w:rsidP="00C55C5A">
      <w:pPr>
        <w:jc w:val="both"/>
        <w:rPr>
          <w:rFonts w:ascii="Arial" w:hAnsi="Arial" w:cs="Arial"/>
          <w:sz w:val="22"/>
          <w:szCs w:val="22"/>
          <w:lang w:val="sl-SI"/>
        </w:rPr>
      </w:pPr>
    </w:p>
    <w:p w14:paraId="609E4D2D"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poglavju Podlaga za izvajanje revizij je določen nadzor nad skladom skladov.</w:t>
      </w:r>
    </w:p>
    <w:p w14:paraId="1F307239" w14:textId="46110B0D" w:rsidR="00C55C5A" w:rsidRPr="00C55C5A" w:rsidRDefault="00C55C5A" w:rsidP="00C55C5A">
      <w:pPr>
        <w:jc w:val="both"/>
        <w:rPr>
          <w:rFonts w:ascii="Arial" w:hAnsi="Arial" w:cs="Arial"/>
          <w:sz w:val="22"/>
          <w:lang w:val="sl-SI"/>
        </w:rPr>
      </w:pPr>
    </w:p>
    <w:p w14:paraId="209ACA47" w14:textId="7721CC12" w:rsidR="00C55C5A" w:rsidRPr="00C55C5A" w:rsidRDefault="00C55C5A" w:rsidP="00C55C5A">
      <w:pPr>
        <w:keepNext/>
        <w:shd w:val="clear" w:color="auto" w:fill="9CC2E5"/>
        <w:outlineLvl w:val="1"/>
        <w:rPr>
          <w:rFonts w:ascii="Arial" w:hAnsi="Arial" w:cs="Arial"/>
          <w:b/>
          <w:sz w:val="32"/>
          <w:szCs w:val="32"/>
          <w:lang w:val="sl-SI"/>
        </w:rPr>
      </w:pPr>
      <w:bookmarkStart w:id="13" w:name="_Toc479162933"/>
      <w:r w:rsidRPr="00C55C5A">
        <w:rPr>
          <w:rFonts w:ascii="Arial" w:hAnsi="Arial" w:cs="Arial"/>
          <w:b/>
          <w:sz w:val="32"/>
          <w:szCs w:val="32"/>
          <w:lang w:val="sl-SI"/>
        </w:rPr>
        <w:t>1. Uvod</w:t>
      </w:r>
      <w:bookmarkEnd w:id="13"/>
    </w:p>
    <w:p w14:paraId="6D4EC9E6" w14:textId="77777777" w:rsidR="00C55C5A" w:rsidRPr="00C55C5A" w:rsidRDefault="00C55C5A" w:rsidP="00C55C5A">
      <w:pPr>
        <w:jc w:val="both"/>
        <w:rPr>
          <w:rFonts w:ascii="Arial" w:hAnsi="Arial" w:cs="Arial"/>
          <w:sz w:val="22"/>
          <w:lang w:val="sl-SI"/>
        </w:rPr>
      </w:pPr>
    </w:p>
    <w:p w14:paraId="02A48108" w14:textId="77777777" w:rsidR="00C55C5A" w:rsidRPr="00C55C5A" w:rsidRDefault="00C55C5A" w:rsidP="00C55C5A">
      <w:pPr>
        <w:jc w:val="both"/>
        <w:rPr>
          <w:rFonts w:ascii="Arial" w:hAnsi="Arial" w:cs="Arial"/>
          <w:sz w:val="22"/>
          <w:szCs w:val="22"/>
          <w:lang w:val="sl-SI"/>
        </w:rPr>
      </w:pPr>
    </w:p>
    <w:p w14:paraId="7BF6C8C6"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Ključni elementi finančnih instrumentov v programskem obdobju 2014 – 2020 (v nadaljevanju: Ključni elementi FI) predstavljajo (i) izhodišče za izbor upravljavca sklada skladov v Sloveniji za programsko obdobje 2014 – 2020 skladno s točko b) četrtega odstavka 38. člena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nadaljevanju: uredba (EU) št. 1303/2013) na podlagi Zakona o javnem naročanju (ZJN-3), (ii) pripravo sporazuma o financiranju med Ministrstvom za gospodarski razvoj in tehnologijo kot posredniškim organom in upravljavcem sklada skladov (v nadaljevanju: sporazum o financiranju), (iii) podlago za potrditev operacije s strani OU ter (iv) usmeritve za določitev finančnih produktov. Hkrati predstavljajo Ključni elementi FI osnovo za izvajanje finančnih instrumentov po zaključku programskega obdobja skladno z ugotovljenimi vrzelmi financiranja.</w:t>
      </w:r>
    </w:p>
    <w:p w14:paraId="45814EF7" w14:textId="77777777" w:rsidR="00C55C5A" w:rsidRPr="00C55C5A" w:rsidRDefault="00C55C5A" w:rsidP="00C55C5A">
      <w:pPr>
        <w:jc w:val="both"/>
        <w:rPr>
          <w:rFonts w:ascii="Arial" w:hAnsi="Arial" w:cs="Arial"/>
          <w:sz w:val="22"/>
          <w:szCs w:val="22"/>
          <w:lang w:val="sl-SI"/>
        </w:rPr>
      </w:pPr>
    </w:p>
    <w:p w14:paraId="0CBF2E0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Podlago za pripravo Ključnih elementov FI predstavljata (i) Predhodna ocena finančnih instrumentov v Sloveniji - Končno poročilo z dne 27.11.2015 (v nadaljevanju Predhodna ocena FI), ki jo je v skladu z 37. členom Uredbe (EU) št. 1303/2013 v sodelovanju z organoma upravljanja: Službo vlade za razvoj in evropsko kohezijsko politiko (pristojen za kohezijsko politiko) in Ministrstvom za kmetijstvo, gozdarstvo in prehrano (pristojen za kmetijsko politiko), izdelalo podjetje PWC d.o.o. Slovenija, in (ii) mnenje Evropske investicijske banke z dne 13. 7. 2016 k Predhodni oceni FI, s katerim se je Predhodna ocena FI posodobila. </w:t>
      </w:r>
    </w:p>
    <w:p w14:paraId="1D558349" w14:textId="77777777" w:rsidR="00C55C5A" w:rsidRPr="00C55C5A" w:rsidRDefault="00C55C5A" w:rsidP="00C55C5A">
      <w:pPr>
        <w:jc w:val="both"/>
        <w:rPr>
          <w:rFonts w:ascii="Arial" w:hAnsi="Arial" w:cs="Arial"/>
          <w:sz w:val="22"/>
          <w:szCs w:val="22"/>
          <w:lang w:val="sl-SI"/>
        </w:rPr>
      </w:pPr>
    </w:p>
    <w:p w14:paraId="749A3898"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Ključne elemente FI, vključno z naložbeno strategijo je pripravilo Ministrstvo za gospodarski razvoj in tehnologijo (v nadaljevanju: MGRT) skupaj s sodelujočima ministrstvoma Ministrstvom za infrastrukturo (v nadaljevanju: MZI) in Ministrstvom za okolje in prostor (v nadaljevanju: MOP), organom upravljanja Službo Vlade RS za razvoj in evropsko kohezijsko politiko (v nadaljevanju OU) in Ministrstvom za finance (MF). Del Ključnih elementov FI, ki se nanaša na urbani razvoj, je usklajen tudi z Združenjem mestnih občin kot posredniškim organom za urbani razvoj.</w:t>
      </w:r>
    </w:p>
    <w:p w14:paraId="5B7A1E72" w14:textId="77777777" w:rsidR="00C55C5A" w:rsidRPr="00C55C5A" w:rsidRDefault="00C55C5A" w:rsidP="00C55C5A">
      <w:pPr>
        <w:jc w:val="both"/>
        <w:rPr>
          <w:rFonts w:ascii="Arial" w:hAnsi="Arial" w:cs="Arial"/>
          <w:sz w:val="22"/>
          <w:szCs w:val="22"/>
          <w:lang w:val="sl-SI"/>
        </w:rPr>
      </w:pPr>
    </w:p>
    <w:p w14:paraId="76EEE5BC" w14:textId="77777777" w:rsidR="00C55C5A" w:rsidRPr="00C55C5A" w:rsidRDefault="00C55C5A" w:rsidP="00C55C5A">
      <w:pPr>
        <w:autoSpaceDE w:val="0"/>
        <w:autoSpaceDN w:val="0"/>
        <w:adjustRightInd w:val="0"/>
        <w:contextualSpacing/>
        <w:jc w:val="both"/>
        <w:rPr>
          <w:rFonts w:ascii="Arial" w:hAnsi="Arial" w:cs="Arial"/>
          <w:sz w:val="22"/>
          <w:szCs w:val="22"/>
          <w:lang w:val="sl-SI"/>
        </w:rPr>
      </w:pPr>
      <w:r w:rsidRPr="00C55C5A">
        <w:rPr>
          <w:rFonts w:ascii="Arial" w:hAnsi="Arial" w:cs="Arial"/>
          <w:sz w:val="22"/>
          <w:szCs w:val="22"/>
          <w:lang w:val="sl-SI"/>
        </w:rPr>
        <w:t xml:space="preserve">S Ključnimi elementi FI se je skladno s 37.b členom </w:t>
      </w:r>
      <w:r w:rsidRPr="00C55C5A">
        <w:rPr>
          <w:rFonts w:ascii="Arial" w:hAnsi="Arial" w:cs="Arial"/>
          <w:color w:val="000000"/>
          <w:sz w:val="22"/>
          <w:szCs w:val="22"/>
          <w:lang w:val="sl-SI"/>
        </w:rPr>
        <w:t xml:space="preserve">Uredbe o porabi sredstev evropske kohezijske politike v Republiki Sloveniji v programskem obdobju 2014-2020 za cilj naložbe za rast in delovna mesta (Uradni list RS, št. 29/15, 36/16 in 58/16 in 69/16 – popr.) seznanil </w:t>
      </w:r>
      <w:r w:rsidRPr="00C55C5A">
        <w:rPr>
          <w:rFonts w:ascii="Arial" w:hAnsi="Arial" w:cs="Arial"/>
          <w:sz w:val="22"/>
          <w:szCs w:val="22"/>
          <w:lang w:val="sl-SI"/>
        </w:rPr>
        <w:t xml:space="preserve"> usmerjevalni odbor za finančne instrumente</w:t>
      </w:r>
      <w:r w:rsidRPr="00C55C5A">
        <w:rPr>
          <w:rFonts w:ascii="Arial" w:hAnsi="Arial" w:cs="Arial"/>
          <w:color w:val="000000"/>
          <w:sz w:val="22"/>
          <w:szCs w:val="22"/>
          <w:lang w:val="sl-SI"/>
        </w:rPr>
        <w:t>. Skladno s to uredbo deluje usmerjevalni odbor kot posvetovalni organ posredniškega organa, pristojnega za izvajanje finančnih instrumentov, h katerim prispevajo sredstva ESIF skladov.</w:t>
      </w:r>
    </w:p>
    <w:p w14:paraId="45F053D5" w14:textId="77777777" w:rsidR="00C55C5A" w:rsidRPr="00C55C5A" w:rsidRDefault="00C55C5A" w:rsidP="00C55C5A">
      <w:pPr>
        <w:jc w:val="both"/>
        <w:rPr>
          <w:rFonts w:ascii="Arial" w:hAnsi="Arial" w:cs="Arial"/>
          <w:sz w:val="22"/>
          <w:szCs w:val="22"/>
          <w:lang w:val="sl-SI"/>
        </w:rPr>
      </w:pPr>
    </w:p>
    <w:p w14:paraId="2FCCFA02"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Finančni instrumenti (nadaljevanju: FI) se uporabljajo v skladu z načeli dobrega finančnega poslovodenja, preglednosti, sorazmernosti, nediskriminacije, enakega obravnavanja in subsidiarnosti, zato FI:</w:t>
      </w:r>
    </w:p>
    <w:p w14:paraId="659FDA38" w14:textId="77777777" w:rsidR="00C55C5A" w:rsidRPr="00C55C5A" w:rsidRDefault="00C55C5A" w:rsidP="00C55C5A">
      <w:pPr>
        <w:numPr>
          <w:ilvl w:val="0"/>
          <w:numId w:val="32"/>
        </w:numPr>
        <w:jc w:val="both"/>
        <w:rPr>
          <w:rFonts w:ascii="Arial" w:hAnsi="Arial" w:cs="Arial"/>
          <w:sz w:val="22"/>
          <w:szCs w:val="22"/>
          <w:lang w:val="sl-SI"/>
        </w:rPr>
      </w:pPr>
      <w:r w:rsidRPr="00C55C5A">
        <w:rPr>
          <w:rFonts w:ascii="Arial" w:hAnsi="Arial" w:cs="Arial"/>
          <w:sz w:val="22"/>
          <w:szCs w:val="22"/>
          <w:lang w:val="sl-SI"/>
        </w:rPr>
        <w:t xml:space="preserve">obravnavajo </w:t>
      </w:r>
      <w:r w:rsidRPr="00C55C5A">
        <w:rPr>
          <w:rFonts w:ascii="Arial" w:hAnsi="Arial" w:cs="Arial"/>
          <w:b/>
          <w:bCs/>
          <w:sz w:val="22"/>
          <w:szCs w:val="22"/>
          <w:lang w:val="sl-SI"/>
        </w:rPr>
        <w:t>nedelovanje trga ali naložbene okoliščine</w:t>
      </w:r>
      <w:r w:rsidRPr="00C55C5A">
        <w:rPr>
          <w:rFonts w:ascii="Arial" w:hAnsi="Arial" w:cs="Arial"/>
          <w:sz w:val="22"/>
          <w:szCs w:val="22"/>
          <w:lang w:val="sl-SI"/>
        </w:rPr>
        <w:t>, ki niso optimalne</w:t>
      </w:r>
    </w:p>
    <w:p w14:paraId="408378BA" w14:textId="77777777" w:rsidR="00C55C5A" w:rsidRPr="00C55C5A" w:rsidRDefault="00C55C5A" w:rsidP="00C55C5A">
      <w:pPr>
        <w:numPr>
          <w:ilvl w:val="0"/>
          <w:numId w:val="32"/>
        </w:numPr>
        <w:jc w:val="both"/>
        <w:rPr>
          <w:rFonts w:ascii="Arial" w:hAnsi="Arial" w:cs="Arial"/>
          <w:sz w:val="22"/>
          <w:szCs w:val="22"/>
          <w:lang w:val="sl-SI"/>
        </w:rPr>
      </w:pPr>
      <w:r w:rsidRPr="00C55C5A">
        <w:rPr>
          <w:rFonts w:ascii="Arial" w:hAnsi="Arial" w:cs="Arial"/>
          <w:sz w:val="22"/>
          <w:szCs w:val="22"/>
          <w:lang w:val="sl-SI"/>
        </w:rPr>
        <w:t>so na voljo za naložbe za katere je bilo dokazano</w:t>
      </w:r>
      <w:r w:rsidRPr="00C55C5A">
        <w:rPr>
          <w:rFonts w:ascii="Arial" w:hAnsi="Arial" w:cs="Arial"/>
          <w:i/>
          <w:iCs/>
          <w:sz w:val="22"/>
          <w:szCs w:val="22"/>
          <w:lang w:val="sl-SI"/>
        </w:rPr>
        <w:t xml:space="preserve">, </w:t>
      </w:r>
      <w:r w:rsidRPr="00C55C5A">
        <w:rPr>
          <w:rFonts w:ascii="Arial" w:hAnsi="Arial" w:cs="Arial"/>
          <w:sz w:val="22"/>
          <w:szCs w:val="22"/>
          <w:lang w:val="sl-SI"/>
        </w:rPr>
        <w:t xml:space="preserve">da so </w:t>
      </w:r>
      <w:r w:rsidRPr="00C55C5A">
        <w:rPr>
          <w:rFonts w:ascii="Arial" w:hAnsi="Arial" w:cs="Arial"/>
          <w:b/>
          <w:bCs/>
          <w:sz w:val="22"/>
          <w:szCs w:val="22"/>
          <w:lang w:val="sl-SI"/>
        </w:rPr>
        <w:t>finančno obstojne</w:t>
      </w:r>
      <w:r w:rsidRPr="00C55C5A">
        <w:rPr>
          <w:rFonts w:ascii="Arial" w:hAnsi="Arial" w:cs="Arial"/>
          <w:i/>
          <w:iCs/>
          <w:sz w:val="22"/>
          <w:szCs w:val="22"/>
          <w:lang w:val="sl-SI"/>
        </w:rPr>
        <w:t xml:space="preserve">, </w:t>
      </w:r>
      <w:r w:rsidRPr="00C55C5A">
        <w:rPr>
          <w:rFonts w:ascii="Arial" w:hAnsi="Arial" w:cs="Arial"/>
          <w:sz w:val="22"/>
          <w:szCs w:val="22"/>
          <w:lang w:val="sl-SI"/>
        </w:rPr>
        <w:t xml:space="preserve">vendar zanje na trgu ni dovolj finančnih sredstev; </w:t>
      </w:r>
    </w:p>
    <w:p w14:paraId="0EBB3E02" w14:textId="77777777" w:rsidR="00C55C5A" w:rsidRPr="00C55C5A" w:rsidRDefault="00C55C5A" w:rsidP="00C55C5A">
      <w:pPr>
        <w:numPr>
          <w:ilvl w:val="0"/>
          <w:numId w:val="32"/>
        </w:numPr>
        <w:jc w:val="both"/>
        <w:rPr>
          <w:rFonts w:ascii="Arial" w:hAnsi="Arial" w:cs="Arial"/>
          <w:sz w:val="22"/>
          <w:szCs w:val="22"/>
          <w:lang w:val="sl-SI"/>
        </w:rPr>
      </w:pPr>
      <w:r w:rsidRPr="00C55C5A">
        <w:rPr>
          <w:rFonts w:ascii="Arial" w:hAnsi="Arial" w:cs="Arial"/>
          <w:b/>
          <w:bCs/>
          <w:sz w:val="22"/>
          <w:szCs w:val="22"/>
          <w:lang w:val="sl-SI"/>
        </w:rPr>
        <w:t xml:space="preserve">zagotavljajo dodatnost: </w:t>
      </w:r>
      <w:r w:rsidRPr="00C55C5A">
        <w:rPr>
          <w:rFonts w:ascii="Arial" w:hAnsi="Arial" w:cs="Arial"/>
          <w:sz w:val="22"/>
          <w:szCs w:val="22"/>
          <w:lang w:val="sl-SI"/>
        </w:rPr>
        <w:t xml:space="preserve">ne smejo nadomestiti zasebnega financiranja; </w:t>
      </w:r>
    </w:p>
    <w:p w14:paraId="40467C50" w14:textId="77777777" w:rsidR="00C55C5A" w:rsidRPr="00C55C5A" w:rsidRDefault="00C55C5A" w:rsidP="00C55C5A">
      <w:pPr>
        <w:numPr>
          <w:ilvl w:val="0"/>
          <w:numId w:val="32"/>
        </w:numPr>
        <w:jc w:val="both"/>
        <w:rPr>
          <w:rFonts w:ascii="Arial" w:hAnsi="Arial" w:cs="Arial"/>
          <w:sz w:val="22"/>
          <w:szCs w:val="22"/>
          <w:lang w:val="sl-SI"/>
        </w:rPr>
      </w:pPr>
      <w:r w:rsidRPr="00C55C5A">
        <w:rPr>
          <w:rFonts w:ascii="Arial" w:hAnsi="Arial" w:cs="Arial"/>
          <w:b/>
          <w:bCs/>
          <w:sz w:val="22"/>
          <w:szCs w:val="22"/>
          <w:lang w:val="sl-SI"/>
        </w:rPr>
        <w:lastRenderedPageBreak/>
        <w:t xml:space="preserve">ne izkrivljajo konkurence </w:t>
      </w:r>
      <w:r w:rsidRPr="00C55C5A">
        <w:rPr>
          <w:rFonts w:ascii="Arial" w:hAnsi="Arial" w:cs="Arial"/>
          <w:sz w:val="22"/>
          <w:szCs w:val="22"/>
          <w:lang w:val="sl-SI"/>
        </w:rPr>
        <w:t xml:space="preserve">na  trgu in dosledno upoštevajo pravila o državnih pomočeh; </w:t>
      </w:r>
    </w:p>
    <w:p w14:paraId="6B1BDBA2" w14:textId="77777777" w:rsidR="00C55C5A" w:rsidRPr="00C55C5A" w:rsidRDefault="00C55C5A" w:rsidP="00C55C5A">
      <w:pPr>
        <w:numPr>
          <w:ilvl w:val="0"/>
          <w:numId w:val="32"/>
        </w:numPr>
        <w:jc w:val="both"/>
        <w:rPr>
          <w:rFonts w:ascii="Arial" w:hAnsi="Arial" w:cs="Arial"/>
          <w:sz w:val="22"/>
          <w:szCs w:val="22"/>
          <w:lang w:val="sl-SI"/>
        </w:rPr>
      </w:pPr>
      <w:r w:rsidRPr="00C55C5A">
        <w:rPr>
          <w:rFonts w:ascii="Arial" w:hAnsi="Arial" w:cs="Arial"/>
          <w:b/>
          <w:bCs/>
          <w:sz w:val="22"/>
          <w:szCs w:val="22"/>
          <w:lang w:val="sl-SI"/>
        </w:rPr>
        <w:t xml:space="preserve">zagotavljajo vzvod: </w:t>
      </w:r>
      <w:r w:rsidRPr="00C55C5A">
        <w:rPr>
          <w:rFonts w:ascii="Arial" w:hAnsi="Arial" w:cs="Arial"/>
          <w:sz w:val="22"/>
          <w:szCs w:val="22"/>
          <w:lang w:val="sl-SI"/>
        </w:rPr>
        <w:t>aktivirati morajo udeležbo zasebnih vlagateljev in finančnih institucij na podlagi ustrezne delitve tveganja.</w:t>
      </w:r>
    </w:p>
    <w:p w14:paraId="26C5B623" w14:textId="77777777" w:rsidR="00C55C5A" w:rsidRPr="00C55C5A" w:rsidRDefault="00C55C5A" w:rsidP="00C55C5A">
      <w:pPr>
        <w:jc w:val="both"/>
        <w:rPr>
          <w:rFonts w:ascii="Arial" w:hAnsi="Arial" w:cs="Arial"/>
          <w:sz w:val="22"/>
          <w:szCs w:val="22"/>
          <w:lang w:val="sl-SI"/>
        </w:rPr>
      </w:pPr>
    </w:p>
    <w:p w14:paraId="09E91FE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FI se bodo izvajali </w:t>
      </w:r>
      <w:r w:rsidRPr="00C55C5A">
        <w:rPr>
          <w:rFonts w:ascii="Arial" w:hAnsi="Arial" w:cs="Arial"/>
          <w:b/>
          <w:sz w:val="22"/>
          <w:szCs w:val="22"/>
          <w:lang w:val="sl-SI"/>
        </w:rPr>
        <w:t xml:space="preserve">v naslednjih oblikah </w:t>
      </w:r>
      <w:r w:rsidRPr="00C55C5A">
        <w:rPr>
          <w:rFonts w:ascii="Arial" w:hAnsi="Arial" w:cs="Arial"/>
          <w:sz w:val="22"/>
          <w:szCs w:val="22"/>
          <w:lang w:val="sl-SI"/>
        </w:rPr>
        <w:t xml:space="preserve"> :  </w:t>
      </w:r>
    </w:p>
    <w:p w14:paraId="4F7A9E50" w14:textId="77777777" w:rsidR="00C55C5A" w:rsidRPr="00C55C5A" w:rsidRDefault="00C55C5A" w:rsidP="00C55C5A">
      <w:pPr>
        <w:numPr>
          <w:ilvl w:val="0"/>
          <w:numId w:val="10"/>
        </w:numPr>
        <w:jc w:val="both"/>
        <w:rPr>
          <w:rFonts w:ascii="Arial" w:eastAsia="Calibri" w:hAnsi="Arial" w:cs="Arial"/>
          <w:sz w:val="22"/>
          <w:szCs w:val="22"/>
          <w:lang w:val="sl-SI"/>
        </w:rPr>
      </w:pPr>
      <w:r w:rsidRPr="00C55C5A">
        <w:rPr>
          <w:rFonts w:ascii="Arial" w:eastAsia="Calibri" w:hAnsi="Arial" w:cs="Arial"/>
          <w:sz w:val="22"/>
          <w:szCs w:val="22"/>
          <w:lang w:val="sl-SI"/>
        </w:rPr>
        <w:t>instrumenti lastniškega financiranja (lastniški kapital, kvazi-lastniški kapital, itd.),</w:t>
      </w:r>
    </w:p>
    <w:p w14:paraId="2E184D63" w14:textId="77777777" w:rsidR="00C55C5A" w:rsidRPr="00C55C5A" w:rsidRDefault="00C55C5A" w:rsidP="00C55C5A">
      <w:pPr>
        <w:numPr>
          <w:ilvl w:val="0"/>
          <w:numId w:val="10"/>
        </w:numPr>
        <w:jc w:val="both"/>
        <w:rPr>
          <w:rFonts w:ascii="Arial" w:eastAsia="Calibri" w:hAnsi="Arial" w:cs="Arial"/>
          <w:sz w:val="22"/>
          <w:szCs w:val="22"/>
          <w:lang w:val="sl-SI"/>
        </w:rPr>
      </w:pPr>
      <w:r w:rsidRPr="00C55C5A">
        <w:rPr>
          <w:rFonts w:ascii="Arial" w:eastAsia="Calibri" w:hAnsi="Arial" w:cs="Arial"/>
          <w:sz w:val="22"/>
          <w:szCs w:val="22"/>
          <w:lang w:val="sl-SI"/>
        </w:rPr>
        <w:t>instrumenti dolžniškega financiranja (garancije, krediti, itd.),</w:t>
      </w:r>
    </w:p>
    <w:p w14:paraId="755D9F23"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ki se bodo lahko kombinirali tudi z nepovratnimi viri.</w:t>
      </w:r>
    </w:p>
    <w:p w14:paraId="23AEE931" w14:textId="77777777" w:rsidR="00C55C5A" w:rsidRPr="00C55C5A" w:rsidRDefault="00C55C5A" w:rsidP="00C55C5A">
      <w:pPr>
        <w:jc w:val="both"/>
        <w:rPr>
          <w:rFonts w:ascii="Arial" w:hAnsi="Arial" w:cs="Arial"/>
          <w:sz w:val="22"/>
          <w:szCs w:val="22"/>
          <w:lang w:val="sl-SI"/>
        </w:rPr>
      </w:pPr>
    </w:p>
    <w:p w14:paraId="0834D0CD"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Sredstva za izvajanje FI v okviru sklada skladov se lahko zagotovijo iz </w:t>
      </w:r>
      <w:r w:rsidRPr="00C55C5A">
        <w:rPr>
          <w:rFonts w:ascii="Arial" w:hAnsi="Arial" w:cs="Arial"/>
          <w:b/>
          <w:sz w:val="22"/>
          <w:szCs w:val="22"/>
          <w:lang w:val="sl-SI"/>
        </w:rPr>
        <w:t>različnih virov</w:t>
      </w:r>
      <w:r w:rsidRPr="00C55C5A">
        <w:rPr>
          <w:rFonts w:ascii="Arial" w:hAnsi="Arial" w:cs="Arial"/>
          <w:sz w:val="22"/>
          <w:szCs w:val="22"/>
          <w:lang w:val="sl-SI"/>
        </w:rPr>
        <w:t>:</w:t>
      </w:r>
    </w:p>
    <w:p w14:paraId="6D3AED56" w14:textId="77777777" w:rsidR="00C55C5A" w:rsidRPr="00C55C5A" w:rsidRDefault="00C55C5A" w:rsidP="00C55C5A">
      <w:pPr>
        <w:numPr>
          <w:ilvl w:val="0"/>
          <w:numId w:val="10"/>
        </w:numPr>
        <w:contextualSpacing/>
        <w:jc w:val="both"/>
        <w:rPr>
          <w:rFonts w:ascii="Arial" w:eastAsia="Calibri" w:hAnsi="Arial" w:cs="Arial"/>
          <w:sz w:val="22"/>
          <w:szCs w:val="22"/>
          <w:lang w:val="sl-SI"/>
        </w:rPr>
      </w:pPr>
      <w:r w:rsidRPr="00C55C5A">
        <w:rPr>
          <w:rFonts w:ascii="Arial" w:eastAsia="Calibri" w:hAnsi="Arial" w:cs="Arial"/>
          <w:sz w:val="22"/>
          <w:szCs w:val="22"/>
          <w:lang w:val="sl-SI"/>
        </w:rPr>
        <w:t>sredstev ESIF skladov,</w:t>
      </w:r>
    </w:p>
    <w:p w14:paraId="08AFE42C" w14:textId="77777777" w:rsidR="00C55C5A" w:rsidRPr="00C55C5A" w:rsidRDefault="00C55C5A" w:rsidP="00C55C5A">
      <w:pPr>
        <w:numPr>
          <w:ilvl w:val="0"/>
          <w:numId w:val="10"/>
        </w:numPr>
        <w:contextualSpacing/>
        <w:jc w:val="both"/>
        <w:rPr>
          <w:rFonts w:ascii="Arial" w:eastAsia="Calibri" w:hAnsi="Arial" w:cs="Arial"/>
          <w:sz w:val="22"/>
          <w:szCs w:val="22"/>
          <w:lang w:val="sl-SI"/>
        </w:rPr>
      </w:pPr>
      <w:r w:rsidRPr="00C55C5A">
        <w:rPr>
          <w:rFonts w:ascii="Arial" w:eastAsia="Calibri" w:hAnsi="Arial" w:cs="Arial"/>
          <w:sz w:val="22"/>
          <w:szCs w:val="22"/>
          <w:lang w:val="sl-SI"/>
        </w:rPr>
        <w:t>nacionalnih virov,</w:t>
      </w:r>
    </w:p>
    <w:p w14:paraId="5ED11D10" w14:textId="77777777" w:rsidR="00C55C5A" w:rsidRPr="00C55C5A" w:rsidRDefault="00C55C5A" w:rsidP="00C55C5A">
      <w:pPr>
        <w:numPr>
          <w:ilvl w:val="0"/>
          <w:numId w:val="10"/>
        </w:numPr>
        <w:contextualSpacing/>
        <w:jc w:val="both"/>
        <w:rPr>
          <w:rFonts w:ascii="Arial" w:eastAsia="Calibri" w:hAnsi="Arial" w:cs="Arial"/>
          <w:sz w:val="22"/>
          <w:szCs w:val="22"/>
          <w:lang w:val="sl-SI"/>
        </w:rPr>
      </w:pPr>
      <w:r w:rsidRPr="00C55C5A">
        <w:rPr>
          <w:rFonts w:ascii="Arial" w:eastAsia="Calibri" w:hAnsi="Arial" w:cs="Arial"/>
          <w:iCs/>
          <w:color w:val="000000"/>
          <w:sz w:val="22"/>
          <w:szCs w:val="22"/>
          <w:lang w:val="sl-SI"/>
        </w:rPr>
        <w:t>drugih EU virov (npr. viri COSME, Obzorje 2020, Evropski sklad za strateške investicije (EFSI), EASI, itd.),</w:t>
      </w:r>
    </w:p>
    <w:p w14:paraId="1754C7AE" w14:textId="77777777" w:rsidR="00C55C5A" w:rsidRPr="00C55C5A" w:rsidRDefault="00C55C5A" w:rsidP="00C55C5A">
      <w:pPr>
        <w:numPr>
          <w:ilvl w:val="0"/>
          <w:numId w:val="10"/>
        </w:numPr>
        <w:contextualSpacing/>
        <w:jc w:val="both"/>
        <w:rPr>
          <w:rFonts w:ascii="Arial" w:eastAsia="Calibri" w:hAnsi="Arial" w:cs="Arial"/>
          <w:sz w:val="22"/>
          <w:szCs w:val="22"/>
          <w:lang w:val="sl-SI"/>
        </w:rPr>
      </w:pPr>
      <w:r w:rsidRPr="00C55C5A">
        <w:rPr>
          <w:rFonts w:ascii="Arial" w:eastAsia="Calibri" w:hAnsi="Arial" w:cs="Arial"/>
          <w:iCs/>
          <w:color w:val="000000"/>
          <w:sz w:val="22"/>
          <w:szCs w:val="22"/>
          <w:lang w:val="sl-SI"/>
        </w:rPr>
        <w:t>l</w:t>
      </w:r>
      <w:r w:rsidRPr="00C55C5A">
        <w:rPr>
          <w:rFonts w:ascii="Arial" w:eastAsia="Calibri" w:hAnsi="Arial" w:cs="Arial"/>
          <w:sz w:val="22"/>
          <w:szCs w:val="22"/>
          <w:lang w:val="sl-SI"/>
        </w:rPr>
        <w:t>astnih virov upravljavca sklada skladov,</w:t>
      </w:r>
    </w:p>
    <w:p w14:paraId="2A7D2206" w14:textId="77777777" w:rsidR="00C55C5A" w:rsidRPr="00C55C5A" w:rsidRDefault="00C55C5A" w:rsidP="00C55C5A">
      <w:pPr>
        <w:numPr>
          <w:ilvl w:val="0"/>
          <w:numId w:val="10"/>
        </w:numPr>
        <w:contextualSpacing/>
        <w:jc w:val="both"/>
        <w:rPr>
          <w:rFonts w:ascii="Arial" w:eastAsia="Calibri" w:hAnsi="Arial" w:cs="Arial"/>
          <w:sz w:val="22"/>
          <w:szCs w:val="22"/>
          <w:lang w:val="sl-SI"/>
        </w:rPr>
      </w:pPr>
      <w:r w:rsidRPr="00C55C5A">
        <w:rPr>
          <w:rFonts w:ascii="Arial" w:eastAsia="Calibri" w:hAnsi="Arial" w:cs="Arial"/>
          <w:iCs/>
          <w:color w:val="000000"/>
          <w:sz w:val="22"/>
          <w:szCs w:val="22"/>
          <w:lang w:val="sl-SI"/>
        </w:rPr>
        <w:t>lastnih virov finančnih posrednikov</w:t>
      </w:r>
      <w:r w:rsidRPr="00C55C5A">
        <w:rPr>
          <w:rFonts w:ascii="Arial" w:eastAsia="Calibri" w:hAnsi="Arial" w:cs="Arial"/>
          <w:sz w:val="22"/>
          <w:szCs w:val="22"/>
          <w:lang w:val="sl-SI"/>
        </w:rPr>
        <w:t xml:space="preserve"> in </w:t>
      </w:r>
    </w:p>
    <w:p w14:paraId="1D8F026B" w14:textId="77777777" w:rsidR="00C55C5A" w:rsidRPr="00C55C5A" w:rsidRDefault="00C55C5A" w:rsidP="00C55C5A">
      <w:pPr>
        <w:numPr>
          <w:ilvl w:val="0"/>
          <w:numId w:val="10"/>
        </w:numPr>
        <w:jc w:val="both"/>
        <w:rPr>
          <w:rFonts w:ascii="Arial" w:eastAsia="Calibri" w:hAnsi="Arial" w:cs="Arial"/>
          <w:sz w:val="22"/>
          <w:szCs w:val="22"/>
          <w:lang w:val="sl-SI"/>
        </w:rPr>
      </w:pPr>
      <w:r w:rsidRPr="00C55C5A">
        <w:rPr>
          <w:rFonts w:ascii="Arial" w:eastAsia="Calibri" w:hAnsi="Arial" w:cs="Arial"/>
          <w:sz w:val="22"/>
          <w:szCs w:val="22"/>
          <w:lang w:val="sl-SI"/>
        </w:rPr>
        <w:t>drugih virov.</w:t>
      </w:r>
    </w:p>
    <w:p w14:paraId="125C8C3B" w14:textId="77777777" w:rsidR="00C55C5A" w:rsidRPr="00C55C5A" w:rsidRDefault="00C55C5A" w:rsidP="00C55C5A">
      <w:pPr>
        <w:jc w:val="both"/>
        <w:rPr>
          <w:rFonts w:ascii="Arial" w:hAnsi="Arial" w:cs="Arial"/>
          <w:sz w:val="22"/>
          <w:szCs w:val="22"/>
          <w:lang w:val="sl-SI"/>
        </w:rPr>
      </w:pPr>
    </w:p>
    <w:p w14:paraId="037C603F"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Sredstva, ki se vrnejo finančnim instrumentom na ločen(e) podračun(e), se ponovno uporabijo za namene skladno s 44. členom Uredbe EU št. 1303/2013.</w:t>
      </w:r>
    </w:p>
    <w:p w14:paraId="5584F5D3" w14:textId="77777777" w:rsidR="00C55C5A" w:rsidRPr="00C55C5A" w:rsidRDefault="00C55C5A" w:rsidP="00C55C5A">
      <w:pPr>
        <w:jc w:val="both"/>
        <w:rPr>
          <w:rFonts w:ascii="Arial" w:hAnsi="Arial" w:cs="Arial"/>
          <w:sz w:val="22"/>
          <w:szCs w:val="22"/>
          <w:lang w:val="sl-SI"/>
        </w:rPr>
      </w:pPr>
    </w:p>
    <w:p w14:paraId="68D78E8B"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 xml:space="preserve">Predlagani finančni produkti </w:t>
      </w:r>
      <w:r w:rsidRPr="00C55C5A">
        <w:rPr>
          <w:rFonts w:ascii="Arial" w:hAnsi="Arial" w:cs="Arial"/>
          <w:sz w:val="22"/>
          <w:szCs w:val="22"/>
          <w:lang w:val="sl-SI"/>
        </w:rPr>
        <w:t xml:space="preserve">so: mikrokrediti, mikrogarancije, krediti, garancijske sheme oz. portfeljske garancije, instrumenti lastniškega financiranja. </w:t>
      </w:r>
    </w:p>
    <w:p w14:paraId="3084641B" w14:textId="77777777" w:rsidR="00C55C5A" w:rsidRPr="00C55C5A" w:rsidRDefault="00C55C5A" w:rsidP="00C55C5A">
      <w:pPr>
        <w:jc w:val="both"/>
        <w:rPr>
          <w:rFonts w:ascii="Arial" w:hAnsi="Arial" w:cs="Arial"/>
          <w:sz w:val="22"/>
          <w:szCs w:val="22"/>
          <w:lang w:val="sl-SI"/>
        </w:rPr>
      </w:pPr>
    </w:p>
    <w:p w14:paraId="62013214"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Ključni deležniki</w:t>
      </w:r>
      <w:r w:rsidRPr="00C55C5A">
        <w:rPr>
          <w:rFonts w:ascii="Arial" w:hAnsi="Arial" w:cs="Arial"/>
          <w:sz w:val="22"/>
          <w:szCs w:val="22"/>
          <w:lang w:val="sl-SI"/>
        </w:rPr>
        <w:t xml:space="preserve"> pri FI so: </w:t>
      </w:r>
    </w:p>
    <w:p w14:paraId="62EB1409"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MGRT, kot pristojni posredniški organ (v nadaljevanju: PO),</w:t>
      </w:r>
    </w:p>
    <w:p w14:paraId="6F6C9740"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MOP, kot sodelujoče ministrstvo,</w:t>
      </w:r>
    </w:p>
    <w:p w14:paraId="33F3675D"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MZI, kot sodelujoče ministrstvo,</w:t>
      </w:r>
    </w:p>
    <w:p w14:paraId="1BD13108"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Združenje mestnih občin Slovenije (v nadaljevanju: ZMOS) kot posredniški organ za celostne teritorialne naložbe,</w:t>
      </w:r>
    </w:p>
    <w:p w14:paraId="4352B601"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Usmerjevalni odbor za finančne instrumente kot posvetovalno telo PO,</w:t>
      </w:r>
    </w:p>
    <w:p w14:paraId="571D23BF"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Služba Vlade RS za razvoj in evropsko kohezijsko politiko, kot organ upravljanja (v nadaljevanju: OU),</w:t>
      </w:r>
    </w:p>
    <w:p w14:paraId="13F138FF"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Ministrstvo za finance, organ za potrjevanje ( v nadaljevanju MF-CA),</w:t>
      </w:r>
    </w:p>
    <w:p w14:paraId="2824439D"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Urad RS za nadzor proračuna, kot revizijski organ,</w:t>
      </w:r>
    </w:p>
    <w:p w14:paraId="1242A1A0"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 xml:space="preserve">upravljavec sklada skladov kot upravičenec, ki (i) za izvajanje FI izbere finančne posrednike ali (ii) izjemoma sam nastopa kot neposredni izvajalec FI, </w:t>
      </w:r>
    </w:p>
    <w:p w14:paraId="213F2475"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finančni posredniki, ki izvajajo FI,</w:t>
      </w:r>
    </w:p>
    <w:p w14:paraId="0E66723A"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končni prejemniki, ki prejmejo finančno podporo iz FI.</w:t>
      </w:r>
    </w:p>
    <w:p w14:paraId="0B38C6C2" w14:textId="77777777" w:rsidR="00C55C5A" w:rsidRPr="00C55C5A" w:rsidRDefault="00C55C5A" w:rsidP="00C55C5A">
      <w:pPr>
        <w:jc w:val="both"/>
        <w:rPr>
          <w:rFonts w:ascii="Arial" w:hAnsi="Arial" w:cs="Arial"/>
          <w:sz w:val="22"/>
          <w:szCs w:val="22"/>
          <w:lang w:val="sl-SI"/>
        </w:rPr>
      </w:pPr>
    </w:p>
    <w:p w14:paraId="1C2DAFF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Za namen priprave izvedbe predlaganih FI preko sklada skladov in naložbene strategije je potrebno izvesti preverjanje na trgu (t.i. </w:t>
      </w:r>
      <w:r w:rsidRPr="00C55C5A">
        <w:rPr>
          <w:rFonts w:ascii="Arial" w:hAnsi="Arial" w:cs="Arial"/>
          <w:b/>
          <w:sz w:val="22"/>
          <w:szCs w:val="22"/>
          <w:lang w:val="sl-SI"/>
        </w:rPr>
        <w:t>market test</w:t>
      </w:r>
      <w:r w:rsidRPr="00C55C5A">
        <w:rPr>
          <w:rFonts w:ascii="Arial" w:hAnsi="Arial" w:cs="Arial"/>
          <w:sz w:val="22"/>
          <w:szCs w:val="22"/>
          <w:lang w:val="sl-SI"/>
        </w:rPr>
        <w:t xml:space="preserve">), ki ga izvede pravna oseba, ki ji bo PO posredoval poziv za predložitev vloge za imenovanje upravljavca sklada skladov. Z njim in z uporabo podatkov iz Predhodne ocene FI ter Analize EIB ugotovi interes za izvajanje FI </w:t>
      </w:r>
      <w:r w:rsidRPr="00C55C5A">
        <w:rPr>
          <w:rFonts w:ascii="Arial" w:eastAsia="Calibri" w:hAnsi="Arial" w:cs="Arial"/>
          <w:color w:val="000000"/>
          <w:sz w:val="22"/>
          <w:szCs w:val="22"/>
          <w:lang w:val="sl-SI"/>
        </w:rPr>
        <w:t>predvsem pa pod kakšnimi pogoji bi bili finančni posredniki pripravljeni nasloviti ugotovljene tržne vrzeli.</w:t>
      </w:r>
      <w:r w:rsidRPr="00C55C5A">
        <w:rPr>
          <w:rFonts w:ascii="Arial" w:hAnsi="Arial" w:cs="Arial"/>
          <w:sz w:val="22"/>
          <w:szCs w:val="22"/>
          <w:lang w:val="sl-SI"/>
        </w:rPr>
        <w:t xml:space="preserve"> Na ta način se bodo opredelili okvirji in pogoji, pod katerimi bi se lahko plasirala sredstva končnim prejemnikom. Pri tem upošteva usposobljenost finančnih posrednikov za  izvajanje FI.</w:t>
      </w:r>
    </w:p>
    <w:p w14:paraId="1FC5102B" w14:textId="77777777" w:rsidR="00C55C5A" w:rsidRPr="00C55C5A" w:rsidRDefault="00C55C5A" w:rsidP="00C55C5A">
      <w:pPr>
        <w:jc w:val="both"/>
        <w:rPr>
          <w:rFonts w:ascii="Arial" w:hAnsi="Arial" w:cs="Arial"/>
          <w:sz w:val="22"/>
          <w:szCs w:val="22"/>
          <w:lang w:val="sl-SI"/>
        </w:rPr>
      </w:pPr>
    </w:p>
    <w:p w14:paraId="660A0F3F"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lastRenderedPageBreak/>
        <w:t>Upravljavska provizija se dogovori z upravljavcem sklada skladov upoštevaje dogovorjene aktivnosti in obenem ne presega pragov iz 13. člena 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(v nadaljevanju: Uredba (EU) 480/2014).</w:t>
      </w:r>
    </w:p>
    <w:p w14:paraId="2AF7C49F" w14:textId="77777777" w:rsidR="00C55C5A" w:rsidRPr="00C55C5A" w:rsidRDefault="00C55C5A" w:rsidP="00C55C5A">
      <w:pPr>
        <w:jc w:val="both"/>
        <w:rPr>
          <w:rFonts w:ascii="Arial" w:hAnsi="Arial" w:cs="Arial"/>
          <w:sz w:val="22"/>
          <w:szCs w:val="22"/>
          <w:lang w:val="sl-SI"/>
        </w:rPr>
      </w:pPr>
    </w:p>
    <w:p w14:paraId="7E3ECE5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S Ključnimi elementi FI sledimo </w:t>
      </w:r>
      <w:r w:rsidRPr="00C55C5A">
        <w:rPr>
          <w:rFonts w:ascii="Arial" w:hAnsi="Arial" w:cs="Arial"/>
          <w:b/>
          <w:sz w:val="22"/>
          <w:szCs w:val="22"/>
          <w:lang w:val="sl-SI"/>
        </w:rPr>
        <w:t>ciljem OP 2014 – 2020</w:t>
      </w:r>
      <w:r w:rsidRPr="00C55C5A">
        <w:rPr>
          <w:rFonts w:ascii="Arial" w:hAnsi="Arial" w:cs="Arial"/>
          <w:sz w:val="22"/>
          <w:szCs w:val="22"/>
          <w:lang w:val="sl-SI"/>
        </w:rPr>
        <w:t xml:space="preserve"> in kazalnikom posameznih specifičnih ciljev prednostnih naložb 1.2, 3.1, 4.1 in 6.3., h katerim morajo glede na cilje OP 2014-2020 prispevati FI. V ta namen se v sporazumu o financiranju (upoštevaje oceno market testa) določijo ciljne vrednosti kazalnikov.</w:t>
      </w:r>
    </w:p>
    <w:p w14:paraId="4A7EE3DB" w14:textId="77777777" w:rsidR="00C55C5A" w:rsidRPr="00C55C5A" w:rsidRDefault="00C55C5A" w:rsidP="00C55C5A">
      <w:pPr>
        <w:jc w:val="both"/>
        <w:rPr>
          <w:rFonts w:ascii="Arial" w:hAnsi="Arial" w:cs="Arial"/>
          <w:sz w:val="22"/>
          <w:szCs w:val="22"/>
          <w:lang w:val="sl-SI"/>
        </w:rPr>
      </w:pPr>
    </w:p>
    <w:p w14:paraId="00F812F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FI se izvajajo v okviru </w:t>
      </w:r>
      <w:r w:rsidRPr="00C55C5A">
        <w:rPr>
          <w:rFonts w:ascii="Arial" w:hAnsi="Arial" w:cs="Arial"/>
          <w:b/>
          <w:sz w:val="22"/>
          <w:szCs w:val="22"/>
          <w:lang w:val="sl-SI"/>
        </w:rPr>
        <w:t>obdobja upravičenosti</w:t>
      </w:r>
      <w:r w:rsidRPr="00C55C5A">
        <w:rPr>
          <w:rFonts w:ascii="Arial" w:hAnsi="Arial" w:cs="Arial"/>
          <w:sz w:val="22"/>
          <w:szCs w:val="22"/>
          <w:lang w:val="sl-SI"/>
        </w:rPr>
        <w:t>, ki se prične z datumom odločitve organa upravljanja in se zaključi 31.12.2023 oz. kasneje v primeru podaljšanja rokov s strani Evropske komisije, in se določi s sporazumom o financiranju. Rok se lahko tudi skrajša zaradi postopkov zaključevanja OP 2014-2020.</w:t>
      </w:r>
    </w:p>
    <w:p w14:paraId="47FC4F5E" w14:textId="77777777" w:rsidR="00C55C5A" w:rsidRPr="00C55C5A" w:rsidRDefault="00C55C5A" w:rsidP="00C55C5A">
      <w:pPr>
        <w:jc w:val="both"/>
        <w:rPr>
          <w:rFonts w:ascii="Arial" w:hAnsi="Arial" w:cs="Arial"/>
          <w:sz w:val="22"/>
          <w:szCs w:val="22"/>
          <w:lang w:val="sl-SI"/>
        </w:rPr>
      </w:pPr>
    </w:p>
    <w:p w14:paraId="357DA77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Skladnost FI s pravili o državni pomoči se bo presojala glede na </w:t>
      </w:r>
      <w:r w:rsidRPr="00C55C5A">
        <w:rPr>
          <w:rFonts w:ascii="Arial" w:hAnsi="Arial" w:cs="Arial"/>
          <w:b/>
          <w:sz w:val="22"/>
          <w:szCs w:val="22"/>
          <w:lang w:val="sl-SI"/>
        </w:rPr>
        <w:t>sheme državnih in de minimis pomoči</w:t>
      </w:r>
      <w:r w:rsidRPr="00C55C5A">
        <w:rPr>
          <w:rFonts w:ascii="Arial" w:hAnsi="Arial" w:cs="Arial"/>
          <w:sz w:val="22"/>
          <w:szCs w:val="22"/>
          <w:lang w:val="sl-SI"/>
        </w:rPr>
        <w:t xml:space="preserve"> v okviru »Programa izvajanja finančnih spodbud MGRT 2015 – 2020« in drugih shem državnih in/ali de minimis pomoči, ki jih bo posredniški organ, upravljavec sklada skladov, finančni posrednik ali drug organ priglasil, skladno z Zakonom o spremljanju državnih pomoči (Uradni list RS, št. 37/04).</w:t>
      </w:r>
    </w:p>
    <w:p w14:paraId="308F194A" w14:textId="77777777" w:rsidR="00C55C5A" w:rsidRPr="00C55C5A" w:rsidRDefault="00C55C5A" w:rsidP="00C55C5A">
      <w:pPr>
        <w:jc w:val="both"/>
        <w:rPr>
          <w:rFonts w:ascii="Arial" w:hAnsi="Arial" w:cs="Arial"/>
          <w:sz w:val="22"/>
          <w:szCs w:val="22"/>
          <w:lang w:val="sl-SI"/>
        </w:rPr>
      </w:pPr>
    </w:p>
    <w:p w14:paraId="7CC9EC2B"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Ključni elementi FI upoštevajo tudi </w:t>
      </w:r>
      <w:r w:rsidRPr="00C55C5A">
        <w:rPr>
          <w:rFonts w:ascii="Arial" w:hAnsi="Arial" w:cs="Arial"/>
          <w:b/>
          <w:sz w:val="22"/>
          <w:szCs w:val="22"/>
          <w:lang w:val="sl-SI"/>
        </w:rPr>
        <w:t>okvir horizontalnih načel</w:t>
      </w:r>
      <w:r w:rsidRPr="00C55C5A">
        <w:rPr>
          <w:rFonts w:ascii="Arial" w:hAnsi="Arial" w:cs="Arial"/>
          <w:sz w:val="22"/>
          <w:szCs w:val="22"/>
          <w:lang w:val="sl-SI"/>
        </w:rPr>
        <w:t xml:space="preserve"> trajnostnega razvoja, nediskriminacije, enakih možnosti in dostopnosti in enakosti moških in žensk.</w:t>
      </w:r>
    </w:p>
    <w:p w14:paraId="697627FA"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 </w:t>
      </w:r>
    </w:p>
    <w:p w14:paraId="74E8937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PO skupaj s sodelujočima ministrstvoma in OU zagotavlja vzpostavitev sklada skladov za izvajanje FI vzpostavljenih na ravni Republiki Sloveniji pri upravljavcu sklada skladov skladno s predhodno oceno FI.  </w:t>
      </w:r>
    </w:p>
    <w:p w14:paraId="196EEAF2" w14:textId="77777777" w:rsidR="00C55C5A" w:rsidRPr="00C55C5A" w:rsidRDefault="00C55C5A" w:rsidP="00C55C5A">
      <w:pPr>
        <w:jc w:val="both"/>
        <w:rPr>
          <w:rFonts w:ascii="Arial" w:hAnsi="Arial" w:cs="Arial"/>
          <w:sz w:val="22"/>
          <w:szCs w:val="22"/>
          <w:lang w:val="sl-SI"/>
        </w:rPr>
      </w:pPr>
    </w:p>
    <w:p w14:paraId="4F37F2C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Skladno z drugim odstavkom 37.b člena Uredbe o porabi sredstev evropske kohezijske politike v Republiki Sloveniji v programskem obdobju 2014–2020 za cilj naložbe za rast in delovna mesta gre pri Ključnih elementih FI, za elemente, ki so opredeljeni v drugem odstavku 106.j člena Zakona o javnih financah, h katerim pa mora PO skladno s podzakonskim predpisom pridobiti soglasje Vlade RS. PO na podlagi soglasja Vlade RS k Ključnim elementom FI izpelje postopek izbora upravljavca sklada skladov in pripravi predlog sporazuma o financiranju s predpisanimi vsebinami, ki je predmet uskladitve z upravljavcem sklada skladov in neposredne potrditve operacije s strani OU.</w:t>
      </w:r>
    </w:p>
    <w:p w14:paraId="306A4E62"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 </w:t>
      </w:r>
    </w:p>
    <w:p w14:paraId="794DCA02" w14:textId="77777777" w:rsidR="00C55C5A" w:rsidRPr="00C55C5A" w:rsidRDefault="00C55C5A" w:rsidP="00C55C5A">
      <w:pPr>
        <w:spacing w:after="160"/>
        <w:jc w:val="both"/>
        <w:rPr>
          <w:rFonts w:ascii="Arial" w:hAnsi="Arial" w:cs="Arial"/>
          <w:sz w:val="22"/>
          <w:szCs w:val="22"/>
          <w:lang w:val="sl-SI"/>
        </w:rPr>
      </w:pPr>
      <w:r w:rsidRPr="00C55C5A">
        <w:rPr>
          <w:rFonts w:ascii="Arial" w:hAnsi="Arial" w:cs="Arial"/>
          <w:b/>
          <w:bCs/>
          <w:iCs/>
          <w:sz w:val="22"/>
          <w:szCs w:val="22"/>
          <w:lang w:val="sl-SI"/>
        </w:rPr>
        <w:br w:type="page"/>
      </w:r>
    </w:p>
    <w:p w14:paraId="384BA8B6" w14:textId="77777777" w:rsidR="00C55C5A" w:rsidRPr="00C55C5A" w:rsidRDefault="00C55C5A" w:rsidP="00C55C5A">
      <w:pPr>
        <w:keepNext/>
        <w:outlineLvl w:val="1"/>
        <w:rPr>
          <w:rFonts w:ascii="Arial" w:hAnsi="Arial" w:cs="Arial"/>
          <w:sz w:val="22"/>
          <w:lang w:val="sl-SI"/>
        </w:rPr>
      </w:pPr>
    </w:p>
    <w:p w14:paraId="49941CDE" w14:textId="77777777" w:rsidR="00C55C5A" w:rsidRPr="00C55C5A" w:rsidRDefault="00C55C5A" w:rsidP="00C55C5A">
      <w:pPr>
        <w:keepNext/>
        <w:shd w:val="clear" w:color="auto" w:fill="9CC2E5"/>
        <w:outlineLvl w:val="1"/>
        <w:rPr>
          <w:rFonts w:ascii="Arial" w:hAnsi="Arial" w:cs="Arial"/>
          <w:b/>
          <w:sz w:val="32"/>
          <w:szCs w:val="32"/>
          <w:lang w:val="sl-SI"/>
        </w:rPr>
      </w:pPr>
      <w:bookmarkStart w:id="14" w:name="_Toc479162934"/>
      <w:r w:rsidRPr="00C55C5A">
        <w:rPr>
          <w:rFonts w:ascii="Arial" w:hAnsi="Arial" w:cs="Arial"/>
          <w:b/>
          <w:sz w:val="32"/>
          <w:szCs w:val="32"/>
          <w:lang w:val="sl-SI"/>
        </w:rPr>
        <w:t>2. Izhodišča</w:t>
      </w:r>
      <w:bookmarkEnd w:id="14"/>
      <w:r w:rsidRPr="00C55C5A">
        <w:rPr>
          <w:rFonts w:ascii="Arial" w:hAnsi="Arial" w:cs="Arial"/>
          <w:b/>
          <w:sz w:val="32"/>
          <w:szCs w:val="32"/>
          <w:lang w:val="sl-SI"/>
        </w:rPr>
        <w:t xml:space="preserve"> </w:t>
      </w:r>
    </w:p>
    <w:p w14:paraId="522446D1" w14:textId="77777777" w:rsidR="00C55C5A" w:rsidRPr="00C55C5A" w:rsidRDefault="00C55C5A" w:rsidP="00C55C5A">
      <w:pPr>
        <w:jc w:val="both"/>
        <w:rPr>
          <w:rFonts w:ascii="Arial" w:hAnsi="Arial" w:cs="Arial"/>
          <w:sz w:val="22"/>
          <w:lang w:val="sl-SI"/>
        </w:rPr>
      </w:pPr>
    </w:p>
    <w:p w14:paraId="54BD956B" w14:textId="77777777" w:rsidR="00C55C5A" w:rsidRPr="00C55C5A" w:rsidDel="003D186F" w:rsidRDefault="00C55C5A" w:rsidP="00C55C5A">
      <w:pPr>
        <w:keepNext/>
        <w:keepLines/>
        <w:spacing w:before="40"/>
        <w:jc w:val="both"/>
        <w:outlineLvl w:val="2"/>
        <w:rPr>
          <w:rFonts w:ascii="Arial" w:hAnsi="Arial" w:cs="Arial"/>
          <w:b/>
          <w:color w:val="1F4D78"/>
          <w:sz w:val="22"/>
          <w:lang w:val="sl-SI"/>
        </w:rPr>
      </w:pPr>
      <w:bookmarkStart w:id="15" w:name="_Toc479162935"/>
      <w:r w:rsidRPr="00C55C5A">
        <w:rPr>
          <w:rFonts w:ascii="Arial" w:hAnsi="Arial" w:cs="Arial"/>
          <w:b/>
          <w:color w:val="1F4D78"/>
          <w:sz w:val="22"/>
          <w:lang w:val="sl-SI"/>
        </w:rPr>
        <w:t xml:space="preserve">2.1 </w:t>
      </w:r>
      <w:r w:rsidRPr="00C55C5A" w:rsidDel="003D186F">
        <w:rPr>
          <w:rFonts w:ascii="Arial" w:hAnsi="Arial" w:cs="Arial"/>
          <w:b/>
          <w:color w:val="1F4D78"/>
          <w:sz w:val="22"/>
          <w:lang w:val="sl-SI"/>
        </w:rPr>
        <w:t>Pravne podlage</w:t>
      </w:r>
      <w:bookmarkEnd w:id="15"/>
    </w:p>
    <w:p w14:paraId="081A0D61" w14:textId="77777777" w:rsidR="00C55C5A" w:rsidRPr="00C55C5A" w:rsidDel="003D186F" w:rsidRDefault="00C55C5A" w:rsidP="00C55C5A">
      <w:pPr>
        <w:jc w:val="both"/>
        <w:rPr>
          <w:rFonts w:ascii="Arial" w:hAnsi="Arial" w:cs="Arial"/>
          <w:sz w:val="22"/>
          <w:szCs w:val="22"/>
          <w:lang w:val="sl-SI"/>
        </w:rPr>
      </w:pPr>
    </w:p>
    <w:p w14:paraId="6A7FFE1B" w14:textId="77777777" w:rsidR="00C55C5A" w:rsidRPr="00C55C5A" w:rsidDel="003D186F" w:rsidRDefault="00C55C5A" w:rsidP="00C55C5A">
      <w:pPr>
        <w:jc w:val="both"/>
        <w:rPr>
          <w:rFonts w:ascii="Arial" w:hAnsi="Arial" w:cs="Arial"/>
          <w:sz w:val="22"/>
          <w:szCs w:val="22"/>
          <w:lang w:val="sl-SI"/>
        </w:rPr>
      </w:pPr>
      <w:r w:rsidRPr="00C55C5A" w:rsidDel="003D186F">
        <w:rPr>
          <w:rFonts w:ascii="Arial" w:hAnsi="Arial" w:cs="Arial"/>
          <w:sz w:val="22"/>
          <w:szCs w:val="22"/>
          <w:lang w:val="sl-SI"/>
        </w:rPr>
        <w:t>Pravne podlage za izvajanje finančnih instrumentov:</w:t>
      </w:r>
    </w:p>
    <w:p w14:paraId="4B4430AB" w14:textId="77777777" w:rsidR="00C55C5A" w:rsidRPr="00C55C5A" w:rsidRDefault="00C55C5A" w:rsidP="00C55C5A">
      <w:pPr>
        <w:numPr>
          <w:ilvl w:val="0"/>
          <w:numId w:val="4"/>
        </w:numPr>
        <w:jc w:val="both"/>
        <w:rPr>
          <w:rFonts w:ascii="Arial" w:hAnsi="Arial" w:cs="Arial"/>
          <w:sz w:val="22"/>
          <w:szCs w:val="22"/>
          <w:lang w:val="sl-SI"/>
        </w:rPr>
      </w:pPr>
      <w:r w:rsidRPr="00C55C5A" w:rsidDel="003D186F">
        <w:rPr>
          <w:rFonts w:ascii="Arial" w:hAnsi="Arial" w:cs="Arial"/>
          <w:sz w:val="22"/>
          <w:szCs w:val="22"/>
          <w:lang w:val="sl-SI"/>
        </w:rPr>
        <w:t xml:space="preserve">Uredba (EU, EURATOM) št. </w:t>
      </w:r>
      <w:r w:rsidRPr="00C55C5A" w:rsidDel="003D186F">
        <w:rPr>
          <w:rFonts w:ascii="Arial" w:hAnsi="Arial" w:cs="Arial"/>
          <w:b/>
          <w:sz w:val="22"/>
          <w:szCs w:val="22"/>
          <w:lang w:val="sl-SI"/>
        </w:rPr>
        <w:t>966/2012</w:t>
      </w:r>
      <w:r w:rsidRPr="00C55C5A" w:rsidDel="003D186F">
        <w:rPr>
          <w:rFonts w:ascii="Arial" w:hAnsi="Arial" w:cs="Arial"/>
          <w:sz w:val="22"/>
          <w:szCs w:val="22"/>
          <w:lang w:val="sl-SI"/>
        </w:rPr>
        <w:t xml:space="preserve"> Evropskega parlamenta in Sveta z dne 25. oktobra 2012, o finančnih pravilih, ki se uporabljajo za splošni proračun Unije in razveljavitvi Uredbe Sveta (ES, Euratom) št. 1605/2002</w:t>
      </w:r>
      <w:r w:rsidRPr="00C55C5A">
        <w:rPr>
          <w:rFonts w:ascii="Arial" w:hAnsi="Arial" w:cs="Arial"/>
          <w:sz w:val="22"/>
          <w:szCs w:val="22"/>
          <w:lang w:val="sl-SI"/>
        </w:rPr>
        <w:t>,</w:t>
      </w:r>
    </w:p>
    <w:p w14:paraId="120BE851" w14:textId="77777777" w:rsidR="00C55C5A" w:rsidRPr="00C55C5A" w:rsidRDefault="004B79AC" w:rsidP="00C55C5A">
      <w:pPr>
        <w:numPr>
          <w:ilvl w:val="0"/>
          <w:numId w:val="4"/>
        </w:numPr>
        <w:jc w:val="both"/>
        <w:rPr>
          <w:rFonts w:ascii="Arial" w:hAnsi="Arial" w:cs="Arial"/>
          <w:sz w:val="22"/>
          <w:szCs w:val="22"/>
          <w:lang w:val="sl-SI"/>
        </w:rPr>
      </w:pPr>
      <w:hyperlink r:id="rId11" w:history="1">
        <w:r w:rsidR="00C55C5A" w:rsidRPr="00C55C5A" w:rsidDel="003D186F">
          <w:rPr>
            <w:rFonts w:ascii="Arial" w:hAnsi="Arial" w:cs="Arial"/>
            <w:sz w:val="22"/>
            <w:szCs w:val="22"/>
            <w:lang w:val="sl-SI"/>
          </w:rPr>
          <w:t>Uredba (EU) št.</w:t>
        </w:r>
        <w:r w:rsidR="00C55C5A" w:rsidRPr="00C55C5A">
          <w:rPr>
            <w:rFonts w:ascii="Arial" w:hAnsi="Arial" w:cs="Arial"/>
            <w:sz w:val="22"/>
            <w:szCs w:val="22"/>
            <w:lang w:val="sl-SI"/>
          </w:rPr>
          <w:t xml:space="preserve"> </w:t>
        </w:r>
        <w:r w:rsidR="00C55C5A" w:rsidRPr="00C55C5A" w:rsidDel="003D186F">
          <w:rPr>
            <w:rFonts w:ascii="Arial" w:hAnsi="Arial" w:cs="Arial"/>
            <w:b/>
            <w:sz w:val="22"/>
            <w:szCs w:val="22"/>
            <w:lang w:val="sl-SI"/>
          </w:rPr>
          <w:t>1303/2013</w:t>
        </w:r>
        <w:r w:rsidR="00C55C5A" w:rsidRPr="00C55C5A" w:rsidDel="003D186F">
          <w:rPr>
            <w:rFonts w:ascii="Arial" w:hAnsi="Arial" w:cs="Arial"/>
            <w:sz w:val="22"/>
            <w:szCs w:val="22"/>
            <w:lang w:val="sl-SI"/>
          </w:rPr>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hyperlink>
      <w:r w:rsidR="00C55C5A" w:rsidRPr="00C55C5A" w:rsidDel="003D186F">
        <w:rPr>
          <w:rFonts w:ascii="Arial" w:hAnsi="Arial" w:cs="Arial"/>
          <w:sz w:val="22"/>
          <w:szCs w:val="22"/>
          <w:lang w:val="sl-SI"/>
        </w:rPr>
        <w:t xml:space="preserve"> (Uradni list EU, št. 347, 20.12.2013),</w:t>
      </w:r>
    </w:p>
    <w:p w14:paraId="6DDC16E2" w14:textId="77777777" w:rsidR="00C55C5A" w:rsidRPr="00C55C5A"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t xml:space="preserve">Delegirana uredba Komisije (EU) št. </w:t>
      </w:r>
      <w:r w:rsidRPr="00C55C5A">
        <w:rPr>
          <w:rFonts w:ascii="Arial" w:hAnsi="Arial" w:cs="Arial"/>
          <w:b/>
          <w:sz w:val="22"/>
          <w:szCs w:val="22"/>
          <w:lang w:val="sl-SI"/>
        </w:rPr>
        <w:t>480/2014</w:t>
      </w:r>
      <w:r w:rsidRPr="00C55C5A">
        <w:rPr>
          <w:rFonts w:ascii="Arial" w:hAnsi="Arial" w:cs="Arial"/>
          <w:sz w:val="22"/>
          <w:szCs w:val="22"/>
          <w:lang w:val="sl-SI"/>
        </w:rPr>
        <w:t xml:space="preserve"> z dne 3. marca 2014 o dopolnitvi Uredbe </w:t>
      </w:r>
      <w:r w:rsidRPr="00C55C5A" w:rsidDel="003D186F">
        <w:rPr>
          <w:rFonts w:ascii="Arial" w:hAnsi="Arial" w:cs="Arial"/>
          <w:sz w:val="22"/>
          <w:szCs w:val="22"/>
          <w:lang w:val="sl-SI"/>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w:t>
      </w:r>
      <w:r w:rsidRPr="00C55C5A">
        <w:rPr>
          <w:rFonts w:ascii="Arial" w:hAnsi="Arial" w:cs="Arial"/>
          <w:sz w:val="22"/>
          <w:szCs w:val="22"/>
          <w:lang w:val="sl-SI"/>
        </w:rPr>
        <w:t xml:space="preserve">, </w:t>
      </w:r>
    </w:p>
    <w:p w14:paraId="2F66C36E" w14:textId="77777777" w:rsidR="00C55C5A" w:rsidRPr="00C55C5A"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t xml:space="preserve">Izvedbena uredba Komisije (EU) št. </w:t>
      </w:r>
      <w:r w:rsidRPr="00C55C5A">
        <w:rPr>
          <w:rFonts w:ascii="Arial" w:hAnsi="Arial" w:cs="Arial"/>
          <w:b/>
          <w:sz w:val="22"/>
          <w:szCs w:val="22"/>
          <w:lang w:val="sl-SI"/>
        </w:rPr>
        <w:t>821/2014</w:t>
      </w:r>
      <w:r w:rsidRPr="00C55C5A">
        <w:rPr>
          <w:rFonts w:ascii="Arial" w:hAnsi="Arial" w:cs="Arial"/>
          <w:sz w:val="22"/>
          <w:szCs w:val="22"/>
          <w:lang w:val="sl-SI"/>
        </w:rPr>
        <w:t xml:space="preserve">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14641906" w14:textId="77777777" w:rsidR="00C55C5A" w:rsidRPr="00C55C5A"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t xml:space="preserve">Izvedbena uredba Komisije (EU) št. </w:t>
      </w:r>
      <w:r w:rsidRPr="00C55C5A">
        <w:rPr>
          <w:rFonts w:ascii="Arial" w:hAnsi="Arial" w:cs="Arial"/>
          <w:b/>
          <w:sz w:val="22"/>
          <w:szCs w:val="22"/>
          <w:lang w:val="sl-SI"/>
        </w:rPr>
        <w:t>964/2014</w:t>
      </w:r>
      <w:r w:rsidRPr="00C55C5A">
        <w:rPr>
          <w:rFonts w:ascii="Arial" w:hAnsi="Arial" w:cs="Arial"/>
          <w:sz w:val="22"/>
          <w:szCs w:val="22"/>
          <w:lang w:val="sl-SI"/>
        </w:rPr>
        <w:t xml:space="preserve"> z dne 11. septembra 2014 o pravilih za uporabo Uredbe (EU) št. 1303/2013 Evropskega parlamenta in Sveta v zvezi s standardnimi pogoji za finančne instrumente uredba </w:t>
      </w:r>
    </w:p>
    <w:p w14:paraId="5F20A849" w14:textId="77777777" w:rsidR="00C55C5A" w:rsidRPr="00C55C5A"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t xml:space="preserve">Izvedbena uredba Komisije (EU) </w:t>
      </w:r>
      <w:r w:rsidRPr="00C55C5A">
        <w:rPr>
          <w:rFonts w:ascii="Arial" w:hAnsi="Arial" w:cs="Arial"/>
          <w:b/>
          <w:sz w:val="22"/>
          <w:szCs w:val="22"/>
          <w:lang w:val="sl-SI"/>
        </w:rPr>
        <w:t>2015/207</w:t>
      </w:r>
      <w:r w:rsidRPr="00C55C5A">
        <w:rPr>
          <w:rFonts w:ascii="Arial" w:hAnsi="Arial" w:cs="Arial"/>
          <w:sz w:val="22"/>
          <w:szCs w:val="22"/>
          <w:lang w:val="sl-SI"/>
        </w:rPr>
        <w:t xml:space="preserve">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02E4DFB3" w14:textId="77777777" w:rsidR="00C55C5A" w:rsidRPr="00C55C5A"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t xml:space="preserve">Uredba Komisije (EU) št. </w:t>
      </w:r>
      <w:r w:rsidRPr="00C55C5A">
        <w:rPr>
          <w:rFonts w:ascii="Arial" w:hAnsi="Arial" w:cs="Arial"/>
          <w:b/>
          <w:sz w:val="22"/>
          <w:szCs w:val="22"/>
          <w:lang w:val="sl-SI"/>
        </w:rPr>
        <w:t>651/2014</w:t>
      </w:r>
      <w:r w:rsidRPr="00C55C5A">
        <w:rPr>
          <w:rFonts w:ascii="Arial" w:hAnsi="Arial" w:cs="Arial"/>
          <w:sz w:val="22"/>
          <w:szCs w:val="22"/>
          <w:lang w:val="sl-SI"/>
        </w:rPr>
        <w:t xml:space="preserve"> z dne 17. junija 2014 o razglasitvi nekaterih vrst pomoči za združljive z notranjim trgom pri uporabi členov 107 in 108 Pogodbe</w:t>
      </w:r>
      <w:r w:rsidRPr="00C55C5A">
        <w:rPr>
          <w:rFonts w:ascii="Arial" w:hAnsi="Arial" w:cs="Arial"/>
          <w:sz w:val="22"/>
          <w:szCs w:val="22"/>
          <w:vertAlign w:val="superscript"/>
          <w:lang w:val="sl-SI"/>
        </w:rPr>
        <w:footnoteReference w:id="3"/>
      </w:r>
      <w:r w:rsidRPr="00C55C5A">
        <w:rPr>
          <w:rFonts w:ascii="Arial" w:hAnsi="Arial" w:cs="Arial"/>
          <w:sz w:val="22"/>
          <w:szCs w:val="22"/>
          <w:lang w:val="sl-SI"/>
        </w:rPr>
        <w:t xml:space="preserve">,  </w:t>
      </w:r>
    </w:p>
    <w:p w14:paraId="21668E13" w14:textId="77777777" w:rsidR="00C55C5A" w:rsidRPr="00C55C5A" w:rsidDel="003D186F"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t xml:space="preserve">Uredba Komisije (EU) št. </w:t>
      </w:r>
      <w:r w:rsidRPr="00C55C5A">
        <w:rPr>
          <w:rFonts w:ascii="Arial" w:hAnsi="Arial" w:cs="Arial"/>
          <w:b/>
          <w:sz w:val="22"/>
          <w:szCs w:val="22"/>
          <w:lang w:val="sl-SI"/>
        </w:rPr>
        <w:t>1407/2013</w:t>
      </w:r>
      <w:r w:rsidRPr="00C55C5A">
        <w:rPr>
          <w:rFonts w:ascii="Arial" w:hAnsi="Arial" w:cs="Arial"/>
          <w:sz w:val="22"/>
          <w:szCs w:val="22"/>
          <w:lang w:val="sl-SI"/>
        </w:rPr>
        <w:t xml:space="preserve"> z dne 18. decembra 2013 o uporabi členov 107. in 108. Pogodbe o delovanju Evropske unije pri pomoči de minimis,</w:t>
      </w:r>
    </w:p>
    <w:p w14:paraId="766543A5" w14:textId="77777777" w:rsidR="00C55C5A" w:rsidRPr="00C55C5A" w:rsidDel="003D186F" w:rsidRDefault="00C55C5A" w:rsidP="00C55C5A">
      <w:pPr>
        <w:numPr>
          <w:ilvl w:val="0"/>
          <w:numId w:val="4"/>
        </w:numPr>
        <w:jc w:val="both"/>
        <w:rPr>
          <w:rFonts w:ascii="Arial" w:hAnsi="Arial" w:cs="Arial"/>
          <w:sz w:val="22"/>
          <w:szCs w:val="22"/>
          <w:lang w:val="sl-SI"/>
        </w:rPr>
      </w:pPr>
      <w:r w:rsidRPr="00C55C5A" w:rsidDel="003D186F">
        <w:rPr>
          <w:rFonts w:ascii="Arial" w:hAnsi="Arial" w:cs="Arial"/>
          <w:sz w:val="22"/>
          <w:szCs w:val="22"/>
          <w:lang w:val="sl-SI"/>
        </w:rPr>
        <w:t>Uredba o porabi sredstev evropske kohezijske politike v Republiki Sloveniji v programskem obdobju 2014-2020 za cilj naložbe za rast in delovna mesta (Uradni list RS, št. 29/15, 36/16, 58/16</w:t>
      </w:r>
      <w:r w:rsidRPr="00C55C5A">
        <w:rPr>
          <w:rFonts w:ascii="Arial" w:hAnsi="Arial" w:cs="Arial"/>
          <w:sz w:val="22"/>
          <w:szCs w:val="22"/>
          <w:lang w:val="sl-SI"/>
        </w:rPr>
        <w:t xml:space="preserve"> in 69/16 –popr.</w:t>
      </w:r>
      <w:r w:rsidRPr="00C55C5A" w:rsidDel="003D186F">
        <w:rPr>
          <w:rFonts w:ascii="Arial" w:hAnsi="Arial" w:cs="Arial"/>
          <w:sz w:val="22"/>
          <w:szCs w:val="22"/>
          <w:lang w:val="sl-SI"/>
        </w:rPr>
        <w:t>),</w:t>
      </w:r>
    </w:p>
    <w:p w14:paraId="25E1127F" w14:textId="77777777" w:rsidR="00C55C5A" w:rsidRPr="00C55C5A" w:rsidDel="003D186F"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lastRenderedPageBreak/>
        <w:t>Zakon o javnem naročanju (Uradni list RS, št. 91/15),</w:t>
      </w:r>
    </w:p>
    <w:p w14:paraId="468F47DC" w14:textId="77777777" w:rsidR="00C55C5A" w:rsidRPr="00C55C5A" w:rsidRDefault="00C55C5A" w:rsidP="00C55C5A">
      <w:pPr>
        <w:numPr>
          <w:ilvl w:val="0"/>
          <w:numId w:val="4"/>
        </w:numPr>
        <w:jc w:val="both"/>
        <w:rPr>
          <w:rFonts w:ascii="Arial" w:hAnsi="Arial" w:cs="Arial"/>
          <w:sz w:val="22"/>
          <w:szCs w:val="22"/>
          <w:lang w:val="sl-SI"/>
        </w:rPr>
      </w:pPr>
      <w:r w:rsidRPr="00C55C5A" w:rsidDel="003D186F">
        <w:rPr>
          <w:rFonts w:ascii="Arial" w:hAnsi="Arial" w:cs="Arial"/>
          <w:sz w:val="22"/>
          <w:szCs w:val="22"/>
          <w:lang w:val="sl-SI"/>
        </w:rPr>
        <w:t>Uredba o postopku, merilih in načinih dodeljevanja sredstev za spodbujanje razvojnih programov in prednostnih nalog (Uradni list RS, št. 56/11),</w:t>
      </w:r>
    </w:p>
    <w:p w14:paraId="01C4A5D5" w14:textId="77777777" w:rsidR="00C55C5A" w:rsidRPr="00C55C5A" w:rsidDel="003D186F"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t>Navodila OU in smernice EK</w:t>
      </w:r>
    </w:p>
    <w:p w14:paraId="701A86DC" w14:textId="77777777" w:rsidR="00C55C5A" w:rsidRPr="00C55C5A" w:rsidDel="003D186F" w:rsidRDefault="00C55C5A" w:rsidP="00C55C5A">
      <w:pPr>
        <w:numPr>
          <w:ilvl w:val="0"/>
          <w:numId w:val="4"/>
        </w:numPr>
        <w:jc w:val="both"/>
        <w:rPr>
          <w:rFonts w:ascii="Arial" w:hAnsi="Arial" w:cs="Arial"/>
          <w:sz w:val="22"/>
          <w:szCs w:val="22"/>
          <w:lang w:val="sl-SI"/>
        </w:rPr>
      </w:pPr>
      <w:r w:rsidRPr="00C55C5A" w:rsidDel="003D186F">
        <w:rPr>
          <w:rFonts w:ascii="Arial" w:hAnsi="Arial" w:cs="Arial"/>
          <w:sz w:val="22"/>
          <w:szCs w:val="22"/>
          <w:lang w:val="sl-SI"/>
        </w:rPr>
        <w:t>Operativni program za izvajanje evropske kohezijske politike za programsko obdobje 2014 – 2020 (prednostne osi 1, 3, 4, 6),</w:t>
      </w:r>
    </w:p>
    <w:p w14:paraId="44B4A5C0" w14:textId="77777777" w:rsidR="00C55C5A" w:rsidRPr="00C55C5A" w:rsidRDefault="00C55C5A" w:rsidP="00C55C5A">
      <w:pPr>
        <w:numPr>
          <w:ilvl w:val="0"/>
          <w:numId w:val="4"/>
        </w:numPr>
        <w:jc w:val="both"/>
        <w:rPr>
          <w:rFonts w:ascii="Arial" w:hAnsi="Arial" w:cs="Arial"/>
          <w:sz w:val="22"/>
          <w:szCs w:val="22"/>
          <w:lang w:val="sl-SI"/>
        </w:rPr>
      </w:pPr>
      <w:r w:rsidRPr="00C55C5A">
        <w:rPr>
          <w:rFonts w:ascii="Arial" w:hAnsi="Arial" w:cs="Arial"/>
          <w:sz w:val="22"/>
          <w:szCs w:val="22"/>
          <w:lang w:val="sl-SI"/>
        </w:rPr>
        <w:t>Program izvajanja finančnih spodbud Ministrstva za gospodarski razvoj in tehnologijo 2015 – 2020.</w:t>
      </w:r>
    </w:p>
    <w:p w14:paraId="6147A305" w14:textId="77777777" w:rsidR="00C55C5A" w:rsidRPr="00C55C5A" w:rsidRDefault="00C55C5A" w:rsidP="00C55C5A">
      <w:pPr>
        <w:jc w:val="both"/>
        <w:rPr>
          <w:rFonts w:ascii="Arial" w:hAnsi="Arial" w:cs="Arial"/>
          <w:sz w:val="22"/>
          <w:szCs w:val="22"/>
          <w:lang w:val="sl-SI"/>
        </w:rPr>
      </w:pPr>
    </w:p>
    <w:p w14:paraId="1445E2B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Vsebinski podlagi za pripravo in izvajanje FI sta:</w:t>
      </w:r>
    </w:p>
    <w:p w14:paraId="58174F89" w14:textId="77777777" w:rsidR="00C55C5A" w:rsidRPr="00C55C5A" w:rsidDel="003D186F" w:rsidRDefault="00C55C5A" w:rsidP="00C55C5A">
      <w:pPr>
        <w:numPr>
          <w:ilvl w:val="0"/>
          <w:numId w:val="4"/>
        </w:numPr>
        <w:jc w:val="both"/>
        <w:rPr>
          <w:rFonts w:ascii="Arial" w:hAnsi="Arial" w:cs="Arial"/>
          <w:sz w:val="22"/>
          <w:szCs w:val="22"/>
          <w:lang w:val="sl-SI"/>
        </w:rPr>
      </w:pPr>
      <w:r w:rsidRPr="00C55C5A" w:rsidDel="003D186F">
        <w:rPr>
          <w:rFonts w:ascii="Arial" w:hAnsi="Arial" w:cs="Arial"/>
          <w:sz w:val="22"/>
          <w:szCs w:val="22"/>
          <w:lang w:val="sl-SI"/>
        </w:rPr>
        <w:t>Predhodna ocena finančnih instrumentov v Sloveniji – Končno poročilo (P</w:t>
      </w:r>
      <w:r w:rsidRPr="00C55C5A">
        <w:rPr>
          <w:rFonts w:ascii="Arial" w:hAnsi="Arial" w:cs="Arial"/>
          <w:sz w:val="22"/>
          <w:szCs w:val="22"/>
          <w:lang w:val="sl-SI"/>
        </w:rPr>
        <w:t>W</w:t>
      </w:r>
      <w:r w:rsidRPr="00C55C5A" w:rsidDel="003D186F">
        <w:rPr>
          <w:rFonts w:ascii="Arial" w:hAnsi="Arial" w:cs="Arial"/>
          <w:sz w:val="22"/>
          <w:szCs w:val="22"/>
          <w:lang w:val="sl-SI"/>
        </w:rPr>
        <w:t>C Svetovanje, d.o.o., november 2015),</w:t>
      </w:r>
    </w:p>
    <w:p w14:paraId="1153186F" w14:textId="77777777" w:rsidR="00C55C5A" w:rsidRPr="00C55C5A" w:rsidDel="003D186F" w:rsidRDefault="00C55C5A" w:rsidP="00C55C5A">
      <w:pPr>
        <w:numPr>
          <w:ilvl w:val="0"/>
          <w:numId w:val="4"/>
        </w:numPr>
        <w:jc w:val="both"/>
        <w:rPr>
          <w:rFonts w:ascii="Arial" w:hAnsi="Arial" w:cs="Arial"/>
          <w:sz w:val="22"/>
          <w:szCs w:val="22"/>
          <w:lang w:val="sl-SI"/>
        </w:rPr>
      </w:pPr>
      <w:r w:rsidRPr="00C55C5A" w:rsidDel="003D186F">
        <w:rPr>
          <w:rFonts w:ascii="Arial" w:hAnsi="Arial" w:cs="Arial"/>
          <w:sz w:val="22"/>
          <w:szCs w:val="22"/>
          <w:lang w:val="sl-SI"/>
        </w:rPr>
        <w:t>Storitve strukturirane v okviru sklada za izvajanje finančnih instrumentov v Sloveniji, Končno poročilo, EIB, 13.7.2016 (v nadaljevanju: EIB analiza),</w:t>
      </w:r>
    </w:p>
    <w:p w14:paraId="3BDD0FC0" w14:textId="77777777" w:rsidR="00C55C5A" w:rsidRPr="00C55C5A" w:rsidRDefault="00C55C5A" w:rsidP="00C55C5A">
      <w:pPr>
        <w:jc w:val="both"/>
        <w:rPr>
          <w:rFonts w:ascii="Arial" w:hAnsi="Arial" w:cs="Arial"/>
          <w:sz w:val="22"/>
          <w:szCs w:val="22"/>
          <w:lang w:val="sl-SI"/>
        </w:rPr>
      </w:pPr>
    </w:p>
    <w:p w14:paraId="2AB1FFC9"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Hkrati se glede na naravo FI prek strukture izvajanja FI in pogojev FI (vključno s cilji, definicijami, itd.) zasleduje načela krožnega gospodarstva.</w:t>
      </w:r>
    </w:p>
    <w:p w14:paraId="09AE7CFE" w14:textId="77777777" w:rsidR="00C55C5A" w:rsidRPr="00C55C5A" w:rsidRDefault="00C55C5A" w:rsidP="00C55C5A">
      <w:pPr>
        <w:jc w:val="both"/>
        <w:rPr>
          <w:rFonts w:ascii="Arial" w:hAnsi="Arial" w:cs="Arial"/>
          <w:sz w:val="22"/>
          <w:szCs w:val="22"/>
          <w:lang w:val="sl-SI"/>
        </w:rPr>
      </w:pPr>
    </w:p>
    <w:p w14:paraId="05FDCDE1"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Pristojna ministrstva vključijo upravljavca sklada skladov v usklajevanje glede sprememb ali priprave novih pravnih podlag oz. kogentnih predpisov, ki imajo lahko vpliv na izvajanje sklada skladov ali FI.</w:t>
      </w:r>
    </w:p>
    <w:p w14:paraId="74CFEDA7" w14:textId="77777777" w:rsidR="00C55C5A" w:rsidRPr="00C55C5A" w:rsidRDefault="00C55C5A" w:rsidP="00C55C5A">
      <w:pPr>
        <w:jc w:val="both"/>
        <w:rPr>
          <w:rFonts w:ascii="Arial" w:hAnsi="Arial" w:cs="Arial"/>
          <w:sz w:val="22"/>
          <w:szCs w:val="22"/>
          <w:lang w:val="sl-SI"/>
        </w:rPr>
      </w:pPr>
    </w:p>
    <w:p w14:paraId="67DD135B"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FI se bodo izvajali skladno </w:t>
      </w:r>
      <w:r w:rsidRPr="00C55C5A">
        <w:rPr>
          <w:rFonts w:ascii="Arial" w:hAnsi="Arial" w:cs="Arial"/>
          <w:b/>
          <w:sz w:val="22"/>
          <w:szCs w:val="22"/>
          <w:lang w:val="sl-SI"/>
        </w:rPr>
        <w:t>z OP 2014 – 2020</w:t>
      </w:r>
      <w:r w:rsidRPr="00C55C5A">
        <w:rPr>
          <w:rFonts w:ascii="Arial" w:hAnsi="Arial" w:cs="Arial"/>
          <w:sz w:val="22"/>
          <w:szCs w:val="22"/>
          <w:lang w:val="sl-SI"/>
        </w:rPr>
        <w:t xml:space="preserve"> v okviru naslednjih prednostnih naložb:</w:t>
      </w:r>
    </w:p>
    <w:p w14:paraId="273C7548" w14:textId="77777777" w:rsidR="00C55C5A" w:rsidRPr="00C55C5A" w:rsidRDefault="00C55C5A" w:rsidP="00C55C5A">
      <w:pPr>
        <w:jc w:val="both"/>
        <w:rPr>
          <w:rFonts w:ascii="Arial" w:hAnsi="Arial" w:cs="Arial"/>
          <w:sz w:val="22"/>
          <w:szCs w:val="22"/>
          <w:lang w:val="sl-SI"/>
        </w:rPr>
      </w:pPr>
    </w:p>
    <w:p w14:paraId="556C2239"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1.2 prednostna naložba:</w:t>
      </w:r>
      <w:r w:rsidRPr="00C55C5A">
        <w:rPr>
          <w:rFonts w:ascii="Arial" w:hAnsi="Arial" w:cs="Arial"/>
          <w:sz w:val="22"/>
          <w:szCs w:val="22"/>
          <w:lang w:val="sl-SI"/>
        </w:rPr>
        <w:t xml:space="preserve"> </w:t>
      </w:r>
      <w:r w:rsidRPr="00C55C5A">
        <w:rPr>
          <w:rFonts w:ascii="Arial" w:hAnsi="Arial" w:cs="Arial"/>
          <w:bCs/>
          <w:iCs/>
          <w:sz w:val="22"/>
          <w:szCs w:val="22"/>
          <w:lang w:val="sl-SI"/>
        </w:rPr>
        <w:t>Spodbujanje naložb podjetij v raziskave, razvoj in inovacije ter vzpostavljanje povezav in sinergij med podjetji, centri za raziskave in razvoj ter visokošolskimi izobraževalnimi ustanovami.</w:t>
      </w:r>
    </w:p>
    <w:p w14:paraId="3069C118" w14:textId="77777777" w:rsidR="00C55C5A" w:rsidRPr="00C55C5A" w:rsidRDefault="00C55C5A" w:rsidP="00C55C5A">
      <w:pPr>
        <w:jc w:val="both"/>
        <w:rPr>
          <w:rFonts w:ascii="Arial" w:hAnsi="Arial" w:cs="Arial"/>
          <w:bCs/>
          <w:iCs/>
          <w:sz w:val="22"/>
          <w:szCs w:val="22"/>
          <w:lang w:val="sl-SI"/>
        </w:rPr>
      </w:pPr>
    </w:p>
    <w:p w14:paraId="64218E22" w14:textId="77777777" w:rsidR="00C55C5A" w:rsidRPr="00C55C5A" w:rsidRDefault="00C55C5A" w:rsidP="00C55C5A">
      <w:pPr>
        <w:jc w:val="both"/>
        <w:rPr>
          <w:rFonts w:ascii="Arial" w:hAnsi="Arial" w:cs="Arial"/>
          <w:bCs/>
          <w:iCs/>
          <w:sz w:val="22"/>
          <w:szCs w:val="22"/>
          <w:lang w:val="sl-SI"/>
        </w:rPr>
      </w:pPr>
      <w:r w:rsidRPr="00C55C5A">
        <w:rPr>
          <w:rFonts w:ascii="Arial" w:eastAsia="Calibri" w:hAnsi="Arial" w:cs="Arial"/>
          <w:color w:val="000000"/>
          <w:sz w:val="22"/>
          <w:szCs w:val="22"/>
          <w:lang w:val="sl-SI"/>
        </w:rPr>
        <w:t xml:space="preserve">Sredstva namenjena prednostni naložbi 1.2 se v skladu z OP 2014-2020 namenijo </w:t>
      </w:r>
      <w:r w:rsidRPr="00C55C5A">
        <w:rPr>
          <w:rFonts w:ascii="Arial" w:hAnsi="Arial" w:cs="Arial"/>
          <w:bCs/>
          <w:iCs/>
          <w:sz w:val="22"/>
          <w:szCs w:val="22"/>
          <w:lang w:val="sl-SI"/>
        </w:rPr>
        <w:t xml:space="preserve">povečanju deleža inovacijsko aktivnih podjetij. Vrste in primeri področij, ki jim je namenjena podpora, in njihovega pričakovanega prispevka k specifičnim ciljem so predvidoma: </w:t>
      </w:r>
    </w:p>
    <w:p w14:paraId="76569513" w14:textId="77777777" w:rsidR="00C55C5A" w:rsidRPr="00C55C5A" w:rsidRDefault="00C55C5A" w:rsidP="00C55C5A">
      <w:pPr>
        <w:numPr>
          <w:ilvl w:val="0"/>
          <w:numId w:val="4"/>
        </w:numPr>
        <w:jc w:val="both"/>
        <w:rPr>
          <w:rFonts w:ascii="Arial" w:eastAsia="Calibri" w:hAnsi="Arial" w:cs="Arial"/>
          <w:bCs/>
          <w:iCs/>
          <w:sz w:val="22"/>
          <w:szCs w:val="22"/>
          <w:lang w:val="sl-SI"/>
        </w:rPr>
      </w:pPr>
      <w:r w:rsidRPr="00C55C5A">
        <w:rPr>
          <w:rFonts w:ascii="Arial" w:eastAsia="Calibri" w:hAnsi="Arial" w:cs="Arial"/>
          <w:bCs/>
          <w:iCs/>
          <w:sz w:val="22"/>
          <w:szCs w:val="22"/>
          <w:lang w:val="sl-SI"/>
        </w:rPr>
        <w:t xml:space="preserve">mreženje in krepitev vezi ter sinergij v inovacijskem sistemu, </w:t>
      </w:r>
    </w:p>
    <w:p w14:paraId="72A1FB3A" w14:textId="77777777" w:rsidR="00C55C5A" w:rsidRPr="00C55C5A" w:rsidRDefault="00C55C5A" w:rsidP="00C55C5A">
      <w:pPr>
        <w:numPr>
          <w:ilvl w:val="0"/>
          <w:numId w:val="4"/>
        </w:numPr>
        <w:jc w:val="both"/>
        <w:rPr>
          <w:rFonts w:ascii="Arial" w:eastAsia="Calibri" w:hAnsi="Arial" w:cs="Arial"/>
          <w:bCs/>
          <w:iCs/>
          <w:sz w:val="22"/>
          <w:szCs w:val="22"/>
          <w:lang w:val="sl-SI"/>
        </w:rPr>
      </w:pPr>
      <w:r w:rsidRPr="00C55C5A">
        <w:rPr>
          <w:rFonts w:ascii="Arial" w:eastAsia="Calibri" w:hAnsi="Arial" w:cs="Arial"/>
          <w:bCs/>
          <w:iCs/>
          <w:sz w:val="22"/>
          <w:szCs w:val="22"/>
          <w:lang w:val="sl-SI"/>
        </w:rPr>
        <w:t xml:space="preserve">spodbujanje inovacijskih procesov in z njimi povezanih naložb (aplikativne raziskave, vlaganja v netehnološke inovacije, eko inovacije in pilotne linije, zgodnje validacije, napredne proizvodnje zmogljivosti in začetno proizvodnjo na področju ključnih omogočitvenih tehnologij), </w:t>
      </w:r>
    </w:p>
    <w:p w14:paraId="4B2FCDB1" w14:textId="77777777" w:rsidR="00C55C5A" w:rsidRPr="00C55C5A" w:rsidRDefault="00C55C5A" w:rsidP="00C55C5A">
      <w:pPr>
        <w:numPr>
          <w:ilvl w:val="0"/>
          <w:numId w:val="4"/>
        </w:numPr>
        <w:jc w:val="both"/>
        <w:rPr>
          <w:rFonts w:ascii="Arial" w:eastAsia="Calibri" w:hAnsi="Arial" w:cs="Arial"/>
          <w:bCs/>
          <w:iCs/>
          <w:sz w:val="22"/>
          <w:szCs w:val="22"/>
          <w:lang w:val="sl-SI"/>
        </w:rPr>
      </w:pPr>
      <w:r w:rsidRPr="00C55C5A">
        <w:rPr>
          <w:rFonts w:ascii="Arial" w:eastAsia="Calibri" w:hAnsi="Arial" w:cs="Arial"/>
          <w:bCs/>
          <w:iCs/>
          <w:sz w:val="22"/>
          <w:szCs w:val="22"/>
          <w:lang w:val="sl-SI"/>
        </w:rPr>
        <w:t xml:space="preserve">podpora projektom za razvoj in testiranje inovacij v praksi, </w:t>
      </w:r>
    </w:p>
    <w:p w14:paraId="03F2CF41" w14:textId="77777777" w:rsidR="00C55C5A" w:rsidRPr="00C55C5A" w:rsidRDefault="00C55C5A" w:rsidP="00C55C5A">
      <w:pPr>
        <w:numPr>
          <w:ilvl w:val="0"/>
          <w:numId w:val="4"/>
        </w:numPr>
        <w:jc w:val="both"/>
        <w:rPr>
          <w:rFonts w:ascii="Arial" w:eastAsia="Calibri" w:hAnsi="Arial" w:cs="Arial"/>
          <w:bCs/>
          <w:iCs/>
          <w:sz w:val="22"/>
          <w:szCs w:val="22"/>
          <w:lang w:val="sl-SI"/>
        </w:rPr>
      </w:pPr>
      <w:r w:rsidRPr="00C55C5A">
        <w:rPr>
          <w:rFonts w:ascii="Arial" w:eastAsia="Calibri" w:hAnsi="Arial" w:cs="Arial"/>
          <w:bCs/>
          <w:iCs/>
          <w:sz w:val="22"/>
          <w:szCs w:val="22"/>
          <w:lang w:val="sl-SI"/>
        </w:rPr>
        <w:t>komercializacija razvitih rešitev in spodbujanje povpraševanja,</w:t>
      </w:r>
    </w:p>
    <w:p w14:paraId="15059CD3" w14:textId="77777777" w:rsidR="00C55C5A" w:rsidRPr="00C55C5A" w:rsidRDefault="00C55C5A" w:rsidP="00C55C5A">
      <w:pPr>
        <w:numPr>
          <w:ilvl w:val="0"/>
          <w:numId w:val="4"/>
        </w:numPr>
        <w:jc w:val="both"/>
        <w:rPr>
          <w:rFonts w:ascii="Arial" w:eastAsia="Calibri" w:hAnsi="Arial" w:cs="Arial"/>
          <w:bCs/>
          <w:iCs/>
          <w:sz w:val="22"/>
          <w:szCs w:val="22"/>
          <w:lang w:val="sl-SI"/>
        </w:rPr>
      </w:pPr>
      <w:r w:rsidRPr="00C55C5A">
        <w:rPr>
          <w:rFonts w:ascii="Arial" w:eastAsia="Calibri" w:hAnsi="Arial" w:cs="Arial"/>
          <w:bCs/>
          <w:iCs/>
          <w:sz w:val="22"/>
          <w:szCs w:val="22"/>
          <w:lang w:val="sl-SI"/>
        </w:rPr>
        <w:t>krepitev razvojnih kompetenc.</w:t>
      </w:r>
    </w:p>
    <w:p w14:paraId="135E0493" w14:textId="77777777" w:rsidR="00C55C5A" w:rsidRPr="00C55C5A" w:rsidRDefault="00C55C5A" w:rsidP="00C55C5A">
      <w:pPr>
        <w:ind w:left="720"/>
        <w:jc w:val="both"/>
        <w:rPr>
          <w:rFonts w:ascii="Arial" w:eastAsia="Calibri" w:hAnsi="Arial" w:cs="Arial"/>
          <w:bCs/>
          <w:iCs/>
          <w:sz w:val="22"/>
          <w:szCs w:val="22"/>
          <w:lang w:val="sl-SI"/>
        </w:rPr>
      </w:pPr>
    </w:p>
    <w:p w14:paraId="18E23E8A"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3.1 prednostna naložba:</w:t>
      </w:r>
      <w:r w:rsidRPr="00C55C5A">
        <w:rPr>
          <w:rFonts w:ascii="Arial" w:hAnsi="Arial" w:cs="Arial"/>
          <w:sz w:val="22"/>
          <w:szCs w:val="22"/>
          <w:lang w:val="sl-SI"/>
        </w:rPr>
        <w:t xml:space="preserve"> Spodbujanje podjetništva, zlasti z omogočanjem lažje gospodarske izrabe novih idej in spodbujanjem ustanavljanja novih podjetij, vključno s podjetniškimi inkubatorji.</w:t>
      </w:r>
    </w:p>
    <w:p w14:paraId="3A860462" w14:textId="77777777" w:rsidR="00C55C5A" w:rsidRPr="00C55C5A" w:rsidRDefault="00C55C5A" w:rsidP="00C55C5A">
      <w:pPr>
        <w:jc w:val="both"/>
        <w:rPr>
          <w:rFonts w:ascii="Arial" w:hAnsi="Arial" w:cs="Arial"/>
          <w:sz w:val="22"/>
          <w:szCs w:val="22"/>
          <w:lang w:val="sl-SI"/>
        </w:rPr>
      </w:pPr>
    </w:p>
    <w:p w14:paraId="4262EBAF"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Sredstva namenjena prednostni naložbi 3.1 se v skladu z OP 2014-2020, namenijo za:</w:t>
      </w:r>
    </w:p>
    <w:p w14:paraId="67F8685F"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spodbujanje nastajanja in delovanja podjetij, predvsem start-up podjetij (specifični cilj 1). Cilj je povečanje podjetniške dinamike, ki se izraža v večjem številu novonastalih podjetij, ki zaposlujejo in se uspešno odzivajo na potrebe trga. Še posebno pomembna so t.i. start-up podjetja.</w:t>
      </w:r>
    </w:p>
    <w:p w14:paraId="3FC8EF82"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lastRenderedPageBreak/>
        <w:t>spodbujanje rasti MSP, predvsem hitro-rastočih podjetij, kar se bo odražalo v povečanju dodane vrednosti MSP (specifični cilj 2). Cilj je (i) rast in razvoj MSP preko spodbujanja inovativnosti in ustvarjalnosti, tehnološkega in netehnološkega razvoja in razvojnih vlaganj podjetij ter (ii) izboljšanje energetske in snovne učinkovitosti podjetij.</w:t>
      </w:r>
    </w:p>
    <w:p w14:paraId="1A9936C1" w14:textId="77777777" w:rsidR="00C55C5A" w:rsidRPr="00C55C5A" w:rsidRDefault="00C55C5A" w:rsidP="00C55C5A">
      <w:pPr>
        <w:jc w:val="both"/>
        <w:rPr>
          <w:rFonts w:ascii="Arial" w:hAnsi="Arial" w:cs="Arial"/>
          <w:sz w:val="22"/>
          <w:szCs w:val="22"/>
          <w:lang w:val="sl-SI"/>
        </w:rPr>
      </w:pPr>
    </w:p>
    <w:p w14:paraId="02D64C81"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4.1 prednostna naložba:</w:t>
      </w:r>
      <w:r w:rsidRPr="00C55C5A">
        <w:rPr>
          <w:rFonts w:ascii="Arial" w:hAnsi="Arial" w:cs="Arial"/>
          <w:sz w:val="22"/>
          <w:szCs w:val="22"/>
          <w:lang w:val="sl-SI"/>
        </w:rPr>
        <w:t xml:space="preserve"> Spodbujanje energetske učinkovitosti, pametnega upravljanja z energijo in uporabe obnovljivih virov energije v javni infrastrukturi, vključno z javnimi stavbami, in stanovanjskem sektorju.</w:t>
      </w:r>
    </w:p>
    <w:p w14:paraId="7241A1CA"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5AE8B3AD"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Sredstva namenjena prednostni naložbi 4.1 se v skladu z OP 2014-2020, namenijo spodbujanju energetske učinkovitosti, pametnega upravljanja z energijo in uporabe obnovljivih virov energije v javni infrastrukturi, vključno z javnimi stavbami in stanovanjskem sektorju (prednostna naložba 4.1, specifični cilj 1 – povečanje učinkovitosti rabe energije v javnem sektorju).</w:t>
      </w:r>
    </w:p>
    <w:p w14:paraId="2C41D6FB" w14:textId="77777777" w:rsidR="00C55C5A" w:rsidRPr="00C55C5A" w:rsidRDefault="00C55C5A" w:rsidP="00C55C5A">
      <w:pPr>
        <w:jc w:val="both"/>
        <w:rPr>
          <w:rFonts w:ascii="Arial" w:hAnsi="Arial" w:cs="Arial"/>
          <w:sz w:val="22"/>
          <w:szCs w:val="22"/>
          <w:lang w:val="sl-SI"/>
        </w:rPr>
      </w:pPr>
    </w:p>
    <w:p w14:paraId="74E11A92"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6.3 prednostna naložba:</w:t>
      </w:r>
      <w:r w:rsidRPr="00C55C5A">
        <w:rPr>
          <w:rFonts w:ascii="Arial" w:hAnsi="Arial" w:cs="Arial"/>
          <w:sz w:val="22"/>
          <w:szCs w:val="22"/>
          <w:lang w:val="sl-SI"/>
        </w:rPr>
        <w:t xml:space="preserve"> Ukrepi za izboljšanje urbanega okolja, oživitev mest, sanacijo in dekontaminacijo degradiranih zemljišč (vključno z območji, na katerih poteka preobrazba), zmanjšanje onesnaženosti zraka in spodbujanje ukrepov za zmanjšanje hrupa</w:t>
      </w:r>
    </w:p>
    <w:p w14:paraId="7AC54680" w14:textId="77777777" w:rsidR="00C55C5A" w:rsidRPr="00C55C5A" w:rsidRDefault="00C55C5A" w:rsidP="00C55C5A">
      <w:pPr>
        <w:jc w:val="both"/>
        <w:rPr>
          <w:rFonts w:ascii="Arial" w:hAnsi="Arial" w:cs="Arial"/>
          <w:sz w:val="22"/>
          <w:szCs w:val="22"/>
          <w:lang w:val="sl-SI"/>
        </w:rPr>
      </w:pPr>
    </w:p>
    <w:p w14:paraId="7D2E9941"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Za področje urbanega razvoja v OP 2014 -2020 izvajanje ukrepov s FI trenutno še ni predvideno in zahteva spremembo oz. tehnične popravke OP 2014 – 2020. Veljavni OP predvideva, da bosta obseg in vsebina FI opredeljena glede na študijo ocenjene vrzeli za uporabo in izvajanje FI na področju urbanega razvoja. Ključni elementi FI so za področje urbanega razvoja zato pripravljeni na predpostavki, da bo OP 2014 – 2020 dopolnjen skladno z izhodišči študije ocenjene vrzeli (t.j. Predhodna ocena FI), ki predlaga širitev nabora upravičencev in na podlagi delitev (delitev na povratna in nepovratna sredstva) EU sredstev za področje urbane prenove, kot jo predlaga OU. </w:t>
      </w:r>
    </w:p>
    <w:p w14:paraId="7FBA3D15" w14:textId="77777777" w:rsidR="00C55C5A" w:rsidRPr="00C55C5A" w:rsidRDefault="00C55C5A" w:rsidP="00C55C5A">
      <w:pPr>
        <w:jc w:val="both"/>
        <w:rPr>
          <w:rFonts w:ascii="Arial" w:hAnsi="Arial" w:cs="Arial"/>
          <w:sz w:val="22"/>
          <w:szCs w:val="22"/>
          <w:lang w:val="sl-SI"/>
        </w:rPr>
      </w:pPr>
    </w:p>
    <w:p w14:paraId="26C6532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Predlagani FI za urbani razvoj so posojila za izvedbo ukrepov, ki prispevajo k doseganju specifičnega cilja te prednostne naložbe in drugih prednostnih naložb OP EKP 2014-2020 in ciljem trajnostnih urbanih strategij v 11 mestnih občinah. S posojili se bo predvidoma podprlo:</w:t>
      </w:r>
    </w:p>
    <w:p w14:paraId="2171CBA1"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izvedbo projektov prenove ali novogradnje stanovanj, ki so rezultat urbane prenove s ciljem povečanja javnega stanovanjskega fonda, skladno z izkazanimi potrebami po posameznih mestnih občinah;</w:t>
      </w:r>
    </w:p>
    <w:p w14:paraId="259D90A5"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Izvedbo drugih projektov, katerih namen bo izvajanje posegov fizične prenove urbanih območij, ki so skladni s cilji trajnostnih urbanih strategij v 11 mestnih občinah.</w:t>
      </w:r>
    </w:p>
    <w:p w14:paraId="28C2C36A" w14:textId="77777777" w:rsidR="00C55C5A" w:rsidRPr="00C55C5A" w:rsidRDefault="00C55C5A" w:rsidP="00C55C5A">
      <w:pPr>
        <w:jc w:val="both"/>
        <w:rPr>
          <w:rFonts w:ascii="Arial" w:hAnsi="Arial" w:cs="Arial"/>
          <w:b/>
          <w:sz w:val="22"/>
          <w:szCs w:val="22"/>
          <w:lang w:val="sl-SI"/>
        </w:rPr>
      </w:pPr>
    </w:p>
    <w:p w14:paraId="52CF7932" w14:textId="77777777" w:rsidR="00C55C5A" w:rsidRPr="00C55C5A" w:rsidRDefault="00C55C5A" w:rsidP="00C55C5A">
      <w:pPr>
        <w:jc w:val="both"/>
        <w:rPr>
          <w:rFonts w:ascii="Arial" w:hAnsi="Arial" w:cs="Arial"/>
          <w:sz w:val="22"/>
          <w:lang w:val="sl-SI"/>
        </w:rPr>
      </w:pPr>
    </w:p>
    <w:p w14:paraId="7C695C23" w14:textId="77777777" w:rsidR="00C55C5A" w:rsidRPr="00C55C5A" w:rsidRDefault="00C55C5A" w:rsidP="00C55C5A">
      <w:pPr>
        <w:keepNext/>
        <w:keepLines/>
        <w:spacing w:before="40"/>
        <w:jc w:val="both"/>
        <w:outlineLvl w:val="2"/>
        <w:rPr>
          <w:rFonts w:ascii="Arial" w:hAnsi="Arial" w:cs="Arial"/>
          <w:b/>
          <w:color w:val="1F4D78"/>
          <w:sz w:val="22"/>
          <w:lang w:val="sl-SI"/>
        </w:rPr>
      </w:pPr>
      <w:bookmarkStart w:id="16" w:name="_Toc479162936"/>
      <w:r w:rsidRPr="00C55C5A">
        <w:rPr>
          <w:rFonts w:ascii="Arial" w:hAnsi="Arial" w:cs="Arial"/>
          <w:b/>
          <w:color w:val="1F4D78"/>
          <w:sz w:val="22"/>
          <w:lang w:val="sl-SI"/>
        </w:rPr>
        <w:t>2.2 Tržne vrzeli na področju finančnih instrumentov</w:t>
      </w:r>
      <w:bookmarkEnd w:id="16"/>
    </w:p>
    <w:p w14:paraId="710096E9" w14:textId="77777777" w:rsidR="00C55C5A" w:rsidRPr="00C55C5A" w:rsidRDefault="00C55C5A" w:rsidP="00C55C5A">
      <w:pPr>
        <w:jc w:val="both"/>
        <w:rPr>
          <w:rFonts w:ascii="Arial" w:hAnsi="Arial" w:cs="Arial"/>
          <w:sz w:val="22"/>
          <w:lang w:val="sl-SI"/>
        </w:rPr>
      </w:pPr>
    </w:p>
    <w:p w14:paraId="3EAA4D93"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Iz   Predhodne ocene FI izhaja, da obstajajo tržne vrzeli na naslednjih področjih:</w:t>
      </w:r>
    </w:p>
    <w:p w14:paraId="266ECDA8"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malih in srednje velikih podjetij (MSP),</w:t>
      </w:r>
    </w:p>
    <w:p w14:paraId="03D463ED"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raziskav, razvoja in inovacij (RRI),</w:t>
      </w:r>
    </w:p>
    <w:p w14:paraId="060A2FED"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energetske učinkovitosti (EE) in</w:t>
      </w:r>
    </w:p>
    <w:p w14:paraId="4FDD4CBF"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urbanega razvoja.</w:t>
      </w:r>
    </w:p>
    <w:p w14:paraId="77D61752" w14:textId="77777777" w:rsidR="00C55C5A" w:rsidRPr="00C55C5A" w:rsidRDefault="00C55C5A" w:rsidP="00C55C5A">
      <w:pPr>
        <w:jc w:val="both"/>
        <w:rPr>
          <w:rFonts w:ascii="Arial" w:hAnsi="Arial" w:cs="Arial"/>
          <w:sz w:val="22"/>
          <w:szCs w:val="22"/>
          <w:lang w:val="sl-SI"/>
        </w:rPr>
      </w:pPr>
    </w:p>
    <w:p w14:paraId="6B49A01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Možni finančni produkti, ki izhajajo iz kasneje predstavljenih obstoječih tržnih vrzeli in že izvedenih finančnih produktov, so garancije (predvsem portfeljske), krediti (mikrokrediti, krediti večjih vrednosti), lastniško financiranje (v vseh fazah razvoja podjetja). </w:t>
      </w:r>
    </w:p>
    <w:p w14:paraId="02909E81" w14:textId="77777777" w:rsidR="00C55C5A" w:rsidRPr="00C55C5A" w:rsidRDefault="00C55C5A" w:rsidP="00C55C5A">
      <w:pPr>
        <w:jc w:val="both"/>
        <w:rPr>
          <w:rFonts w:ascii="Arial" w:hAnsi="Arial" w:cs="Arial"/>
          <w:sz w:val="22"/>
          <w:szCs w:val="22"/>
          <w:lang w:val="sl-SI"/>
        </w:rPr>
      </w:pPr>
    </w:p>
    <w:p w14:paraId="011D7B3B" w14:textId="77777777" w:rsidR="00C55C5A" w:rsidRPr="00C55C5A" w:rsidRDefault="00C55C5A" w:rsidP="00C55C5A">
      <w:pPr>
        <w:suppressAutoHyphens/>
        <w:jc w:val="both"/>
        <w:rPr>
          <w:rFonts w:ascii="Arial" w:eastAsia="Calibri" w:hAnsi="Arial" w:cs="Arial"/>
          <w:sz w:val="22"/>
          <w:szCs w:val="22"/>
          <w:lang w:val="sl-SI" w:eastAsia="ar-SA"/>
        </w:rPr>
      </w:pPr>
      <w:r w:rsidRPr="00C55C5A">
        <w:rPr>
          <w:rFonts w:ascii="Arial" w:eastAsia="Calibri" w:hAnsi="Arial" w:cs="Arial"/>
          <w:sz w:val="22"/>
          <w:szCs w:val="22"/>
          <w:lang w:val="sl-SI" w:eastAsia="ar-SA"/>
        </w:rPr>
        <w:lastRenderedPageBreak/>
        <w:t xml:space="preserve">Posodobitve predhodne ocene: </w:t>
      </w:r>
    </w:p>
    <w:p w14:paraId="630D3B09" w14:textId="77777777" w:rsidR="00C55C5A" w:rsidRPr="00C55C5A" w:rsidRDefault="00C55C5A" w:rsidP="00C55C5A">
      <w:pPr>
        <w:suppressAutoHyphens/>
        <w:jc w:val="both"/>
        <w:rPr>
          <w:rFonts w:ascii="Arial" w:hAnsi="Arial" w:cs="Arial"/>
          <w:sz w:val="22"/>
          <w:szCs w:val="22"/>
          <w:lang w:val="sl-SI" w:eastAsia="ar-SA"/>
        </w:rPr>
      </w:pPr>
      <w:r w:rsidRPr="00C55C5A">
        <w:rPr>
          <w:rFonts w:ascii="Arial" w:hAnsi="Arial" w:cs="Arial"/>
          <w:sz w:val="22"/>
          <w:szCs w:val="22"/>
          <w:lang w:val="sl-SI" w:eastAsia="ar-SA"/>
        </w:rPr>
        <w:t>V skladu s členom 37(2)(g) Uredbe 1303/2013 se OU lahko odloči, da se predhodna ocena po potrebi pregleda in posodobi med izvajanjem katerega koli FIa, ki se izvaja na podlagi takšne ocene, če v fazi izvajanja meni, da predhodna ocena ne ustreza več popolnoma tržnim pogojem, ki obstajajo v času izvajanja in se to tudi izraža na izvajanju FI-jev. Posodobitev predhodne ocene se v tem primeru izvede skladno s postopkom opredeljenim v tretjem odstavku 5. poglavja.</w:t>
      </w:r>
    </w:p>
    <w:p w14:paraId="0D9EA661" w14:textId="77777777" w:rsidR="00C55C5A" w:rsidRPr="00C55C5A" w:rsidRDefault="00C55C5A" w:rsidP="00C55C5A">
      <w:pPr>
        <w:suppressAutoHyphens/>
        <w:jc w:val="both"/>
        <w:rPr>
          <w:rFonts w:ascii="Arial" w:hAnsi="Arial" w:cs="Arial"/>
          <w:sz w:val="22"/>
          <w:szCs w:val="22"/>
          <w:lang w:val="sl-SI" w:eastAsia="ar-SA"/>
        </w:rPr>
      </w:pPr>
    </w:p>
    <w:p w14:paraId="1A617D01"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Pri določitvi vrzeli financiranja je potrebno upoštevati poleg potencialnega povpraševanja tudi naslednje:</w:t>
      </w:r>
    </w:p>
    <w:p w14:paraId="290557D2"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potencialno povpraševanje ne bo nujno prešlo v dejansko;</w:t>
      </w:r>
    </w:p>
    <w:p w14:paraId="4D06DF91"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pomanjkanje predhodnih investicij zaradi krize;</w:t>
      </w:r>
    </w:p>
    <w:p w14:paraId="1BBB9412"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 xml:space="preserve">omejeno poznavanje virov financiranja in finančnih produktov in  </w:t>
      </w:r>
    </w:p>
    <w:p w14:paraId="062C3A94"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negotovo gospodarsko okolje</w:t>
      </w:r>
    </w:p>
    <w:p w14:paraId="69CFF08B" w14:textId="77777777" w:rsidR="00C55C5A" w:rsidRPr="00C55C5A" w:rsidRDefault="00C55C5A" w:rsidP="00C55C5A">
      <w:pPr>
        <w:jc w:val="both"/>
        <w:rPr>
          <w:rFonts w:ascii="Arial" w:hAnsi="Arial" w:cs="Arial"/>
          <w:sz w:val="22"/>
          <w:lang w:val="sl-SI"/>
        </w:rPr>
      </w:pPr>
    </w:p>
    <w:p w14:paraId="694BE7D9" w14:textId="77777777" w:rsidR="00C55C5A" w:rsidRPr="00C55C5A" w:rsidRDefault="00C55C5A" w:rsidP="00C55C5A">
      <w:pPr>
        <w:keepNext/>
        <w:keepLines/>
        <w:spacing w:before="40"/>
        <w:jc w:val="both"/>
        <w:outlineLvl w:val="3"/>
        <w:rPr>
          <w:rFonts w:ascii="Arial" w:hAnsi="Arial" w:cs="Arial"/>
          <w:i/>
          <w:iCs/>
          <w:color w:val="2E74B5"/>
          <w:sz w:val="22"/>
          <w:lang w:val="sl-SI"/>
        </w:rPr>
      </w:pPr>
      <w:r w:rsidRPr="00C55C5A">
        <w:rPr>
          <w:rFonts w:ascii="Arial" w:hAnsi="Arial" w:cs="Arial"/>
          <w:i/>
          <w:iCs/>
          <w:color w:val="2E74B5"/>
          <w:sz w:val="22"/>
          <w:lang w:val="sl-SI"/>
        </w:rPr>
        <w:t xml:space="preserve">2.2.1 Mala in srednje velika podjetja (MSP) </w:t>
      </w:r>
    </w:p>
    <w:p w14:paraId="200A6A7E" w14:textId="77777777" w:rsidR="00C55C5A" w:rsidRPr="00C55C5A" w:rsidRDefault="00C55C5A" w:rsidP="00C55C5A">
      <w:pPr>
        <w:ind w:left="-15" w:right="14"/>
        <w:jc w:val="both"/>
        <w:rPr>
          <w:rFonts w:ascii="Arial" w:hAnsi="Arial" w:cs="Arial"/>
          <w:sz w:val="22"/>
          <w:lang w:val="sl-SI"/>
        </w:rPr>
      </w:pPr>
    </w:p>
    <w:p w14:paraId="4AA42483"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Za MSP je ocenjena kvantificirana skupna ponudba vsakega finančnega produkta za dve kategoriji velikosti MSP (mikro ter mala in srednje velika).</w:t>
      </w:r>
    </w:p>
    <w:p w14:paraId="16198D09" w14:textId="77777777" w:rsidR="00C55C5A" w:rsidRPr="00C55C5A" w:rsidRDefault="00C55C5A" w:rsidP="00C55C5A">
      <w:pPr>
        <w:spacing w:after="141"/>
        <w:ind w:left="-15"/>
        <w:jc w:val="both"/>
        <w:rPr>
          <w:rFonts w:ascii="Arial" w:hAnsi="Arial" w:cs="Arial"/>
          <w:sz w:val="22"/>
          <w:szCs w:val="22"/>
          <w:lang w:val="sl-SI"/>
        </w:rPr>
      </w:pPr>
    </w:p>
    <w:p w14:paraId="6D4444C5" w14:textId="77777777" w:rsidR="00C55C5A" w:rsidRPr="00C55C5A" w:rsidRDefault="00C55C5A" w:rsidP="00C55C5A">
      <w:pPr>
        <w:spacing w:after="141"/>
        <w:ind w:left="-15"/>
        <w:jc w:val="both"/>
        <w:rPr>
          <w:rFonts w:ascii="Arial" w:hAnsi="Arial" w:cs="Arial"/>
          <w:sz w:val="22"/>
          <w:szCs w:val="22"/>
          <w:lang w:val="sl-SI"/>
        </w:rPr>
      </w:pPr>
      <w:r w:rsidRPr="00C55C5A">
        <w:rPr>
          <w:rFonts w:ascii="Arial" w:hAnsi="Arial" w:cs="Arial"/>
          <w:i/>
          <w:sz w:val="22"/>
          <w:szCs w:val="22"/>
          <w:u w:val="single" w:color="000000"/>
          <w:lang w:val="sl-SI"/>
        </w:rPr>
        <w:t>Mikrofinanciranje</w:t>
      </w:r>
    </w:p>
    <w:p w14:paraId="6F0F23BD"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 xml:space="preserve">V Sloveniji se potencialna vrzel financiranja za mikrofinanciranje v letu 2015 giblje med 1.138 mio EUR in 1.260 mio EUR. Vrzel mikrofinanciranja se delno lahko pojasni z omejeno ponudbo mikrofinanciranja v Sloveniji. Uporaba sredstev evropske kohezijske politike za financiranje produktov mikrofinanciranja ter za podporo institucijam, ki v programskem obdobju 2014—2020 nudijo mikrofinanciranje, bi koristila velikemu številu mikro podjetij v državi in bi spodbudila ustanavljanje podjetij ter trajnost novo ustanovljenih podjetij.  </w:t>
      </w:r>
    </w:p>
    <w:p w14:paraId="32DAF256" w14:textId="77777777" w:rsidR="00C55C5A" w:rsidRPr="00C55C5A" w:rsidRDefault="00C55C5A" w:rsidP="00C55C5A">
      <w:pPr>
        <w:jc w:val="both"/>
        <w:rPr>
          <w:rFonts w:ascii="Arial" w:hAnsi="Arial" w:cs="Arial"/>
          <w:sz w:val="22"/>
          <w:szCs w:val="22"/>
          <w:lang w:val="sl-SI"/>
        </w:rPr>
      </w:pPr>
    </w:p>
    <w:p w14:paraId="148F9DA5" w14:textId="77777777" w:rsidR="00C55C5A" w:rsidRPr="00C55C5A" w:rsidRDefault="00C55C5A" w:rsidP="00C55C5A">
      <w:pPr>
        <w:tabs>
          <w:tab w:val="left" w:pos="3770"/>
        </w:tabs>
        <w:jc w:val="both"/>
        <w:rPr>
          <w:rFonts w:ascii="Arial" w:hAnsi="Arial" w:cs="Arial"/>
          <w:sz w:val="22"/>
          <w:szCs w:val="22"/>
          <w:lang w:val="sl-SI"/>
        </w:rPr>
      </w:pPr>
      <w:r w:rsidRPr="00C55C5A">
        <w:rPr>
          <w:rFonts w:ascii="Arial" w:hAnsi="Arial" w:cs="Arial"/>
          <w:sz w:val="22"/>
          <w:szCs w:val="22"/>
          <w:lang w:val="sl-SI"/>
        </w:rPr>
        <w:t>Tabela 1: Potencialna vrzel financiranja za mikrofinanciranje mikro podjetij v letu 2015</w:t>
      </w:r>
      <w:r w:rsidRPr="00C55C5A">
        <w:rPr>
          <w:rFonts w:ascii="Arial" w:hAnsi="Arial" w:cs="Arial"/>
          <w:sz w:val="22"/>
          <w:szCs w:val="22"/>
          <w:vertAlign w:val="superscript"/>
          <w:lang w:val="sl-SI"/>
        </w:rPr>
        <w:footnoteReference w:id="4"/>
      </w:r>
    </w:p>
    <w:tbl>
      <w:tblPr>
        <w:tblStyle w:val="TableGrid"/>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54" w:type="dxa"/>
          <w:right w:w="73" w:type="dxa"/>
        </w:tblCellMar>
        <w:tblLook w:val="04A0" w:firstRow="1" w:lastRow="0" w:firstColumn="1" w:lastColumn="0" w:noHBand="0" w:noVBand="1"/>
      </w:tblPr>
      <w:tblGrid>
        <w:gridCol w:w="1942"/>
        <w:gridCol w:w="2003"/>
        <w:gridCol w:w="2455"/>
        <w:gridCol w:w="3382"/>
      </w:tblGrid>
      <w:tr w:rsidR="00C55C5A" w:rsidRPr="00C55C5A" w14:paraId="27FE213C" w14:textId="77777777" w:rsidTr="00E6701A">
        <w:trPr>
          <w:trHeight w:val="743"/>
        </w:trPr>
        <w:tc>
          <w:tcPr>
            <w:tcW w:w="1942" w:type="dxa"/>
            <w:shd w:val="clear" w:color="auto" w:fill="auto"/>
            <w:vAlign w:val="center"/>
          </w:tcPr>
          <w:p w14:paraId="649F7298" w14:textId="77777777" w:rsidR="00C55C5A" w:rsidRPr="00C55C5A" w:rsidRDefault="00C55C5A" w:rsidP="00C55C5A">
            <w:pPr>
              <w:ind w:left="98"/>
              <w:jc w:val="both"/>
              <w:rPr>
                <w:rFonts w:ascii="Arial" w:hAnsi="Arial" w:cs="Arial"/>
                <w:sz w:val="22"/>
                <w:szCs w:val="22"/>
                <w:lang w:val="sl-SI"/>
              </w:rPr>
            </w:pPr>
          </w:p>
        </w:tc>
        <w:tc>
          <w:tcPr>
            <w:tcW w:w="2003" w:type="dxa"/>
            <w:shd w:val="clear" w:color="auto" w:fill="auto"/>
          </w:tcPr>
          <w:p w14:paraId="53FC1F23" w14:textId="77777777" w:rsidR="00C55C5A" w:rsidRPr="00C55C5A" w:rsidRDefault="00C55C5A" w:rsidP="00C55C5A">
            <w:pPr>
              <w:ind w:left="7"/>
              <w:jc w:val="center"/>
              <w:rPr>
                <w:rFonts w:ascii="Arial" w:hAnsi="Arial" w:cs="Arial"/>
                <w:sz w:val="22"/>
                <w:szCs w:val="22"/>
                <w:lang w:val="sl-SI"/>
              </w:rPr>
            </w:pPr>
            <w:r w:rsidRPr="00C55C5A">
              <w:rPr>
                <w:rFonts w:ascii="Arial" w:hAnsi="Arial" w:cs="Arial"/>
                <w:sz w:val="22"/>
                <w:szCs w:val="22"/>
                <w:lang w:val="sl-SI"/>
              </w:rPr>
              <w:t xml:space="preserve">Vrzel financiranja obstoječih mikro podjetij  </w:t>
            </w:r>
          </w:p>
        </w:tc>
        <w:tc>
          <w:tcPr>
            <w:tcW w:w="2455" w:type="dxa"/>
            <w:shd w:val="clear" w:color="auto" w:fill="auto"/>
            <w:vAlign w:val="center"/>
          </w:tcPr>
          <w:p w14:paraId="0A436D77"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 xml:space="preserve">Vrzel financiranja, vključno s finančnim vključevanjem </w:t>
            </w:r>
          </w:p>
        </w:tc>
        <w:tc>
          <w:tcPr>
            <w:tcW w:w="3382" w:type="dxa"/>
            <w:shd w:val="clear" w:color="auto" w:fill="auto"/>
          </w:tcPr>
          <w:p w14:paraId="57CB2959"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 xml:space="preserve">Vrzel financiranja, vključno s finančnim vključevanjem in socialnim podjetništvom </w:t>
            </w:r>
          </w:p>
        </w:tc>
      </w:tr>
      <w:tr w:rsidR="00C55C5A" w:rsidRPr="00C55C5A" w14:paraId="1359F2AE" w14:textId="77777777" w:rsidTr="00E6701A">
        <w:trPr>
          <w:trHeight w:val="334"/>
        </w:trPr>
        <w:tc>
          <w:tcPr>
            <w:tcW w:w="1942" w:type="dxa"/>
            <w:shd w:val="clear" w:color="auto" w:fill="auto"/>
          </w:tcPr>
          <w:p w14:paraId="5B4DD5D5"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Mikrofinanciranje v mio EUR </w:t>
            </w:r>
          </w:p>
        </w:tc>
        <w:tc>
          <w:tcPr>
            <w:tcW w:w="2003" w:type="dxa"/>
            <w:shd w:val="clear" w:color="auto" w:fill="auto"/>
          </w:tcPr>
          <w:p w14:paraId="541140D1" w14:textId="77777777" w:rsidR="00C55C5A" w:rsidRPr="00C55C5A" w:rsidRDefault="00C55C5A" w:rsidP="00C55C5A">
            <w:pPr>
              <w:ind w:left="20"/>
              <w:jc w:val="center"/>
              <w:rPr>
                <w:rFonts w:ascii="Arial" w:hAnsi="Arial" w:cs="Arial"/>
                <w:sz w:val="22"/>
                <w:szCs w:val="22"/>
                <w:lang w:val="sl-SI"/>
              </w:rPr>
            </w:pPr>
            <w:r w:rsidRPr="00C55C5A">
              <w:rPr>
                <w:rFonts w:ascii="Arial" w:hAnsi="Arial" w:cs="Arial"/>
                <w:b/>
                <w:sz w:val="22"/>
                <w:szCs w:val="22"/>
                <w:lang w:val="sl-SI"/>
              </w:rPr>
              <w:t xml:space="preserve">1.105 – 1.227 </w:t>
            </w:r>
          </w:p>
        </w:tc>
        <w:tc>
          <w:tcPr>
            <w:tcW w:w="2455" w:type="dxa"/>
            <w:shd w:val="clear" w:color="auto" w:fill="auto"/>
          </w:tcPr>
          <w:p w14:paraId="34F0761B" w14:textId="77777777" w:rsidR="00C55C5A" w:rsidRPr="00C55C5A" w:rsidRDefault="00C55C5A" w:rsidP="00C55C5A">
            <w:pPr>
              <w:ind w:left="16"/>
              <w:jc w:val="center"/>
              <w:rPr>
                <w:rFonts w:ascii="Arial" w:hAnsi="Arial" w:cs="Arial"/>
                <w:sz w:val="22"/>
                <w:szCs w:val="22"/>
                <w:lang w:val="sl-SI"/>
              </w:rPr>
            </w:pPr>
            <w:r w:rsidRPr="00C55C5A">
              <w:rPr>
                <w:rFonts w:ascii="Arial" w:hAnsi="Arial" w:cs="Arial"/>
                <w:b/>
                <w:sz w:val="22"/>
                <w:szCs w:val="22"/>
                <w:lang w:val="sl-SI"/>
              </w:rPr>
              <w:t xml:space="preserve">1.137 – 1.260 </w:t>
            </w:r>
          </w:p>
        </w:tc>
        <w:tc>
          <w:tcPr>
            <w:tcW w:w="3382" w:type="dxa"/>
            <w:shd w:val="clear" w:color="auto" w:fill="auto"/>
          </w:tcPr>
          <w:p w14:paraId="07EFBE08" w14:textId="77777777" w:rsidR="00C55C5A" w:rsidRPr="00C55C5A" w:rsidRDefault="00C55C5A" w:rsidP="00C55C5A">
            <w:pPr>
              <w:ind w:left="16"/>
              <w:jc w:val="center"/>
              <w:rPr>
                <w:rFonts w:ascii="Arial" w:hAnsi="Arial" w:cs="Arial"/>
                <w:sz w:val="22"/>
                <w:szCs w:val="22"/>
                <w:lang w:val="sl-SI"/>
              </w:rPr>
            </w:pPr>
            <w:r w:rsidRPr="00C55C5A">
              <w:rPr>
                <w:rFonts w:ascii="Arial" w:hAnsi="Arial" w:cs="Arial"/>
                <w:b/>
                <w:sz w:val="22"/>
                <w:szCs w:val="22"/>
                <w:lang w:val="sl-SI"/>
              </w:rPr>
              <w:t xml:space="preserve">1.138 – 1.260 </w:t>
            </w:r>
          </w:p>
        </w:tc>
      </w:tr>
    </w:tbl>
    <w:p w14:paraId="7CBFB268" w14:textId="77777777" w:rsidR="00C55C5A" w:rsidRPr="00C55C5A" w:rsidRDefault="00C55C5A" w:rsidP="00C55C5A">
      <w:pPr>
        <w:ind w:left="-5" w:hanging="10"/>
        <w:jc w:val="both"/>
        <w:rPr>
          <w:rFonts w:ascii="Arial" w:hAnsi="Arial" w:cs="Arial"/>
          <w:sz w:val="22"/>
          <w:szCs w:val="22"/>
          <w:lang w:val="sl-SI"/>
        </w:rPr>
      </w:pPr>
      <w:r w:rsidRPr="00C55C5A">
        <w:rPr>
          <w:rFonts w:ascii="Arial" w:hAnsi="Arial" w:cs="Arial"/>
          <w:sz w:val="22"/>
          <w:szCs w:val="22"/>
          <w:lang w:val="sl-SI"/>
        </w:rPr>
        <w:t xml:space="preserve">Vir: Predhodna analiza FI, 2015 </w:t>
      </w:r>
    </w:p>
    <w:p w14:paraId="612C3EA2" w14:textId="77777777" w:rsidR="00C55C5A" w:rsidRPr="00C55C5A" w:rsidRDefault="00C55C5A" w:rsidP="00C55C5A">
      <w:pPr>
        <w:jc w:val="both"/>
        <w:rPr>
          <w:rFonts w:ascii="Arial" w:hAnsi="Arial" w:cs="Arial"/>
          <w:i/>
          <w:sz w:val="22"/>
          <w:szCs w:val="22"/>
          <w:u w:val="single" w:color="000000"/>
          <w:lang w:val="sl-SI"/>
        </w:rPr>
      </w:pPr>
    </w:p>
    <w:p w14:paraId="796BBA9E" w14:textId="77777777" w:rsidR="00C55C5A" w:rsidRPr="00C55C5A" w:rsidRDefault="00C55C5A" w:rsidP="00C55C5A">
      <w:pPr>
        <w:spacing w:after="141"/>
        <w:ind w:left="-5" w:hanging="10"/>
        <w:jc w:val="both"/>
        <w:rPr>
          <w:rFonts w:ascii="Arial" w:hAnsi="Arial" w:cs="Arial"/>
          <w:sz w:val="22"/>
          <w:szCs w:val="22"/>
          <w:lang w:val="sl-SI"/>
        </w:rPr>
      </w:pPr>
      <w:r w:rsidRPr="00C55C5A">
        <w:rPr>
          <w:rFonts w:ascii="Arial" w:hAnsi="Arial" w:cs="Arial"/>
          <w:i/>
          <w:sz w:val="22"/>
          <w:szCs w:val="22"/>
          <w:u w:val="single" w:color="000000"/>
          <w:lang w:val="sl-SI"/>
        </w:rPr>
        <w:t>Kratkoročna posojila</w:t>
      </w:r>
      <w:r w:rsidRPr="00C55C5A">
        <w:rPr>
          <w:rFonts w:ascii="Arial" w:hAnsi="Arial" w:cs="Arial"/>
          <w:i/>
          <w:sz w:val="22"/>
          <w:szCs w:val="22"/>
          <w:lang w:val="sl-SI"/>
        </w:rPr>
        <w:t xml:space="preserve"> </w:t>
      </w:r>
    </w:p>
    <w:p w14:paraId="34E34393" w14:textId="77777777" w:rsidR="00C55C5A" w:rsidRPr="00C55C5A" w:rsidRDefault="00C55C5A" w:rsidP="00C55C5A">
      <w:pPr>
        <w:ind w:left="-15"/>
        <w:jc w:val="both"/>
        <w:rPr>
          <w:rFonts w:ascii="Arial" w:hAnsi="Arial" w:cs="Arial"/>
          <w:sz w:val="22"/>
          <w:szCs w:val="22"/>
          <w:lang w:val="sl-SI"/>
        </w:rPr>
      </w:pPr>
      <w:r w:rsidRPr="00C55C5A">
        <w:rPr>
          <w:rFonts w:ascii="Arial" w:hAnsi="Arial" w:cs="Arial"/>
          <w:sz w:val="22"/>
          <w:szCs w:val="22"/>
          <w:lang w:val="sl-SI"/>
        </w:rPr>
        <w:lastRenderedPageBreak/>
        <w:t xml:space="preserve">Komercialne banke se ne soočajo z likvidnostnimi težavami, vendar so kljub temu posojila pripravljene dajati le stabilnim MSP z zanesljivimi prihodnjimi denarnimi tokovi.  </w:t>
      </w:r>
    </w:p>
    <w:p w14:paraId="0DA421C4" w14:textId="77777777" w:rsidR="00C55C5A" w:rsidRPr="00C55C5A" w:rsidRDefault="00C55C5A" w:rsidP="00C55C5A">
      <w:pPr>
        <w:ind w:left="-15" w:right="14"/>
        <w:jc w:val="both"/>
        <w:rPr>
          <w:rFonts w:ascii="Arial" w:hAnsi="Arial" w:cs="Arial"/>
          <w:sz w:val="22"/>
          <w:szCs w:val="22"/>
          <w:lang w:val="sl-SI"/>
        </w:rPr>
      </w:pPr>
    </w:p>
    <w:p w14:paraId="6CB01AFE"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Na strani povpraševanja vseh kategorij velikosti MSP, le-ta potrebujejo obratni kapital, da bi kratkoročno ostale operativne, čeprav je njihova aktivnost na relativno nizki ravni. Ugotovitve potencialnih vrzeli financiranja razkrivajo težave obeh kategorij MSP pri dostopanju do kratkoročnega posojilnega financiranja. Medtem, ko imajo po številu MSP manjši obseg, so vrzeli financiranja pri tej kategoriji večje, predvsem zato, ker običajno potrebujejo višji znesek, pomemben del uspešnih MSP pa je neuspešen pri dostopanju do posojilnega financiranja v Sloveniji.</w:t>
      </w:r>
    </w:p>
    <w:p w14:paraId="3B08645B" w14:textId="77777777" w:rsidR="00C55C5A" w:rsidRPr="00C55C5A" w:rsidRDefault="00C55C5A" w:rsidP="00C55C5A">
      <w:pPr>
        <w:spacing w:after="9"/>
        <w:ind w:left="-5" w:hanging="10"/>
        <w:jc w:val="both"/>
        <w:rPr>
          <w:rFonts w:ascii="Arial" w:hAnsi="Arial" w:cs="Arial"/>
          <w:i/>
          <w:color w:val="821A1A"/>
          <w:sz w:val="22"/>
          <w:szCs w:val="22"/>
          <w:lang w:val="sl-SI"/>
        </w:rPr>
      </w:pPr>
    </w:p>
    <w:p w14:paraId="4BFEC80E" w14:textId="77777777" w:rsidR="00C55C5A" w:rsidRPr="00C55C5A" w:rsidRDefault="00C55C5A" w:rsidP="00C55C5A">
      <w:pPr>
        <w:spacing w:after="9"/>
        <w:ind w:left="-5" w:hanging="10"/>
        <w:jc w:val="both"/>
        <w:rPr>
          <w:rFonts w:ascii="Arial" w:hAnsi="Arial" w:cs="Arial"/>
          <w:sz w:val="22"/>
          <w:szCs w:val="22"/>
          <w:lang w:val="sl-SI"/>
        </w:rPr>
      </w:pPr>
      <w:r w:rsidRPr="00C55C5A">
        <w:rPr>
          <w:rFonts w:ascii="Arial" w:hAnsi="Arial" w:cs="Arial"/>
          <w:sz w:val="22"/>
          <w:szCs w:val="22"/>
          <w:lang w:val="sl-SI"/>
        </w:rPr>
        <w:t xml:space="preserve">Tabela 2: Dejanske vrzeli financiranja za kratkoročna posojila, prekoračitve na tekočih računih in kreditne linije v letu 2015 (mio EUR) </w:t>
      </w:r>
    </w:p>
    <w:tbl>
      <w:tblPr>
        <w:tblStyle w:val="TableGrid"/>
        <w:tblW w:w="976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62" w:type="dxa"/>
          <w:right w:w="30" w:type="dxa"/>
        </w:tblCellMar>
        <w:tblLook w:val="04A0" w:firstRow="1" w:lastRow="0" w:firstColumn="1" w:lastColumn="0" w:noHBand="0" w:noVBand="1"/>
      </w:tblPr>
      <w:tblGrid>
        <w:gridCol w:w="2669"/>
        <w:gridCol w:w="2311"/>
        <w:gridCol w:w="2312"/>
        <w:gridCol w:w="2470"/>
      </w:tblGrid>
      <w:tr w:rsidR="00C55C5A" w:rsidRPr="00C55C5A" w14:paraId="5CDD6AF9" w14:textId="77777777" w:rsidTr="00E6701A">
        <w:trPr>
          <w:trHeight w:val="743"/>
        </w:trPr>
        <w:tc>
          <w:tcPr>
            <w:tcW w:w="2669" w:type="dxa"/>
            <w:shd w:val="clear" w:color="auto" w:fill="auto"/>
            <w:vAlign w:val="center"/>
          </w:tcPr>
          <w:p w14:paraId="084DA87E"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 xml:space="preserve"> </w:t>
            </w:r>
          </w:p>
        </w:tc>
        <w:tc>
          <w:tcPr>
            <w:tcW w:w="2311" w:type="dxa"/>
            <w:shd w:val="clear" w:color="auto" w:fill="auto"/>
            <w:vAlign w:val="center"/>
          </w:tcPr>
          <w:p w14:paraId="2645905D"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 xml:space="preserve">Dejanska vrzel financiranja za mikro podjetja  </w:t>
            </w:r>
          </w:p>
        </w:tc>
        <w:tc>
          <w:tcPr>
            <w:tcW w:w="2312" w:type="dxa"/>
            <w:shd w:val="clear" w:color="auto" w:fill="auto"/>
          </w:tcPr>
          <w:p w14:paraId="55C0082A"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Dejanska vrzel financiranja za mala in srednje velika podjetja</w:t>
            </w:r>
          </w:p>
        </w:tc>
        <w:tc>
          <w:tcPr>
            <w:tcW w:w="2470" w:type="dxa"/>
            <w:shd w:val="clear" w:color="auto" w:fill="auto"/>
            <w:vAlign w:val="center"/>
          </w:tcPr>
          <w:p w14:paraId="43061EEE"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 xml:space="preserve">Dejanska vrzel financiranja za mikro, mala in srednje velika podjetja </w:t>
            </w:r>
          </w:p>
        </w:tc>
      </w:tr>
      <w:tr w:rsidR="00C55C5A" w:rsidRPr="00C55C5A" w14:paraId="49564473" w14:textId="77777777" w:rsidTr="00E6701A">
        <w:trPr>
          <w:trHeight w:val="740"/>
        </w:trPr>
        <w:tc>
          <w:tcPr>
            <w:tcW w:w="2669" w:type="dxa"/>
            <w:shd w:val="clear" w:color="auto" w:fill="auto"/>
          </w:tcPr>
          <w:p w14:paraId="355DBC7B"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Kratkoročna posojila v mio EUR</w:t>
            </w:r>
          </w:p>
        </w:tc>
        <w:tc>
          <w:tcPr>
            <w:tcW w:w="2311" w:type="dxa"/>
            <w:shd w:val="clear" w:color="auto" w:fill="auto"/>
            <w:vAlign w:val="center"/>
          </w:tcPr>
          <w:p w14:paraId="68149558" w14:textId="77777777" w:rsidR="00C55C5A" w:rsidRPr="00C55C5A" w:rsidRDefault="00C55C5A" w:rsidP="00C55C5A">
            <w:pPr>
              <w:ind w:right="31"/>
              <w:jc w:val="center"/>
              <w:rPr>
                <w:rFonts w:ascii="Arial" w:hAnsi="Arial" w:cs="Arial"/>
                <w:b/>
                <w:sz w:val="22"/>
                <w:szCs w:val="22"/>
                <w:lang w:val="sl-SI"/>
              </w:rPr>
            </w:pPr>
            <w:r w:rsidRPr="00C55C5A">
              <w:rPr>
                <w:rFonts w:ascii="Arial" w:hAnsi="Arial" w:cs="Arial"/>
                <w:b/>
                <w:sz w:val="22"/>
                <w:szCs w:val="22"/>
                <w:lang w:val="sl-SI"/>
              </w:rPr>
              <w:t xml:space="preserve">130 – 144 </w:t>
            </w:r>
          </w:p>
        </w:tc>
        <w:tc>
          <w:tcPr>
            <w:tcW w:w="2312" w:type="dxa"/>
            <w:shd w:val="clear" w:color="auto" w:fill="auto"/>
            <w:vAlign w:val="center"/>
          </w:tcPr>
          <w:p w14:paraId="78B248ED" w14:textId="77777777" w:rsidR="00C55C5A" w:rsidRPr="00C55C5A" w:rsidRDefault="00C55C5A" w:rsidP="00C55C5A">
            <w:pPr>
              <w:ind w:right="30"/>
              <w:jc w:val="center"/>
              <w:rPr>
                <w:rFonts w:ascii="Arial" w:hAnsi="Arial" w:cs="Arial"/>
                <w:b/>
                <w:sz w:val="22"/>
                <w:szCs w:val="22"/>
                <w:lang w:val="sl-SI"/>
              </w:rPr>
            </w:pPr>
            <w:r w:rsidRPr="00C55C5A">
              <w:rPr>
                <w:rFonts w:ascii="Arial" w:hAnsi="Arial" w:cs="Arial"/>
                <w:b/>
                <w:sz w:val="22"/>
                <w:szCs w:val="22"/>
                <w:lang w:val="sl-SI"/>
              </w:rPr>
              <w:t xml:space="preserve">599 – 662 </w:t>
            </w:r>
          </w:p>
        </w:tc>
        <w:tc>
          <w:tcPr>
            <w:tcW w:w="2470" w:type="dxa"/>
            <w:shd w:val="clear" w:color="auto" w:fill="auto"/>
            <w:vAlign w:val="center"/>
          </w:tcPr>
          <w:p w14:paraId="6AA4A4E1" w14:textId="77777777" w:rsidR="00C55C5A" w:rsidRPr="00C55C5A" w:rsidRDefault="00C55C5A" w:rsidP="00C55C5A">
            <w:pPr>
              <w:ind w:right="32"/>
              <w:jc w:val="center"/>
              <w:rPr>
                <w:rFonts w:ascii="Arial" w:hAnsi="Arial" w:cs="Arial"/>
                <w:b/>
                <w:sz w:val="22"/>
                <w:szCs w:val="22"/>
                <w:lang w:val="sl-SI"/>
              </w:rPr>
            </w:pPr>
            <w:r w:rsidRPr="00C55C5A">
              <w:rPr>
                <w:rFonts w:ascii="Arial" w:hAnsi="Arial" w:cs="Arial"/>
                <w:b/>
                <w:sz w:val="22"/>
                <w:szCs w:val="22"/>
                <w:lang w:val="sl-SI"/>
              </w:rPr>
              <w:t xml:space="preserve">730 – 807 </w:t>
            </w:r>
          </w:p>
        </w:tc>
      </w:tr>
    </w:tbl>
    <w:p w14:paraId="0D8CBB29" w14:textId="77777777" w:rsidR="00C55C5A" w:rsidRPr="00C55C5A" w:rsidRDefault="00C55C5A" w:rsidP="00C55C5A">
      <w:pPr>
        <w:spacing w:after="154"/>
        <w:ind w:left="-5" w:hanging="10"/>
        <w:jc w:val="both"/>
        <w:rPr>
          <w:rFonts w:ascii="Arial" w:hAnsi="Arial" w:cs="Arial"/>
          <w:i/>
          <w:sz w:val="22"/>
          <w:szCs w:val="22"/>
          <w:lang w:val="sl-SI"/>
        </w:rPr>
      </w:pPr>
      <w:r w:rsidRPr="00C55C5A">
        <w:rPr>
          <w:rFonts w:ascii="Arial" w:hAnsi="Arial" w:cs="Arial"/>
          <w:i/>
          <w:sz w:val="22"/>
          <w:szCs w:val="22"/>
          <w:lang w:val="sl-SI"/>
        </w:rPr>
        <w:t xml:space="preserve">Vir: Predhodna analiza FI, 2015 </w:t>
      </w:r>
    </w:p>
    <w:p w14:paraId="6AF4BD07" w14:textId="77777777" w:rsidR="00C55C5A" w:rsidRPr="00C55C5A" w:rsidRDefault="00C55C5A" w:rsidP="00C55C5A">
      <w:pPr>
        <w:spacing w:after="141"/>
        <w:ind w:left="-5" w:hanging="10"/>
        <w:jc w:val="both"/>
        <w:rPr>
          <w:rFonts w:ascii="Arial" w:hAnsi="Arial" w:cs="Arial"/>
          <w:sz w:val="22"/>
          <w:szCs w:val="22"/>
          <w:lang w:val="sl-SI"/>
        </w:rPr>
      </w:pPr>
      <w:r w:rsidRPr="00C55C5A">
        <w:rPr>
          <w:rFonts w:ascii="Arial" w:hAnsi="Arial" w:cs="Arial"/>
          <w:i/>
          <w:sz w:val="22"/>
          <w:szCs w:val="22"/>
          <w:u w:val="single" w:color="000000"/>
          <w:lang w:val="sl-SI"/>
        </w:rPr>
        <w:t>Srednje- in dolgoročna posojila</w:t>
      </w:r>
      <w:r w:rsidRPr="00C55C5A">
        <w:rPr>
          <w:rFonts w:ascii="Arial" w:hAnsi="Arial" w:cs="Arial"/>
          <w:i/>
          <w:sz w:val="22"/>
          <w:szCs w:val="22"/>
          <w:lang w:val="sl-SI"/>
        </w:rPr>
        <w:t xml:space="preserve"> </w:t>
      </w:r>
    </w:p>
    <w:p w14:paraId="4A04AB08"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 xml:space="preserve">Vsa MSP ne glede na velikost  uporabljajo srednje in dolgoročno dolžniško financiranje v Sloveniji. Posojila potrebujejo tako za financiranje obnove opreme kot tudi za investicije in širjenje dejavnosti. </w:t>
      </w:r>
    </w:p>
    <w:p w14:paraId="3022248E" w14:textId="77777777" w:rsidR="00C55C5A" w:rsidRPr="00C55C5A" w:rsidRDefault="00C55C5A" w:rsidP="00C55C5A">
      <w:pPr>
        <w:ind w:left="-5" w:hanging="10"/>
        <w:jc w:val="both"/>
        <w:rPr>
          <w:rFonts w:ascii="Arial" w:hAnsi="Arial" w:cs="Arial"/>
          <w:sz w:val="22"/>
          <w:szCs w:val="22"/>
          <w:lang w:val="sl-SI"/>
        </w:rPr>
      </w:pPr>
      <w:r w:rsidRPr="00C55C5A">
        <w:rPr>
          <w:rFonts w:ascii="Arial" w:hAnsi="Arial" w:cs="Arial"/>
          <w:sz w:val="22"/>
          <w:szCs w:val="22"/>
          <w:lang w:val="sl-SI"/>
        </w:rPr>
        <w:t xml:space="preserve">Tabela 3: Dejanske vrzeli financiranja za srednje- in dolgoročna posojila v letu 2015 (mio EUR) </w:t>
      </w:r>
    </w:p>
    <w:tbl>
      <w:tblPr>
        <w:tblStyle w:val="TableGrid"/>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62" w:type="dxa"/>
          <w:right w:w="34" w:type="dxa"/>
        </w:tblCellMar>
        <w:tblLook w:val="04A0" w:firstRow="1" w:lastRow="0" w:firstColumn="1" w:lastColumn="0" w:noHBand="0" w:noVBand="1"/>
      </w:tblPr>
      <w:tblGrid>
        <w:gridCol w:w="2684"/>
        <w:gridCol w:w="2323"/>
        <w:gridCol w:w="2325"/>
        <w:gridCol w:w="2456"/>
      </w:tblGrid>
      <w:tr w:rsidR="00C55C5A" w:rsidRPr="00C55C5A" w14:paraId="69276F38" w14:textId="77777777" w:rsidTr="00E6701A">
        <w:trPr>
          <w:trHeight w:val="742"/>
        </w:trPr>
        <w:tc>
          <w:tcPr>
            <w:tcW w:w="2684" w:type="dxa"/>
            <w:shd w:val="clear" w:color="auto" w:fill="auto"/>
            <w:vAlign w:val="center"/>
          </w:tcPr>
          <w:p w14:paraId="28E11C7A"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 xml:space="preserve"> </w:t>
            </w:r>
          </w:p>
        </w:tc>
        <w:tc>
          <w:tcPr>
            <w:tcW w:w="2323" w:type="dxa"/>
            <w:shd w:val="clear" w:color="auto" w:fill="auto"/>
            <w:vAlign w:val="center"/>
          </w:tcPr>
          <w:p w14:paraId="5F0E3355"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 xml:space="preserve">Dejanska vrzel financiranja za mikro podjetja  </w:t>
            </w:r>
          </w:p>
        </w:tc>
        <w:tc>
          <w:tcPr>
            <w:tcW w:w="2325" w:type="dxa"/>
            <w:shd w:val="clear" w:color="auto" w:fill="auto"/>
          </w:tcPr>
          <w:p w14:paraId="3ED43ADE"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 xml:space="preserve">Dejanska vrzel financiranja za mala in srednje velika </w:t>
            </w:r>
          </w:p>
          <w:p w14:paraId="6EE31B35" w14:textId="77777777" w:rsidR="00C55C5A" w:rsidRPr="00C55C5A" w:rsidRDefault="00C55C5A" w:rsidP="00C55C5A">
            <w:pPr>
              <w:ind w:right="33"/>
              <w:jc w:val="center"/>
              <w:rPr>
                <w:rFonts w:ascii="Arial" w:hAnsi="Arial" w:cs="Arial"/>
                <w:sz w:val="22"/>
                <w:szCs w:val="22"/>
                <w:lang w:val="sl-SI"/>
              </w:rPr>
            </w:pPr>
            <w:r w:rsidRPr="00C55C5A">
              <w:rPr>
                <w:rFonts w:ascii="Arial" w:hAnsi="Arial" w:cs="Arial"/>
                <w:color w:val="FFFFFF"/>
                <w:sz w:val="22"/>
                <w:szCs w:val="22"/>
                <w:lang w:val="sl-SI"/>
              </w:rPr>
              <w:t xml:space="preserve">podjetja </w:t>
            </w:r>
          </w:p>
        </w:tc>
        <w:tc>
          <w:tcPr>
            <w:tcW w:w="2456" w:type="dxa"/>
            <w:shd w:val="clear" w:color="auto" w:fill="auto"/>
            <w:vAlign w:val="center"/>
          </w:tcPr>
          <w:p w14:paraId="1997A1D0"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 xml:space="preserve">Dejanska vrzel financiranja za mikro, mala in srednje velika podjetja </w:t>
            </w:r>
          </w:p>
        </w:tc>
      </w:tr>
      <w:tr w:rsidR="00C55C5A" w:rsidRPr="00C55C5A" w14:paraId="1D726A50" w14:textId="77777777" w:rsidTr="00E6701A">
        <w:trPr>
          <w:trHeight w:val="335"/>
        </w:trPr>
        <w:tc>
          <w:tcPr>
            <w:tcW w:w="2684" w:type="dxa"/>
            <w:shd w:val="clear" w:color="auto" w:fill="auto"/>
          </w:tcPr>
          <w:p w14:paraId="28E29C33"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Srednje- in dolgoročna posojila v mio EUR</w:t>
            </w:r>
          </w:p>
        </w:tc>
        <w:tc>
          <w:tcPr>
            <w:tcW w:w="2323" w:type="dxa"/>
            <w:shd w:val="clear" w:color="auto" w:fill="auto"/>
          </w:tcPr>
          <w:p w14:paraId="188F16BD" w14:textId="77777777" w:rsidR="00C55C5A" w:rsidRPr="00C55C5A" w:rsidRDefault="00C55C5A" w:rsidP="00C55C5A">
            <w:pPr>
              <w:ind w:right="32"/>
              <w:jc w:val="center"/>
              <w:rPr>
                <w:rFonts w:ascii="Arial" w:hAnsi="Arial" w:cs="Arial"/>
                <w:sz w:val="22"/>
                <w:szCs w:val="22"/>
                <w:lang w:val="sl-SI"/>
              </w:rPr>
            </w:pPr>
            <w:r w:rsidRPr="00C55C5A">
              <w:rPr>
                <w:rFonts w:ascii="Arial" w:hAnsi="Arial" w:cs="Arial"/>
                <w:b/>
                <w:sz w:val="22"/>
                <w:szCs w:val="22"/>
                <w:lang w:val="sl-SI"/>
              </w:rPr>
              <w:t xml:space="preserve">311 – 344 </w:t>
            </w:r>
          </w:p>
        </w:tc>
        <w:tc>
          <w:tcPr>
            <w:tcW w:w="2325" w:type="dxa"/>
            <w:shd w:val="clear" w:color="auto" w:fill="auto"/>
          </w:tcPr>
          <w:p w14:paraId="44680BB4" w14:textId="77777777" w:rsidR="00C55C5A" w:rsidRPr="00C55C5A" w:rsidRDefault="00C55C5A" w:rsidP="00C55C5A">
            <w:pPr>
              <w:ind w:right="30"/>
              <w:jc w:val="center"/>
              <w:rPr>
                <w:rFonts w:ascii="Arial" w:hAnsi="Arial" w:cs="Arial"/>
                <w:sz w:val="22"/>
                <w:szCs w:val="22"/>
                <w:lang w:val="sl-SI"/>
              </w:rPr>
            </w:pPr>
            <w:r w:rsidRPr="00C55C5A">
              <w:rPr>
                <w:rFonts w:ascii="Arial" w:hAnsi="Arial" w:cs="Arial"/>
                <w:b/>
                <w:sz w:val="22"/>
                <w:szCs w:val="22"/>
                <w:lang w:val="sl-SI"/>
              </w:rPr>
              <w:t xml:space="preserve">885 – 978 </w:t>
            </w:r>
          </w:p>
        </w:tc>
        <w:tc>
          <w:tcPr>
            <w:tcW w:w="2456" w:type="dxa"/>
            <w:shd w:val="clear" w:color="auto" w:fill="auto"/>
          </w:tcPr>
          <w:p w14:paraId="6695D753" w14:textId="77777777" w:rsidR="00C55C5A" w:rsidRPr="00C55C5A" w:rsidRDefault="00C55C5A" w:rsidP="00C55C5A">
            <w:pPr>
              <w:ind w:right="25"/>
              <w:jc w:val="center"/>
              <w:rPr>
                <w:rFonts w:ascii="Arial" w:hAnsi="Arial" w:cs="Arial"/>
                <w:sz w:val="22"/>
                <w:szCs w:val="22"/>
                <w:lang w:val="sl-SI"/>
              </w:rPr>
            </w:pPr>
            <w:r w:rsidRPr="00C55C5A">
              <w:rPr>
                <w:rFonts w:ascii="Arial" w:hAnsi="Arial" w:cs="Arial"/>
                <w:b/>
                <w:sz w:val="22"/>
                <w:szCs w:val="22"/>
                <w:lang w:val="sl-SI"/>
              </w:rPr>
              <w:t xml:space="preserve">1.196 – 1.322 </w:t>
            </w:r>
          </w:p>
        </w:tc>
      </w:tr>
    </w:tbl>
    <w:p w14:paraId="49654CC3" w14:textId="77777777" w:rsidR="00C55C5A" w:rsidRPr="00C55C5A" w:rsidRDefault="00C55C5A" w:rsidP="00C55C5A">
      <w:pPr>
        <w:ind w:left="-5" w:hanging="10"/>
        <w:jc w:val="both"/>
        <w:rPr>
          <w:rFonts w:ascii="Arial" w:hAnsi="Arial" w:cs="Arial"/>
          <w:sz w:val="22"/>
          <w:szCs w:val="22"/>
          <w:lang w:val="sl-SI"/>
        </w:rPr>
      </w:pPr>
      <w:r w:rsidRPr="00C55C5A">
        <w:rPr>
          <w:rFonts w:ascii="Arial" w:hAnsi="Arial" w:cs="Arial"/>
          <w:sz w:val="22"/>
          <w:szCs w:val="22"/>
          <w:lang w:val="sl-SI"/>
        </w:rPr>
        <w:t xml:space="preserve">Vir: Predhodna ocena FI, 2015 </w:t>
      </w:r>
    </w:p>
    <w:p w14:paraId="4E3EBC8A" w14:textId="77777777" w:rsidR="00C55C5A" w:rsidRPr="00C55C5A" w:rsidRDefault="00C55C5A" w:rsidP="00C55C5A">
      <w:pPr>
        <w:ind w:left="-5" w:hanging="10"/>
        <w:jc w:val="both"/>
        <w:rPr>
          <w:rFonts w:ascii="Arial" w:hAnsi="Arial" w:cs="Arial"/>
          <w:i/>
          <w:sz w:val="22"/>
          <w:szCs w:val="22"/>
          <w:u w:val="single" w:color="000000"/>
          <w:lang w:val="sl-SI"/>
        </w:rPr>
      </w:pPr>
    </w:p>
    <w:p w14:paraId="57D3E2F5" w14:textId="77777777" w:rsidR="00C55C5A" w:rsidRPr="00C55C5A" w:rsidRDefault="00C55C5A" w:rsidP="00C55C5A">
      <w:pPr>
        <w:spacing w:after="141"/>
        <w:ind w:left="-5" w:hanging="10"/>
        <w:jc w:val="both"/>
        <w:rPr>
          <w:rFonts w:ascii="Arial" w:hAnsi="Arial" w:cs="Arial"/>
          <w:sz w:val="22"/>
          <w:szCs w:val="22"/>
          <w:lang w:val="sl-SI"/>
        </w:rPr>
      </w:pPr>
      <w:r w:rsidRPr="00C55C5A">
        <w:rPr>
          <w:rFonts w:ascii="Arial" w:hAnsi="Arial" w:cs="Arial"/>
          <w:i/>
          <w:sz w:val="22"/>
          <w:szCs w:val="22"/>
          <w:u w:val="single" w:color="000000"/>
          <w:lang w:val="sl-SI"/>
        </w:rPr>
        <w:t>Lastniški kapital</w:t>
      </w:r>
      <w:r w:rsidRPr="00C55C5A">
        <w:rPr>
          <w:rFonts w:ascii="Arial" w:hAnsi="Arial" w:cs="Arial"/>
          <w:i/>
          <w:sz w:val="22"/>
          <w:szCs w:val="22"/>
          <w:lang w:val="sl-SI"/>
        </w:rPr>
        <w:t xml:space="preserve"> </w:t>
      </w:r>
    </w:p>
    <w:p w14:paraId="76B6AF43"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 xml:space="preserve">Ponudba lastniškega financiranja je v Sloveniji dostopna preko zasebnih skladov tveganega kapitala v sodelovanju s Slovenskim podjetniškim skladom. Le-ta je zagotovil tudi zagonsko financiranje v obliki semenskega kapitala, v Sloveniji pa so prisotni tudi poslovni angeli.  </w:t>
      </w:r>
    </w:p>
    <w:p w14:paraId="596E8A82"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br/>
        <w:t>Tabela 4: Potencialna vrzel lastniškega financiranja za vsa MSP v letu 2015 (v mio EUR)</w:t>
      </w:r>
    </w:p>
    <w:tbl>
      <w:tblPr>
        <w:tblStyle w:val="TableGrid"/>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62" w:type="dxa"/>
          <w:right w:w="34" w:type="dxa"/>
        </w:tblCellMar>
        <w:tblLook w:val="04A0" w:firstRow="1" w:lastRow="0" w:firstColumn="1" w:lastColumn="0" w:noHBand="0" w:noVBand="1"/>
      </w:tblPr>
      <w:tblGrid>
        <w:gridCol w:w="2684"/>
        <w:gridCol w:w="7104"/>
      </w:tblGrid>
      <w:tr w:rsidR="00C55C5A" w:rsidRPr="00C55C5A" w14:paraId="068ABDB5" w14:textId="77777777" w:rsidTr="00E6701A">
        <w:trPr>
          <w:trHeight w:val="742"/>
        </w:trPr>
        <w:tc>
          <w:tcPr>
            <w:tcW w:w="2684" w:type="dxa"/>
            <w:shd w:val="clear" w:color="auto" w:fill="auto"/>
            <w:vAlign w:val="center"/>
          </w:tcPr>
          <w:p w14:paraId="00C49019" w14:textId="77777777" w:rsidR="00C55C5A" w:rsidRPr="00C55C5A" w:rsidRDefault="00C55C5A" w:rsidP="00C55C5A">
            <w:pPr>
              <w:jc w:val="both"/>
              <w:rPr>
                <w:rFonts w:ascii="Arial" w:hAnsi="Arial" w:cs="Arial"/>
                <w:sz w:val="22"/>
                <w:szCs w:val="22"/>
                <w:lang w:val="sl-SI"/>
              </w:rPr>
            </w:pPr>
          </w:p>
        </w:tc>
        <w:tc>
          <w:tcPr>
            <w:tcW w:w="7104" w:type="dxa"/>
            <w:shd w:val="clear" w:color="auto" w:fill="auto"/>
            <w:vAlign w:val="center"/>
          </w:tcPr>
          <w:p w14:paraId="0FD8ADA8" w14:textId="77777777" w:rsidR="00C55C5A" w:rsidRPr="00C55C5A" w:rsidRDefault="00C55C5A" w:rsidP="00C55C5A">
            <w:pPr>
              <w:jc w:val="center"/>
              <w:rPr>
                <w:rFonts w:ascii="Arial" w:hAnsi="Arial" w:cs="Arial"/>
                <w:sz w:val="22"/>
                <w:szCs w:val="22"/>
                <w:lang w:val="sl-SI"/>
              </w:rPr>
            </w:pPr>
            <w:r w:rsidRPr="00C55C5A">
              <w:rPr>
                <w:rFonts w:ascii="Arial" w:hAnsi="Arial" w:cs="Arial"/>
                <w:sz w:val="22"/>
                <w:szCs w:val="22"/>
                <w:lang w:val="sl-SI"/>
              </w:rPr>
              <w:t xml:space="preserve">Vrzel financiranja   </w:t>
            </w:r>
          </w:p>
        </w:tc>
      </w:tr>
      <w:tr w:rsidR="00C55C5A" w:rsidRPr="00C55C5A" w14:paraId="2DE074B6" w14:textId="77777777" w:rsidTr="00E6701A">
        <w:trPr>
          <w:trHeight w:val="335"/>
        </w:trPr>
        <w:tc>
          <w:tcPr>
            <w:tcW w:w="2684" w:type="dxa"/>
            <w:shd w:val="clear" w:color="auto" w:fill="auto"/>
          </w:tcPr>
          <w:p w14:paraId="139C8629"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Lastniško financiranje</w:t>
            </w:r>
          </w:p>
        </w:tc>
        <w:tc>
          <w:tcPr>
            <w:tcW w:w="7104" w:type="dxa"/>
            <w:shd w:val="clear" w:color="auto" w:fill="auto"/>
          </w:tcPr>
          <w:p w14:paraId="76D393F7" w14:textId="77777777" w:rsidR="00C55C5A" w:rsidRPr="00C55C5A" w:rsidRDefault="00C55C5A" w:rsidP="00C55C5A">
            <w:pPr>
              <w:ind w:right="25"/>
              <w:jc w:val="center"/>
              <w:rPr>
                <w:rFonts w:ascii="Arial" w:hAnsi="Arial" w:cs="Arial"/>
                <w:sz w:val="22"/>
                <w:szCs w:val="22"/>
                <w:lang w:val="sl-SI"/>
              </w:rPr>
            </w:pPr>
            <w:r w:rsidRPr="00C55C5A">
              <w:rPr>
                <w:rFonts w:ascii="Arial" w:hAnsi="Arial" w:cs="Arial"/>
                <w:b/>
                <w:sz w:val="22"/>
                <w:szCs w:val="22"/>
                <w:lang w:val="sl-SI"/>
              </w:rPr>
              <w:t xml:space="preserve">14 – 92 </w:t>
            </w:r>
          </w:p>
        </w:tc>
      </w:tr>
    </w:tbl>
    <w:p w14:paraId="16EA43A9"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Vir: Predhodna ocena FI, 2015</w:t>
      </w:r>
    </w:p>
    <w:p w14:paraId="34326032" w14:textId="77777777" w:rsidR="00C55C5A" w:rsidRPr="00C55C5A" w:rsidRDefault="00C55C5A" w:rsidP="00C55C5A">
      <w:pPr>
        <w:ind w:left="-15" w:right="14"/>
        <w:jc w:val="both"/>
        <w:rPr>
          <w:rFonts w:ascii="Arial" w:hAnsi="Arial" w:cs="Arial"/>
          <w:sz w:val="22"/>
          <w:szCs w:val="22"/>
          <w:lang w:val="sl-SI"/>
        </w:rPr>
      </w:pPr>
    </w:p>
    <w:p w14:paraId="0BA121AE"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lastRenderedPageBreak/>
        <w:t>Poleg potencialne vrzeli financiranja je potrebno upoštevati, da v državi obstaja zadostno število specifičnih ciljnih skupin s potrebo po lastniškem financiranju, da so te ciljne skupine lahko zanimive tudi za zasebne vlagatelje in da je država sposobna zagotoviti finančni vzvod obstoječih omrežij za spodbuditev povezovanja z investitorji in zagotavljanje mentorstva ter podpore MSP, ki se prijavljajo za lastniško financiranje.</w:t>
      </w:r>
    </w:p>
    <w:p w14:paraId="3F95B693" w14:textId="77777777" w:rsidR="00C55C5A" w:rsidRPr="00C55C5A" w:rsidRDefault="00C55C5A" w:rsidP="00C55C5A">
      <w:pPr>
        <w:spacing w:after="181"/>
        <w:ind w:right="14"/>
        <w:jc w:val="both"/>
        <w:rPr>
          <w:rFonts w:ascii="Arial" w:hAnsi="Arial" w:cs="Arial"/>
          <w:sz w:val="22"/>
          <w:szCs w:val="22"/>
          <w:lang w:val="sl-SI"/>
        </w:rPr>
      </w:pPr>
    </w:p>
    <w:p w14:paraId="6D89FF3D" w14:textId="77777777" w:rsidR="00C55C5A" w:rsidRPr="00C55C5A" w:rsidRDefault="00C55C5A" w:rsidP="00C55C5A">
      <w:pPr>
        <w:keepNext/>
        <w:keepLines/>
        <w:spacing w:before="40"/>
        <w:jc w:val="both"/>
        <w:outlineLvl w:val="3"/>
        <w:rPr>
          <w:rFonts w:ascii="Arial" w:hAnsi="Arial" w:cs="Arial"/>
          <w:i/>
          <w:iCs/>
          <w:color w:val="2E74B5"/>
          <w:sz w:val="22"/>
          <w:lang w:val="sl-SI"/>
        </w:rPr>
      </w:pPr>
      <w:r w:rsidRPr="00C55C5A">
        <w:rPr>
          <w:rFonts w:ascii="Arial" w:hAnsi="Arial" w:cs="Arial"/>
          <w:i/>
          <w:iCs/>
          <w:color w:val="2E74B5"/>
          <w:sz w:val="22"/>
          <w:lang w:val="sl-SI"/>
        </w:rPr>
        <w:t xml:space="preserve">2.2.2 Raziskave, razvoj in inovacije (RRI) </w:t>
      </w:r>
    </w:p>
    <w:p w14:paraId="6211BF32" w14:textId="77777777" w:rsidR="00C55C5A" w:rsidRPr="00C55C5A" w:rsidRDefault="00C55C5A" w:rsidP="00C55C5A">
      <w:pPr>
        <w:ind w:left="1080"/>
        <w:jc w:val="both"/>
        <w:rPr>
          <w:rFonts w:ascii="Arial" w:eastAsia="Calibri" w:hAnsi="Arial" w:cs="Arial"/>
          <w:sz w:val="22"/>
          <w:szCs w:val="22"/>
          <w:lang w:val="sl-SI"/>
        </w:rPr>
      </w:pPr>
    </w:p>
    <w:p w14:paraId="5DE0BAB4" w14:textId="77777777" w:rsidR="00C55C5A" w:rsidRPr="00C55C5A" w:rsidRDefault="00C55C5A" w:rsidP="00C55C5A">
      <w:pPr>
        <w:ind w:left="-15" w:right="14"/>
        <w:jc w:val="both"/>
        <w:rPr>
          <w:rFonts w:ascii="Arial" w:hAnsi="Arial" w:cs="Arial"/>
          <w:sz w:val="22"/>
          <w:lang w:val="sl-SI"/>
        </w:rPr>
      </w:pPr>
      <w:r w:rsidRPr="00C55C5A">
        <w:rPr>
          <w:rFonts w:ascii="Arial" w:hAnsi="Arial" w:cs="Arial"/>
          <w:sz w:val="22"/>
          <w:lang w:val="sl-SI"/>
        </w:rPr>
        <w:t xml:space="preserve">Vlaganje v raziskave in razvoj je v Sloveniji ključnega pomena za razvoj MSP. Intenzivnost investicij v raziskave in razvoj v Sloveniji, ki je povezana z bruto izdatki za razvoj in raziskave, se je v zadnjem desetletju, kljub nekaj nihanjem, povečala.   </w:t>
      </w:r>
    </w:p>
    <w:p w14:paraId="1167678E" w14:textId="77777777" w:rsidR="00C55C5A" w:rsidRPr="00C55C5A" w:rsidRDefault="00C55C5A" w:rsidP="00C55C5A">
      <w:pPr>
        <w:ind w:right="14"/>
        <w:jc w:val="both"/>
        <w:rPr>
          <w:rFonts w:ascii="Arial" w:hAnsi="Arial" w:cs="Arial"/>
          <w:sz w:val="22"/>
          <w:lang w:val="sl-SI"/>
        </w:rPr>
      </w:pPr>
    </w:p>
    <w:p w14:paraId="46FC7619" w14:textId="77777777" w:rsidR="00C55C5A" w:rsidRPr="00C55C5A" w:rsidRDefault="00C55C5A" w:rsidP="00C55C5A">
      <w:pPr>
        <w:spacing w:after="9"/>
        <w:jc w:val="both"/>
        <w:rPr>
          <w:rFonts w:ascii="Arial" w:hAnsi="Arial" w:cs="Arial"/>
          <w:sz w:val="22"/>
          <w:lang w:val="sl-SI"/>
        </w:rPr>
      </w:pPr>
      <w:r w:rsidRPr="00C55C5A">
        <w:rPr>
          <w:rFonts w:ascii="Arial" w:hAnsi="Arial" w:cs="Arial"/>
          <w:sz w:val="22"/>
          <w:lang w:val="sl-SI"/>
        </w:rPr>
        <w:t xml:space="preserve">Tabela 5: Vrzel financiranja za financiranje RRI v letu 2015 (mio EUR) </w:t>
      </w:r>
    </w:p>
    <w:tbl>
      <w:tblPr>
        <w:tblStyle w:val="TableGrid"/>
        <w:tblW w:w="97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1" w:type="dxa"/>
          <w:left w:w="56" w:type="dxa"/>
          <w:right w:w="115" w:type="dxa"/>
        </w:tblCellMar>
        <w:tblLook w:val="04A0" w:firstRow="1" w:lastRow="0" w:firstColumn="1" w:lastColumn="0" w:noHBand="0" w:noVBand="1"/>
      </w:tblPr>
      <w:tblGrid>
        <w:gridCol w:w="5203"/>
        <w:gridCol w:w="4572"/>
      </w:tblGrid>
      <w:tr w:rsidR="00C55C5A" w:rsidRPr="00C55C5A" w14:paraId="09D2C54F" w14:textId="77777777" w:rsidTr="00E6701A">
        <w:trPr>
          <w:trHeight w:val="335"/>
        </w:trPr>
        <w:tc>
          <w:tcPr>
            <w:tcW w:w="5203" w:type="dxa"/>
            <w:shd w:val="clear" w:color="auto" w:fill="auto"/>
          </w:tcPr>
          <w:p w14:paraId="5E4B69CF" w14:textId="77777777" w:rsidR="00C55C5A" w:rsidRPr="00C55C5A" w:rsidRDefault="00C55C5A" w:rsidP="00C55C5A">
            <w:pPr>
              <w:jc w:val="both"/>
              <w:rPr>
                <w:rFonts w:ascii="Arial" w:hAnsi="Arial" w:cs="Arial"/>
                <w:sz w:val="22"/>
                <w:lang w:val="sl-SI"/>
              </w:rPr>
            </w:pPr>
            <w:r w:rsidRPr="00C55C5A">
              <w:rPr>
                <w:rFonts w:ascii="Arial" w:hAnsi="Arial" w:cs="Arial"/>
                <w:b/>
                <w:sz w:val="22"/>
                <w:lang w:val="sl-SI"/>
              </w:rPr>
              <w:t xml:space="preserve"> </w:t>
            </w:r>
          </w:p>
        </w:tc>
        <w:tc>
          <w:tcPr>
            <w:tcW w:w="4572" w:type="dxa"/>
            <w:shd w:val="clear" w:color="auto" w:fill="auto"/>
          </w:tcPr>
          <w:p w14:paraId="0E27040B" w14:textId="77777777" w:rsidR="00C55C5A" w:rsidRPr="00C55C5A" w:rsidRDefault="00C55C5A" w:rsidP="00C55C5A">
            <w:pPr>
              <w:ind w:left="59"/>
              <w:jc w:val="center"/>
              <w:rPr>
                <w:rFonts w:ascii="Arial" w:hAnsi="Arial" w:cs="Arial"/>
                <w:sz w:val="22"/>
                <w:lang w:val="sl-SI"/>
              </w:rPr>
            </w:pPr>
            <w:r w:rsidRPr="00C55C5A">
              <w:rPr>
                <w:rFonts w:ascii="Arial" w:hAnsi="Arial" w:cs="Arial"/>
                <w:sz w:val="22"/>
                <w:lang w:val="sl-SI"/>
              </w:rPr>
              <w:t xml:space="preserve">Vrzel financiranja </w:t>
            </w:r>
          </w:p>
        </w:tc>
      </w:tr>
      <w:tr w:rsidR="00C55C5A" w:rsidRPr="00C55C5A" w14:paraId="570EA0DC" w14:textId="77777777" w:rsidTr="00E6701A">
        <w:trPr>
          <w:trHeight w:val="334"/>
        </w:trPr>
        <w:tc>
          <w:tcPr>
            <w:tcW w:w="5203" w:type="dxa"/>
            <w:shd w:val="clear" w:color="auto" w:fill="auto"/>
          </w:tcPr>
          <w:p w14:paraId="75E81AB9" w14:textId="77777777" w:rsidR="00C55C5A" w:rsidRPr="00C55C5A" w:rsidRDefault="00C55C5A" w:rsidP="00C55C5A">
            <w:pPr>
              <w:jc w:val="both"/>
              <w:rPr>
                <w:rFonts w:ascii="Arial" w:hAnsi="Arial" w:cs="Arial"/>
                <w:sz w:val="22"/>
                <w:lang w:val="sl-SI"/>
              </w:rPr>
            </w:pPr>
            <w:r w:rsidRPr="00C55C5A">
              <w:rPr>
                <w:rFonts w:ascii="Arial" w:hAnsi="Arial" w:cs="Arial"/>
                <w:sz w:val="22"/>
                <w:lang w:val="sl-SI"/>
              </w:rPr>
              <w:t xml:space="preserve">MSP </w:t>
            </w:r>
          </w:p>
        </w:tc>
        <w:tc>
          <w:tcPr>
            <w:tcW w:w="4572" w:type="dxa"/>
            <w:shd w:val="clear" w:color="auto" w:fill="auto"/>
          </w:tcPr>
          <w:p w14:paraId="64561FCB" w14:textId="77777777" w:rsidR="00C55C5A" w:rsidRPr="00C55C5A" w:rsidRDefault="00C55C5A" w:rsidP="00C55C5A">
            <w:pPr>
              <w:ind w:left="57"/>
              <w:jc w:val="center"/>
              <w:rPr>
                <w:rFonts w:ascii="Arial" w:hAnsi="Arial" w:cs="Arial"/>
                <w:sz w:val="22"/>
                <w:lang w:val="sl-SI"/>
              </w:rPr>
            </w:pPr>
            <w:r w:rsidRPr="00C55C5A">
              <w:rPr>
                <w:rFonts w:ascii="Arial" w:hAnsi="Arial" w:cs="Arial"/>
                <w:b/>
                <w:sz w:val="22"/>
                <w:lang w:val="sl-SI"/>
              </w:rPr>
              <w:t xml:space="preserve">0 – 14  </w:t>
            </w:r>
          </w:p>
        </w:tc>
      </w:tr>
      <w:tr w:rsidR="00C55C5A" w:rsidRPr="00C55C5A" w14:paraId="2C62983A" w14:textId="77777777" w:rsidTr="00E6701A">
        <w:trPr>
          <w:trHeight w:val="334"/>
        </w:trPr>
        <w:tc>
          <w:tcPr>
            <w:tcW w:w="5203" w:type="dxa"/>
            <w:shd w:val="clear" w:color="auto" w:fill="auto"/>
          </w:tcPr>
          <w:p w14:paraId="673E0A43" w14:textId="77777777" w:rsidR="00C55C5A" w:rsidRPr="00C55C5A" w:rsidRDefault="00C55C5A" w:rsidP="00C55C5A">
            <w:pPr>
              <w:jc w:val="both"/>
              <w:rPr>
                <w:rFonts w:ascii="Arial" w:hAnsi="Arial" w:cs="Arial"/>
                <w:sz w:val="22"/>
                <w:lang w:val="sl-SI"/>
              </w:rPr>
            </w:pPr>
            <w:r w:rsidRPr="00C55C5A">
              <w:rPr>
                <w:rFonts w:ascii="Arial" w:hAnsi="Arial" w:cs="Arial"/>
                <w:sz w:val="22"/>
                <w:lang w:val="sl-SI"/>
              </w:rPr>
              <w:t xml:space="preserve">Skupaj podjetja </w:t>
            </w:r>
          </w:p>
        </w:tc>
        <w:tc>
          <w:tcPr>
            <w:tcW w:w="4572" w:type="dxa"/>
            <w:shd w:val="clear" w:color="auto" w:fill="auto"/>
          </w:tcPr>
          <w:p w14:paraId="521C8D39" w14:textId="77777777" w:rsidR="00C55C5A" w:rsidRPr="00C55C5A" w:rsidRDefault="00C55C5A" w:rsidP="00C55C5A">
            <w:pPr>
              <w:ind w:left="56"/>
              <w:jc w:val="center"/>
              <w:rPr>
                <w:rFonts w:ascii="Arial" w:hAnsi="Arial" w:cs="Arial"/>
                <w:sz w:val="22"/>
                <w:lang w:val="sl-SI"/>
              </w:rPr>
            </w:pPr>
            <w:r w:rsidRPr="00C55C5A">
              <w:rPr>
                <w:rFonts w:ascii="Arial" w:hAnsi="Arial" w:cs="Arial"/>
                <w:b/>
                <w:sz w:val="22"/>
                <w:lang w:val="sl-SI"/>
              </w:rPr>
              <w:t xml:space="preserve">0 – 247  </w:t>
            </w:r>
          </w:p>
        </w:tc>
      </w:tr>
    </w:tbl>
    <w:p w14:paraId="5D76BEB6" w14:textId="77777777" w:rsidR="00C55C5A" w:rsidRPr="00C55C5A" w:rsidRDefault="00C55C5A" w:rsidP="00C55C5A">
      <w:pPr>
        <w:spacing w:after="154"/>
        <w:ind w:left="-5" w:hanging="10"/>
        <w:jc w:val="both"/>
        <w:rPr>
          <w:rFonts w:ascii="Arial" w:hAnsi="Arial" w:cs="Arial"/>
          <w:sz w:val="22"/>
          <w:lang w:val="sl-SI"/>
        </w:rPr>
      </w:pPr>
      <w:r w:rsidRPr="00C55C5A">
        <w:rPr>
          <w:rFonts w:ascii="Arial" w:hAnsi="Arial" w:cs="Arial"/>
          <w:sz w:val="22"/>
          <w:lang w:val="sl-SI"/>
        </w:rPr>
        <w:t xml:space="preserve">Vir: Predhodna ocena FI, 2015 </w:t>
      </w:r>
    </w:p>
    <w:p w14:paraId="2F7F3D8F" w14:textId="77777777" w:rsidR="00C55C5A" w:rsidRPr="00C55C5A" w:rsidRDefault="00C55C5A" w:rsidP="00C55C5A">
      <w:pPr>
        <w:spacing w:after="193"/>
        <w:ind w:left="-15" w:right="14"/>
        <w:jc w:val="both"/>
        <w:rPr>
          <w:rFonts w:ascii="Arial" w:hAnsi="Arial" w:cs="Arial"/>
          <w:sz w:val="22"/>
          <w:lang w:val="sl-SI"/>
        </w:rPr>
      </w:pPr>
      <w:r w:rsidRPr="00C55C5A">
        <w:rPr>
          <w:rFonts w:ascii="Arial" w:hAnsi="Arial" w:cs="Arial"/>
          <w:sz w:val="22"/>
          <w:lang w:val="sl-SI"/>
        </w:rPr>
        <w:t xml:space="preserve">Za izpolnitev potencialnega letnega povpraševanja je potrebno dodatno javno ali zasebno financiranje, ki je ocenjeno na 0—14 mil EUR za MSP in 0—247 mil EUR letno skupaj za vsa podjetja, ob upoštevanju, da manjša podjetja za investicije v RRI porabijo manjši delež dohodkov kot srednja in velika podjetja.    </w:t>
      </w:r>
    </w:p>
    <w:p w14:paraId="3F6970F0" w14:textId="77777777" w:rsidR="00C55C5A" w:rsidRPr="00C55C5A" w:rsidRDefault="00C55C5A" w:rsidP="00C55C5A">
      <w:pPr>
        <w:keepNext/>
        <w:keepLines/>
        <w:spacing w:before="40"/>
        <w:jc w:val="both"/>
        <w:outlineLvl w:val="3"/>
        <w:rPr>
          <w:rFonts w:ascii="Arial" w:hAnsi="Arial" w:cs="Arial"/>
          <w:i/>
          <w:iCs/>
          <w:color w:val="2E74B5"/>
          <w:sz w:val="22"/>
          <w:lang w:val="sl-SI"/>
        </w:rPr>
      </w:pPr>
      <w:r w:rsidRPr="00C55C5A">
        <w:rPr>
          <w:rFonts w:ascii="Arial" w:hAnsi="Arial" w:cs="Arial"/>
          <w:i/>
          <w:iCs/>
          <w:color w:val="2E74B5"/>
          <w:sz w:val="22"/>
          <w:lang w:val="sl-SI"/>
        </w:rPr>
        <w:t xml:space="preserve">2.2.3 Energetska učinkovitost </w:t>
      </w:r>
    </w:p>
    <w:p w14:paraId="4B1E86CC" w14:textId="77777777" w:rsidR="00C55C5A" w:rsidRPr="00C55C5A" w:rsidRDefault="00C55C5A" w:rsidP="00C55C5A">
      <w:pPr>
        <w:ind w:left="-15" w:right="14"/>
        <w:jc w:val="both"/>
        <w:rPr>
          <w:rFonts w:ascii="Arial" w:hAnsi="Arial" w:cs="Arial"/>
          <w:sz w:val="22"/>
          <w:lang w:val="sl-SI"/>
        </w:rPr>
      </w:pPr>
    </w:p>
    <w:p w14:paraId="6D261141"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Sredstva, namenjena TC 4, bodo podprla prehod na gospodarstvo z nizkimi emisijami ogljika, pri čemer bo posebna pozornost namenjena spodbujanju energetske učinkovitosti in uporabe obnovljivih virov energije v javni infrastrukturi, vključno z javnimi stavbami, in stanovanjskem sektorju.</w:t>
      </w:r>
    </w:p>
    <w:p w14:paraId="6870DFF3" w14:textId="77777777" w:rsidR="00C55C5A" w:rsidRPr="00C55C5A" w:rsidRDefault="00C55C5A" w:rsidP="00C55C5A">
      <w:pPr>
        <w:ind w:left="-15" w:right="14"/>
        <w:jc w:val="both"/>
        <w:rPr>
          <w:rFonts w:ascii="Arial" w:hAnsi="Arial" w:cs="Arial"/>
          <w:sz w:val="22"/>
          <w:szCs w:val="22"/>
          <w:lang w:val="sl-SI"/>
        </w:rPr>
      </w:pPr>
    </w:p>
    <w:p w14:paraId="4D4C5880"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 xml:space="preserve">Izboljšave na področju energetske učinkovitosti ne bi le pripomogle k zmanjšanju splošnih emisij, temveč bi sprožile tudi dodatne naložbe in ustvarile nova delovna mesta. Slovenska vlada se je zavezala k izboljšavam na tem področju, skladno s cilji in glavnimi strateškimi dokumenti na ravni EU, kot je na primer Evropa 2020. </w:t>
      </w:r>
    </w:p>
    <w:p w14:paraId="04EBFD92" w14:textId="77777777" w:rsidR="00C55C5A" w:rsidRPr="00C55C5A" w:rsidRDefault="00C55C5A" w:rsidP="00C55C5A">
      <w:pPr>
        <w:jc w:val="both"/>
        <w:rPr>
          <w:rFonts w:ascii="Arial" w:hAnsi="Arial" w:cs="Arial"/>
          <w:sz w:val="22"/>
          <w:szCs w:val="22"/>
          <w:lang w:val="sl-SI"/>
        </w:rPr>
      </w:pPr>
    </w:p>
    <w:p w14:paraId="6C6B800F" w14:textId="77777777" w:rsidR="00C55C5A" w:rsidRPr="00C55C5A" w:rsidRDefault="00C55C5A" w:rsidP="00C55C5A">
      <w:pPr>
        <w:spacing w:after="9"/>
        <w:jc w:val="both"/>
        <w:rPr>
          <w:rFonts w:ascii="Arial" w:hAnsi="Arial" w:cs="Arial"/>
          <w:sz w:val="22"/>
          <w:szCs w:val="22"/>
          <w:lang w:val="sl-SI"/>
        </w:rPr>
      </w:pPr>
      <w:r w:rsidRPr="00C55C5A">
        <w:rPr>
          <w:rFonts w:ascii="Arial" w:hAnsi="Arial" w:cs="Arial"/>
          <w:sz w:val="22"/>
          <w:szCs w:val="22"/>
          <w:lang w:val="sl-SI"/>
        </w:rPr>
        <w:t xml:space="preserve">Tabela 6: Ocenjena vrzel financiranja za URE/OVE v obdobju 2015—2020 (mio EUR) </w:t>
      </w:r>
    </w:p>
    <w:tbl>
      <w:tblPr>
        <w:tblStyle w:val="TableGrid"/>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62" w:type="dxa"/>
        </w:tblCellMar>
        <w:tblLook w:val="04A0" w:firstRow="1" w:lastRow="0" w:firstColumn="1" w:lastColumn="0" w:noHBand="0" w:noVBand="1"/>
      </w:tblPr>
      <w:tblGrid>
        <w:gridCol w:w="5209"/>
        <w:gridCol w:w="4430"/>
      </w:tblGrid>
      <w:tr w:rsidR="00C55C5A" w:rsidRPr="00C55C5A" w14:paraId="02447627" w14:textId="77777777" w:rsidTr="00E6701A">
        <w:trPr>
          <w:trHeight w:val="341"/>
        </w:trPr>
        <w:tc>
          <w:tcPr>
            <w:tcW w:w="5209" w:type="dxa"/>
            <w:shd w:val="clear" w:color="auto" w:fill="auto"/>
          </w:tcPr>
          <w:p w14:paraId="731CBE3A"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 xml:space="preserve"> </w:t>
            </w:r>
          </w:p>
        </w:tc>
        <w:tc>
          <w:tcPr>
            <w:tcW w:w="4430" w:type="dxa"/>
            <w:shd w:val="clear" w:color="auto" w:fill="auto"/>
          </w:tcPr>
          <w:p w14:paraId="30BA9DCC" w14:textId="77777777" w:rsidR="00C55C5A" w:rsidRPr="00C55C5A" w:rsidRDefault="00C55C5A" w:rsidP="00C55C5A">
            <w:pPr>
              <w:ind w:right="65"/>
              <w:jc w:val="center"/>
              <w:rPr>
                <w:rFonts w:ascii="Arial" w:hAnsi="Arial" w:cs="Arial"/>
                <w:sz w:val="22"/>
                <w:szCs w:val="22"/>
                <w:lang w:val="sl-SI"/>
              </w:rPr>
            </w:pPr>
            <w:r w:rsidRPr="00C55C5A">
              <w:rPr>
                <w:rFonts w:ascii="Arial" w:hAnsi="Arial" w:cs="Arial"/>
                <w:sz w:val="22"/>
                <w:szCs w:val="22"/>
                <w:lang w:val="sl-SI"/>
              </w:rPr>
              <w:t xml:space="preserve">Ocenjena vrzel financiranja  </w:t>
            </w:r>
          </w:p>
        </w:tc>
      </w:tr>
      <w:tr w:rsidR="00C55C5A" w:rsidRPr="00C55C5A" w14:paraId="59EF7698" w14:textId="77777777" w:rsidTr="00E6701A">
        <w:trPr>
          <w:trHeight w:val="334"/>
        </w:trPr>
        <w:tc>
          <w:tcPr>
            <w:tcW w:w="5209" w:type="dxa"/>
            <w:shd w:val="clear" w:color="auto" w:fill="auto"/>
          </w:tcPr>
          <w:p w14:paraId="17755DE2"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Obnova javnih stavb </w:t>
            </w:r>
          </w:p>
        </w:tc>
        <w:tc>
          <w:tcPr>
            <w:tcW w:w="4430" w:type="dxa"/>
            <w:shd w:val="clear" w:color="auto" w:fill="auto"/>
          </w:tcPr>
          <w:p w14:paraId="0C9F64EC" w14:textId="77777777" w:rsidR="00C55C5A" w:rsidRPr="00C55C5A" w:rsidRDefault="00C55C5A" w:rsidP="00C55C5A">
            <w:pPr>
              <w:ind w:right="64"/>
              <w:jc w:val="center"/>
              <w:rPr>
                <w:rFonts w:ascii="Arial" w:hAnsi="Arial" w:cs="Arial"/>
                <w:sz w:val="22"/>
                <w:szCs w:val="22"/>
                <w:lang w:val="sl-SI"/>
              </w:rPr>
            </w:pPr>
            <w:r w:rsidRPr="00C55C5A">
              <w:rPr>
                <w:rFonts w:ascii="Arial" w:hAnsi="Arial" w:cs="Arial"/>
                <w:b/>
                <w:sz w:val="22"/>
                <w:szCs w:val="22"/>
                <w:lang w:val="sl-SI"/>
              </w:rPr>
              <w:t xml:space="preserve">65 – 132  </w:t>
            </w:r>
          </w:p>
        </w:tc>
      </w:tr>
      <w:tr w:rsidR="00C55C5A" w:rsidRPr="00C55C5A" w14:paraId="0F9714B3" w14:textId="77777777" w:rsidTr="00E6701A">
        <w:trPr>
          <w:trHeight w:val="336"/>
        </w:trPr>
        <w:tc>
          <w:tcPr>
            <w:tcW w:w="5209" w:type="dxa"/>
            <w:shd w:val="clear" w:color="auto" w:fill="auto"/>
          </w:tcPr>
          <w:p w14:paraId="52A57C49"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Obnova zasebnih stavb </w:t>
            </w:r>
          </w:p>
        </w:tc>
        <w:tc>
          <w:tcPr>
            <w:tcW w:w="4430" w:type="dxa"/>
            <w:shd w:val="clear" w:color="auto" w:fill="auto"/>
          </w:tcPr>
          <w:p w14:paraId="319DD8E8" w14:textId="77777777" w:rsidR="00C55C5A" w:rsidRPr="00C55C5A" w:rsidRDefault="00C55C5A" w:rsidP="00C55C5A">
            <w:pPr>
              <w:ind w:right="64"/>
              <w:jc w:val="center"/>
              <w:rPr>
                <w:rFonts w:ascii="Arial" w:hAnsi="Arial" w:cs="Arial"/>
                <w:sz w:val="22"/>
                <w:szCs w:val="22"/>
                <w:lang w:val="sl-SI"/>
              </w:rPr>
            </w:pPr>
            <w:r w:rsidRPr="00C55C5A">
              <w:rPr>
                <w:rFonts w:ascii="Arial" w:hAnsi="Arial" w:cs="Arial"/>
                <w:b/>
                <w:sz w:val="22"/>
                <w:szCs w:val="22"/>
                <w:lang w:val="sl-SI"/>
              </w:rPr>
              <w:t xml:space="preserve">645 – 783 </w:t>
            </w:r>
          </w:p>
        </w:tc>
      </w:tr>
      <w:tr w:rsidR="00C55C5A" w:rsidRPr="00C55C5A" w14:paraId="1E4BEE5B" w14:textId="77777777" w:rsidTr="00E6701A">
        <w:trPr>
          <w:trHeight w:val="332"/>
        </w:trPr>
        <w:tc>
          <w:tcPr>
            <w:tcW w:w="5209" w:type="dxa"/>
            <w:shd w:val="clear" w:color="auto" w:fill="auto"/>
          </w:tcPr>
          <w:p w14:paraId="3201D764"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Procesi industrijske proizvodnje </w:t>
            </w:r>
          </w:p>
        </w:tc>
        <w:tc>
          <w:tcPr>
            <w:tcW w:w="4430" w:type="dxa"/>
            <w:shd w:val="clear" w:color="auto" w:fill="auto"/>
          </w:tcPr>
          <w:p w14:paraId="0BB0F24B" w14:textId="77777777" w:rsidR="00C55C5A" w:rsidRPr="00C55C5A" w:rsidRDefault="00C55C5A" w:rsidP="00C55C5A">
            <w:pPr>
              <w:ind w:right="1652"/>
              <w:jc w:val="right"/>
              <w:rPr>
                <w:rFonts w:ascii="Arial" w:hAnsi="Arial" w:cs="Arial"/>
                <w:sz w:val="22"/>
                <w:szCs w:val="22"/>
                <w:lang w:val="sl-SI"/>
              </w:rPr>
            </w:pPr>
            <w:r w:rsidRPr="00C55C5A">
              <w:rPr>
                <w:rFonts w:ascii="Arial" w:hAnsi="Arial" w:cs="Arial"/>
                <w:b/>
                <w:sz w:val="22"/>
                <w:szCs w:val="22"/>
                <w:lang w:val="sl-SI"/>
              </w:rPr>
              <w:t xml:space="preserve">568 – 607                                     </w:t>
            </w:r>
          </w:p>
        </w:tc>
      </w:tr>
    </w:tbl>
    <w:p w14:paraId="6203DAFE" w14:textId="77777777" w:rsidR="00C55C5A" w:rsidRPr="00C55C5A" w:rsidRDefault="00C55C5A" w:rsidP="00C55C5A">
      <w:pPr>
        <w:ind w:left="-5" w:hanging="10"/>
        <w:jc w:val="both"/>
        <w:rPr>
          <w:rFonts w:ascii="Arial" w:hAnsi="Arial" w:cs="Arial"/>
          <w:sz w:val="22"/>
          <w:szCs w:val="22"/>
          <w:lang w:val="sl-SI"/>
        </w:rPr>
      </w:pPr>
      <w:r w:rsidRPr="00C55C5A">
        <w:rPr>
          <w:rFonts w:ascii="Arial" w:hAnsi="Arial" w:cs="Arial"/>
          <w:sz w:val="22"/>
          <w:szCs w:val="22"/>
          <w:lang w:val="sl-SI"/>
        </w:rPr>
        <w:t xml:space="preserve">Vir: Predhodna ocena FI, 2015 </w:t>
      </w:r>
    </w:p>
    <w:p w14:paraId="48F53C7B" w14:textId="77777777" w:rsidR="00C55C5A" w:rsidRPr="00C55C5A" w:rsidRDefault="00C55C5A" w:rsidP="00C55C5A">
      <w:pPr>
        <w:jc w:val="both"/>
        <w:rPr>
          <w:rFonts w:ascii="Arial" w:hAnsi="Arial" w:cs="Arial"/>
          <w:sz w:val="22"/>
          <w:szCs w:val="22"/>
          <w:lang w:val="sl-SI"/>
        </w:rPr>
      </w:pPr>
    </w:p>
    <w:p w14:paraId="031E1E58" w14:textId="77777777" w:rsidR="00C55C5A" w:rsidRPr="00C55C5A" w:rsidRDefault="00C55C5A" w:rsidP="00C55C5A">
      <w:pPr>
        <w:jc w:val="both"/>
        <w:rPr>
          <w:rFonts w:ascii="Arial" w:hAnsi="Arial" w:cs="Arial"/>
          <w:sz w:val="22"/>
          <w:szCs w:val="22"/>
          <w:lang w:val="sl-SI"/>
        </w:rPr>
      </w:pPr>
    </w:p>
    <w:p w14:paraId="357EB969" w14:textId="77777777" w:rsidR="00C55C5A" w:rsidRPr="00C55C5A" w:rsidRDefault="00C55C5A" w:rsidP="00C55C5A">
      <w:pPr>
        <w:jc w:val="both"/>
        <w:rPr>
          <w:rFonts w:ascii="Arial" w:hAnsi="Arial" w:cs="Arial"/>
          <w:sz w:val="22"/>
          <w:szCs w:val="22"/>
          <w:lang w:val="sl-SI"/>
        </w:rPr>
      </w:pPr>
    </w:p>
    <w:p w14:paraId="599BC7C3" w14:textId="77777777" w:rsidR="00C55C5A" w:rsidRPr="00C55C5A" w:rsidRDefault="00C55C5A" w:rsidP="00C55C5A">
      <w:pPr>
        <w:keepNext/>
        <w:keepLines/>
        <w:spacing w:before="40"/>
        <w:jc w:val="both"/>
        <w:outlineLvl w:val="3"/>
        <w:rPr>
          <w:rFonts w:ascii="Arial" w:hAnsi="Arial" w:cs="Arial"/>
          <w:i/>
          <w:iCs/>
          <w:color w:val="2E74B5"/>
          <w:sz w:val="22"/>
          <w:lang w:val="sl-SI"/>
        </w:rPr>
      </w:pPr>
      <w:r w:rsidRPr="00C55C5A">
        <w:rPr>
          <w:rFonts w:ascii="Arial" w:hAnsi="Arial" w:cs="Arial"/>
          <w:i/>
          <w:iCs/>
          <w:color w:val="2E74B5"/>
          <w:sz w:val="22"/>
          <w:lang w:val="sl-SI"/>
        </w:rPr>
        <w:lastRenderedPageBreak/>
        <w:t xml:space="preserve">2.2.4 Urbani razvoj </w:t>
      </w:r>
    </w:p>
    <w:p w14:paraId="484B73C8" w14:textId="77777777" w:rsidR="00C55C5A" w:rsidRPr="00C55C5A" w:rsidRDefault="00C55C5A" w:rsidP="00C55C5A">
      <w:pPr>
        <w:ind w:left="-15" w:right="14"/>
        <w:jc w:val="both"/>
        <w:rPr>
          <w:rFonts w:ascii="Arial" w:hAnsi="Arial" w:cs="Arial"/>
          <w:sz w:val="22"/>
          <w:lang w:val="sl-SI"/>
        </w:rPr>
      </w:pPr>
    </w:p>
    <w:p w14:paraId="11A5A7BC"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 xml:space="preserve">Mesta in druga urbana naselja predstavljajo temelj slovenskega poselitvenega sistema. Urbana središča regij so lahko tudi del urbanih območij ali funkcionalnih urbanih območij in so tako tesno povezana s svojimi zaledji. </w:t>
      </w:r>
    </w:p>
    <w:p w14:paraId="1B20963D" w14:textId="77777777" w:rsidR="00C55C5A" w:rsidRPr="00C55C5A" w:rsidRDefault="00C55C5A" w:rsidP="00C55C5A">
      <w:pPr>
        <w:ind w:left="-15" w:right="14"/>
        <w:jc w:val="both"/>
        <w:rPr>
          <w:rFonts w:ascii="Arial" w:hAnsi="Arial" w:cs="Arial"/>
          <w:sz w:val="22"/>
          <w:szCs w:val="22"/>
          <w:lang w:val="sl-SI"/>
        </w:rPr>
      </w:pPr>
    </w:p>
    <w:p w14:paraId="4C306BD0" w14:textId="77777777" w:rsidR="00C55C5A" w:rsidRPr="00C55C5A" w:rsidRDefault="00C55C5A" w:rsidP="00C55C5A">
      <w:pPr>
        <w:ind w:left="-15" w:right="14"/>
        <w:jc w:val="both"/>
        <w:rPr>
          <w:rFonts w:ascii="Arial" w:hAnsi="Arial" w:cs="Arial"/>
          <w:sz w:val="22"/>
          <w:szCs w:val="22"/>
          <w:lang w:val="sl-SI"/>
        </w:rPr>
      </w:pPr>
      <w:r w:rsidRPr="00C55C5A">
        <w:rPr>
          <w:rFonts w:ascii="Arial" w:hAnsi="Arial" w:cs="Arial"/>
          <w:sz w:val="22"/>
          <w:szCs w:val="22"/>
          <w:lang w:val="sl-SI"/>
        </w:rPr>
        <w:t>Z namenom učinkovitejše rabe prostora v urbanih območjih, se bodo v okviru prednostne naložbe 6.3 OP 2014 - 2020</w:t>
      </w:r>
      <w:r w:rsidRPr="00C55C5A" w:rsidDel="00BE2FBE">
        <w:rPr>
          <w:rFonts w:ascii="Arial" w:hAnsi="Arial" w:cs="Arial"/>
          <w:sz w:val="22"/>
          <w:szCs w:val="22"/>
          <w:lang w:val="sl-SI"/>
        </w:rPr>
        <w:t xml:space="preserve"> </w:t>
      </w:r>
      <w:r w:rsidRPr="00C55C5A">
        <w:rPr>
          <w:rFonts w:ascii="Arial" w:hAnsi="Arial" w:cs="Arial"/>
          <w:sz w:val="22"/>
          <w:szCs w:val="22"/>
          <w:lang w:val="sl-SI"/>
        </w:rPr>
        <w:t>izvajali ukrepi za izboljšanje urbanega okolja, oživitev mest, sanacijo in dekontaminacijo degradiranih zemljišč, zmanjšanje onesnaženosti zraka in spodbujanje ukrepov za zmanjšanje hrupa, spodbujalo ukrepe za izkoriščanje notranjih potencialov mestnih območij. Z izvajanjem urbane prenove se bo spodbudilo reaktivacijo prostih in slabo izkoriščenih površin znotraj mest. Na ta način bodo ustvarjeni pogoji za razvoj gospodarskih, in družbenih dejavnosti, hkrati pa bo urbano okolje postalo bolj privlačno tudi za delo in bivanje</w:t>
      </w:r>
    </w:p>
    <w:p w14:paraId="78A4F99A" w14:textId="77777777" w:rsidR="00C55C5A" w:rsidRPr="00C55C5A" w:rsidRDefault="00C55C5A" w:rsidP="00C55C5A">
      <w:pPr>
        <w:ind w:left="-15" w:right="14"/>
        <w:jc w:val="both"/>
        <w:rPr>
          <w:rFonts w:ascii="Arial" w:hAnsi="Arial" w:cs="Arial"/>
          <w:sz w:val="22"/>
          <w:szCs w:val="22"/>
          <w:lang w:val="sl-SI"/>
        </w:rPr>
      </w:pPr>
    </w:p>
    <w:p w14:paraId="6C08907D" w14:textId="77777777" w:rsidR="00C55C5A" w:rsidRPr="00C55C5A" w:rsidRDefault="00C55C5A" w:rsidP="00C55C5A">
      <w:pPr>
        <w:spacing w:after="9"/>
        <w:ind w:left="-5" w:hanging="10"/>
        <w:jc w:val="both"/>
        <w:rPr>
          <w:rFonts w:ascii="Arial" w:hAnsi="Arial" w:cs="Arial"/>
          <w:sz w:val="22"/>
          <w:szCs w:val="22"/>
          <w:lang w:val="sl-SI"/>
        </w:rPr>
      </w:pPr>
      <w:r w:rsidRPr="00C55C5A">
        <w:rPr>
          <w:rFonts w:ascii="Arial" w:hAnsi="Arial" w:cs="Arial"/>
          <w:sz w:val="22"/>
          <w:szCs w:val="22"/>
          <w:lang w:val="sl-SI"/>
        </w:rPr>
        <w:t xml:space="preserve">Predlagani finančni instrument za urbani razvoj so posojila za izvedbo ukrepov, ki prispevajo k doseganju specifičnega cilja te prednostne naložbe in drugih prednostnih naložb OP 2014 - 2020. </w:t>
      </w:r>
    </w:p>
    <w:p w14:paraId="1F9BFBE1" w14:textId="77777777" w:rsidR="00C55C5A" w:rsidRPr="00C55C5A" w:rsidRDefault="00C55C5A" w:rsidP="00C55C5A">
      <w:pPr>
        <w:spacing w:after="9"/>
        <w:jc w:val="both"/>
        <w:rPr>
          <w:rFonts w:ascii="Arial" w:hAnsi="Arial" w:cs="Arial"/>
          <w:sz w:val="22"/>
          <w:szCs w:val="22"/>
          <w:lang w:val="sl-SI"/>
        </w:rPr>
      </w:pPr>
      <w:r w:rsidRPr="00C55C5A">
        <w:rPr>
          <w:rFonts w:ascii="Arial" w:hAnsi="Arial" w:cs="Arial"/>
          <w:sz w:val="22"/>
          <w:szCs w:val="22"/>
          <w:lang w:val="sl-SI"/>
        </w:rPr>
        <w:t xml:space="preserve">Tabela 7: Vrzel financiranja za financiranje urbanega razvoja v obdobju 2015—2020 (mio EUR) </w:t>
      </w:r>
    </w:p>
    <w:tbl>
      <w:tblPr>
        <w:tblStyle w:val="TableGrid"/>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58" w:type="dxa"/>
          <w:right w:w="79" w:type="dxa"/>
        </w:tblCellMar>
        <w:tblLook w:val="04A0" w:firstRow="1" w:lastRow="0" w:firstColumn="1" w:lastColumn="0" w:noHBand="0" w:noVBand="1"/>
      </w:tblPr>
      <w:tblGrid>
        <w:gridCol w:w="5204"/>
        <w:gridCol w:w="4430"/>
      </w:tblGrid>
      <w:tr w:rsidR="00C55C5A" w:rsidRPr="00C55C5A" w14:paraId="055FBCFB" w14:textId="77777777" w:rsidTr="00E6701A">
        <w:trPr>
          <w:trHeight w:val="340"/>
        </w:trPr>
        <w:tc>
          <w:tcPr>
            <w:tcW w:w="5204" w:type="dxa"/>
            <w:shd w:val="clear" w:color="auto" w:fill="auto"/>
          </w:tcPr>
          <w:p w14:paraId="3E1AB2F1" w14:textId="77777777" w:rsidR="00C55C5A" w:rsidRPr="00C55C5A" w:rsidRDefault="00C55C5A" w:rsidP="00C55C5A">
            <w:pPr>
              <w:jc w:val="both"/>
              <w:rPr>
                <w:rFonts w:ascii="Arial" w:hAnsi="Arial" w:cs="Arial"/>
                <w:sz w:val="22"/>
                <w:szCs w:val="22"/>
                <w:lang w:val="sl-SI"/>
              </w:rPr>
            </w:pPr>
            <w:r w:rsidRPr="00C55C5A">
              <w:rPr>
                <w:rFonts w:ascii="Arial" w:hAnsi="Arial" w:cs="Arial"/>
                <w:b/>
                <w:sz w:val="22"/>
                <w:szCs w:val="22"/>
                <w:lang w:val="sl-SI"/>
              </w:rPr>
              <w:t xml:space="preserve"> </w:t>
            </w:r>
          </w:p>
        </w:tc>
        <w:tc>
          <w:tcPr>
            <w:tcW w:w="4430" w:type="dxa"/>
            <w:shd w:val="clear" w:color="auto" w:fill="auto"/>
          </w:tcPr>
          <w:p w14:paraId="214F96FA" w14:textId="77777777" w:rsidR="00C55C5A" w:rsidRPr="00C55C5A" w:rsidRDefault="00C55C5A" w:rsidP="00C55C5A">
            <w:pPr>
              <w:ind w:left="19"/>
              <w:jc w:val="center"/>
              <w:rPr>
                <w:rFonts w:ascii="Arial" w:hAnsi="Arial" w:cs="Arial"/>
                <w:sz w:val="22"/>
                <w:szCs w:val="22"/>
                <w:lang w:val="sl-SI"/>
              </w:rPr>
            </w:pPr>
            <w:r w:rsidRPr="00C55C5A">
              <w:rPr>
                <w:rFonts w:ascii="Arial" w:hAnsi="Arial" w:cs="Arial"/>
                <w:sz w:val="22"/>
                <w:szCs w:val="22"/>
                <w:lang w:val="sl-SI"/>
              </w:rPr>
              <w:t xml:space="preserve">Vrzel financiranja   </w:t>
            </w:r>
          </w:p>
        </w:tc>
      </w:tr>
      <w:tr w:rsidR="00C55C5A" w:rsidRPr="00C55C5A" w14:paraId="01715D0D" w14:textId="77777777" w:rsidTr="00E6701A">
        <w:trPr>
          <w:trHeight w:val="539"/>
        </w:trPr>
        <w:tc>
          <w:tcPr>
            <w:tcW w:w="5204" w:type="dxa"/>
            <w:shd w:val="clear" w:color="auto" w:fill="auto"/>
          </w:tcPr>
          <w:p w14:paraId="44E19996"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Projekti slovenskih mestnih občin, ki so pripravljeni na izvedbo (2015—2016) </w:t>
            </w:r>
          </w:p>
        </w:tc>
        <w:tc>
          <w:tcPr>
            <w:tcW w:w="4430" w:type="dxa"/>
            <w:shd w:val="clear" w:color="auto" w:fill="auto"/>
            <w:vAlign w:val="center"/>
          </w:tcPr>
          <w:p w14:paraId="1DCDF65F" w14:textId="77777777" w:rsidR="00C55C5A" w:rsidRPr="00C55C5A" w:rsidRDefault="00C55C5A" w:rsidP="00C55C5A">
            <w:pPr>
              <w:ind w:left="19"/>
              <w:jc w:val="center"/>
              <w:rPr>
                <w:rFonts w:ascii="Arial" w:hAnsi="Arial" w:cs="Arial"/>
                <w:sz w:val="22"/>
                <w:szCs w:val="22"/>
                <w:lang w:val="sl-SI"/>
              </w:rPr>
            </w:pPr>
            <w:r w:rsidRPr="00C55C5A">
              <w:rPr>
                <w:rFonts w:ascii="Arial" w:hAnsi="Arial" w:cs="Arial"/>
                <w:b/>
                <w:sz w:val="22"/>
                <w:szCs w:val="22"/>
                <w:lang w:val="sl-SI"/>
              </w:rPr>
              <w:t xml:space="preserve">590—594   </w:t>
            </w:r>
          </w:p>
        </w:tc>
      </w:tr>
      <w:tr w:rsidR="00C55C5A" w:rsidRPr="00C55C5A" w14:paraId="1CC36DD7" w14:textId="77777777" w:rsidTr="00E6701A">
        <w:trPr>
          <w:trHeight w:val="539"/>
        </w:trPr>
        <w:tc>
          <w:tcPr>
            <w:tcW w:w="5204" w:type="dxa"/>
            <w:shd w:val="clear" w:color="auto" w:fill="auto"/>
          </w:tcPr>
          <w:p w14:paraId="750B7A96"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Projekti slovenskih mestnih občin, ki čakajo na realizacijo (2017—2020)</w:t>
            </w:r>
            <w:r w:rsidRPr="00C55C5A">
              <w:rPr>
                <w:rFonts w:ascii="Arial" w:hAnsi="Arial" w:cs="Arial"/>
                <w:sz w:val="22"/>
                <w:szCs w:val="22"/>
                <w:vertAlign w:val="superscript"/>
                <w:lang w:val="sl-SI"/>
              </w:rPr>
              <w:footnoteReference w:id="5"/>
            </w:r>
            <w:r w:rsidRPr="00C55C5A">
              <w:rPr>
                <w:rFonts w:ascii="Arial" w:hAnsi="Arial" w:cs="Arial"/>
                <w:sz w:val="22"/>
                <w:szCs w:val="22"/>
                <w:lang w:val="sl-SI"/>
              </w:rPr>
              <w:t xml:space="preserve">  </w:t>
            </w:r>
          </w:p>
        </w:tc>
        <w:tc>
          <w:tcPr>
            <w:tcW w:w="4430" w:type="dxa"/>
            <w:shd w:val="clear" w:color="auto" w:fill="auto"/>
            <w:vAlign w:val="center"/>
          </w:tcPr>
          <w:p w14:paraId="546AB58B" w14:textId="77777777" w:rsidR="00C55C5A" w:rsidRPr="00C55C5A" w:rsidRDefault="00C55C5A" w:rsidP="00C55C5A">
            <w:pPr>
              <w:ind w:left="17"/>
              <w:jc w:val="center"/>
              <w:rPr>
                <w:rFonts w:ascii="Arial" w:hAnsi="Arial" w:cs="Arial"/>
                <w:sz w:val="22"/>
                <w:szCs w:val="22"/>
                <w:lang w:val="sl-SI"/>
              </w:rPr>
            </w:pPr>
            <w:r w:rsidRPr="00C55C5A">
              <w:rPr>
                <w:rFonts w:ascii="Arial" w:hAnsi="Arial" w:cs="Arial"/>
                <w:b/>
                <w:sz w:val="22"/>
                <w:szCs w:val="22"/>
                <w:lang w:val="sl-SI"/>
              </w:rPr>
              <w:t xml:space="preserve">68—74  </w:t>
            </w:r>
          </w:p>
        </w:tc>
      </w:tr>
    </w:tbl>
    <w:p w14:paraId="10598A81" w14:textId="77777777" w:rsidR="00C55C5A" w:rsidRPr="00C55C5A" w:rsidRDefault="00C55C5A" w:rsidP="00C55C5A">
      <w:pPr>
        <w:spacing w:after="170"/>
        <w:ind w:left="-5" w:hanging="10"/>
        <w:jc w:val="both"/>
        <w:rPr>
          <w:rFonts w:ascii="Arial" w:hAnsi="Arial" w:cs="Arial"/>
          <w:sz w:val="22"/>
          <w:szCs w:val="22"/>
          <w:lang w:val="sl-SI"/>
        </w:rPr>
      </w:pPr>
      <w:r w:rsidRPr="00C55C5A">
        <w:rPr>
          <w:rFonts w:ascii="Arial" w:hAnsi="Arial" w:cs="Arial"/>
          <w:sz w:val="22"/>
          <w:szCs w:val="22"/>
          <w:lang w:val="sl-SI"/>
        </w:rPr>
        <w:t>Vir: Predhodna ocena FI, 201</w:t>
      </w:r>
      <w:r w:rsidRPr="00C55C5A">
        <w:rPr>
          <w:rFonts w:ascii="Arial" w:hAnsi="Arial" w:cs="Arial"/>
          <w:i/>
          <w:sz w:val="22"/>
          <w:szCs w:val="22"/>
          <w:lang w:val="sl-SI"/>
        </w:rPr>
        <w:t xml:space="preserve">5 </w:t>
      </w:r>
    </w:p>
    <w:p w14:paraId="56232F95" w14:textId="77777777" w:rsidR="00C55C5A" w:rsidRPr="00C55C5A" w:rsidRDefault="00C55C5A" w:rsidP="00C55C5A">
      <w:pPr>
        <w:jc w:val="both"/>
        <w:rPr>
          <w:rFonts w:ascii="Arial" w:hAnsi="Arial" w:cs="Arial"/>
          <w:sz w:val="22"/>
          <w:lang w:val="sl-SI"/>
        </w:rPr>
      </w:pPr>
    </w:p>
    <w:p w14:paraId="1EE5543A" w14:textId="77777777" w:rsidR="00C55C5A" w:rsidRPr="00C55C5A" w:rsidRDefault="00C55C5A" w:rsidP="00C55C5A">
      <w:pPr>
        <w:keepNext/>
        <w:keepLines/>
        <w:spacing w:before="40"/>
        <w:jc w:val="both"/>
        <w:outlineLvl w:val="2"/>
        <w:rPr>
          <w:rFonts w:ascii="Arial" w:hAnsi="Arial" w:cs="Arial"/>
          <w:b/>
          <w:color w:val="1F4D78"/>
          <w:sz w:val="22"/>
          <w:lang w:val="sl-SI"/>
        </w:rPr>
      </w:pPr>
      <w:bookmarkStart w:id="17" w:name="_Toc444258252"/>
      <w:bookmarkStart w:id="18" w:name="_Toc479162937"/>
      <w:r w:rsidRPr="00C55C5A">
        <w:rPr>
          <w:rFonts w:ascii="Arial" w:hAnsi="Arial" w:cs="Arial"/>
          <w:b/>
          <w:color w:val="1F4D78"/>
          <w:sz w:val="22"/>
          <w:lang w:val="sl-SI"/>
        </w:rPr>
        <w:t>2.3 Obstoječi finančni instrumenti in pridobljene izkušnje</w:t>
      </w:r>
      <w:bookmarkEnd w:id="17"/>
      <w:bookmarkEnd w:id="18"/>
    </w:p>
    <w:p w14:paraId="5EDCFA87" w14:textId="77777777" w:rsidR="00C55C5A" w:rsidRPr="00C55C5A" w:rsidRDefault="00C55C5A" w:rsidP="00C55C5A">
      <w:pPr>
        <w:jc w:val="both"/>
        <w:rPr>
          <w:rFonts w:ascii="Arial" w:hAnsi="Arial" w:cs="Arial"/>
          <w:sz w:val="22"/>
          <w:lang w:val="sl-SI"/>
        </w:rPr>
      </w:pPr>
    </w:p>
    <w:p w14:paraId="5E83F57E" w14:textId="77777777" w:rsidR="00C55C5A" w:rsidRPr="00C55C5A" w:rsidRDefault="00C55C5A" w:rsidP="00C55C5A">
      <w:pPr>
        <w:suppressAutoHyphens/>
        <w:jc w:val="both"/>
        <w:rPr>
          <w:rFonts w:ascii="Arial" w:hAnsi="Arial" w:cs="Arial"/>
          <w:sz w:val="22"/>
          <w:szCs w:val="22"/>
          <w:lang w:val="sl-SI" w:eastAsia="ar-SA"/>
        </w:rPr>
      </w:pPr>
      <w:r w:rsidRPr="00C55C5A">
        <w:rPr>
          <w:rFonts w:ascii="Arial" w:hAnsi="Arial" w:cs="Arial"/>
          <w:sz w:val="22"/>
          <w:szCs w:val="22"/>
          <w:lang w:val="sl-SI" w:eastAsia="ar-SA"/>
        </w:rPr>
        <w:t>Na splošno se je z vidika EU v preteklem programskem obdobju 2007 – 2013 pojavil močan premik k uporabi FI</w:t>
      </w:r>
      <w:r w:rsidRPr="00C55C5A">
        <w:rPr>
          <w:rFonts w:ascii="Arial" w:hAnsi="Arial" w:cs="Arial"/>
          <w:sz w:val="22"/>
          <w:szCs w:val="22"/>
          <w:vertAlign w:val="superscript"/>
          <w:lang w:val="sl-SI" w:eastAsia="ar-SA"/>
        </w:rPr>
        <w:footnoteReference w:id="6"/>
      </w:r>
      <w:r w:rsidRPr="00C55C5A">
        <w:rPr>
          <w:rFonts w:ascii="Arial" w:hAnsi="Arial" w:cs="Arial"/>
          <w:sz w:val="22"/>
          <w:szCs w:val="22"/>
          <w:lang w:val="sl-SI" w:eastAsia="ar-SA"/>
        </w:rPr>
        <w:t xml:space="preserve">. V Sloveniji so bili FI različno zastopani in uporabljeni. V programskem obdobju 2007 – 2013 so bili razviti in izvajani produkti mikrofinanciranja, posojil, garancij s subvencijo obrestne mere ter tveganega in semenskega kapitala. </w:t>
      </w:r>
    </w:p>
    <w:p w14:paraId="076DC48F" w14:textId="77777777" w:rsidR="00C55C5A" w:rsidRPr="00C55C5A" w:rsidRDefault="00C55C5A" w:rsidP="00C55C5A">
      <w:pPr>
        <w:suppressAutoHyphens/>
        <w:jc w:val="both"/>
        <w:rPr>
          <w:rFonts w:ascii="Arial" w:hAnsi="Arial" w:cs="Arial"/>
          <w:sz w:val="22"/>
          <w:szCs w:val="22"/>
          <w:lang w:val="sl-SI" w:eastAsia="ar-SA"/>
        </w:rPr>
      </w:pPr>
    </w:p>
    <w:p w14:paraId="191A5700" w14:textId="77777777" w:rsidR="00C55C5A" w:rsidRPr="00C55C5A" w:rsidRDefault="00C55C5A" w:rsidP="00C55C5A">
      <w:pPr>
        <w:suppressAutoHyphens/>
        <w:jc w:val="both"/>
        <w:rPr>
          <w:rFonts w:ascii="Arial" w:hAnsi="Arial" w:cs="Arial"/>
          <w:sz w:val="22"/>
          <w:szCs w:val="22"/>
          <w:lang w:val="sl-SI" w:eastAsia="ar-SA"/>
        </w:rPr>
      </w:pPr>
      <w:r w:rsidRPr="00C55C5A">
        <w:rPr>
          <w:rFonts w:ascii="Arial" w:hAnsi="Arial" w:cs="Arial"/>
          <w:sz w:val="22"/>
          <w:szCs w:val="22"/>
          <w:lang w:val="sl-SI" w:eastAsia="ar-SA"/>
        </w:rPr>
        <w:t xml:space="preserve">Slovenski podjetniški sklad (SPS) upravlja holdinški sklad, na podlagi “Programa instrumentov finančnega inženiringa za MSP v RS 2009 - 2013” (PIFI), ki je financiran tudi iz sredstev evropske kohezijske politike 2007 – 2013 in drugih virov. Portfelj holdinškega sklada je vseboval tako instrumente lastniškega financiranja (tvegani kapital) kot tudi instrumente dolžniškega financiranja </w:t>
      </w:r>
      <w:r w:rsidRPr="00C55C5A">
        <w:rPr>
          <w:rFonts w:ascii="Arial" w:hAnsi="Arial" w:cs="Arial"/>
          <w:sz w:val="22"/>
          <w:szCs w:val="22"/>
          <w:lang w:val="sl-SI" w:eastAsia="ar-SA"/>
        </w:rPr>
        <w:lastRenderedPageBreak/>
        <w:t xml:space="preserve">(garancije, garancije s subvencijo obrestne mere, posojila), vendar je bilo skoraj 70% financiranja namenjenega garancijam. </w:t>
      </w:r>
    </w:p>
    <w:p w14:paraId="2288658E" w14:textId="77777777" w:rsidR="00C55C5A" w:rsidRPr="00C55C5A" w:rsidRDefault="00C55C5A" w:rsidP="00C55C5A">
      <w:pPr>
        <w:suppressAutoHyphens/>
        <w:jc w:val="both"/>
        <w:rPr>
          <w:rFonts w:ascii="Arial" w:hAnsi="Arial" w:cs="Arial"/>
          <w:sz w:val="22"/>
          <w:szCs w:val="22"/>
          <w:lang w:val="sl-SI" w:eastAsia="ar-SA"/>
        </w:rPr>
      </w:pPr>
    </w:p>
    <w:p w14:paraId="65ACC828" w14:textId="77777777" w:rsidR="00C55C5A" w:rsidRPr="00C55C5A" w:rsidRDefault="00C55C5A" w:rsidP="00C55C5A">
      <w:pPr>
        <w:suppressAutoHyphens/>
        <w:jc w:val="both"/>
        <w:rPr>
          <w:rFonts w:ascii="Arial" w:hAnsi="Arial" w:cs="Arial"/>
          <w:sz w:val="22"/>
          <w:szCs w:val="22"/>
          <w:lang w:val="sl-SI" w:eastAsia="ar-SA"/>
        </w:rPr>
      </w:pPr>
      <w:r w:rsidRPr="00C55C5A">
        <w:rPr>
          <w:rFonts w:ascii="Arial" w:hAnsi="Arial" w:cs="Arial"/>
          <w:sz w:val="22"/>
          <w:szCs w:val="22"/>
          <w:lang w:val="sl-SI" w:eastAsia="ar-SA"/>
        </w:rPr>
        <w:t xml:space="preserve">Prav tako SID banka upravlja posojilne sklade za MSP in RRI, s skupnim potencialom do 650 mio EUR. Poleg teh FI v obliki neposrednega financiranja je večino sredstev posredovanih do končnih koristnikov posredovala (posredno) preko komercialnih bank. Po bilančnih podatkih s konca leta 2014 je bilo okoli 1,2 mrd EUR sredstev dodeljenih posredno preko komercialnih bank za MSP. </w:t>
      </w:r>
    </w:p>
    <w:p w14:paraId="3087A2FD" w14:textId="77777777" w:rsidR="00C55C5A" w:rsidRPr="00C55C5A" w:rsidRDefault="00C55C5A" w:rsidP="00C55C5A">
      <w:pPr>
        <w:suppressAutoHyphens/>
        <w:jc w:val="both"/>
        <w:rPr>
          <w:rFonts w:ascii="Arial" w:hAnsi="Arial" w:cs="Arial"/>
          <w:sz w:val="22"/>
          <w:szCs w:val="22"/>
          <w:lang w:val="sl-SI" w:eastAsia="ar-SA"/>
        </w:rPr>
      </w:pPr>
    </w:p>
    <w:p w14:paraId="5E84926F" w14:textId="77777777" w:rsidR="00C55C5A" w:rsidRPr="00C55C5A" w:rsidRDefault="00C55C5A" w:rsidP="00C55C5A">
      <w:pPr>
        <w:suppressAutoHyphens/>
        <w:jc w:val="both"/>
        <w:rPr>
          <w:rFonts w:ascii="Arial" w:hAnsi="Arial" w:cs="Arial"/>
          <w:sz w:val="22"/>
          <w:szCs w:val="22"/>
          <w:lang w:val="sl-SI" w:eastAsia="ar-SA"/>
        </w:rPr>
      </w:pPr>
      <w:r w:rsidRPr="00C55C5A">
        <w:rPr>
          <w:rFonts w:ascii="Arial" w:hAnsi="Arial" w:cs="Arial"/>
          <w:sz w:val="22"/>
          <w:szCs w:val="22"/>
          <w:lang w:val="sl-SI" w:eastAsia="ar-SA"/>
        </w:rPr>
        <w:t xml:space="preserve">Finančne produkte sta izvajala tudi Eko sklad in Slovenski regionalni razvojni sklad. Eko sklad je zagotavljal nepovratna sredstva in prednostna posojila za projekte energetske učinkovitosti, Slovenski regionalni sklad pa je pokrival področja, relevantna za regionalne razvojne politike. </w:t>
      </w:r>
    </w:p>
    <w:p w14:paraId="1EF293F4" w14:textId="77777777" w:rsidR="00C55C5A" w:rsidRPr="00C55C5A" w:rsidRDefault="00C55C5A" w:rsidP="00C55C5A">
      <w:pPr>
        <w:suppressAutoHyphens/>
        <w:jc w:val="both"/>
        <w:rPr>
          <w:rFonts w:ascii="Arial" w:hAnsi="Arial" w:cs="Arial"/>
          <w:sz w:val="22"/>
          <w:szCs w:val="22"/>
          <w:lang w:val="sl-SI" w:eastAsia="ar-SA"/>
        </w:rPr>
      </w:pPr>
    </w:p>
    <w:p w14:paraId="5B22B322" w14:textId="77777777" w:rsidR="00C55C5A" w:rsidRPr="00C55C5A" w:rsidRDefault="00C55C5A" w:rsidP="00C55C5A">
      <w:pPr>
        <w:suppressAutoHyphens/>
        <w:jc w:val="both"/>
        <w:rPr>
          <w:rFonts w:ascii="Arial" w:hAnsi="Arial" w:cs="Arial"/>
          <w:sz w:val="22"/>
          <w:szCs w:val="22"/>
          <w:lang w:val="sl-SI" w:eastAsia="ar-SA"/>
        </w:rPr>
      </w:pPr>
      <w:r w:rsidRPr="00C55C5A">
        <w:rPr>
          <w:rFonts w:ascii="Arial" w:hAnsi="Arial" w:cs="Arial"/>
          <w:sz w:val="22"/>
          <w:szCs w:val="22"/>
          <w:lang w:val="sl-SI" w:eastAsia="ar-SA"/>
        </w:rPr>
        <w:t>Opravljen je bil pregled obstoječih FI v Sloveniji ter glavnih pridobljenih izkušenj v programskem obdobju 2007—2013, ki so predstavljene v spodnji tabeli.</w:t>
      </w:r>
    </w:p>
    <w:p w14:paraId="5D3F01BB" w14:textId="77777777" w:rsidR="00C55C5A" w:rsidRPr="00C55C5A" w:rsidRDefault="00C55C5A" w:rsidP="00C55C5A">
      <w:pPr>
        <w:jc w:val="both"/>
        <w:rPr>
          <w:rFonts w:ascii="Arial" w:hAnsi="Arial" w:cs="Arial"/>
          <w:sz w:val="22"/>
          <w:szCs w:val="22"/>
          <w:lang w:val="sl-SI"/>
        </w:rPr>
      </w:pPr>
      <w:bookmarkStart w:id="19" w:name="_Toc436387744"/>
    </w:p>
    <w:p w14:paraId="55324FBA" w14:textId="77777777" w:rsidR="00C55C5A" w:rsidRPr="00C55C5A" w:rsidRDefault="00C55C5A" w:rsidP="00C55C5A">
      <w:pPr>
        <w:spacing w:after="200"/>
        <w:jc w:val="both"/>
        <w:rPr>
          <w:rFonts w:ascii="Arial" w:hAnsi="Arial" w:cs="Arial"/>
          <w:bCs/>
          <w:sz w:val="22"/>
          <w:szCs w:val="22"/>
          <w:lang w:val="sl-SI"/>
        </w:rPr>
      </w:pPr>
      <w:r w:rsidRPr="00C55C5A">
        <w:rPr>
          <w:rFonts w:ascii="Arial" w:hAnsi="Arial" w:cs="Arial"/>
          <w:bCs/>
          <w:sz w:val="22"/>
          <w:szCs w:val="22"/>
          <w:lang w:val="sl-SI"/>
        </w:rPr>
        <w:t>Tabela 8: Glavne pridobljene izkušnje za programsko obdobje 2007—2013</w:t>
      </w:r>
      <w:bookmarkEnd w:id="19"/>
    </w:p>
    <w:tbl>
      <w:tblPr>
        <w:tblStyle w:val="PwCTableText"/>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363"/>
      </w:tblGrid>
      <w:tr w:rsidR="00C55C5A" w:rsidRPr="00C55C5A" w14:paraId="61405EC4" w14:textId="77777777" w:rsidTr="00E6701A">
        <w:trPr>
          <w:cnfStyle w:val="100000000000" w:firstRow="1" w:lastRow="0" w:firstColumn="0" w:lastColumn="0" w:oddVBand="0" w:evenVBand="0" w:oddHBand="0" w:evenHBand="0" w:firstRowFirstColumn="0" w:firstRowLastColumn="0" w:lastRowFirstColumn="0" w:lastRowLastColumn="0"/>
          <w:trHeight w:val="282"/>
          <w:tblHeader/>
          <w:jc w:val="center"/>
        </w:trPr>
        <w:tc>
          <w:tcPr>
            <w:tcW w:w="32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21A1A"/>
          </w:tcPr>
          <w:p w14:paraId="062988E3" w14:textId="77777777" w:rsidR="00C55C5A" w:rsidRPr="00C55C5A" w:rsidRDefault="00C55C5A" w:rsidP="00C55C5A">
            <w:pPr>
              <w:keepNext/>
              <w:jc w:val="both"/>
              <w:rPr>
                <w:rFonts w:ascii="Arial" w:eastAsia="Georgia" w:hAnsi="Arial" w:cs="Arial"/>
                <w:b w:val="0"/>
                <w:color w:val="FFFFFF"/>
                <w:sz w:val="22"/>
                <w:szCs w:val="22"/>
                <w:lang w:val="sl-SI"/>
              </w:rPr>
            </w:pPr>
            <w:r w:rsidRPr="00C55C5A">
              <w:rPr>
                <w:rFonts w:ascii="Arial" w:eastAsia="Georgia" w:hAnsi="Arial" w:cs="Arial"/>
                <w:b w:val="0"/>
                <w:color w:val="FFFFFF"/>
                <w:sz w:val="22"/>
                <w:szCs w:val="22"/>
                <w:lang w:val="sl-SI"/>
              </w:rPr>
              <w:t>Pridobljena izkušnje</w:t>
            </w:r>
          </w:p>
        </w:tc>
        <w:tc>
          <w:tcPr>
            <w:tcW w:w="63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21A1A"/>
          </w:tcPr>
          <w:p w14:paraId="027518AD" w14:textId="77777777" w:rsidR="00C55C5A" w:rsidRPr="00C55C5A" w:rsidRDefault="00C55C5A" w:rsidP="00C55C5A">
            <w:pPr>
              <w:keepNext/>
              <w:jc w:val="both"/>
              <w:rPr>
                <w:rFonts w:ascii="Arial" w:eastAsia="Georgia" w:hAnsi="Arial" w:cs="Arial"/>
                <w:color w:val="FFFFFF"/>
                <w:sz w:val="22"/>
                <w:szCs w:val="22"/>
                <w:lang w:val="sl-SI"/>
              </w:rPr>
            </w:pPr>
            <w:r w:rsidRPr="00C55C5A">
              <w:rPr>
                <w:rFonts w:ascii="Arial" w:eastAsia="Georgia" w:hAnsi="Arial" w:cs="Arial"/>
                <w:color w:val="FFFFFF"/>
                <w:sz w:val="22"/>
                <w:szCs w:val="22"/>
                <w:lang w:val="sl-SI"/>
              </w:rPr>
              <w:t>Opis</w:t>
            </w:r>
          </w:p>
        </w:tc>
      </w:tr>
      <w:tr w:rsidR="00C55C5A" w:rsidRPr="00C55C5A" w14:paraId="50EE371B" w14:textId="77777777" w:rsidTr="00E6701A">
        <w:trPr>
          <w:trHeight w:val="1022"/>
          <w:jc w:val="center"/>
        </w:trPr>
        <w:tc>
          <w:tcPr>
            <w:tcW w:w="3210" w:type="dxa"/>
          </w:tcPr>
          <w:p w14:paraId="7D806EB3"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 xml:space="preserve">Različen obseg finančnih instrumentov na štirih naložbenih področjih. </w:t>
            </w:r>
          </w:p>
        </w:tc>
        <w:tc>
          <w:tcPr>
            <w:tcW w:w="6363" w:type="dxa"/>
          </w:tcPr>
          <w:p w14:paraId="4323D6A4" w14:textId="77777777" w:rsidR="00C55C5A" w:rsidRPr="00C55C5A" w:rsidRDefault="00C55C5A" w:rsidP="00C55C5A">
            <w:pPr>
              <w:spacing w:after="100"/>
              <w:jc w:val="both"/>
              <w:rPr>
                <w:rFonts w:ascii="Arial" w:eastAsia="Calibri" w:hAnsi="Arial" w:cs="Arial"/>
                <w:sz w:val="22"/>
                <w:szCs w:val="22"/>
                <w:lang w:val="sl-SI"/>
              </w:rPr>
            </w:pPr>
            <w:r w:rsidRPr="00C55C5A">
              <w:rPr>
                <w:rFonts w:ascii="Arial" w:eastAsia="Calibri" w:hAnsi="Arial" w:cs="Arial"/>
                <w:sz w:val="22"/>
                <w:szCs w:val="22"/>
                <w:lang w:val="sl-SI"/>
              </w:rPr>
              <w:t xml:space="preserve">Ponudba več različnih finančnih instrumentov je na področju MSP najbolj razširjena in razvita preko Slovenskega podjetniškega sklada in SID banke. Na področju energetske učinkovitosti sta prisotna SID banka in Eko sklad, ki zajemata podjetja, občine in posameznike. </w:t>
            </w:r>
          </w:p>
        </w:tc>
      </w:tr>
      <w:tr w:rsidR="00C55C5A" w:rsidRPr="00C55C5A" w14:paraId="4C718C52" w14:textId="77777777" w:rsidTr="00E6701A">
        <w:trPr>
          <w:trHeight w:val="1112"/>
          <w:jc w:val="center"/>
        </w:trPr>
        <w:tc>
          <w:tcPr>
            <w:tcW w:w="3210" w:type="dxa"/>
          </w:tcPr>
          <w:p w14:paraId="5DC4E55E"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Prevladovale so garancije, na voljo pa so bile tudi druge vrste financiranja.</w:t>
            </w:r>
          </w:p>
        </w:tc>
        <w:tc>
          <w:tcPr>
            <w:tcW w:w="6363" w:type="dxa"/>
          </w:tcPr>
          <w:p w14:paraId="65A029D4" w14:textId="77777777" w:rsidR="00C55C5A" w:rsidRPr="00C55C5A" w:rsidRDefault="00C55C5A" w:rsidP="00C55C5A">
            <w:pPr>
              <w:spacing w:after="100"/>
              <w:jc w:val="both"/>
              <w:rPr>
                <w:rFonts w:ascii="Arial" w:eastAsia="Calibri" w:hAnsi="Arial" w:cs="Arial"/>
                <w:sz w:val="22"/>
                <w:szCs w:val="22"/>
                <w:lang w:val="sl-SI"/>
              </w:rPr>
            </w:pPr>
            <w:r w:rsidRPr="00C55C5A">
              <w:rPr>
                <w:rFonts w:ascii="Arial" w:eastAsia="Calibri" w:hAnsi="Arial" w:cs="Arial"/>
                <w:sz w:val="22"/>
                <w:szCs w:val="22"/>
                <w:lang w:val="sl-SI"/>
              </w:rPr>
              <w:t>Ponudba Slovenskega podjetniškega sklada v veliki meri temelji na garancijah, vendar je Slovenski podjetniški sklad razvil tudi več drugih instrumentov na področju dolga in lastniškega financiranja (mikrokrediti, konvertibilna posojila, tvegani kapital in kapitalsko-lastniški vstop).</w:t>
            </w:r>
          </w:p>
        </w:tc>
      </w:tr>
      <w:tr w:rsidR="00C55C5A" w:rsidRPr="00C55C5A" w14:paraId="69984DCA" w14:textId="77777777" w:rsidTr="00E6701A">
        <w:trPr>
          <w:trHeight w:val="1083"/>
          <w:jc w:val="center"/>
        </w:trPr>
        <w:tc>
          <w:tcPr>
            <w:tcW w:w="3210" w:type="dxa"/>
          </w:tcPr>
          <w:p w14:paraId="3B210B9E"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 xml:space="preserve">Financiranje v obliki nepovratnih sredstev je bilo za nekatera področja ključnega pomena. </w:t>
            </w:r>
          </w:p>
        </w:tc>
        <w:tc>
          <w:tcPr>
            <w:tcW w:w="6363" w:type="dxa"/>
          </w:tcPr>
          <w:p w14:paraId="7DC78077"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 xml:space="preserve">Nekatera področja so v celoti ali delno krila neposredna sredstva, ki so bila tako ključnega pomena za razvoj teh področij (kmetijstvo, RRI, velik del obstoječih projektov na področju energetske učinkovitosti). </w:t>
            </w:r>
          </w:p>
        </w:tc>
      </w:tr>
      <w:tr w:rsidR="00C55C5A" w:rsidRPr="00C55C5A" w14:paraId="254113FB" w14:textId="77777777" w:rsidTr="00E6701A">
        <w:trPr>
          <w:trHeight w:val="615"/>
          <w:jc w:val="center"/>
        </w:trPr>
        <w:tc>
          <w:tcPr>
            <w:tcW w:w="3210" w:type="dxa"/>
          </w:tcPr>
          <w:p w14:paraId="12ED2244"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Pobude v obliki nepovratnih sredstev bodo ostale pomemben sestavni del.</w:t>
            </w:r>
          </w:p>
        </w:tc>
        <w:tc>
          <w:tcPr>
            <w:tcW w:w="6363" w:type="dxa"/>
          </w:tcPr>
          <w:p w14:paraId="2E48430D"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 xml:space="preserve">Obstajajo področja, kjer financiranje brez vključevanja spodbud v obliki nepovratnih sredstev ne bo mogoče (npr. start-up podjetja, energetska obnova stavb, ki spadajo pod kulturno dediščino, posebne spodbude za raziskave in razvoj, določena področja v kmetijskem sektorju), zato bo potrebno določiti, kateri FI bi bili primerni za dopolnitev subvencije. </w:t>
            </w:r>
          </w:p>
        </w:tc>
      </w:tr>
      <w:tr w:rsidR="00C55C5A" w:rsidRPr="00C55C5A" w14:paraId="55EA433C" w14:textId="77777777" w:rsidTr="00E6701A">
        <w:trPr>
          <w:trHeight w:val="536"/>
          <w:jc w:val="center"/>
        </w:trPr>
        <w:tc>
          <w:tcPr>
            <w:tcW w:w="3210" w:type="dxa"/>
          </w:tcPr>
          <w:p w14:paraId="4CA837E2"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Slovenski birokratski pravni okvir včasih predstavlja oviro učinkovitemu financiranju.</w:t>
            </w:r>
          </w:p>
        </w:tc>
        <w:tc>
          <w:tcPr>
            <w:tcW w:w="6363" w:type="dxa"/>
          </w:tcPr>
          <w:p w14:paraId="6C74BFAD"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 xml:space="preserve">Trenuten pravni okvir na določenih področjih ne dovoljuje učinkovite uporabe sredstev preko razpoložljivih FI (npr. zahtevana 100% privolitev lastnikov za pridobitev posojila za energetsko sanacijo, za katerega zaprosi upravljavec stavbe, garancije Slovenskega podjetniškega sklada niso obravnavane kot prvovrstno zavarovanje, nezmožnost dodatnega </w:t>
            </w:r>
            <w:r w:rsidRPr="00C55C5A">
              <w:rPr>
                <w:rFonts w:ascii="Arial" w:eastAsia="Georgia" w:hAnsi="Arial" w:cs="Arial"/>
                <w:sz w:val="22"/>
                <w:szCs w:val="22"/>
                <w:lang w:val="sl-SI"/>
              </w:rPr>
              <w:lastRenderedPageBreak/>
              <w:t>sposojanja Slovenskega sklada za regionalni razvoj).</w:t>
            </w:r>
          </w:p>
        </w:tc>
      </w:tr>
      <w:tr w:rsidR="00C55C5A" w:rsidRPr="00C55C5A" w14:paraId="7508612E" w14:textId="77777777" w:rsidTr="00E6701A">
        <w:trPr>
          <w:trHeight w:val="1112"/>
          <w:jc w:val="center"/>
        </w:trPr>
        <w:tc>
          <w:tcPr>
            <w:tcW w:w="3210" w:type="dxa"/>
          </w:tcPr>
          <w:p w14:paraId="17224A83"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lastRenderedPageBreak/>
              <w:t xml:space="preserve">Stroge specifikacije razpisnih dokumentacij “prisilijo” podjetja k prilagajanju svojih strategij. </w:t>
            </w:r>
          </w:p>
        </w:tc>
        <w:tc>
          <w:tcPr>
            <w:tcW w:w="6363" w:type="dxa"/>
          </w:tcPr>
          <w:p w14:paraId="199144C8"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Problem nefleksibilnega in visoko zbirokratiziranega sistema – končni prejemniki pripravljajo strategije na podlagi specifikacij razpisne dokumentacije in posledično ustrezno prilagajajo svoje načrte, namesto da bi sledili svojemu poslovnemu načrtu in pričakovanjem.</w:t>
            </w:r>
          </w:p>
        </w:tc>
      </w:tr>
      <w:tr w:rsidR="00C55C5A" w:rsidRPr="00C55C5A" w14:paraId="2CA40F1B" w14:textId="77777777" w:rsidTr="00E6701A">
        <w:trPr>
          <w:trHeight w:val="564"/>
          <w:jc w:val="center"/>
        </w:trPr>
        <w:tc>
          <w:tcPr>
            <w:tcW w:w="3210" w:type="dxa"/>
          </w:tcPr>
          <w:p w14:paraId="5D850836"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 xml:space="preserve">Veliko obstoječih skladov z omejenimi zmogljivostmi. </w:t>
            </w:r>
          </w:p>
        </w:tc>
        <w:tc>
          <w:tcPr>
            <w:tcW w:w="6363" w:type="dxa"/>
          </w:tcPr>
          <w:p w14:paraId="5398EC0A"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 xml:space="preserve">Javni skladi so preobremenjeni; nimajo dovolj velikih zmogljivosti (zaposlenih) za pregledovanje vseh vlog, kot tudi ne za razširitev svoje ponudbe. </w:t>
            </w:r>
          </w:p>
        </w:tc>
      </w:tr>
      <w:tr w:rsidR="00C55C5A" w:rsidRPr="00C55C5A" w14:paraId="2C8C8DBB" w14:textId="77777777" w:rsidTr="00E6701A">
        <w:trPr>
          <w:trHeight w:val="830"/>
          <w:jc w:val="center"/>
        </w:trPr>
        <w:tc>
          <w:tcPr>
            <w:tcW w:w="3210" w:type="dxa"/>
          </w:tcPr>
          <w:p w14:paraId="2CE43FA0"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Prekrivanje različnih instrumentov.</w:t>
            </w:r>
          </w:p>
        </w:tc>
        <w:tc>
          <w:tcPr>
            <w:tcW w:w="6363" w:type="dxa"/>
          </w:tcPr>
          <w:p w14:paraId="4B69952C"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Enake ali podobne vrste finančnih instrumentov, ki jih nudijo različni deležniki na istem področju in v istem časovnem obdobju (npr. področje RRI: kreditne linije SID banke in garancije SPS).</w:t>
            </w:r>
          </w:p>
        </w:tc>
      </w:tr>
      <w:tr w:rsidR="00C55C5A" w:rsidRPr="00C55C5A" w14:paraId="0F44A3F0" w14:textId="77777777" w:rsidTr="00E6701A">
        <w:trPr>
          <w:trHeight w:val="716"/>
          <w:jc w:val="center"/>
        </w:trPr>
        <w:tc>
          <w:tcPr>
            <w:tcW w:w="3210" w:type="dxa"/>
          </w:tcPr>
          <w:p w14:paraId="2726031F" w14:textId="77777777" w:rsidR="00C55C5A" w:rsidRPr="00C55C5A" w:rsidRDefault="00C55C5A" w:rsidP="00C55C5A">
            <w:pPr>
              <w:spacing w:before="20" w:after="20"/>
              <w:jc w:val="both"/>
              <w:rPr>
                <w:rFonts w:ascii="Arial" w:eastAsia="Georgia" w:hAnsi="Arial" w:cs="Arial"/>
                <w:sz w:val="22"/>
                <w:szCs w:val="22"/>
                <w:lang w:val="sl-SI"/>
              </w:rPr>
            </w:pPr>
            <w:r w:rsidRPr="00C55C5A">
              <w:rPr>
                <w:rFonts w:ascii="Arial" w:eastAsia="Georgia" w:hAnsi="Arial" w:cs="Arial"/>
                <w:sz w:val="22"/>
                <w:szCs w:val="22"/>
                <w:lang w:val="sl-SI"/>
              </w:rPr>
              <w:t xml:space="preserve">Mnenje glede učinkovitosti subvencij obrestne mere.  </w:t>
            </w:r>
          </w:p>
        </w:tc>
        <w:tc>
          <w:tcPr>
            <w:tcW w:w="6363" w:type="dxa"/>
          </w:tcPr>
          <w:p w14:paraId="78527AF9" w14:textId="77777777" w:rsidR="00C55C5A" w:rsidRPr="00C55C5A" w:rsidRDefault="00C55C5A" w:rsidP="00C55C5A">
            <w:pPr>
              <w:spacing w:before="20" w:after="20"/>
              <w:jc w:val="both"/>
              <w:rPr>
                <w:rFonts w:ascii="Arial" w:eastAsia="Georgia" w:hAnsi="Arial" w:cs="Arial"/>
                <w:sz w:val="22"/>
                <w:szCs w:val="22"/>
                <w:lang w:val="sl-SI"/>
              </w:rPr>
            </w:pPr>
            <w:r w:rsidRPr="00C55C5A">
              <w:rPr>
                <w:rFonts w:ascii="Arial" w:eastAsia="Georgia" w:hAnsi="Arial" w:cs="Arial"/>
                <w:sz w:val="22"/>
                <w:szCs w:val="22"/>
                <w:lang w:val="sl-SI"/>
              </w:rPr>
              <w:t xml:space="preserve">Nekatera mnenja glede kombiniranja garancij s subvencijo obrestne mere so pozitivna (subvencija obrestne mere kot učinkovit ukrep). Medtem ko drugi ne podpirajo te kombinacije. </w:t>
            </w:r>
          </w:p>
        </w:tc>
      </w:tr>
      <w:tr w:rsidR="00C55C5A" w:rsidRPr="00C55C5A" w14:paraId="76F4C458" w14:textId="77777777" w:rsidTr="00E6701A">
        <w:trPr>
          <w:trHeight w:val="330"/>
          <w:jc w:val="center"/>
        </w:trPr>
        <w:tc>
          <w:tcPr>
            <w:tcW w:w="3210" w:type="dxa"/>
          </w:tcPr>
          <w:p w14:paraId="5751DCDE" w14:textId="77777777" w:rsidR="00C55C5A" w:rsidRPr="00C55C5A" w:rsidRDefault="00C55C5A" w:rsidP="00C55C5A">
            <w:pPr>
              <w:spacing w:before="20" w:after="20"/>
              <w:jc w:val="both"/>
              <w:rPr>
                <w:rFonts w:ascii="Arial" w:eastAsia="Georgia" w:hAnsi="Arial" w:cs="Arial"/>
                <w:color w:val="FF0000"/>
                <w:sz w:val="22"/>
                <w:szCs w:val="22"/>
                <w:lang w:val="sl-SI"/>
              </w:rPr>
            </w:pPr>
            <w:r w:rsidRPr="00C55C5A">
              <w:rPr>
                <w:rFonts w:ascii="Arial" w:eastAsia="Georgia" w:hAnsi="Arial" w:cs="Arial"/>
                <w:sz w:val="22"/>
                <w:szCs w:val="22"/>
                <w:lang w:val="sl-SI"/>
              </w:rPr>
              <w:t>Cikel tveganega kapitala je v fazi odprodaje (ne vzpostavlja se nobenega novega investicijskega cikla).</w:t>
            </w:r>
          </w:p>
        </w:tc>
        <w:tc>
          <w:tcPr>
            <w:tcW w:w="6363" w:type="dxa"/>
          </w:tcPr>
          <w:p w14:paraId="7A9310B4" w14:textId="77777777" w:rsidR="00C55C5A" w:rsidRPr="00C55C5A" w:rsidRDefault="00C55C5A" w:rsidP="00C55C5A">
            <w:pPr>
              <w:spacing w:before="20" w:after="20"/>
              <w:jc w:val="both"/>
              <w:rPr>
                <w:rFonts w:ascii="Arial" w:eastAsia="Georgia" w:hAnsi="Arial" w:cs="Arial"/>
                <w:sz w:val="22"/>
                <w:szCs w:val="22"/>
                <w:lang w:val="sl-SI"/>
              </w:rPr>
            </w:pPr>
            <w:r w:rsidRPr="00C55C5A">
              <w:rPr>
                <w:rFonts w:ascii="Arial" w:eastAsia="Georgia" w:hAnsi="Arial" w:cs="Arial"/>
                <w:sz w:val="22"/>
                <w:szCs w:val="22"/>
                <w:lang w:val="sl-SI"/>
              </w:rPr>
              <w:t xml:space="preserve">Na trgu tveganega kapitala bo po 5-letni naložbeni fazi sledila 5-letna odprodajna faza. Obstaja možnost za ustanovitev novih skladov. Na podlagi informacij, pridobljenih v razgovorih, bi bilo za delovanje skladov tveganega kapitala koristno, če bi večji delež investicij prihajal iz tujine, zato se razmišlja tudi v smeri sodelovanja Slovenije v čezmejnem skladu tveganega kapitala.  </w:t>
            </w:r>
          </w:p>
        </w:tc>
      </w:tr>
      <w:tr w:rsidR="00C55C5A" w:rsidRPr="00C55C5A" w14:paraId="36274723" w14:textId="77777777" w:rsidTr="00E6701A">
        <w:trPr>
          <w:trHeight w:val="975"/>
          <w:jc w:val="center"/>
        </w:trPr>
        <w:tc>
          <w:tcPr>
            <w:tcW w:w="3210" w:type="dxa"/>
          </w:tcPr>
          <w:p w14:paraId="271D6705" w14:textId="77777777" w:rsidR="00C55C5A" w:rsidRPr="00C55C5A" w:rsidRDefault="00C55C5A" w:rsidP="00C55C5A">
            <w:pPr>
              <w:spacing w:before="20" w:after="20"/>
              <w:jc w:val="both"/>
              <w:rPr>
                <w:rFonts w:ascii="Arial" w:eastAsia="Georgia" w:hAnsi="Arial" w:cs="Arial"/>
                <w:sz w:val="22"/>
                <w:szCs w:val="22"/>
                <w:lang w:val="sl-SI"/>
              </w:rPr>
            </w:pPr>
            <w:r w:rsidRPr="00C55C5A">
              <w:rPr>
                <w:rFonts w:ascii="Arial" w:eastAsia="Georgia" w:hAnsi="Arial" w:cs="Arial"/>
                <w:sz w:val="22"/>
                <w:szCs w:val="22"/>
                <w:lang w:val="sl-SI"/>
              </w:rPr>
              <w:t xml:space="preserve">Zaradi tržnih omejitev in izkušenj drugih držav obstaja želja po sodelovanju preko meja Slovenije. </w:t>
            </w:r>
          </w:p>
        </w:tc>
        <w:tc>
          <w:tcPr>
            <w:tcW w:w="6363" w:type="dxa"/>
          </w:tcPr>
          <w:p w14:paraId="2E05F8D1" w14:textId="77777777" w:rsidR="00C55C5A" w:rsidRPr="00C55C5A" w:rsidRDefault="00C55C5A" w:rsidP="00C55C5A">
            <w:pPr>
              <w:spacing w:before="20" w:after="20"/>
              <w:jc w:val="both"/>
              <w:rPr>
                <w:rFonts w:ascii="Arial" w:eastAsia="Georgia" w:hAnsi="Arial" w:cs="Arial"/>
                <w:sz w:val="22"/>
                <w:szCs w:val="22"/>
                <w:lang w:val="sl-SI"/>
              </w:rPr>
            </w:pPr>
            <w:r w:rsidRPr="00C55C5A">
              <w:rPr>
                <w:rFonts w:ascii="Arial" w:eastAsia="Georgia" w:hAnsi="Arial" w:cs="Arial"/>
                <w:sz w:val="22"/>
                <w:szCs w:val="22"/>
                <w:lang w:val="sl-SI"/>
              </w:rPr>
              <w:t xml:space="preserve">Slovenija kot majhna država na vseh področjih nima zadostne kritične mase za doseganje želenega učinka. Na področju lastniškega financiranja obstajajo preference za integracijo z drugimi državami. </w:t>
            </w:r>
          </w:p>
        </w:tc>
      </w:tr>
      <w:tr w:rsidR="00C55C5A" w:rsidRPr="00C55C5A" w14:paraId="30D8C78E" w14:textId="77777777" w:rsidTr="00E6701A">
        <w:trPr>
          <w:trHeight w:val="1181"/>
          <w:jc w:val="center"/>
        </w:trPr>
        <w:tc>
          <w:tcPr>
            <w:tcW w:w="3210" w:type="dxa"/>
          </w:tcPr>
          <w:p w14:paraId="1BE0E20F" w14:textId="77777777" w:rsidR="00C55C5A" w:rsidRPr="00C55C5A" w:rsidRDefault="00C55C5A" w:rsidP="00C55C5A">
            <w:pPr>
              <w:spacing w:before="20" w:after="20"/>
              <w:jc w:val="both"/>
              <w:rPr>
                <w:rFonts w:ascii="Arial" w:eastAsia="Georgia" w:hAnsi="Arial" w:cs="Arial"/>
                <w:sz w:val="22"/>
                <w:szCs w:val="22"/>
                <w:lang w:val="sl-SI"/>
              </w:rPr>
            </w:pPr>
            <w:r w:rsidRPr="00C55C5A">
              <w:rPr>
                <w:rFonts w:ascii="Arial" w:eastAsia="Georgia" w:hAnsi="Arial" w:cs="Arial"/>
                <w:sz w:val="22"/>
                <w:szCs w:val="22"/>
                <w:lang w:val="sl-SI"/>
              </w:rPr>
              <w:t>Obstoječe institucije, ki nudijo financiranje, se trudijo povečati svojo prilagojenost trgu.</w:t>
            </w:r>
          </w:p>
        </w:tc>
        <w:tc>
          <w:tcPr>
            <w:tcW w:w="6363" w:type="dxa"/>
          </w:tcPr>
          <w:p w14:paraId="1D4D12D9" w14:textId="77777777" w:rsidR="00C55C5A" w:rsidRPr="00C55C5A" w:rsidRDefault="00C55C5A" w:rsidP="00C55C5A">
            <w:pPr>
              <w:spacing w:before="20" w:after="20"/>
              <w:jc w:val="both"/>
              <w:rPr>
                <w:rFonts w:ascii="Arial" w:eastAsia="Georgia" w:hAnsi="Arial" w:cs="Arial"/>
                <w:sz w:val="22"/>
                <w:szCs w:val="22"/>
                <w:lang w:val="sl-SI"/>
              </w:rPr>
            </w:pPr>
            <w:r w:rsidRPr="00C55C5A">
              <w:rPr>
                <w:rFonts w:ascii="Arial" w:eastAsia="Georgia" w:hAnsi="Arial" w:cs="Arial"/>
                <w:sz w:val="22"/>
                <w:szCs w:val="22"/>
                <w:lang w:val="sl-SI"/>
              </w:rPr>
              <w:t xml:space="preserve">Obstoječe institucije, ki nudijo financiranje, vključujejo v tekoče razprave glavne korespondente, z namenom razumevanja nazorov glavnih deležnikov, ki so vključeni v trg, ter tako povečanja transparentnost. Vendar ne glede na zgoraj navedeno, Slovenija še vedno potrebuje večjo fleksibilnost, ki bo omogočila hitrejše pretvorbe programov skladno s potrebami trga. </w:t>
            </w:r>
          </w:p>
        </w:tc>
      </w:tr>
    </w:tbl>
    <w:p w14:paraId="076C5952" w14:textId="77777777" w:rsidR="00C55C5A" w:rsidRPr="00C55C5A" w:rsidRDefault="00C55C5A" w:rsidP="00C55C5A">
      <w:pPr>
        <w:jc w:val="both"/>
        <w:rPr>
          <w:rFonts w:ascii="Arial" w:eastAsia="Calibri" w:hAnsi="Arial" w:cs="Arial"/>
          <w:sz w:val="22"/>
          <w:szCs w:val="22"/>
          <w:lang w:val="sl-SI"/>
        </w:rPr>
      </w:pPr>
      <w:r w:rsidRPr="00C55C5A">
        <w:rPr>
          <w:rFonts w:ascii="Arial" w:eastAsia="Calibri" w:hAnsi="Arial" w:cs="Arial"/>
          <w:sz w:val="22"/>
          <w:szCs w:val="22"/>
          <w:lang w:val="sl-SI"/>
        </w:rPr>
        <w:t>Vir: Predhodna ocena FI, 2015</w:t>
      </w:r>
    </w:p>
    <w:p w14:paraId="62AB643F" w14:textId="77777777" w:rsidR="00C55C5A" w:rsidRPr="00C55C5A" w:rsidRDefault="00C55C5A" w:rsidP="00C55C5A">
      <w:pPr>
        <w:jc w:val="both"/>
        <w:rPr>
          <w:rFonts w:ascii="Arial" w:hAnsi="Arial" w:cs="Arial"/>
          <w:sz w:val="22"/>
          <w:szCs w:val="22"/>
          <w:lang w:val="sl-SI"/>
        </w:rPr>
      </w:pPr>
    </w:p>
    <w:p w14:paraId="6431AD56"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Obstoječi FI so pokazali pozitivne rezultate pri podpori končnih prejemnikov sredstev. V tem pogledu ni razloga za prekinitev delovanja teh instrumentov. Njihovo delovanje se lahko nadaljuje še naprej tudi v programskem obdobju 2014—2020, vzporedno s finančnimi instrumenti in produkti, predlaganimi v trenutni naložbeni strategiji. Obstoječe FI se lahko izvaja nespremenjeno, če se za </w:t>
      </w:r>
      <w:r w:rsidRPr="00C55C5A">
        <w:rPr>
          <w:rFonts w:ascii="Arial" w:hAnsi="Arial" w:cs="Arial"/>
          <w:sz w:val="22"/>
          <w:szCs w:val="22"/>
          <w:lang w:val="sl-SI"/>
        </w:rPr>
        <w:lastRenderedPageBreak/>
        <w:t xml:space="preserve">njihovo izvajanje zagotovi drug vir sredstev (ne sredstev evropskih strukturnih in investicijskih skladov); npr. financiranje iz integralnega proračuna, sproščena sredstva obstoječih FI, financiranje občin in zasebno financiranje. Ne da bi to vplivalo na izvajanje obstoječih FI ali ostalih dejavnosti ključnih deležnikov pri FI (kot so opredeljeni v uvodnem poglavju) pa je potrebno v največji možni meri zagotoviti komplementarnost s prednostnim izvajanjem sklada skladov oz. FI financiranimi iz sredstev evropske kohezijske politike 2014-2020. </w:t>
      </w:r>
    </w:p>
    <w:p w14:paraId="60D39E06" w14:textId="77777777" w:rsidR="00C55C5A" w:rsidRPr="00C55C5A" w:rsidRDefault="00C55C5A" w:rsidP="00C55C5A">
      <w:pPr>
        <w:jc w:val="both"/>
        <w:rPr>
          <w:rFonts w:ascii="Arial" w:hAnsi="Arial" w:cs="Arial"/>
          <w:sz w:val="22"/>
          <w:szCs w:val="22"/>
          <w:lang w:val="sl-SI"/>
        </w:rPr>
      </w:pPr>
    </w:p>
    <w:p w14:paraId="31622798"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Če se OU in PO skupaj s sodelujočima ministrstvoma odločijo na podlagi pozitivih rezultatov in učinkov FI, ki so bili izvedeni iz sredstev evropske kohezijske politike 2007 – 2013, za nadaljevanje enega ali več obstoječih (ali nadgrajenih) FI s financiranjem preko sredstev ESIF v obdobju 2014 - 2020, morajo biti le-ti prilagojeni in skladni z Uredbo (EU) št. 1303/2013 EU o razvoju FI z uporabo sredstev evropskih strukturnih in investicijskih skladov. To posledično vključuje spremembe v oblikovanju in izvajanju FI. Te spremembe so potrebne zaradi uskladitve obstoječih FI v Sloveniji z Uredbo (EU) št. 1303/2013, ki se navezuje na FI v programskem obdobju 2014—2020. Ta uredba vključuje izbiro finančnih posrednikov na podlagi odprtih, preglednih, sorazmernih in nediskriminatornih postopkov, pri čemer se preprečijo navzkrižja interesov.</w:t>
      </w:r>
    </w:p>
    <w:p w14:paraId="1D95BCC6" w14:textId="77777777" w:rsidR="00C55C5A" w:rsidRPr="00C55C5A" w:rsidRDefault="00C55C5A" w:rsidP="00C55C5A">
      <w:pPr>
        <w:spacing w:after="160"/>
        <w:jc w:val="both"/>
        <w:rPr>
          <w:rFonts w:ascii="Arial" w:hAnsi="Arial" w:cs="Arial"/>
          <w:sz w:val="22"/>
          <w:szCs w:val="22"/>
          <w:lang w:val="sl-SI"/>
        </w:rPr>
      </w:pPr>
      <w:r w:rsidRPr="00C55C5A">
        <w:rPr>
          <w:rFonts w:ascii="Arial" w:hAnsi="Arial" w:cs="Arial"/>
          <w:sz w:val="22"/>
          <w:szCs w:val="22"/>
          <w:lang w:val="sl-SI"/>
        </w:rPr>
        <w:br w:type="page"/>
      </w:r>
    </w:p>
    <w:p w14:paraId="1477C782" w14:textId="77777777" w:rsidR="00C55C5A" w:rsidRPr="00C55C5A" w:rsidRDefault="00C55C5A" w:rsidP="00C55C5A">
      <w:pPr>
        <w:jc w:val="both"/>
        <w:rPr>
          <w:rFonts w:ascii="Arial" w:hAnsi="Arial" w:cs="Arial"/>
          <w:sz w:val="22"/>
          <w:lang w:val="sl-SI"/>
        </w:rPr>
      </w:pPr>
    </w:p>
    <w:p w14:paraId="522D75F5" w14:textId="77777777" w:rsidR="00C55C5A" w:rsidRPr="00C55C5A" w:rsidRDefault="00C55C5A" w:rsidP="00C55C5A">
      <w:pPr>
        <w:keepNext/>
        <w:shd w:val="clear" w:color="auto" w:fill="9CC2E5"/>
        <w:outlineLvl w:val="1"/>
        <w:rPr>
          <w:rFonts w:ascii="Arial" w:eastAsia="Calibri" w:hAnsi="Arial" w:cs="Arial"/>
          <w:b/>
          <w:bCs/>
          <w:iCs/>
          <w:sz w:val="22"/>
          <w:szCs w:val="28"/>
          <w:lang w:val="sl-SI"/>
        </w:rPr>
      </w:pPr>
      <w:bookmarkStart w:id="20" w:name="_Toc479162938"/>
      <w:r w:rsidRPr="00C55C5A">
        <w:rPr>
          <w:rFonts w:ascii="Arial" w:hAnsi="Arial" w:cs="Arial"/>
          <w:b/>
          <w:sz w:val="32"/>
          <w:szCs w:val="32"/>
          <w:lang w:val="sl-SI"/>
        </w:rPr>
        <w:t>3. Naložbena strategija in načrtovanje finančnih instrumentov</w:t>
      </w:r>
      <w:bookmarkEnd w:id="20"/>
    </w:p>
    <w:p w14:paraId="35130688" w14:textId="77777777" w:rsidR="00C55C5A" w:rsidRPr="00C55C5A" w:rsidRDefault="00C55C5A" w:rsidP="00C55C5A">
      <w:pPr>
        <w:autoSpaceDE w:val="0"/>
        <w:autoSpaceDN w:val="0"/>
        <w:adjustRightInd w:val="0"/>
        <w:jc w:val="both"/>
        <w:rPr>
          <w:rFonts w:ascii="Arial" w:eastAsia="Calibri" w:hAnsi="Arial" w:cs="Arial"/>
          <w:i/>
          <w:iCs/>
          <w:color w:val="000000"/>
          <w:sz w:val="22"/>
          <w:lang w:val="sl-SI"/>
        </w:rPr>
      </w:pPr>
    </w:p>
    <w:p w14:paraId="35EE50AB" w14:textId="77777777" w:rsidR="00C55C5A" w:rsidRPr="00C55C5A" w:rsidRDefault="00C55C5A" w:rsidP="00C55C5A">
      <w:pPr>
        <w:keepNext/>
        <w:keepLines/>
        <w:spacing w:before="40"/>
        <w:jc w:val="both"/>
        <w:outlineLvl w:val="2"/>
        <w:rPr>
          <w:rFonts w:ascii="Arial" w:eastAsia="Calibri" w:hAnsi="Arial" w:cs="Arial"/>
          <w:b/>
          <w:color w:val="1F4D78"/>
          <w:sz w:val="28"/>
          <w:szCs w:val="28"/>
          <w:lang w:val="sl-SI"/>
        </w:rPr>
      </w:pPr>
      <w:bookmarkStart w:id="21" w:name="_Toc479162939"/>
      <w:r w:rsidRPr="00C55C5A">
        <w:rPr>
          <w:rFonts w:ascii="Arial" w:eastAsia="Calibri" w:hAnsi="Arial" w:cs="Arial"/>
          <w:b/>
          <w:color w:val="1F4D78"/>
          <w:sz w:val="28"/>
          <w:szCs w:val="28"/>
          <w:lang w:val="sl-SI"/>
        </w:rPr>
        <w:t>3.1 Izvedbeni pogoji</w:t>
      </w:r>
      <w:bookmarkEnd w:id="21"/>
      <w:r w:rsidRPr="00C55C5A">
        <w:rPr>
          <w:rFonts w:ascii="Arial" w:eastAsia="Calibri" w:hAnsi="Arial" w:cs="Arial"/>
          <w:b/>
          <w:color w:val="1F4D78"/>
          <w:sz w:val="28"/>
          <w:szCs w:val="28"/>
          <w:lang w:val="sl-SI"/>
        </w:rPr>
        <w:t xml:space="preserve"> </w:t>
      </w:r>
    </w:p>
    <w:p w14:paraId="129991FB"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28820634" w14:textId="77777777" w:rsidR="00C55C5A" w:rsidRPr="00C55C5A" w:rsidRDefault="00C55C5A" w:rsidP="00C55C5A">
      <w:pPr>
        <w:autoSpaceDE w:val="0"/>
        <w:autoSpaceDN w:val="0"/>
        <w:adjustRightInd w:val="0"/>
        <w:jc w:val="both"/>
        <w:rPr>
          <w:rFonts w:ascii="Arial" w:hAnsi="Arial" w:cs="Arial"/>
          <w:color w:val="222222"/>
          <w:sz w:val="22"/>
          <w:szCs w:val="22"/>
          <w:lang w:val="sl-SI"/>
        </w:rPr>
      </w:pPr>
      <w:r w:rsidRPr="00C55C5A">
        <w:rPr>
          <w:rFonts w:ascii="Arial" w:hAnsi="Arial" w:cs="Arial"/>
          <w:color w:val="222222"/>
          <w:sz w:val="22"/>
          <w:szCs w:val="22"/>
          <w:lang w:val="sl-SI"/>
        </w:rPr>
        <w:t>Predhodna ocena FI predlaga dvostopenjsko strukturo izvajanja Fi preko sklada skladov. Tudi EIB analiza potrjuje, da je to v tem trenutku najbolj primeren način izvajanja finančnih instrumentov v Sloveniji v tej fazi. Enostopenjski struktura (brez sklada skladov) zahteva veliko stopnjo strokovnega znanja upravne zmogljivosti v okviru OU in PO, le na ta način bi bil zagotovljen neposreden nadzor finančnih posrednikov.</w:t>
      </w:r>
    </w:p>
    <w:p w14:paraId="1F34BF53" w14:textId="77777777" w:rsidR="00C55C5A" w:rsidRPr="00C55C5A" w:rsidRDefault="00C55C5A" w:rsidP="00C55C5A">
      <w:pPr>
        <w:autoSpaceDE w:val="0"/>
        <w:autoSpaceDN w:val="0"/>
        <w:adjustRightInd w:val="0"/>
        <w:jc w:val="both"/>
        <w:rPr>
          <w:rFonts w:ascii="Arial" w:hAnsi="Arial" w:cs="Arial"/>
          <w:color w:val="222222"/>
          <w:sz w:val="22"/>
          <w:szCs w:val="22"/>
          <w:lang w:val="sl-SI"/>
        </w:rPr>
      </w:pPr>
    </w:p>
    <w:p w14:paraId="459CA31A" w14:textId="77777777" w:rsidR="00C55C5A" w:rsidRPr="00C55C5A" w:rsidRDefault="00C55C5A" w:rsidP="00C55C5A">
      <w:pPr>
        <w:autoSpaceDE w:val="0"/>
        <w:autoSpaceDN w:val="0"/>
        <w:adjustRightInd w:val="0"/>
        <w:jc w:val="both"/>
        <w:rPr>
          <w:rFonts w:ascii="Arial" w:hAnsi="Arial" w:cs="Arial"/>
          <w:color w:val="222222"/>
          <w:sz w:val="22"/>
          <w:szCs w:val="22"/>
          <w:lang w:val="sl-SI"/>
        </w:rPr>
      </w:pPr>
      <w:r w:rsidRPr="00C55C5A">
        <w:rPr>
          <w:rFonts w:ascii="Arial" w:hAnsi="Arial" w:cs="Arial"/>
          <w:color w:val="222222"/>
          <w:sz w:val="22"/>
          <w:szCs w:val="22"/>
          <w:lang w:val="sl-SI"/>
        </w:rPr>
        <w:t xml:space="preserve">Predlagana struktura z enim skladom skladov in tematskimi podskladi je v skladu s predpisi in vključuje številne prednosti, kot na primer enotno strukturo upravljanja in enega podpisnika sporazuma o financiranju, večjo kritično maso, ekonomijo obsega, stroškovno učinkovitost in potencial za izkoriščanje sinergij med podskladi. </w:t>
      </w:r>
    </w:p>
    <w:p w14:paraId="2529EF05" w14:textId="77777777" w:rsidR="00C55C5A" w:rsidRPr="00C55C5A" w:rsidRDefault="00C55C5A" w:rsidP="00C55C5A">
      <w:pPr>
        <w:jc w:val="both"/>
        <w:rPr>
          <w:rFonts w:ascii="Arial" w:hAnsi="Arial" w:cs="Arial"/>
          <w:sz w:val="22"/>
          <w:szCs w:val="22"/>
          <w:lang w:val="sl-SI"/>
        </w:rPr>
      </w:pPr>
    </w:p>
    <w:p w14:paraId="54C34CBC" w14:textId="77777777" w:rsidR="00C55C5A" w:rsidRPr="00C55C5A" w:rsidRDefault="00C55C5A" w:rsidP="00C55C5A">
      <w:pPr>
        <w:spacing w:after="200"/>
        <w:jc w:val="both"/>
        <w:rPr>
          <w:rFonts w:ascii="Arial" w:hAnsi="Arial" w:cs="Arial"/>
          <w:bCs/>
          <w:sz w:val="22"/>
          <w:szCs w:val="22"/>
          <w:lang w:val="sl-SI"/>
        </w:rPr>
      </w:pPr>
      <w:r w:rsidRPr="00C55C5A">
        <w:rPr>
          <w:rFonts w:ascii="Arial" w:hAnsi="Arial" w:cs="Arial"/>
          <w:bCs/>
          <w:sz w:val="22"/>
          <w:szCs w:val="22"/>
          <w:lang w:val="sl-SI"/>
        </w:rPr>
        <w:t xml:space="preserve">Slika 1: Struktura upravljanja sklada skladov v programskem obdobju 2014—2020 </w:t>
      </w:r>
    </w:p>
    <w:p w14:paraId="6363B1CB" w14:textId="77777777" w:rsidR="00C55C5A" w:rsidRPr="00C55C5A" w:rsidRDefault="00C55C5A" w:rsidP="00C55C5A">
      <w:pPr>
        <w:jc w:val="center"/>
        <w:rPr>
          <w:rFonts w:ascii="Arial" w:hAnsi="Arial"/>
          <w:sz w:val="22"/>
          <w:szCs w:val="22"/>
          <w:lang w:val="sl-SI"/>
        </w:rPr>
      </w:pPr>
      <w:r w:rsidRPr="00C55C5A">
        <w:rPr>
          <w:rFonts w:ascii="Arial" w:hAnsi="Arial"/>
          <w:noProof/>
          <w:sz w:val="22"/>
          <w:szCs w:val="22"/>
          <w:lang w:val="sl-SI" w:eastAsia="sl-SI"/>
        </w:rPr>
        <w:drawing>
          <wp:inline distT="0" distB="0" distL="0" distR="0" wp14:anchorId="1FA759ED" wp14:editId="723193FD">
            <wp:extent cx="5281683" cy="2842954"/>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Slika 4"/>
                    <pic:cNvPicPr>
                      <a:picLocks noChangeAspect="1" noChangeArrowheads="1"/>
                    </pic:cNvPicPr>
                  </pic:nvPicPr>
                  <pic:blipFill>
                    <a:blip r:embed="rId12" cstate="print">
                      <a:extLst>
                        <a:ext uri="{28A0092B-C50C-407E-A947-70E740481C1C}">
                          <a14:useLocalDpi xmlns:a14="http://schemas.microsoft.com/office/drawing/2010/main" val="0"/>
                        </a:ext>
                      </a:extLst>
                    </a:blip>
                    <a:srcRect l="57053" t="20114" r="14334" b="48653"/>
                    <a:stretch>
                      <a:fillRect/>
                    </a:stretch>
                  </pic:blipFill>
                  <pic:spPr bwMode="auto">
                    <a:xfrm>
                      <a:off x="0" y="0"/>
                      <a:ext cx="5292339" cy="2848690"/>
                    </a:xfrm>
                    <a:prstGeom prst="rect">
                      <a:avLst/>
                    </a:prstGeom>
                    <a:noFill/>
                    <a:ln>
                      <a:noFill/>
                    </a:ln>
                    <a:extLst/>
                  </pic:spPr>
                </pic:pic>
              </a:graphicData>
            </a:graphic>
          </wp:inline>
        </w:drawing>
      </w:r>
    </w:p>
    <w:p w14:paraId="02A8AF5D"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Vir: Lastna izdelava slike</w:t>
      </w:r>
    </w:p>
    <w:p w14:paraId="1C5C2481" w14:textId="77777777" w:rsidR="00C55C5A" w:rsidRPr="00C55C5A" w:rsidRDefault="00C55C5A" w:rsidP="00C55C5A">
      <w:pPr>
        <w:jc w:val="both"/>
        <w:rPr>
          <w:rFonts w:ascii="Arial" w:hAnsi="Arial"/>
          <w:sz w:val="22"/>
          <w:szCs w:val="22"/>
          <w:lang w:val="sl-SI"/>
        </w:rPr>
      </w:pPr>
    </w:p>
    <w:p w14:paraId="15F138AB"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 Predhodni oceni FI je bila predlagana naložbena strategija</w:t>
      </w:r>
      <w:r w:rsidRPr="00C55C5A">
        <w:rPr>
          <w:rFonts w:ascii="Arial" w:eastAsia="Calibri" w:hAnsi="Arial" w:cs="Arial"/>
          <w:color w:val="000000"/>
          <w:sz w:val="22"/>
          <w:szCs w:val="22"/>
          <w:vertAlign w:val="superscript"/>
          <w:lang w:val="sl-SI"/>
        </w:rPr>
        <w:footnoteReference w:id="7"/>
      </w:r>
      <w:r w:rsidRPr="00C55C5A">
        <w:rPr>
          <w:rFonts w:ascii="Arial" w:eastAsia="Calibri" w:hAnsi="Arial" w:cs="Arial"/>
          <w:color w:val="000000"/>
          <w:sz w:val="22"/>
          <w:szCs w:val="22"/>
          <w:lang w:val="sl-SI"/>
        </w:rPr>
        <w:t xml:space="preserve">, ki temelji na petih naložbenih skladih (MSP, razvoj podeželja, RRI, energetska učinkovitost, urbani razvoj). V Ključnih elementih FI so predstavljena štiri področja (MSP, RRI, energetska učinkovitost, urbani razvoj), ki so financirana iz </w:t>
      </w:r>
      <w:r w:rsidRPr="00C55C5A">
        <w:rPr>
          <w:rFonts w:ascii="Arial" w:eastAsia="Calibri" w:hAnsi="Arial" w:cs="Arial"/>
          <w:color w:val="000000"/>
          <w:sz w:val="22"/>
          <w:szCs w:val="22"/>
          <w:lang w:val="sl-SI"/>
        </w:rPr>
        <w:lastRenderedPageBreak/>
        <w:t>OP 2014- 2020, medtem ko je področje razvoja podeželja obravnavano posebej, saj je financirano iz Evropskega kmetijskega sklada za razvoj podeželja in opredeljeno v Programu za razvoj podeželja 2014-2020. Za vsa naložbena področja je predlagano, da se uporabijo po meri oblikovani FI (tailor-made). Izvedbene ključne pogoje in cilje natančneje definira upravljavec sklada skladov v naložbeni strategiji, ki bo sestavni del sporazuma o financiranju. Upravljavec sklada skladov bo moral pri pripravi naložbene strategije sklada skladov zasledovati vsebino Ključnih elementov FI, Predhodne ocene FI, EIB analize, preverjanja na trgu (market test) in ciljev OP 2014 – 2020.</w:t>
      </w:r>
    </w:p>
    <w:p w14:paraId="6217AD65" w14:textId="77777777" w:rsidR="00C55C5A" w:rsidRPr="00C55C5A" w:rsidRDefault="00C55C5A" w:rsidP="00C55C5A">
      <w:pPr>
        <w:spacing w:before="240"/>
        <w:jc w:val="both"/>
        <w:rPr>
          <w:rFonts w:ascii="Arial" w:hAnsi="Arial" w:cs="Arial"/>
          <w:sz w:val="22"/>
          <w:szCs w:val="22"/>
          <w:lang w:val="sl-SI"/>
        </w:rPr>
      </w:pPr>
      <w:r w:rsidRPr="00C55C5A">
        <w:rPr>
          <w:rFonts w:ascii="Arial" w:hAnsi="Arial" w:cs="Arial"/>
          <w:sz w:val="22"/>
          <w:szCs w:val="22"/>
          <w:lang w:val="sl-SI"/>
        </w:rPr>
        <w:t>Slika 2: Naložbena strategija sklada skladov</w:t>
      </w:r>
    </w:p>
    <w:p w14:paraId="4163DB26" w14:textId="77777777" w:rsidR="00C55C5A" w:rsidRPr="00C55C5A" w:rsidRDefault="00C55C5A" w:rsidP="00C55C5A">
      <w:pPr>
        <w:spacing w:before="240"/>
        <w:jc w:val="both"/>
        <w:rPr>
          <w:rFonts w:ascii="Arial" w:hAnsi="Arial" w:cs="Arial"/>
          <w:noProof/>
          <w:color w:val="008000"/>
          <w:sz w:val="22"/>
          <w:szCs w:val="22"/>
          <w:lang w:val="sl-SI" w:eastAsia="sl-SI"/>
        </w:rPr>
      </w:pPr>
      <w:r w:rsidRPr="00C55C5A">
        <w:rPr>
          <w:rFonts w:ascii="Arial" w:hAnsi="Arial" w:cs="Arial"/>
          <w:noProof/>
          <w:sz w:val="22"/>
          <w:szCs w:val="22"/>
          <w:lang w:val="sl-SI" w:eastAsia="sl-SI"/>
        </w:rPr>
        <w:drawing>
          <wp:inline distT="0" distB="0" distL="0" distR="0" wp14:anchorId="73074845" wp14:editId="796C668A">
            <wp:extent cx="5295331" cy="3058549"/>
            <wp:effectExtent l="0" t="0" r="635" b="889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1171" cy="3067698"/>
                    </a:xfrm>
                    <a:prstGeom prst="rect">
                      <a:avLst/>
                    </a:prstGeom>
                    <a:noFill/>
                  </pic:spPr>
                </pic:pic>
              </a:graphicData>
            </a:graphic>
          </wp:inline>
        </w:drawing>
      </w:r>
    </w:p>
    <w:p w14:paraId="2EDB2A61" w14:textId="77777777" w:rsidR="00C55C5A" w:rsidRPr="00C55C5A" w:rsidRDefault="00C55C5A" w:rsidP="00C55C5A">
      <w:pPr>
        <w:spacing w:before="240"/>
        <w:jc w:val="both"/>
        <w:rPr>
          <w:rFonts w:ascii="Arial" w:hAnsi="Arial" w:cs="Arial"/>
          <w:sz w:val="22"/>
          <w:szCs w:val="22"/>
          <w:lang w:val="sl-SI"/>
        </w:rPr>
      </w:pPr>
      <w:r w:rsidRPr="00C55C5A">
        <w:rPr>
          <w:rFonts w:ascii="Arial" w:hAnsi="Arial" w:cs="Arial"/>
          <w:sz w:val="22"/>
          <w:szCs w:val="22"/>
          <w:lang w:val="sl-SI"/>
        </w:rPr>
        <w:t>Vir: Predhodna ocena FI, 2015</w:t>
      </w:r>
    </w:p>
    <w:p w14:paraId="28F5A275" w14:textId="77777777" w:rsidR="00C55C5A" w:rsidRPr="00C55C5A" w:rsidRDefault="00C55C5A" w:rsidP="00C55C5A">
      <w:pPr>
        <w:autoSpaceDE w:val="0"/>
        <w:autoSpaceDN w:val="0"/>
        <w:adjustRightInd w:val="0"/>
        <w:jc w:val="both"/>
        <w:rPr>
          <w:rFonts w:ascii="Arial" w:hAnsi="Arial" w:cs="Arial"/>
          <w:b/>
          <w:sz w:val="22"/>
          <w:szCs w:val="22"/>
          <w:lang w:val="sl-SI"/>
        </w:rPr>
      </w:pPr>
    </w:p>
    <w:p w14:paraId="7266267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hAnsi="Arial" w:cs="Arial"/>
          <w:sz w:val="22"/>
          <w:szCs w:val="22"/>
          <w:lang w:val="sl-SI"/>
        </w:rPr>
        <w:t>Skladno z Uredbo (EU) 1303/2013 in glede na Navodila EK je možno upravljavca sklada skladov izbrati na več načinov, med drugim v skladu z veljavnim zakonom o javnem naročanju, na primer kot javno naročilo med osebami v javnem sektorju, ki je upoštevaje pogoje za tako imenovanje in glede na izkušnje drugih držav članic, tudi najbolj ustrezen način</w:t>
      </w:r>
      <w:r w:rsidRPr="00C55C5A">
        <w:rPr>
          <w:rFonts w:ascii="Arial" w:eastAsia="Calibri" w:hAnsi="Arial" w:cs="Arial"/>
          <w:color w:val="000000"/>
          <w:sz w:val="22"/>
          <w:szCs w:val="22"/>
          <w:lang w:val="sl-SI"/>
        </w:rPr>
        <w:t>.</w:t>
      </w:r>
    </w:p>
    <w:p w14:paraId="53DE7367"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7FE1E0C"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Skladno s Predhodno oceno FI v Sloveniji se bodo FI izvajali preko sklada skladov, in sicer jih bo izvajal sklad skladov prek finančnih posrednikov ali izjemoma neposredno. Ta način izvedbe predstavlja največji potencial za dodano vrednost in ustvarjanje maksimalnega finančnega vzvoda za slovenski trg. Upravljavec sklada skladov lahko izjemoma izvaja FI tudi sam, če to narekujejo rezultati preverjanja na trgu (market test) glede na cilje OP 2014 – 2020 ob upoštevanju splošnih načel izvajanja FI, vključno z minimalnim finančnim vzvodom. Preverjanje na trgu se opravi pri finančnih posrednikih, ki bi lahko izvajali FI.</w:t>
      </w:r>
    </w:p>
    <w:p w14:paraId="0AD36DDB"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6C2A2693" w14:textId="77777777" w:rsidR="00C55C5A" w:rsidRPr="00C55C5A" w:rsidRDefault="00C55C5A" w:rsidP="00C55C5A">
      <w:pPr>
        <w:autoSpaceDE w:val="0"/>
        <w:autoSpaceDN w:val="0"/>
        <w:adjustRightInd w:val="0"/>
        <w:jc w:val="both"/>
        <w:rPr>
          <w:rFonts w:ascii="Arial" w:hAnsi="Arial" w:cs="Arial"/>
          <w:sz w:val="22"/>
          <w:szCs w:val="22"/>
          <w:lang w:val="sl-SI"/>
        </w:rPr>
      </w:pPr>
      <w:r w:rsidRPr="00C55C5A">
        <w:rPr>
          <w:rFonts w:ascii="Arial" w:eastAsia="Calibri" w:hAnsi="Arial" w:cs="Arial"/>
          <w:color w:val="000000"/>
          <w:sz w:val="22"/>
          <w:szCs w:val="22"/>
          <w:lang w:val="sl-SI"/>
        </w:rPr>
        <w:t>Upravljavca sklada skladov bo PO skladno točko b) četrtega odstavka 38. člena Uredbe EU št. 1303/2013 izbral upoštevajoč veljavno pravo javnega naročanja. PO lahko na podlagi 28. člena Zakona o javnem naročanju</w:t>
      </w:r>
      <w:r w:rsidRPr="00C55C5A">
        <w:rPr>
          <w:rFonts w:ascii="Arial" w:hAnsi="Arial" w:cs="Arial"/>
          <w:sz w:val="22"/>
          <w:szCs w:val="22"/>
          <w:lang w:val="sl-SI"/>
        </w:rPr>
        <w:t xml:space="preserve"> </w:t>
      </w:r>
      <w:r w:rsidRPr="00C55C5A">
        <w:rPr>
          <w:rFonts w:ascii="Arial" w:eastAsia="Calibri" w:hAnsi="Arial" w:cs="Arial"/>
          <w:color w:val="000000"/>
          <w:sz w:val="22"/>
          <w:szCs w:val="22"/>
          <w:lang w:val="sl-SI"/>
        </w:rPr>
        <w:t xml:space="preserve">(Uradni list RS, št. 91/15) in Obvestilom Evropske Komisije: Smernice za </w:t>
      </w:r>
      <w:r w:rsidRPr="00C55C5A">
        <w:rPr>
          <w:rFonts w:ascii="Arial" w:eastAsia="Calibri" w:hAnsi="Arial" w:cs="Arial"/>
          <w:color w:val="000000"/>
          <w:sz w:val="22"/>
          <w:szCs w:val="22"/>
          <w:lang w:val="sl-SI"/>
        </w:rPr>
        <w:lastRenderedPageBreak/>
        <w:t xml:space="preserve">države članice o izbiri organov, ki izvajajo finančne instrumente (2016/C276/01) odda javno naročilo pravni osebi javnega prava in neposredno sklene sporazum o financiranju z upravljavcem sklada skladov. </w:t>
      </w:r>
    </w:p>
    <w:p w14:paraId="2816C233"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0C24EE7B"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 mora pri izboru upravljavca sklada skladov upoštevati zahteve in merila, ki izhajajo iz 7. člena Delegirane uredbe Komisije (EU) št. 480/2014. Minimalne zahteve, ki jih mora upravljavec sklada skladov izpolnjevati, so:</w:t>
      </w:r>
    </w:p>
    <w:p w14:paraId="7FDD90E3"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pooblastilo po pravu EU in nacionalnem pravu za izvajanje zadevnih nalog,</w:t>
      </w:r>
    </w:p>
    <w:p w14:paraId="720C5B1C"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primerna ekonomska in finančna vzdržnost,</w:t>
      </w:r>
    </w:p>
    <w:p w14:paraId="5F102ABF"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primerna zmogljivost za izvajanje finančnega instrumenta, vključno z organizacijsko strukturo in upravljavskim okvirom, </w:t>
      </w:r>
    </w:p>
    <w:p w14:paraId="0A44B8AF"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obstoj uspešnega in učinkovitega sistema notranjega nadzora,</w:t>
      </w:r>
    </w:p>
    <w:p w14:paraId="096DB625"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uporaba računovodskega sistema, ki pravočasno zagotavlja točne, popolne in zanesljive informacije,</w:t>
      </w:r>
    </w:p>
    <w:p w14:paraId="50F14F21"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pristanek na revizijo s strani slovenskih, EU revizijskih organov in Evropskega računskega sodišča.</w:t>
      </w:r>
    </w:p>
    <w:p w14:paraId="54758CD7"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3CA8E48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Uporabijo se vsaj naslednja merila pri izbiri upravljavca sklada skladov:</w:t>
      </w:r>
    </w:p>
    <w:p w14:paraId="3652FEE2"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zanesljivost in verodostojnost metodologije za opredelitev in oceno finančnih posrednikov oziroma končnih prejemnikov,</w:t>
      </w:r>
    </w:p>
    <w:p w14:paraId="2908EBA9"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raven stroškov upravljanja in provizij za upravljanje, povezanih z izvajanjem FI, ter predlagana metodologija za njihov izračun,</w:t>
      </w:r>
    </w:p>
    <w:p w14:paraId="564577C7"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pogoji v zvezi s podporo, ki se zagotavlja končnim prejemnikom, vključno z oblikovanjem cen,</w:t>
      </w:r>
    </w:p>
    <w:p w14:paraId="4210EEC6"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sposobnost mobilizacije dodatnih sredstev za naložbe v korist končnih prejemnikov poleg prispevkov programa,</w:t>
      </w:r>
    </w:p>
    <w:p w14:paraId="1EA507D6"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dokazana dodatna dejavnost v primerjavi z obstoječo dejavnostjo,</w:t>
      </w:r>
    </w:p>
    <w:p w14:paraId="3C2A516B"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če sklad skladov, ki izvaja FI, temu instrumentu nameni lastna sredstva ali nosi del tveganja, so predlagani ukrepi za usklajevanje interesov in za omejitev mogočega navzkrižja interesov.</w:t>
      </w:r>
    </w:p>
    <w:p w14:paraId="3E8243F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26757F1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Na osnovi Navodil OU za načrtovanje, odločanje o podpori, spremljanje, poročanje in vrednotenje izvajanja evropske kohezijske politike v programskem obdobju 2014-2020, kjer je opisan postopek izbora sklada skladov kot operacije, MGRT kot PO v sodelovanju s sodelujočima ministrstvoma izbere upravljavca sklada skladov in s sporazumom o financiranju</w:t>
      </w:r>
      <w:r w:rsidRPr="00C55C5A">
        <w:rPr>
          <w:rFonts w:ascii="Arial" w:eastAsia="Calibri" w:hAnsi="Arial" w:cs="Arial"/>
          <w:color w:val="000000"/>
          <w:sz w:val="22"/>
          <w:szCs w:val="22"/>
          <w:vertAlign w:val="superscript"/>
          <w:lang w:val="sl-SI"/>
        </w:rPr>
        <w:footnoteReference w:id="8"/>
      </w:r>
      <w:r w:rsidRPr="00C55C5A">
        <w:rPr>
          <w:rFonts w:ascii="Arial" w:eastAsia="Calibri" w:hAnsi="Arial" w:cs="Arial"/>
          <w:color w:val="000000"/>
          <w:sz w:val="22"/>
          <w:szCs w:val="22"/>
          <w:lang w:val="sl-SI"/>
        </w:rPr>
        <w:t xml:space="preserve"> dogovori podrobnosti glede oblike, vsebine, dinamike in učinkovitosti FI, kot sledi iz naložbene strategije sklada skladov. Poleg tega se MGRT kot PO v sporazumu z upravljavcem sklada skladov dogovori tudi glede upravljanja sklada skladov (osnovno nadomestilo in nadomestilo za uspešnost skladno s 13. členom Delegirane uredbe EK 480/2014).</w:t>
      </w:r>
    </w:p>
    <w:p w14:paraId="04998FF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233CA53"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Upravljavec sklada skladov finančne posrednike izbere skladno s 7. členom Delegirane uredbe Komisije (EU) št. 480/2014, Obvestilom Evropske Komisije: Smernice za države članice o izbiri organov, ki izvajajo finančne instrumente (2016/C276/01) in ZJN-3 (vključno z 28. členom ZJN-3). Upravljavec sklada skladov zagotovi, da so v zvezi s finančnimi posredniki izpolnjene zahteve, ki izhajajo iz 7. člena Delegirane uredbe Komisije (EU) št. 480/2014. </w:t>
      </w:r>
    </w:p>
    <w:p w14:paraId="67E5875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6B86602F"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D24D8C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299CD469" w14:textId="77777777" w:rsidR="00C55C5A" w:rsidRPr="00C55C5A" w:rsidRDefault="00C55C5A" w:rsidP="00C55C5A">
      <w:pPr>
        <w:spacing w:before="240"/>
        <w:jc w:val="both"/>
        <w:rPr>
          <w:rFonts w:ascii="Arial" w:eastAsia="Calibri" w:hAnsi="Arial" w:cs="Arial"/>
          <w:color w:val="000000"/>
          <w:sz w:val="22"/>
          <w:szCs w:val="22"/>
          <w:lang w:val="sl-SI"/>
        </w:rPr>
      </w:pPr>
      <w:r w:rsidRPr="00C55C5A">
        <w:rPr>
          <w:rFonts w:ascii="Arial" w:hAnsi="Arial" w:cs="Arial"/>
          <w:b/>
          <w:sz w:val="22"/>
          <w:szCs w:val="22"/>
          <w:lang w:val="sl-SI"/>
        </w:rPr>
        <w:t>Izbor sklada skladov in finančnih posrednikov</w:t>
      </w:r>
    </w:p>
    <w:p w14:paraId="008D87A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5098E9E7"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552288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Slika 3: Struktura izvajanja finančnih instrumentov v Sloveniji  </w:t>
      </w:r>
    </w:p>
    <w:p w14:paraId="0BE96750"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42D183F"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hAnsi="Arial"/>
          <w:noProof/>
          <w:sz w:val="22"/>
          <w:szCs w:val="22"/>
          <w:lang w:val="sl-SI" w:eastAsia="sl-SI"/>
        </w:rPr>
        <w:drawing>
          <wp:inline distT="0" distB="0" distL="0" distR="0" wp14:anchorId="4EA6B67D" wp14:editId="6CB3CB13">
            <wp:extent cx="5124734" cy="3002508"/>
            <wp:effectExtent l="0" t="0" r="0" b="7620"/>
            <wp:docPr id="4" name="Slika 4"/>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4" cstate="print"/>
                    <a:stretch>
                      <a:fillRect/>
                    </a:stretch>
                  </pic:blipFill>
                  <pic:spPr>
                    <a:xfrm>
                      <a:off x="0" y="0"/>
                      <a:ext cx="5136111" cy="3009174"/>
                    </a:xfrm>
                    <a:prstGeom prst="rect">
                      <a:avLst/>
                    </a:prstGeom>
                  </pic:spPr>
                </pic:pic>
              </a:graphicData>
            </a:graphic>
          </wp:inline>
        </w:drawing>
      </w:r>
    </w:p>
    <w:p w14:paraId="2107D47F"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446FDB0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Vir: Lastna izdelava slike</w:t>
      </w:r>
    </w:p>
    <w:p w14:paraId="1232CC60"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41D74C20"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 za izvajanje FI je MGRT, ki pri izvajanju sodeluje s sodelujočima ministrstvoma, in sicer MZI in MOP. V okviru MGRT je zagotovljena koordinacija vseh vključenih ministrstev.</w:t>
      </w:r>
    </w:p>
    <w:p w14:paraId="7B904BE0"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69BBD1EC"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MGRT deluje kot PO (oddelek za FI) in hkrati tudi vsebinsko pokriva področje MSP in RRI. Sodelujoči ministrstvi sta MZI in MOP, ki pokrivata vsebinski področji energetske učinkovitosti ter urbanega razvoja. Vsebinski nosilci na ministrstvih sodelujejo z oddelkom za FI v okviru MGRT ter pripravljajo vsebinske predloge za gradivo, ki ga koordinira oddelek za FI za Usmerjevalni odbor. Poleg tega oddelek za FI sodeluje z OU, organom za potrjevanje in upravljavcem sklada skladov ter ZMOS. Upravljavec sklada skladov sodeluje z oddelkom PO za FI pri pripravi poslovnega načrta, sporazuma o financiranju in drugih dokumentov. Upravljavec sklada skladov prav tako izvede postopek izbora finančnih posrednikov plasira sredstva sklada skladov ter upravlja s prostimi sredstvi sklada skladov. Pravila naložbenja prostih sredstev sklada skladov PO in upravljavec sklada skladov dogovorita v sporazumu o financiranju. Finančni posrednik sklepa naložbene posle s končnimi prejemniki. Upravljavec sklada skladov in finančni posredniki samostojno in neodvisno odobravajo naložbene posle. </w:t>
      </w:r>
    </w:p>
    <w:p w14:paraId="65714D2F"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46AAE6FB"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ZMOS pri izvajanju finančnih instrumentov skladno s 7. členom Uredbe EU št 1301/2013, kot posredniški organ v okviru celostnih teritorialnih naložb opravlja naslednje naloge:</w:t>
      </w:r>
    </w:p>
    <w:p w14:paraId="256BFC0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w:t>
      </w:r>
      <w:r w:rsidRPr="00C55C5A">
        <w:rPr>
          <w:rFonts w:ascii="Arial" w:eastAsia="Calibri" w:hAnsi="Arial" w:cs="Arial"/>
          <w:color w:val="000000"/>
          <w:sz w:val="22"/>
          <w:szCs w:val="22"/>
          <w:lang w:val="sl-SI"/>
        </w:rPr>
        <w:tab/>
        <w:t>daje soglasje h ključnim elementom finančnih instrumentov;</w:t>
      </w:r>
    </w:p>
    <w:p w14:paraId="3AB0985F" w14:textId="77777777" w:rsidR="00C55C5A" w:rsidRPr="00C55C5A" w:rsidRDefault="00C55C5A" w:rsidP="00C55C5A">
      <w:pPr>
        <w:autoSpaceDE w:val="0"/>
        <w:autoSpaceDN w:val="0"/>
        <w:adjustRightInd w:val="0"/>
        <w:ind w:left="705" w:hanging="705"/>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lastRenderedPageBreak/>
        <w:t>2.</w:t>
      </w:r>
      <w:r w:rsidRPr="00C55C5A">
        <w:rPr>
          <w:rFonts w:ascii="Arial" w:eastAsia="Calibri" w:hAnsi="Arial" w:cs="Arial"/>
          <w:color w:val="000000"/>
          <w:sz w:val="22"/>
          <w:szCs w:val="22"/>
          <w:lang w:val="sl-SI"/>
        </w:rPr>
        <w:tab/>
        <w:t>na ravni posamezne investicije poda mnenje o skladnosti investicije s trajnostno urbano strategijo.</w:t>
      </w:r>
    </w:p>
    <w:p w14:paraId="23D249B5"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 okviru prve naloge sodeluje z oddelkom PO za FI pri pripravi ključnih elementov FI in poda soglasje h ključnim elementom v okviru medresorskega usklajevanja gradiva pred obravnavo na Vladi RS. Za izvajanje druge naloge poda mnenje o skladnosti investicije s trajnostno urbano strategijo, ki je sestavni del vloge za financiranje.</w:t>
      </w:r>
    </w:p>
    <w:p w14:paraId="55626C6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3BE4DE51" w14:textId="77777777" w:rsidR="00C55C5A" w:rsidRPr="00C55C5A" w:rsidRDefault="00C55C5A" w:rsidP="00C55C5A">
      <w:pPr>
        <w:autoSpaceDE w:val="0"/>
        <w:autoSpaceDN w:val="0"/>
        <w:adjustRightInd w:val="0"/>
        <w:contextualSpacing/>
        <w:jc w:val="both"/>
        <w:rPr>
          <w:rFonts w:ascii="Arial" w:hAnsi="Arial" w:cs="Arial"/>
          <w:color w:val="000000"/>
          <w:sz w:val="22"/>
          <w:szCs w:val="22"/>
          <w:lang w:val="sl-SI"/>
        </w:rPr>
      </w:pPr>
      <w:r w:rsidRPr="00C55C5A">
        <w:rPr>
          <w:rFonts w:ascii="Arial" w:eastAsia="Calibri" w:hAnsi="Arial" w:cs="Arial"/>
          <w:color w:val="000000"/>
          <w:sz w:val="22"/>
          <w:szCs w:val="22"/>
          <w:lang w:val="sl-SI"/>
        </w:rPr>
        <w:t xml:space="preserve">Naloge Usmerjevalnega odbora so opredeljene v </w:t>
      </w:r>
      <w:r w:rsidRPr="00C55C5A">
        <w:rPr>
          <w:rFonts w:ascii="Arial" w:hAnsi="Arial" w:cs="Arial"/>
          <w:sz w:val="22"/>
          <w:szCs w:val="22"/>
          <w:lang w:val="sl-SI"/>
        </w:rPr>
        <w:t xml:space="preserve">Uredbi o porabi sredstev evropske kohezijske politike v Republiki Sloveniji v programskem obdobju 2014-2020 za cilj naložbe za rast in delovna mesta ter so navedene v uvodnem poglavju Ključnih elementov FI. </w:t>
      </w:r>
      <w:r w:rsidRPr="00C55C5A">
        <w:rPr>
          <w:rFonts w:ascii="Arial" w:hAnsi="Arial" w:cs="Arial"/>
          <w:color w:val="000000"/>
          <w:sz w:val="22"/>
          <w:szCs w:val="22"/>
          <w:lang w:val="sl-SI"/>
        </w:rPr>
        <w:t>Skladno s to uredbo deluje usmerjevalni odbor kot posvetovalni organ posredniškega organa, pristojnega za izvajanje finančnih instrumentov, h katerim prispevajo evropski strukturni in investicijski skladi, glede:</w:t>
      </w:r>
    </w:p>
    <w:p w14:paraId="5631A6C9"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priprave ključnih elementov finančnih instrumentov v skladu s predpisi, ki urejajo javne finance,</w:t>
      </w:r>
    </w:p>
    <w:p w14:paraId="49D8534C"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priprave naložbene strategije,</w:t>
      </w:r>
    </w:p>
    <w:p w14:paraId="0B006221"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priprave predloga izvedbenega načrta,</w:t>
      </w:r>
    </w:p>
    <w:p w14:paraId="28C14576"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priprave predloga za izbor operacij in izvajalca sklada skladov</w:t>
      </w:r>
    </w:p>
    <w:p w14:paraId="19927F8F" w14:textId="77777777" w:rsidR="00C55C5A" w:rsidRPr="00C55C5A" w:rsidRDefault="00C55C5A" w:rsidP="00C55C5A">
      <w:pPr>
        <w:jc w:val="both"/>
        <w:rPr>
          <w:rFonts w:ascii="Arial" w:hAnsi="Arial" w:cs="Arial"/>
          <w:sz w:val="22"/>
          <w:szCs w:val="22"/>
          <w:lang w:val="sl-SI"/>
        </w:rPr>
      </w:pPr>
    </w:p>
    <w:p w14:paraId="24345390"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Usmerjevalni odbor spremlja izvajanje FI prek četrtletnih, polletnih in letnih poročil o napredku izvajanja, skladno s cilji OP 2014 – 2020 in naložbeno strategijo ter zavzema stališča do doseženih ciljev. Po potrebi izdaja splošna priporočila pristojnemu posredniškemu organu predvsem glede porabe sredstev namenjenih FI, ter obravnava spremembe operacije ter daje priporočila in predloge PO za primer, ko operacija ne dosega zastavljenih ciljev. PO priporočila in predloge preuči in se nanje ustrezno odzove.</w:t>
      </w:r>
    </w:p>
    <w:p w14:paraId="06768126" w14:textId="77777777" w:rsidR="00C55C5A" w:rsidRPr="00C55C5A" w:rsidRDefault="00C55C5A" w:rsidP="00C55C5A">
      <w:pPr>
        <w:jc w:val="both"/>
        <w:rPr>
          <w:rFonts w:ascii="Arial" w:hAnsi="Arial" w:cs="Arial"/>
          <w:sz w:val="22"/>
          <w:lang w:val="sl-SI"/>
        </w:rPr>
      </w:pPr>
      <w:r w:rsidRPr="00C55C5A">
        <w:rPr>
          <w:rFonts w:ascii="Arial" w:hAnsi="Arial" w:cs="Arial"/>
          <w:sz w:val="22"/>
          <w:lang w:val="sl-SI"/>
        </w:rPr>
        <w:t xml:space="preserve"> </w:t>
      </w:r>
    </w:p>
    <w:p w14:paraId="0B454D60" w14:textId="77777777" w:rsidR="00C55C5A" w:rsidRPr="00C55C5A" w:rsidRDefault="00C55C5A" w:rsidP="00C55C5A">
      <w:pPr>
        <w:keepNext/>
        <w:keepLines/>
        <w:spacing w:before="40"/>
        <w:jc w:val="both"/>
        <w:outlineLvl w:val="2"/>
        <w:rPr>
          <w:rFonts w:ascii="Arial" w:eastAsia="Calibri" w:hAnsi="Arial" w:cs="Arial"/>
          <w:b/>
          <w:color w:val="1F4D78"/>
          <w:sz w:val="28"/>
          <w:szCs w:val="28"/>
          <w:lang w:val="sl-SI"/>
        </w:rPr>
      </w:pPr>
      <w:bookmarkStart w:id="22" w:name="_Toc479162940"/>
      <w:r w:rsidRPr="00C55C5A">
        <w:rPr>
          <w:rFonts w:ascii="Arial" w:eastAsia="Calibri" w:hAnsi="Arial" w:cs="Arial"/>
          <w:b/>
          <w:color w:val="1F4D78"/>
          <w:sz w:val="28"/>
          <w:szCs w:val="28"/>
          <w:lang w:val="sl-SI"/>
        </w:rPr>
        <w:t>3.2 Načrtovani finančni produkti in ciljne skupine</w:t>
      </w:r>
      <w:bookmarkEnd w:id="22"/>
    </w:p>
    <w:p w14:paraId="7CB602AF"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6D91F739" w14:textId="77777777" w:rsidR="00C55C5A" w:rsidRPr="00C55C5A" w:rsidRDefault="00C55C5A" w:rsidP="00C55C5A">
      <w:pPr>
        <w:autoSpaceDE w:val="0"/>
        <w:autoSpaceDN w:val="0"/>
        <w:adjustRightInd w:val="0"/>
        <w:jc w:val="both"/>
        <w:rPr>
          <w:rFonts w:ascii="Arial" w:hAnsi="Arial" w:cs="Arial"/>
          <w:sz w:val="22"/>
          <w:szCs w:val="22"/>
          <w:lang w:val="sl-SI"/>
        </w:rPr>
      </w:pPr>
      <w:r w:rsidRPr="00C55C5A">
        <w:rPr>
          <w:rFonts w:ascii="Arial" w:eastAsia="Calibri" w:hAnsi="Arial" w:cs="Arial"/>
          <w:color w:val="000000"/>
          <w:sz w:val="22"/>
          <w:szCs w:val="22"/>
          <w:lang w:val="sl-SI"/>
        </w:rPr>
        <w:t xml:space="preserve">Ob upoštevanju izsledkov </w:t>
      </w:r>
      <w:r w:rsidRPr="00C55C5A">
        <w:rPr>
          <w:rFonts w:ascii="Arial" w:hAnsi="Arial" w:cs="Arial"/>
          <w:sz w:val="22"/>
          <w:szCs w:val="22"/>
          <w:lang w:val="sl-SI"/>
        </w:rPr>
        <w:t>Predhodne ocene FI, Analize EIB in potreb na trgu so predlagani naslednji finančni produkti:</w:t>
      </w:r>
    </w:p>
    <w:p w14:paraId="13C62518" w14:textId="77777777" w:rsidR="00C55C5A" w:rsidRPr="00C55C5A" w:rsidRDefault="00C55C5A" w:rsidP="00C55C5A">
      <w:pPr>
        <w:autoSpaceDE w:val="0"/>
        <w:autoSpaceDN w:val="0"/>
        <w:adjustRightInd w:val="0"/>
        <w:jc w:val="both"/>
        <w:rPr>
          <w:rFonts w:ascii="Arial" w:hAnsi="Arial" w:cs="Arial"/>
          <w:sz w:val="22"/>
          <w:szCs w:val="22"/>
          <w:lang w:val="sl-SI"/>
        </w:rPr>
      </w:pPr>
    </w:p>
    <w:p w14:paraId="3389C60A" w14:textId="77777777" w:rsidR="00C55C5A" w:rsidRPr="00C55C5A" w:rsidRDefault="00C55C5A" w:rsidP="00C55C5A">
      <w:pPr>
        <w:numPr>
          <w:ilvl w:val="0"/>
          <w:numId w:val="6"/>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Finančni instrument </w:t>
      </w:r>
      <w:r w:rsidRPr="00C55C5A">
        <w:rPr>
          <w:rFonts w:ascii="Arial" w:eastAsia="Calibri" w:hAnsi="Arial" w:cs="Arial"/>
          <w:b/>
          <w:color w:val="000000"/>
          <w:sz w:val="22"/>
          <w:szCs w:val="22"/>
          <w:lang w:val="sl-SI"/>
        </w:rPr>
        <w:t xml:space="preserve">za RRI </w:t>
      </w:r>
      <w:r w:rsidRPr="00C55C5A">
        <w:rPr>
          <w:rFonts w:ascii="Arial" w:eastAsia="Calibri" w:hAnsi="Arial" w:cs="Arial"/>
          <w:color w:val="000000"/>
          <w:sz w:val="22"/>
          <w:szCs w:val="22"/>
          <w:lang w:val="sl-SI"/>
        </w:rPr>
        <w:t>iz TC 1 vključujejo:</w:t>
      </w:r>
    </w:p>
    <w:p w14:paraId="477F2993"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krediti podjetjem vseh velikosti,</w:t>
      </w:r>
    </w:p>
    <w:p w14:paraId="746AD23A"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portfeljske garancije finančnim posrednikom za financiranje podjetij vseh velikosti.</w:t>
      </w:r>
    </w:p>
    <w:p w14:paraId="410FF581" w14:textId="77777777" w:rsidR="00C55C5A" w:rsidRPr="00C55C5A" w:rsidRDefault="00C55C5A" w:rsidP="00C55C5A">
      <w:pPr>
        <w:autoSpaceDE w:val="0"/>
        <w:autoSpaceDN w:val="0"/>
        <w:adjustRightInd w:val="0"/>
        <w:ind w:left="720"/>
        <w:jc w:val="both"/>
        <w:rPr>
          <w:rFonts w:ascii="Arial" w:eastAsia="Calibri" w:hAnsi="Arial" w:cs="Arial"/>
          <w:color w:val="000000"/>
          <w:sz w:val="22"/>
          <w:szCs w:val="22"/>
          <w:lang w:val="sl-SI"/>
        </w:rPr>
      </w:pPr>
    </w:p>
    <w:p w14:paraId="1C4A2836" w14:textId="77777777" w:rsidR="00C55C5A" w:rsidRPr="00C55C5A" w:rsidRDefault="00C55C5A" w:rsidP="00C55C5A">
      <w:pPr>
        <w:numPr>
          <w:ilvl w:val="0"/>
          <w:numId w:val="6"/>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Finančni instrumenti </w:t>
      </w:r>
      <w:r w:rsidRPr="00C55C5A">
        <w:rPr>
          <w:rFonts w:ascii="Arial" w:eastAsia="Calibri" w:hAnsi="Arial" w:cs="Arial"/>
          <w:b/>
          <w:color w:val="000000"/>
          <w:sz w:val="22"/>
          <w:szCs w:val="22"/>
          <w:lang w:val="sl-SI"/>
        </w:rPr>
        <w:t>za MSP</w:t>
      </w:r>
      <w:r w:rsidRPr="00C55C5A">
        <w:rPr>
          <w:rFonts w:ascii="Arial" w:eastAsia="Calibri" w:hAnsi="Arial" w:cs="Arial"/>
          <w:color w:val="000000"/>
          <w:sz w:val="22"/>
          <w:szCs w:val="22"/>
          <w:lang w:val="sl-SI"/>
        </w:rPr>
        <w:t xml:space="preserve"> iz TC 3 vključujejo:</w:t>
      </w:r>
    </w:p>
    <w:p w14:paraId="63F56AFE"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portfeljske garancije finančnim posrednikom za financiranje MSP,</w:t>
      </w:r>
    </w:p>
    <w:p w14:paraId="59168822"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mikrogarancije MSP,</w:t>
      </w:r>
    </w:p>
    <w:p w14:paraId="507175D7"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mikrokrediti mikro in malim podjetjem in samostojnim podjetnikom (do 25.000 EUR),</w:t>
      </w:r>
    </w:p>
    <w:p w14:paraId="2BC28BC1"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lastniško in/ali kvazi-lastniško financiranje MSP.</w:t>
      </w:r>
    </w:p>
    <w:p w14:paraId="61782C00"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5A3CE160" w14:textId="77777777" w:rsidR="00C55C5A" w:rsidRPr="00C55C5A" w:rsidRDefault="00C55C5A" w:rsidP="00C55C5A">
      <w:pPr>
        <w:numPr>
          <w:ilvl w:val="0"/>
          <w:numId w:val="6"/>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Finančni instrumenti </w:t>
      </w:r>
      <w:r w:rsidRPr="00C55C5A">
        <w:rPr>
          <w:rFonts w:ascii="Arial" w:eastAsia="Calibri" w:hAnsi="Arial" w:cs="Arial"/>
          <w:b/>
          <w:color w:val="000000"/>
          <w:sz w:val="22"/>
          <w:szCs w:val="22"/>
          <w:lang w:val="sl-SI"/>
        </w:rPr>
        <w:t>za energetsko učinkovitost</w:t>
      </w:r>
      <w:r w:rsidRPr="00C55C5A">
        <w:rPr>
          <w:rFonts w:ascii="Arial" w:eastAsia="Calibri" w:hAnsi="Arial" w:cs="Arial"/>
          <w:color w:val="000000"/>
          <w:sz w:val="22"/>
          <w:szCs w:val="22"/>
          <w:lang w:val="sl-SI"/>
        </w:rPr>
        <w:t xml:space="preserve"> iz TC 4 vključujejo:</w:t>
      </w:r>
    </w:p>
    <w:p w14:paraId="6C9F16DC"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Posojila javnim partnerjem za celovito energetsko prenovo javnih stavb,</w:t>
      </w:r>
    </w:p>
    <w:p w14:paraId="2E3CE0D9"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posojila ESCO podjetjem za celovito energetsko prenovo javnih stavb,,</w:t>
      </w:r>
    </w:p>
    <w:p w14:paraId="708AA019"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garancijske sheme,</w:t>
      </w:r>
    </w:p>
    <w:p w14:paraId="112CD2ED"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lastniško financiranje.</w:t>
      </w:r>
    </w:p>
    <w:p w14:paraId="7FA47AAD" w14:textId="77777777" w:rsidR="00C55C5A" w:rsidRPr="00C55C5A" w:rsidRDefault="00C55C5A" w:rsidP="00C55C5A">
      <w:pPr>
        <w:autoSpaceDE w:val="0"/>
        <w:autoSpaceDN w:val="0"/>
        <w:adjustRightInd w:val="0"/>
        <w:ind w:left="360"/>
        <w:jc w:val="both"/>
        <w:rPr>
          <w:rFonts w:ascii="Arial" w:eastAsia="Calibri" w:hAnsi="Arial" w:cs="Arial"/>
          <w:color w:val="000000"/>
          <w:sz w:val="22"/>
          <w:szCs w:val="22"/>
          <w:lang w:val="sl-SI"/>
        </w:rPr>
      </w:pPr>
    </w:p>
    <w:p w14:paraId="640341F8" w14:textId="77777777" w:rsidR="00C55C5A" w:rsidRPr="00C55C5A" w:rsidRDefault="00C55C5A" w:rsidP="00C55C5A">
      <w:pPr>
        <w:autoSpaceDE w:val="0"/>
        <w:autoSpaceDN w:val="0"/>
        <w:adjustRightInd w:val="0"/>
        <w:ind w:left="36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Po Predhodni oceni finančnih instrumentov v Sloveniji, PwC 2015, so za področje energetske učinkovitosti predvideni vsi našteti finančni produkti. Za samo izvajanje energetskih prenov javnih </w:t>
      </w:r>
      <w:r w:rsidRPr="00C55C5A">
        <w:rPr>
          <w:rFonts w:ascii="Arial" w:eastAsia="Calibri" w:hAnsi="Arial" w:cs="Arial"/>
          <w:color w:val="000000"/>
          <w:sz w:val="22"/>
          <w:szCs w:val="22"/>
          <w:lang w:val="sl-SI"/>
        </w:rPr>
        <w:lastRenderedPageBreak/>
        <w:t>stavb po EPC modelu (energy performance contracting) se primarno predvideva uporaba finančnega produkta posojil, uporaba ostalih dveh finančnih produktov pa ob upoštevanju omejitev glede javnofinančne stabilnosti.</w:t>
      </w:r>
    </w:p>
    <w:p w14:paraId="6C06C280" w14:textId="77777777" w:rsidR="00C55C5A" w:rsidRPr="00C55C5A" w:rsidRDefault="00C55C5A" w:rsidP="00C55C5A">
      <w:pPr>
        <w:autoSpaceDE w:val="0"/>
        <w:autoSpaceDN w:val="0"/>
        <w:adjustRightInd w:val="0"/>
        <w:ind w:left="360"/>
        <w:jc w:val="both"/>
        <w:rPr>
          <w:rFonts w:ascii="Arial" w:eastAsia="Calibri" w:hAnsi="Arial" w:cs="Arial"/>
          <w:color w:val="000000"/>
          <w:sz w:val="22"/>
          <w:szCs w:val="22"/>
          <w:lang w:val="sl-SI"/>
        </w:rPr>
      </w:pPr>
    </w:p>
    <w:p w14:paraId="5A60888F" w14:textId="77777777" w:rsidR="00C55C5A" w:rsidRPr="00C55C5A" w:rsidRDefault="00C55C5A" w:rsidP="00C55C5A">
      <w:pPr>
        <w:numPr>
          <w:ilvl w:val="0"/>
          <w:numId w:val="6"/>
        </w:numPr>
        <w:autoSpaceDE w:val="0"/>
        <w:autoSpaceDN w:val="0"/>
        <w:adjustRightInd w:val="0"/>
        <w:jc w:val="both"/>
        <w:rPr>
          <w:rFonts w:ascii="Arial" w:eastAsia="Calibri" w:hAnsi="Arial" w:cs="Arial"/>
          <w:sz w:val="22"/>
          <w:szCs w:val="22"/>
          <w:lang w:val="sl-SI"/>
        </w:rPr>
      </w:pPr>
      <w:r w:rsidRPr="00C55C5A">
        <w:rPr>
          <w:rFonts w:ascii="Arial" w:eastAsia="Calibri" w:hAnsi="Arial" w:cs="Arial"/>
          <w:sz w:val="22"/>
          <w:szCs w:val="22"/>
          <w:lang w:val="sl-SI"/>
        </w:rPr>
        <w:t xml:space="preserve">Finančni instrument </w:t>
      </w:r>
      <w:r w:rsidRPr="00C55C5A">
        <w:rPr>
          <w:rFonts w:ascii="Arial" w:eastAsia="Calibri" w:hAnsi="Arial" w:cs="Arial"/>
          <w:b/>
          <w:sz w:val="22"/>
          <w:szCs w:val="22"/>
          <w:lang w:val="sl-SI"/>
        </w:rPr>
        <w:t>za urbani razvoj</w:t>
      </w:r>
      <w:r w:rsidRPr="00C55C5A">
        <w:rPr>
          <w:rFonts w:ascii="Arial" w:eastAsia="Calibri" w:hAnsi="Arial" w:cs="Arial"/>
          <w:sz w:val="22"/>
          <w:szCs w:val="22"/>
          <w:lang w:val="sl-SI"/>
        </w:rPr>
        <w:t xml:space="preserve"> iz TC 6 vključujejo:</w:t>
      </w:r>
    </w:p>
    <w:p w14:paraId="4463AAB1" w14:textId="77777777" w:rsidR="00C55C5A" w:rsidRPr="00C55C5A" w:rsidRDefault="00C55C5A" w:rsidP="00C55C5A">
      <w:pPr>
        <w:autoSpaceDE w:val="0"/>
        <w:autoSpaceDN w:val="0"/>
        <w:adjustRightInd w:val="0"/>
        <w:ind w:left="360"/>
        <w:jc w:val="both"/>
        <w:rPr>
          <w:rFonts w:ascii="Arial" w:hAnsi="Arial" w:cs="Arial"/>
          <w:sz w:val="22"/>
          <w:szCs w:val="22"/>
          <w:lang w:val="sl-SI"/>
        </w:rPr>
      </w:pPr>
      <w:r w:rsidRPr="00C55C5A">
        <w:rPr>
          <w:rFonts w:ascii="Arial" w:hAnsi="Arial" w:cs="Arial"/>
          <w:sz w:val="22"/>
          <w:szCs w:val="22"/>
          <w:lang w:val="sl-SI"/>
        </w:rPr>
        <w:t>Posojila za projekte na področju urbanega razvoja.</w:t>
      </w:r>
      <w:r w:rsidRPr="00C55C5A">
        <w:rPr>
          <w:rFonts w:ascii="Arial" w:hAnsi="Arial" w:cs="Arial"/>
          <w:sz w:val="22"/>
          <w:szCs w:val="22"/>
          <w:vertAlign w:val="superscript"/>
          <w:lang w:val="sl-SI"/>
        </w:rPr>
        <w:footnoteReference w:id="9"/>
      </w:r>
    </w:p>
    <w:p w14:paraId="3E9832D9" w14:textId="77777777" w:rsidR="00C55C5A" w:rsidRPr="00C55C5A" w:rsidRDefault="00C55C5A" w:rsidP="00C55C5A">
      <w:pPr>
        <w:jc w:val="both"/>
        <w:rPr>
          <w:rFonts w:ascii="Arial" w:hAnsi="Arial" w:cs="Arial"/>
          <w:sz w:val="22"/>
          <w:szCs w:val="22"/>
          <w:lang w:val="sl-SI"/>
        </w:rPr>
      </w:pPr>
    </w:p>
    <w:p w14:paraId="6FE393E8" w14:textId="77777777" w:rsidR="00C55C5A" w:rsidRPr="00C55C5A" w:rsidRDefault="00C55C5A" w:rsidP="00C55C5A">
      <w:pPr>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 xml:space="preserve">Ponudba FI mora biti za končne prejemnike ugodnejša od tržne za ciljno skupino končnih prejemnikov. </w:t>
      </w:r>
    </w:p>
    <w:p w14:paraId="08AE2CC3" w14:textId="77777777" w:rsidR="00C55C5A" w:rsidRPr="00C55C5A" w:rsidRDefault="00C55C5A" w:rsidP="00C55C5A">
      <w:pPr>
        <w:jc w:val="both"/>
        <w:rPr>
          <w:rFonts w:ascii="Arial" w:eastAsia="Calibri" w:hAnsi="Arial" w:cs="Arial"/>
          <w:iCs/>
          <w:color w:val="000000"/>
          <w:sz w:val="22"/>
          <w:szCs w:val="22"/>
          <w:lang w:val="sl-SI"/>
        </w:rPr>
      </w:pPr>
    </w:p>
    <w:p w14:paraId="1CF7E386" w14:textId="77777777" w:rsidR="00C55C5A" w:rsidRPr="00C55C5A" w:rsidRDefault="00C55C5A" w:rsidP="00C55C5A">
      <w:pPr>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Dejanska izvedba, vsebina in pogoji posameznega finančnega produkta so odvisni od razmer na trgu ter učinkovitosti posameznega finančnega produkta in se bo skladno z določbami iz sporazuma o financiranju sproti prilagajala.</w:t>
      </w:r>
    </w:p>
    <w:p w14:paraId="6CE0455F" w14:textId="77777777" w:rsidR="00C55C5A" w:rsidRPr="00C55C5A" w:rsidRDefault="00C55C5A" w:rsidP="00C55C5A">
      <w:pPr>
        <w:jc w:val="both"/>
        <w:rPr>
          <w:rFonts w:ascii="Arial" w:eastAsia="Calibri" w:hAnsi="Arial" w:cs="Arial"/>
          <w:iCs/>
          <w:color w:val="000000"/>
          <w:sz w:val="22"/>
          <w:szCs w:val="22"/>
          <w:lang w:val="sl-SI"/>
        </w:rPr>
      </w:pPr>
    </w:p>
    <w:p w14:paraId="72D24877" w14:textId="77777777" w:rsidR="00C55C5A" w:rsidRPr="00C55C5A" w:rsidRDefault="00C55C5A" w:rsidP="00C55C5A">
      <w:pPr>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Tabela 9: Finančni produkti in ciljne skupine povzeti po Predhodni oceni FI in Analizi EIB in s strani ministrstev predlagani finančni produkti z višino sredstev in ciljnimi skupinami</w:t>
      </w:r>
      <w:r w:rsidRPr="00C55C5A">
        <w:rPr>
          <w:rFonts w:ascii="Arial" w:eastAsia="Calibri" w:hAnsi="Arial" w:cs="Arial"/>
          <w:iCs/>
          <w:color w:val="000000"/>
          <w:sz w:val="22"/>
          <w:szCs w:val="22"/>
          <w:vertAlign w:val="superscript"/>
          <w:lang w:val="sl-SI"/>
        </w:rPr>
        <w:footnoteReference w:id="10"/>
      </w:r>
      <w:r w:rsidRPr="00C55C5A">
        <w:rPr>
          <w:rFonts w:ascii="Arial" w:eastAsia="Calibri" w:hAnsi="Arial" w:cs="Arial"/>
          <w:iCs/>
          <w:color w:val="000000"/>
          <w:sz w:val="22"/>
          <w:szCs w:val="22"/>
          <w:lang w:val="sl-SI"/>
        </w:rPr>
        <w:t>:</w:t>
      </w:r>
    </w:p>
    <w:tbl>
      <w:tblPr>
        <w:tblStyle w:val="Tabelamrea"/>
        <w:tblW w:w="10527" w:type="dxa"/>
        <w:tblLook w:val="04A0" w:firstRow="1" w:lastRow="0" w:firstColumn="1" w:lastColumn="0" w:noHBand="0" w:noVBand="1"/>
      </w:tblPr>
      <w:tblGrid>
        <w:gridCol w:w="1157"/>
        <w:gridCol w:w="1187"/>
        <w:gridCol w:w="1167"/>
        <w:gridCol w:w="1577"/>
        <w:gridCol w:w="1217"/>
        <w:gridCol w:w="1217"/>
        <w:gridCol w:w="1837"/>
        <w:gridCol w:w="1387"/>
      </w:tblGrid>
      <w:tr w:rsidR="00C55C5A" w:rsidRPr="00C55C5A" w14:paraId="2916AC75" w14:textId="77777777" w:rsidTr="00E6701A">
        <w:trPr>
          <w:trHeight w:val="770"/>
        </w:trPr>
        <w:tc>
          <w:tcPr>
            <w:tcW w:w="1133" w:type="dxa"/>
          </w:tcPr>
          <w:p w14:paraId="0833004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Področje</w:t>
            </w:r>
          </w:p>
        </w:tc>
        <w:tc>
          <w:tcPr>
            <w:tcW w:w="1163" w:type="dxa"/>
          </w:tcPr>
          <w:p w14:paraId="279E982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Finančni produkt glede na vrzel financiranja</w:t>
            </w:r>
          </w:p>
        </w:tc>
        <w:tc>
          <w:tcPr>
            <w:tcW w:w="1143" w:type="dxa"/>
          </w:tcPr>
          <w:p w14:paraId="0A4013B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Ugotovljena vrzel financiranja</w:t>
            </w:r>
          </w:p>
          <w:p w14:paraId="5742385D"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 MIO EUR)</w:t>
            </w:r>
          </w:p>
        </w:tc>
        <w:tc>
          <w:tcPr>
            <w:tcW w:w="1545" w:type="dxa"/>
            <w:shd w:val="clear" w:color="auto" w:fill="BDD6EE" w:themeFill="accent1" w:themeFillTint="66"/>
          </w:tcPr>
          <w:p w14:paraId="2279278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Predlagani finančni produkt</w:t>
            </w:r>
          </w:p>
        </w:tc>
        <w:tc>
          <w:tcPr>
            <w:tcW w:w="1192" w:type="dxa"/>
            <w:shd w:val="clear" w:color="auto" w:fill="auto"/>
          </w:tcPr>
          <w:p w14:paraId="1CEEDE95"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Predvidena višina sredstev glede na Predhodno oceno FI</w:t>
            </w:r>
          </w:p>
        </w:tc>
        <w:tc>
          <w:tcPr>
            <w:tcW w:w="1192" w:type="dxa"/>
            <w:shd w:val="clear" w:color="auto" w:fill="BDD6EE" w:themeFill="accent1" w:themeFillTint="66"/>
          </w:tcPr>
          <w:p w14:paraId="12DDC0DD"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Predlagana</w:t>
            </w:r>
          </w:p>
          <w:p w14:paraId="603CA3B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višina sredstev*</w:t>
            </w:r>
          </w:p>
        </w:tc>
        <w:tc>
          <w:tcPr>
            <w:tcW w:w="1800" w:type="dxa"/>
            <w:shd w:val="clear" w:color="auto" w:fill="auto"/>
          </w:tcPr>
          <w:p w14:paraId="1162987A"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Ciljna skupina glede na Predhodno oceno FI</w:t>
            </w:r>
          </w:p>
        </w:tc>
        <w:tc>
          <w:tcPr>
            <w:tcW w:w="1359" w:type="dxa"/>
            <w:shd w:val="clear" w:color="auto" w:fill="BDD6EE" w:themeFill="accent1" w:themeFillTint="66"/>
          </w:tcPr>
          <w:p w14:paraId="0E803BB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Predlagana</w:t>
            </w:r>
          </w:p>
          <w:p w14:paraId="68809D12"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ciljna skupina</w:t>
            </w:r>
          </w:p>
        </w:tc>
      </w:tr>
      <w:tr w:rsidR="00C55C5A" w:rsidRPr="00C55C5A" w14:paraId="0058EA59" w14:textId="77777777" w:rsidTr="00E6701A">
        <w:trPr>
          <w:trHeight w:val="1405"/>
        </w:trPr>
        <w:tc>
          <w:tcPr>
            <w:tcW w:w="1133" w:type="dxa"/>
            <w:vMerge w:val="restart"/>
          </w:tcPr>
          <w:p w14:paraId="65E2D41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RRI</w:t>
            </w:r>
          </w:p>
        </w:tc>
        <w:tc>
          <w:tcPr>
            <w:tcW w:w="1163" w:type="dxa"/>
          </w:tcPr>
          <w:p w14:paraId="49EED95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Posojila</w:t>
            </w:r>
          </w:p>
        </w:tc>
        <w:tc>
          <w:tcPr>
            <w:tcW w:w="1143" w:type="dxa"/>
          </w:tcPr>
          <w:p w14:paraId="6B156CF2"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0 – 247 </w:t>
            </w:r>
          </w:p>
          <w:p w14:paraId="3001678B"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545" w:type="dxa"/>
            <w:shd w:val="clear" w:color="auto" w:fill="BDD6EE" w:themeFill="accent1" w:themeFillTint="66"/>
          </w:tcPr>
          <w:p w14:paraId="40EDFB10"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Posojila</w:t>
            </w:r>
          </w:p>
        </w:tc>
        <w:tc>
          <w:tcPr>
            <w:tcW w:w="1192" w:type="dxa"/>
            <w:shd w:val="clear" w:color="auto" w:fill="auto"/>
          </w:tcPr>
          <w:p w14:paraId="04C57E2A"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20 mio EUR (start up, MSP)</w:t>
            </w:r>
          </w:p>
          <w:p w14:paraId="2785D392"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5412585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10 mio EUR (VP)</w:t>
            </w:r>
          </w:p>
        </w:tc>
        <w:tc>
          <w:tcPr>
            <w:tcW w:w="1192" w:type="dxa"/>
            <w:shd w:val="clear" w:color="auto" w:fill="BDD6EE" w:themeFill="accent1" w:themeFillTint="66"/>
          </w:tcPr>
          <w:p w14:paraId="5ED4B6D5"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38 mio EUR</w:t>
            </w:r>
          </w:p>
          <w:p w14:paraId="2176FB6C"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(MSP)</w:t>
            </w:r>
          </w:p>
          <w:p w14:paraId="6C98233E"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p>
          <w:p w14:paraId="238CE687"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20 mio EUR</w:t>
            </w:r>
          </w:p>
          <w:p w14:paraId="6F749D2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(VP)</w:t>
            </w:r>
          </w:p>
        </w:tc>
        <w:tc>
          <w:tcPr>
            <w:tcW w:w="1800" w:type="dxa"/>
            <w:shd w:val="clear" w:color="auto" w:fill="auto"/>
          </w:tcPr>
          <w:p w14:paraId="67BF139A"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Vsa podjetja</w:t>
            </w:r>
          </w:p>
        </w:tc>
        <w:tc>
          <w:tcPr>
            <w:tcW w:w="1359" w:type="dxa"/>
            <w:shd w:val="clear" w:color="auto" w:fill="BDD6EE" w:themeFill="accent1" w:themeFillTint="66"/>
          </w:tcPr>
          <w:p w14:paraId="285FDAC8"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Vsa podjetja</w:t>
            </w:r>
          </w:p>
        </w:tc>
      </w:tr>
      <w:tr w:rsidR="00C55C5A" w:rsidRPr="00C55C5A" w14:paraId="6D5F4DBC" w14:textId="77777777" w:rsidTr="00E6701A">
        <w:trPr>
          <w:trHeight w:val="820"/>
        </w:trPr>
        <w:tc>
          <w:tcPr>
            <w:tcW w:w="1133" w:type="dxa"/>
            <w:vMerge/>
          </w:tcPr>
          <w:p w14:paraId="6E231AF1"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63" w:type="dxa"/>
          </w:tcPr>
          <w:p w14:paraId="53CD7BB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Portfeljske garancije</w:t>
            </w:r>
          </w:p>
        </w:tc>
        <w:tc>
          <w:tcPr>
            <w:tcW w:w="1143" w:type="dxa"/>
          </w:tcPr>
          <w:p w14:paraId="0D1141B4" w14:textId="77777777" w:rsidR="00C55C5A" w:rsidRPr="00C55C5A" w:rsidRDefault="00C55C5A" w:rsidP="00C55C5A">
            <w:pPr>
              <w:autoSpaceDE w:val="0"/>
              <w:autoSpaceDN w:val="0"/>
              <w:adjustRightInd w:val="0"/>
              <w:rPr>
                <w:rFonts w:ascii="Arial" w:eastAsia="Calibri" w:hAnsi="Arial" w:cs="Arial"/>
                <w:bCs/>
                <w:color w:val="000000"/>
                <w:sz w:val="18"/>
                <w:szCs w:val="18"/>
                <w:lang w:val="sl-SI"/>
              </w:rPr>
            </w:pPr>
          </w:p>
        </w:tc>
        <w:tc>
          <w:tcPr>
            <w:tcW w:w="1545" w:type="dxa"/>
            <w:shd w:val="clear" w:color="auto" w:fill="BDD6EE" w:themeFill="accent1" w:themeFillTint="66"/>
          </w:tcPr>
          <w:p w14:paraId="6A125EC5"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Portfeljske garancije</w:t>
            </w:r>
          </w:p>
        </w:tc>
        <w:tc>
          <w:tcPr>
            <w:tcW w:w="1192" w:type="dxa"/>
            <w:shd w:val="clear" w:color="auto" w:fill="auto"/>
          </w:tcPr>
          <w:p w14:paraId="5DCA973D"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58 mio EUR (MSP)</w:t>
            </w:r>
          </w:p>
          <w:p w14:paraId="4018D9AD"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1463858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30 mio EUR (VP)</w:t>
            </w:r>
          </w:p>
        </w:tc>
        <w:tc>
          <w:tcPr>
            <w:tcW w:w="1192" w:type="dxa"/>
            <w:shd w:val="clear" w:color="auto" w:fill="BDD6EE" w:themeFill="accent1" w:themeFillTint="66"/>
          </w:tcPr>
          <w:p w14:paraId="4905A6E4"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20 mio EUR</w:t>
            </w:r>
          </w:p>
          <w:p w14:paraId="78E04A6C"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(MSP)</w:t>
            </w:r>
          </w:p>
          <w:p w14:paraId="4F940A05"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p>
          <w:p w14:paraId="7D51342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10 mio EUR</w:t>
            </w:r>
          </w:p>
          <w:p w14:paraId="2F4AFAA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(VP)</w:t>
            </w:r>
          </w:p>
        </w:tc>
        <w:tc>
          <w:tcPr>
            <w:tcW w:w="1800" w:type="dxa"/>
            <w:shd w:val="clear" w:color="auto" w:fill="auto"/>
          </w:tcPr>
          <w:p w14:paraId="6A7E0EDD"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Vsa podjetja</w:t>
            </w:r>
          </w:p>
        </w:tc>
        <w:tc>
          <w:tcPr>
            <w:tcW w:w="1359" w:type="dxa"/>
            <w:shd w:val="clear" w:color="auto" w:fill="BDD6EE" w:themeFill="accent1" w:themeFillTint="66"/>
          </w:tcPr>
          <w:p w14:paraId="010D115A" w14:textId="77777777" w:rsidR="00C55C5A" w:rsidRPr="00C55C5A" w:rsidRDefault="00C55C5A" w:rsidP="00C55C5A">
            <w:pPr>
              <w:autoSpaceDE w:val="0"/>
              <w:autoSpaceDN w:val="0"/>
              <w:adjustRightInd w:val="0"/>
              <w:spacing w:after="12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Vsa podjetja</w:t>
            </w:r>
          </w:p>
        </w:tc>
      </w:tr>
      <w:tr w:rsidR="00C55C5A" w:rsidRPr="00C55C5A" w14:paraId="2A892F8A" w14:textId="77777777" w:rsidTr="00E6701A">
        <w:trPr>
          <w:trHeight w:val="383"/>
        </w:trPr>
        <w:tc>
          <w:tcPr>
            <w:tcW w:w="1133" w:type="dxa"/>
            <w:vMerge/>
          </w:tcPr>
          <w:p w14:paraId="7C360D4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63" w:type="dxa"/>
            <w:shd w:val="clear" w:color="auto" w:fill="auto"/>
          </w:tcPr>
          <w:p w14:paraId="40A9067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Lastniško financiranje</w:t>
            </w:r>
          </w:p>
        </w:tc>
        <w:tc>
          <w:tcPr>
            <w:tcW w:w="1143" w:type="dxa"/>
            <w:shd w:val="clear" w:color="auto" w:fill="auto"/>
          </w:tcPr>
          <w:p w14:paraId="2F6A8FDA" w14:textId="77777777" w:rsidR="00C55C5A" w:rsidRPr="00C55C5A" w:rsidRDefault="00C55C5A" w:rsidP="00C55C5A">
            <w:pPr>
              <w:autoSpaceDE w:val="0"/>
              <w:autoSpaceDN w:val="0"/>
              <w:adjustRightInd w:val="0"/>
              <w:rPr>
                <w:rFonts w:ascii="Arial" w:eastAsia="Calibri" w:hAnsi="Arial" w:cs="Arial"/>
                <w:bCs/>
                <w:color w:val="000000"/>
                <w:sz w:val="18"/>
                <w:szCs w:val="18"/>
                <w:lang w:val="sl-SI"/>
              </w:rPr>
            </w:pPr>
          </w:p>
        </w:tc>
        <w:tc>
          <w:tcPr>
            <w:tcW w:w="1545" w:type="dxa"/>
            <w:shd w:val="clear" w:color="auto" w:fill="BDD6EE" w:themeFill="accent1" w:themeFillTint="66"/>
          </w:tcPr>
          <w:p w14:paraId="261D58A4"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Lastniško financiranje, kvazi-lastniško financiranje</w:t>
            </w:r>
          </w:p>
        </w:tc>
        <w:tc>
          <w:tcPr>
            <w:tcW w:w="1192" w:type="dxa"/>
            <w:shd w:val="clear" w:color="auto" w:fill="auto"/>
          </w:tcPr>
          <w:p w14:paraId="4EDE5921"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10 mio EUR VP</w:t>
            </w:r>
          </w:p>
        </w:tc>
        <w:tc>
          <w:tcPr>
            <w:tcW w:w="1192" w:type="dxa"/>
            <w:shd w:val="clear" w:color="auto" w:fill="BDD6EE" w:themeFill="accent1" w:themeFillTint="66"/>
          </w:tcPr>
          <w:p w14:paraId="430E20C1"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w:t>
            </w:r>
          </w:p>
        </w:tc>
        <w:tc>
          <w:tcPr>
            <w:tcW w:w="1800" w:type="dxa"/>
            <w:shd w:val="clear" w:color="auto" w:fill="auto"/>
          </w:tcPr>
          <w:p w14:paraId="100B56D2"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Velika podjetja</w:t>
            </w:r>
          </w:p>
        </w:tc>
        <w:tc>
          <w:tcPr>
            <w:tcW w:w="1359" w:type="dxa"/>
            <w:shd w:val="clear" w:color="auto" w:fill="BDD6EE" w:themeFill="accent1" w:themeFillTint="66"/>
          </w:tcPr>
          <w:p w14:paraId="1E0E6D70"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w:t>
            </w:r>
          </w:p>
        </w:tc>
      </w:tr>
      <w:tr w:rsidR="00C55C5A" w:rsidRPr="00C55C5A" w14:paraId="2B6CF072" w14:textId="77777777" w:rsidTr="00E6701A">
        <w:trPr>
          <w:trHeight w:val="383"/>
        </w:trPr>
        <w:tc>
          <w:tcPr>
            <w:tcW w:w="1133" w:type="dxa"/>
            <w:vMerge w:val="restart"/>
          </w:tcPr>
          <w:p w14:paraId="6BF19068"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lastRenderedPageBreak/>
              <w:t>MSP</w:t>
            </w:r>
          </w:p>
        </w:tc>
        <w:tc>
          <w:tcPr>
            <w:tcW w:w="1163" w:type="dxa"/>
          </w:tcPr>
          <w:p w14:paraId="2D3DC65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Mikrokrediti</w:t>
            </w:r>
          </w:p>
        </w:tc>
        <w:tc>
          <w:tcPr>
            <w:tcW w:w="1143" w:type="dxa"/>
          </w:tcPr>
          <w:p w14:paraId="35EFBCDF"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1.138 – 1.260 </w:t>
            </w:r>
          </w:p>
          <w:p w14:paraId="492D7DB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545" w:type="dxa"/>
            <w:shd w:val="clear" w:color="auto" w:fill="BDD6EE" w:themeFill="accent1" w:themeFillTint="66"/>
          </w:tcPr>
          <w:p w14:paraId="713DCDD8"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Mikrokrediti za mikro  in mala podjetja</w:t>
            </w:r>
          </w:p>
        </w:tc>
        <w:tc>
          <w:tcPr>
            <w:tcW w:w="1192" w:type="dxa"/>
            <w:shd w:val="clear" w:color="auto" w:fill="auto"/>
          </w:tcPr>
          <w:p w14:paraId="6B0EBFEB"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79 mio EUR</w:t>
            </w:r>
          </w:p>
        </w:tc>
        <w:tc>
          <w:tcPr>
            <w:tcW w:w="1192" w:type="dxa"/>
            <w:shd w:val="clear" w:color="auto" w:fill="BDD6EE" w:themeFill="accent1" w:themeFillTint="66"/>
          </w:tcPr>
          <w:p w14:paraId="2FE57C4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60 mio EUR</w:t>
            </w:r>
          </w:p>
        </w:tc>
        <w:tc>
          <w:tcPr>
            <w:tcW w:w="1800" w:type="dxa"/>
            <w:shd w:val="clear" w:color="auto" w:fill="auto"/>
          </w:tcPr>
          <w:p w14:paraId="11DE7F66"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MSP</w:t>
            </w:r>
          </w:p>
        </w:tc>
        <w:tc>
          <w:tcPr>
            <w:tcW w:w="1359" w:type="dxa"/>
            <w:shd w:val="clear" w:color="auto" w:fill="BDD6EE" w:themeFill="accent1" w:themeFillTint="66"/>
          </w:tcPr>
          <w:p w14:paraId="1FCA3556"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mikro  in mala podjetja  in samostojni podjetniki</w:t>
            </w:r>
          </w:p>
        </w:tc>
      </w:tr>
      <w:tr w:rsidR="00C55C5A" w:rsidRPr="00C55C5A" w14:paraId="3B597F8D" w14:textId="77777777" w:rsidTr="00E6701A">
        <w:trPr>
          <w:trHeight w:val="396"/>
        </w:trPr>
        <w:tc>
          <w:tcPr>
            <w:tcW w:w="1133" w:type="dxa"/>
            <w:vMerge/>
          </w:tcPr>
          <w:p w14:paraId="0D5114D7"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63" w:type="dxa"/>
          </w:tcPr>
          <w:p w14:paraId="7A994442"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Kratkoročna posojila</w:t>
            </w:r>
          </w:p>
        </w:tc>
        <w:tc>
          <w:tcPr>
            <w:tcW w:w="1143" w:type="dxa"/>
          </w:tcPr>
          <w:p w14:paraId="64DC951B"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730 – 807 </w:t>
            </w:r>
          </w:p>
          <w:p w14:paraId="7D5113D5"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545" w:type="dxa"/>
            <w:vMerge w:val="restart"/>
            <w:shd w:val="clear" w:color="auto" w:fill="BDD6EE" w:themeFill="accent1" w:themeFillTint="66"/>
          </w:tcPr>
          <w:p w14:paraId="2A72C938"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Portfeljske garancije, vključno z mikrogarancijami</w:t>
            </w:r>
          </w:p>
        </w:tc>
        <w:tc>
          <w:tcPr>
            <w:tcW w:w="1192" w:type="dxa"/>
            <w:vMerge w:val="restart"/>
            <w:shd w:val="clear" w:color="auto" w:fill="auto"/>
          </w:tcPr>
          <w:p w14:paraId="109E201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96 mio EUR (MSP)</w:t>
            </w:r>
          </w:p>
          <w:p w14:paraId="1D42F046"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2C086AF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60 mio EUR (snovna in energetska učinkovitost)</w:t>
            </w:r>
          </w:p>
        </w:tc>
        <w:tc>
          <w:tcPr>
            <w:tcW w:w="1192" w:type="dxa"/>
            <w:shd w:val="clear" w:color="auto" w:fill="BDD6EE" w:themeFill="accent1" w:themeFillTint="66"/>
          </w:tcPr>
          <w:p w14:paraId="59FBA49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40 mio EUR</w:t>
            </w:r>
          </w:p>
        </w:tc>
        <w:tc>
          <w:tcPr>
            <w:tcW w:w="1800" w:type="dxa"/>
            <w:shd w:val="clear" w:color="auto" w:fill="auto"/>
          </w:tcPr>
          <w:p w14:paraId="25E75861"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MSP</w:t>
            </w:r>
          </w:p>
        </w:tc>
        <w:tc>
          <w:tcPr>
            <w:tcW w:w="1359" w:type="dxa"/>
            <w:shd w:val="clear" w:color="auto" w:fill="BDD6EE" w:themeFill="accent1" w:themeFillTint="66"/>
          </w:tcPr>
          <w:p w14:paraId="37365B4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MSP</w:t>
            </w:r>
          </w:p>
        </w:tc>
      </w:tr>
      <w:tr w:rsidR="00C55C5A" w:rsidRPr="00C55C5A" w14:paraId="0E729D2E" w14:textId="77777777" w:rsidTr="00E6701A">
        <w:trPr>
          <w:trHeight w:val="750"/>
        </w:trPr>
        <w:tc>
          <w:tcPr>
            <w:tcW w:w="1133" w:type="dxa"/>
            <w:vMerge/>
          </w:tcPr>
          <w:p w14:paraId="737F113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63" w:type="dxa"/>
          </w:tcPr>
          <w:p w14:paraId="6CC5939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Srednje in dolgoročna posojila</w:t>
            </w:r>
          </w:p>
        </w:tc>
        <w:tc>
          <w:tcPr>
            <w:tcW w:w="1143" w:type="dxa"/>
          </w:tcPr>
          <w:p w14:paraId="72BC3C35"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1.196 – 1.322 </w:t>
            </w:r>
          </w:p>
          <w:p w14:paraId="3A5E9F30"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545" w:type="dxa"/>
            <w:vMerge/>
            <w:shd w:val="clear" w:color="auto" w:fill="BDD6EE" w:themeFill="accent1" w:themeFillTint="66"/>
          </w:tcPr>
          <w:p w14:paraId="5B0DB77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92" w:type="dxa"/>
            <w:vMerge/>
            <w:shd w:val="clear" w:color="auto" w:fill="auto"/>
          </w:tcPr>
          <w:p w14:paraId="384572C8"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92" w:type="dxa"/>
            <w:shd w:val="clear" w:color="auto" w:fill="BDD6EE" w:themeFill="accent1" w:themeFillTint="66"/>
          </w:tcPr>
          <w:p w14:paraId="5B512EDB"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25 mio EUR (snovna in energetska učinkovitost)</w:t>
            </w:r>
          </w:p>
        </w:tc>
        <w:tc>
          <w:tcPr>
            <w:tcW w:w="1800" w:type="dxa"/>
            <w:shd w:val="clear" w:color="auto" w:fill="auto"/>
          </w:tcPr>
          <w:p w14:paraId="547F7D58"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MSP</w:t>
            </w:r>
          </w:p>
        </w:tc>
        <w:tc>
          <w:tcPr>
            <w:tcW w:w="1359" w:type="dxa"/>
            <w:shd w:val="clear" w:color="auto" w:fill="BDD6EE" w:themeFill="accent1" w:themeFillTint="66"/>
          </w:tcPr>
          <w:p w14:paraId="39F8877D"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MSP</w:t>
            </w:r>
          </w:p>
        </w:tc>
      </w:tr>
      <w:tr w:rsidR="00C55C5A" w:rsidRPr="00C55C5A" w14:paraId="56C59D32" w14:textId="77777777" w:rsidTr="00E6701A">
        <w:trPr>
          <w:trHeight w:val="584"/>
        </w:trPr>
        <w:tc>
          <w:tcPr>
            <w:tcW w:w="1133" w:type="dxa"/>
            <w:vMerge/>
          </w:tcPr>
          <w:p w14:paraId="5E04AE3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63" w:type="dxa"/>
          </w:tcPr>
          <w:p w14:paraId="749CA99B"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Lastniško financiranje</w:t>
            </w:r>
          </w:p>
        </w:tc>
        <w:tc>
          <w:tcPr>
            <w:tcW w:w="1143" w:type="dxa"/>
          </w:tcPr>
          <w:p w14:paraId="3923848A"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14 – 92 </w:t>
            </w:r>
          </w:p>
          <w:p w14:paraId="22A064E5"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545" w:type="dxa"/>
            <w:shd w:val="clear" w:color="auto" w:fill="BDD6EE" w:themeFill="accent1" w:themeFillTint="66"/>
          </w:tcPr>
          <w:p w14:paraId="7E4B78F5"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Lastniško financiranje, kvazi-lastniško financiranje</w:t>
            </w:r>
          </w:p>
        </w:tc>
        <w:tc>
          <w:tcPr>
            <w:tcW w:w="1192" w:type="dxa"/>
            <w:shd w:val="clear" w:color="auto" w:fill="auto"/>
          </w:tcPr>
          <w:p w14:paraId="306C520E" w14:textId="77777777" w:rsidR="00C55C5A" w:rsidRPr="00C55C5A" w:rsidRDefault="00C55C5A" w:rsidP="00C55C5A">
            <w:pPr>
              <w:autoSpaceDE w:val="0"/>
              <w:autoSpaceDN w:val="0"/>
              <w:adjustRightInd w:val="0"/>
              <w:jc w:val="both"/>
              <w:rPr>
                <w:rFonts w:ascii="Arial" w:eastAsia="Calibri" w:hAnsi="Arial" w:cs="Arial"/>
                <w:sz w:val="18"/>
                <w:szCs w:val="18"/>
                <w:lang w:val="sl-SI"/>
              </w:rPr>
            </w:pPr>
          </w:p>
          <w:p w14:paraId="4694B116" w14:textId="77777777" w:rsidR="00C55C5A" w:rsidRPr="00C55C5A" w:rsidRDefault="00C55C5A" w:rsidP="00C55C5A">
            <w:pPr>
              <w:autoSpaceDE w:val="0"/>
              <w:autoSpaceDN w:val="0"/>
              <w:adjustRightInd w:val="0"/>
              <w:jc w:val="both"/>
              <w:rPr>
                <w:rFonts w:ascii="Arial" w:eastAsia="Calibri" w:hAnsi="Arial" w:cs="Arial"/>
                <w:sz w:val="18"/>
                <w:szCs w:val="18"/>
                <w:lang w:val="sl-SI"/>
              </w:rPr>
            </w:pPr>
          </w:p>
          <w:p w14:paraId="515A7634" w14:textId="77777777" w:rsidR="00C55C5A" w:rsidRPr="00C55C5A" w:rsidRDefault="00C55C5A" w:rsidP="00C55C5A">
            <w:pPr>
              <w:autoSpaceDE w:val="0"/>
              <w:autoSpaceDN w:val="0"/>
              <w:adjustRightInd w:val="0"/>
              <w:jc w:val="both"/>
              <w:rPr>
                <w:rFonts w:ascii="Arial" w:eastAsia="Calibri" w:hAnsi="Arial" w:cs="Arial"/>
                <w:sz w:val="18"/>
                <w:szCs w:val="18"/>
                <w:lang w:val="sl-SI"/>
              </w:rPr>
            </w:pPr>
            <w:r w:rsidRPr="00C55C5A">
              <w:rPr>
                <w:rFonts w:ascii="Arial" w:eastAsia="Calibri" w:hAnsi="Arial" w:cs="Arial"/>
                <w:sz w:val="18"/>
                <w:szCs w:val="18"/>
                <w:lang w:val="sl-SI"/>
              </w:rPr>
              <w:t>20 mio EUR (MSP)</w:t>
            </w:r>
          </w:p>
        </w:tc>
        <w:tc>
          <w:tcPr>
            <w:tcW w:w="1192" w:type="dxa"/>
            <w:shd w:val="clear" w:color="auto" w:fill="BDD6EE" w:themeFill="accent1" w:themeFillTint="66"/>
          </w:tcPr>
          <w:p w14:paraId="1675813C" w14:textId="77777777" w:rsidR="00C55C5A" w:rsidRPr="00C55C5A" w:rsidRDefault="00C55C5A" w:rsidP="00C55C5A">
            <w:pPr>
              <w:autoSpaceDE w:val="0"/>
              <w:autoSpaceDN w:val="0"/>
              <w:adjustRightInd w:val="0"/>
              <w:jc w:val="both"/>
              <w:rPr>
                <w:rFonts w:ascii="Arial" w:eastAsia="Calibri" w:hAnsi="Arial" w:cs="Arial"/>
                <w:sz w:val="18"/>
                <w:szCs w:val="18"/>
                <w:lang w:val="sl-SI"/>
              </w:rPr>
            </w:pPr>
            <w:r w:rsidRPr="00C55C5A">
              <w:rPr>
                <w:rFonts w:ascii="Arial" w:eastAsia="Calibri" w:hAnsi="Arial" w:cs="Arial"/>
                <w:sz w:val="18"/>
                <w:szCs w:val="18"/>
                <w:lang w:val="sl-SI"/>
              </w:rPr>
              <w:t>10 mio EUR</w:t>
            </w:r>
          </w:p>
        </w:tc>
        <w:tc>
          <w:tcPr>
            <w:tcW w:w="1800" w:type="dxa"/>
            <w:shd w:val="clear" w:color="auto" w:fill="auto"/>
          </w:tcPr>
          <w:p w14:paraId="34EB9431" w14:textId="77777777" w:rsidR="00C55C5A" w:rsidRPr="00C55C5A" w:rsidRDefault="00C55C5A" w:rsidP="00C55C5A">
            <w:pPr>
              <w:autoSpaceDE w:val="0"/>
              <w:autoSpaceDN w:val="0"/>
              <w:adjustRightInd w:val="0"/>
              <w:jc w:val="both"/>
              <w:rPr>
                <w:rFonts w:ascii="Arial" w:eastAsia="Calibri" w:hAnsi="Arial" w:cs="Arial"/>
                <w:sz w:val="18"/>
                <w:szCs w:val="18"/>
                <w:lang w:val="sl-SI"/>
              </w:rPr>
            </w:pPr>
            <w:r w:rsidRPr="00C55C5A">
              <w:rPr>
                <w:rFonts w:ascii="Arial" w:eastAsia="Calibri" w:hAnsi="Arial" w:cs="Arial"/>
                <w:sz w:val="18"/>
                <w:szCs w:val="18"/>
                <w:lang w:val="sl-SI"/>
              </w:rPr>
              <w:t>MSP</w:t>
            </w:r>
          </w:p>
        </w:tc>
        <w:tc>
          <w:tcPr>
            <w:tcW w:w="1359" w:type="dxa"/>
            <w:shd w:val="clear" w:color="auto" w:fill="BDD6EE" w:themeFill="accent1" w:themeFillTint="66"/>
          </w:tcPr>
          <w:p w14:paraId="4CA0FAE2" w14:textId="77777777" w:rsidR="00C55C5A" w:rsidRPr="00C55C5A" w:rsidRDefault="00C55C5A" w:rsidP="00C55C5A">
            <w:pPr>
              <w:autoSpaceDE w:val="0"/>
              <w:autoSpaceDN w:val="0"/>
              <w:adjustRightInd w:val="0"/>
              <w:jc w:val="both"/>
              <w:rPr>
                <w:rFonts w:ascii="Arial" w:eastAsia="Calibri" w:hAnsi="Arial" w:cs="Arial"/>
                <w:sz w:val="18"/>
                <w:szCs w:val="18"/>
                <w:lang w:val="sl-SI"/>
              </w:rPr>
            </w:pPr>
            <w:r w:rsidRPr="00C55C5A">
              <w:rPr>
                <w:rFonts w:ascii="Arial" w:eastAsia="Calibri" w:hAnsi="Arial" w:cs="Arial"/>
                <w:sz w:val="18"/>
                <w:szCs w:val="18"/>
                <w:lang w:val="sl-SI"/>
              </w:rPr>
              <w:t>MSP</w:t>
            </w:r>
          </w:p>
        </w:tc>
      </w:tr>
      <w:tr w:rsidR="00C55C5A" w:rsidRPr="00C55C5A" w14:paraId="55B9D5D0" w14:textId="77777777" w:rsidTr="00E6701A">
        <w:trPr>
          <w:trHeight w:val="383"/>
        </w:trPr>
        <w:tc>
          <w:tcPr>
            <w:tcW w:w="1133" w:type="dxa"/>
            <w:vMerge w:val="restart"/>
          </w:tcPr>
          <w:p w14:paraId="762C72F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Energetska                                                                                                      učinkovitost</w:t>
            </w:r>
          </w:p>
        </w:tc>
        <w:tc>
          <w:tcPr>
            <w:tcW w:w="1163" w:type="dxa"/>
          </w:tcPr>
          <w:p w14:paraId="22441600"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Posojila</w:t>
            </w:r>
          </w:p>
        </w:tc>
        <w:tc>
          <w:tcPr>
            <w:tcW w:w="1143" w:type="dxa"/>
          </w:tcPr>
          <w:p w14:paraId="290CB992"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65-132 </w:t>
            </w:r>
          </w:p>
          <w:p w14:paraId="6837D906"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545" w:type="dxa"/>
            <w:vMerge w:val="restart"/>
            <w:shd w:val="clear" w:color="auto" w:fill="BDD6EE" w:themeFill="accent1" w:themeFillTint="66"/>
          </w:tcPr>
          <w:p w14:paraId="418DA3DB"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Posojila za celovito energetsko prenovo javnih   stavb</w:t>
            </w:r>
          </w:p>
        </w:tc>
        <w:tc>
          <w:tcPr>
            <w:tcW w:w="1192" w:type="dxa"/>
            <w:vMerge w:val="restart"/>
            <w:shd w:val="clear" w:color="auto" w:fill="auto"/>
          </w:tcPr>
          <w:p w14:paraId="71D3D8E1"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67342526"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568214EB"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57696DB6"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02A2C001"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38AC9485"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56 mio EUR</w:t>
            </w:r>
          </w:p>
        </w:tc>
        <w:tc>
          <w:tcPr>
            <w:tcW w:w="1192" w:type="dxa"/>
            <w:vMerge w:val="restart"/>
            <w:shd w:val="clear" w:color="auto" w:fill="BDD6EE" w:themeFill="accent1" w:themeFillTint="66"/>
          </w:tcPr>
          <w:p w14:paraId="4FCA87F6"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 xml:space="preserve"> </w:t>
            </w:r>
          </w:p>
          <w:p w14:paraId="27CECA7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25  mio EUR</w:t>
            </w:r>
          </w:p>
          <w:p w14:paraId="43396EB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 xml:space="preserve"> </w:t>
            </w:r>
          </w:p>
          <w:p w14:paraId="0D58A977"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800" w:type="dxa"/>
            <w:vMerge w:val="restart"/>
            <w:shd w:val="clear" w:color="auto" w:fill="auto"/>
          </w:tcPr>
          <w:p w14:paraId="1D69E4F1"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Osebe javnega in zasebnega prava</w:t>
            </w:r>
          </w:p>
          <w:p w14:paraId="0280B990"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1F5B6BC8"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 xml:space="preserve"> ESCO podjetja</w:t>
            </w:r>
          </w:p>
        </w:tc>
        <w:tc>
          <w:tcPr>
            <w:tcW w:w="1359" w:type="dxa"/>
            <w:vMerge w:val="restart"/>
            <w:shd w:val="clear" w:color="auto" w:fill="BDD6EE" w:themeFill="accent1" w:themeFillTint="66"/>
          </w:tcPr>
          <w:p w14:paraId="1142A06B"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Javni sektor, ESCO podjetja</w:t>
            </w:r>
          </w:p>
          <w:p w14:paraId="4410DB4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r>
      <w:tr w:rsidR="00C55C5A" w:rsidRPr="00C55C5A" w14:paraId="1B5884EE" w14:textId="77777777" w:rsidTr="00E6701A">
        <w:trPr>
          <w:trHeight w:val="464"/>
        </w:trPr>
        <w:tc>
          <w:tcPr>
            <w:tcW w:w="1133" w:type="dxa"/>
            <w:vMerge/>
          </w:tcPr>
          <w:p w14:paraId="554C7948"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63" w:type="dxa"/>
          </w:tcPr>
          <w:p w14:paraId="71D5AE7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Posojila</w:t>
            </w:r>
          </w:p>
        </w:tc>
        <w:tc>
          <w:tcPr>
            <w:tcW w:w="1143" w:type="dxa"/>
          </w:tcPr>
          <w:p w14:paraId="2D943B32"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645 – 783 </w:t>
            </w:r>
          </w:p>
          <w:p w14:paraId="2AAFA6C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545" w:type="dxa"/>
            <w:vMerge/>
            <w:shd w:val="clear" w:color="auto" w:fill="BDD6EE" w:themeFill="accent1" w:themeFillTint="66"/>
          </w:tcPr>
          <w:p w14:paraId="2F9E3AA6"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92" w:type="dxa"/>
            <w:vMerge/>
            <w:shd w:val="clear" w:color="auto" w:fill="auto"/>
          </w:tcPr>
          <w:p w14:paraId="643CACA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92" w:type="dxa"/>
            <w:vMerge/>
            <w:shd w:val="clear" w:color="auto" w:fill="BDD6EE" w:themeFill="accent1" w:themeFillTint="66"/>
          </w:tcPr>
          <w:p w14:paraId="06B92F6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800" w:type="dxa"/>
            <w:vMerge/>
            <w:shd w:val="clear" w:color="auto" w:fill="auto"/>
          </w:tcPr>
          <w:p w14:paraId="095D6CDA"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359" w:type="dxa"/>
            <w:vMerge/>
            <w:shd w:val="clear" w:color="auto" w:fill="BDD6EE" w:themeFill="accent1" w:themeFillTint="66"/>
          </w:tcPr>
          <w:p w14:paraId="60258B2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r>
      <w:tr w:rsidR="00C55C5A" w:rsidRPr="00C55C5A" w14:paraId="646BBB1F" w14:textId="77777777" w:rsidTr="00E6701A">
        <w:trPr>
          <w:trHeight w:val="837"/>
        </w:trPr>
        <w:tc>
          <w:tcPr>
            <w:tcW w:w="1133" w:type="dxa"/>
            <w:vMerge/>
          </w:tcPr>
          <w:p w14:paraId="2DF05A8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63" w:type="dxa"/>
          </w:tcPr>
          <w:p w14:paraId="78CEC6F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2FB4A3BD"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Lastniško financiranje</w:t>
            </w:r>
          </w:p>
        </w:tc>
        <w:tc>
          <w:tcPr>
            <w:tcW w:w="1143" w:type="dxa"/>
          </w:tcPr>
          <w:p w14:paraId="3FFA5C9B"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568 – 607 </w:t>
            </w:r>
          </w:p>
          <w:p w14:paraId="02BF8313" w14:textId="77777777" w:rsidR="00C55C5A" w:rsidRPr="00C55C5A" w:rsidRDefault="00C55C5A" w:rsidP="00C55C5A">
            <w:pPr>
              <w:autoSpaceDE w:val="0"/>
              <w:autoSpaceDN w:val="0"/>
              <w:adjustRightInd w:val="0"/>
              <w:rPr>
                <w:rFonts w:ascii="Arial" w:eastAsia="Calibri" w:hAnsi="Arial" w:cs="Arial"/>
                <w:bCs/>
                <w:color w:val="000000"/>
                <w:sz w:val="18"/>
                <w:szCs w:val="18"/>
                <w:lang w:val="sl-SI"/>
              </w:rPr>
            </w:pPr>
          </w:p>
        </w:tc>
        <w:tc>
          <w:tcPr>
            <w:tcW w:w="1545" w:type="dxa"/>
            <w:shd w:val="clear" w:color="auto" w:fill="BDD6EE" w:themeFill="accent1" w:themeFillTint="66"/>
          </w:tcPr>
          <w:p w14:paraId="08141E70"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Garancijske sheme, lastniško financiranje</w:t>
            </w:r>
            <w:r w:rsidRPr="00C55C5A">
              <w:rPr>
                <w:rFonts w:ascii="Arial" w:eastAsia="Calibri" w:hAnsi="Arial" w:cs="Arial"/>
                <w:color w:val="000000"/>
                <w:sz w:val="18"/>
                <w:szCs w:val="18"/>
                <w:vertAlign w:val="superscript"/>
                <w:lang w:val="sl-SI"/>
              </w:rPr>
              <w:footnoteReference w:id="11"/>
            </w:r>
          </w:p>
          <w:p w14:paraId="06E05A74"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color w:val="000000"/>
                <w:sz w:val="18"/>
                <w:szCs w:val="18"/>
                <w:lang w:val="sl-SI"/>
              </w:rPr>
              <w:t xml:space="preserve">  </w:t>
            </w:r>
          </w:p>
        </w:tc>
        <w:tc>
          <w:tcPr>
            <w:tcW w:w="1192" w:type="dxa"/>
            <w:vMerge/>
            <w:shd w:val="clear" w:color="auto" w:fill="auto"/>
          </w:tcPr>
          <w:p w14:paraId="67FABB3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92" w:type="dxa"/>
            <w:vMerge/>
            <w:shd w:val="clear" w:color="auto" w:fill="BDD6EE" w:themeFill="accent1" w:themeFillTint="66"/>
          </w:tcPr>
          <w:p w14:paraId="18EE236E"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800" w:type="dxa"/>
            <w:shd w:val="clear" w:color="auto" w:fill="auto"/>
          </w:tcPr>
          <w:p w14:paraId="02D1E0B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 xml:space="preserve"> </w:t>
            </w:r>
          </w:p>
        </w:tc>
        <w:tc>
          <w:tcPr>
            <w:tcW w:w="1359" w:type="dxa"/>
            <w:vMerge/>
            <w:shd w:val="clear" w:color="auto" w:fill="BDD6EE" w:themeFill="accent1" w:themeFillTint="66"/>
          </w:tcPr>
          <w:p w14:paraId="48A7B230"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r>
      <w:tr w:rsidR="00C55C5A" w:rsidRPr="00C55C5A" w14:paraId="114CC2F6" w14:textId="77777777" w:rsidTr="00E6701A">
        <w:trPr>
          <w:trHeight w:val="1540"/>
        </w:trPr>
        <w:tc>
          <w:tcPr>
            <w:tcW w:w="1133" w:type="dxa"/>
            <w:vMerge w:val="restart"/>
          </w:tcPr>
          <w:p w14:paraId="13F68362"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Urbani razvoj</w:t>
            </w:r>
          </w:p>
        </w:tc>
        <w:tc>
          <w:tcPr>
            <w:tcW w:w="1163" w:type="dxa"/>
          </w:tcPr>
          <w:p w14:paraId="731B086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Posojila za projekte mestnih občin, ki so pripravljeni na izvedbo</w:t>
            </w:r>
          </w:p>
        </w:tc>
        <w:tc>
          <w:tcPr>
            <w:tcW w:w="1143" w:type="dxa"/>
          </w:tcPr>
          <w:p w14:paraId="6F1DAA3C"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590—594 </w:t>
            </w:r>
          </w:p>
          <w:p w14:paraId="6018ABC4" w14:textId="77777777" w:rsidR="00C55C5A" w:rsidRPr="00C55C5A" w:rsidRDefault="00C55C5A" w:rsidP="00C55C5A">
            <w:pPr>
              <w:autoSpaceDE w:val="0"/>
              <w:autoSpaceDN w:val="0"/>
              <w:adjustRightInd w:val="0"/>
              <w:rPr>
                <w:rFonts w:ascii="Arial" w:eastAsia="Calibri" w:hAnsi="Arial" w:cs="Arial"/>
                <w:bCs/>
                <w:color w:val="000000"/>
                <w:sz w:val="18"/>
                <w:szCs w:val="18"/>
                <w:lang w:val="sl-SI"/>
              </w:rPr>
            </w:pPr>
          </w:p>
        </w:tc>
        <w:tc>
          <w:tcPr>
            <w:tcW w:w="1545" w:type="dxa"/>
            <w:vMerge w:val="restart"/>
            <w:shd w:val="clear" w:color="auto" w:fill="BDD6EE" w:themeFill="accent1" w:themeFillTint="66"/>
          </w:tcPr>
          <w:p w14:paraId="2D8274AB"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Posojila za projekte mestnih občin</w:t>
            </w:r>
          </w:p>
        </w:tc>
        <w:tc>
          <w:tcPr>
            <w:tcW w:w="1192" w:type="dxa"/>
            <w:vMerge w:val="restart"/>
            <w:shd w:val="clear" w:color="auto" w:fill="auto"/>
          </w:tcPr>
          <w:p w14:paraId="00C27E45"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4072CEBF"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0F723947"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16,7 mio EUR</w:t>
            </w:r>
          </w:p>
        </w:tc>
        <w:tc>
          <w:tcPr>
            <w:tcW w:w="1192" w:type="dxa"/>
            <w:vMerge w:val="restart"/>
            <w:shd w:val="clear" w:color="auto" w:fill="BDD6EE" w:themeFill="accent1" w:themeFillTint="66"/>
          </w:tcPr>
          <w:p w14:paraId="2C0C071A"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5 mio EUR</w:t>
            </w:r>
          </w:p>
        </w:tc>
        <w:tc>
          <w:tcPr>
            <w:tcW w:w="1800" w:type="dxa"/>
            <w:shd w:val="clear" w:color="auto" w:fill="auto"/>
          </w:tcPr>
          <w:p w14:paraId="64792DA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Regionalni in lokalni organi, občine, podjetja za izvajanje/upravljanje javnih storitev, nosilci nepremičninskih projektov.</w:t>
            </w:r>
          </w:p>
        </w:tc>
        <w:tc>
          <w:tcPr>
            <w:tcW w:w="1359" w:type="dxa"/>
            <w:shd w:val="clear" w:color="auto" w:fill="BDD6EE" w:themeFill="accent1" w:themeFillTint="66"/>
          </w:tcPr>
          <w:p w14:paraId="17D99599"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 xml:space="preserve">Gospodarstvo, lokalne skupnosti, upravljavci javnih površin in stavb, stanovanjske kooperative in ponudniki drugih alternativnih oblik bivanja v mestih,  </w:t>
            </w:r>
          </w:p>
        </w:tc>
      </w:tr>
      <w:tr w:rsidR="00C55C5A" w:rsidRPr="00C55C5A" w14:paraId="65F86B65" w14:textId="77777777" w:rsidTr="00E6701A">
        <w:trPr>
          <w:trHeight w:val="1129"/>
        </w:trPr>
        <w:tc>
          <w:tcPr>
            <w:tcW w:w="1133" w:type="dxa"/>
            <w:vMerge/>
          </w:tcPr>
          <w:p w14:paraId="48E00992"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63" w:type="dxa"/>
          </w:tcPr>
          <w:p w14:paraId="55DBF457"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7239805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p w14:paraId="22FCDE60"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r w:rsidRPr="00C55C5A">
              <w:rPr>
                <w:rFonts w:ascii="Arial" w:eastAsia="Calibri" w:hAnsi="Arial" w:cs="Arial"/>
                <w:color w:val="000000"/>
                <w:sz w:val="18"/>
                <w:szCs w:val="18"/>
                <w:lang w:val="sl-SI"/>
              </w:rPr>
              <w:t>Posojila za projekte mestnih občin v pripravi</w:t>
            </w:r>
          </w:p>
        </w:tc>
        <w:tc>
          <w:tcPr>
            <w:tcW w:w="1143" w:type="dxa"/>
          </w:tcPr>
          <w:p w14:paraId="59EBC3D8" w14:textId="77777777" w:rsidR="00C55C5A" w:rsidRPr="00C55C5A" w:rsidRDefault="00C55C5A" w:rsidP="00C55C5A">
            <w:pPr>
              <w:autoSpaceDE w:val="0"/>
              <w:autoSpaceDN w:val="0"/>
              <w:adjustRightInd w:val="0"/>
              <w:rPr>
                <w:rFonts w:ascii="Arial" w:eastAsia="Calibri" w:hAnsi="Arial" w:cs="Arial"/>
                <w:color w:val="000000"/>
                <w:sz w:val="18"/>
                <w:szCs w:val="18"/>
                <w:lang w:val="sl-SI"/>
              </w:rPr>
            </w:pPr>
            <w:r w:rsidRPr="00C55C5A">
              <w:rPr>
                <w:rFonts w:ascii="Arial" w:eastAsia="Calibri" w:hAnsi="Arial" w:cs="Arial"/>
                <w:bCs/>
                <w:color w:val="000000"/>
                <w:sz w:val="18"/>
                <w:szCs w:val="18"/>
                <w:lang w:val="sl-SI"/>
              </w:rPr>
              <w:t xml:space="preserve">68—74 </w:t>
            </w:r>
          </w:p>
          <w:p w14:paraId="44C50D6F" w14:textId="77777777" w:rsidR="00C55C5A" w:rsidRPr="00C55C5A" w:rsidRDefault="00C55C5A" w:rsidP="00C55C5A">
            <w:pPr>
              <w:autoSpaceDE w:val="0"/>
              <w:autoSpaceDN w:val="0"/>
              <w:adjustRightInd w:val="0"/>
              <w:rPr>
                <w:rFonts w:ascii="Arial" w:eastAsia="Calibri" w:hAnsi="Arial" w:cs="Arial"/>
                <w:bCs/>
                <w:color w:val="000000"/>
                <w:sz w:val="18"/>
                <w:szCs w:val="18"/>
                <w:lang w:val="sl-SI"/>
              </w:rPr>
            </w:pPr>
          </w:p>
        </w:tc>
        <w:tc>
          <w:tcPr>
            <w:tcW w:w="1545" w:type="dxa"/>
            <w:vMerge/>
            <w:shd w:val="clear" w:color="auto" w:fill="BDD6EE" w:themeFill="accent1" w:themeFillTint="66"/>
          </w:tcPr>
          <w:p w14:paraId="56A13E9A"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92" w:type="dxa"/>
            <w:vMerge/>
            <w:shd w:val="clear" w:color="auto" w:fill="auto"/>
          </w:tcPr>
          <w:p w14:paraId="02EB8DA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192" w:type="dxa"/>
            <w:vMerge/>
            <w:shd w:val="clear" w:color="auto" w:fill="BDD6EE" w:themeFill="accent1" w:themeFillTint="66"/>
          </w:tcPr>
          <w:p w14:paraId="21A56B13"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800" w:type="dxa"/>
            <w:shd w:val="clear" w:color="auto" w:fill="auto"/>
          </w:tcPr>
          <w:p w14:paraId="62098EF8"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c>
          <w:tcPr>
            <w:tcW w:w="1359" w:type="dxa"/>
            <w:shd w:val="clear" w:color="auto" w:fill="BDD6EE" w:themeFill="accent1" w:themeFillTint="66"/>
          </w:tcPr>
          <w:p w14:paraId="23BEB37C" w14:textId="77777777" w:rsidR="00C55C5A" w:rsidRPr="00C55C5A" w:rsidRDefault="00C55C5A" w:rsidP="00C55C5A">
            <w:pPr>
              <w:autoSpaceDE w:val="0"/>
              <w:autoSpaceDN w:val="0"/>
              <w:adjustRightInd w:val="0"/>
              <w:jc w:val="both"/>
              <w:rPr>
                <w:rFonts w:ascii="Arial" w:eastAsia="Calibri" w:hAnsi="Arial" w:cs="Arial"/>
                <w:color w:val="000000"/>
                <w:sz w:val="18"/>
                <w:szCs w:val="18"/>
                <w:lang w:val="sl-SI"/>
              </w:rPr>
            </w:pPr>
          </w:p>
        </w:tc>
      </w:tr>
    </w:tbl>
    <w:p w14:paraId="063CE93F" w14:textId="77777777" w:rsidR="00C55C5A" w:rsidRPr="00C55C5A" w:rsidRDefault="00C55C5A" w:rsidP="00C55C5A">
      <w:pPr>
        <w:spacing w:after="9"/>
        <w:jc w:val="both"/>
        <w:rPr>
          <w:rFonts w:ascii="Arial" w:eastAsia="Georgia" w:hAnsi="Arial" w:cs="Arial"/>
          <w:sz w:val="20"/>
          <w:lang w:val="sl-SI" w:eastAsia="sl-SI"/>
        </w:rPr>
      </w:pPr>
      <w:r w:rsidRPr="00C55C5A">
        <w:rPr>
          <w:rFonts w:ascii="Arial" w:eastAsia="Georgia" w:hAnsi="Arial" w:cs="Arial"/>
          <w:sz w:val="20"/>
          <w:lang w:val="sl-SI" w:eastAsia="sl-SI"/>
        </w:rPr>
        <w:t>*Razporeditev sredstev za finančne instrumente za TC6 temelji na razdelitvi sredstev med regije, ki je bila pripravljena na OU in bo vključena v OP 2014 – 2020 ob spremembi oz. dopolnitvi OP 2014 - 2020.</w:t>
      </w:r>
    </w:p>
    <w:p w14:paraId="69CCCA69"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707E04A5" w14:textId="77777777" w:rsidR="00C55C5A" w:rsidRPr="00C55C5A" w:rsidRDefault="00C55C5A" w:rsidP="00C55C5A">
      <w:pPr>
        <w:ind w:left="-15" w:right="256"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Sredstva, ki so na voljo za posamezen FI so določena na osnovi zneskov, ki so predlagani v OP 2014 – 2020 z dne 11. 12. 2014</w:t>
      </w:r>
      <w:r w:rsidRPr="00C55C5A">
        <w:rPr>
          <w:rFonts w:ascii="Arial" w:eastAsia="Georgia" w:hAnsi="Arial" w:cs="Arial"/>
          <w:sz w:val="22"/>
          <w:szCs w:val="22"/>
          <w:vertAlign w:val="superscript"/>
          <w:lang w:val="sl-SI" w:eastAsia="sl-SI"/>
        </w:rPr>
        <w:footnoteReference w:id="12"/>
      </w:r>
      <w:r w:rsidRPr="00C55C5A">
        <w:rPr>
          <w:rFonts w:ascii="Arial" w:eastAsia="Georgia" w:hAnsi="Arial" w:cs="Arial"/>
          <w:sz w:val="22"/>
          <w:szCs w:val="22"/>
          <w:lang w:val="sl-SI" w:eastAsia="sl-SI"/>
        </w:rPr>
        <w:t xml:space="preserve">. Za izvajanje FI okviru OP 2014 - 2020 pod TC1 je namenjenih </w:t>
      </w:r>
      <w:r w:rsidRPr="00C55C5A">
        <w:rPr>
          <w:rFonts w:ascii="Arial" w:eastAsia="Georgia" w:hAnsi="Arial" w:cs="Arial"/>
          <w:sz w:val="22"/>
          <w:szCs w:val="22"/>
          <w:lang w:val="sl-SI" w:eastAsia="sl-SI"/>
        </w:rPr>
        <w:lastRenderedPageBreak/>
        <w:t xml:space="preserve">128 mio EUR, za izvajaje FI pod TC 3 je namenjenih 255 mio EUR in za izvajanje FI pod TC 4 je namenjenih 25 mio EUR, za izvajanje FI pod TC 6 je namenjenih 5 mio EUR. Sredstva pod TC1 in TC3 so razdeljena na dve kohezijski regiji, Vzhodno in Zahodno Slovenijo.  </w:t>
      </w:r>
    </w:p>
    <w:p w14:paraId="2D851A5D" w14:textId="77777777" w:rsidR="00C55C5A" w:rsidRPr="00C55C5A" w:rsidRDefault="00C55C5A" w:rsidP="00C55C5A">
      <w:pPr>
        <w:spacing w:after="9"/>
        <w:ind w:left="-5" w:hanging="10"/>
        <w:jc w:val="both"/>
        <w:rPr>
          <w:rFonts w:ascii="Arial" w:eastAsia="Georgia" w:hAnsi="Arial" w:cs="Arial"/>
          <w:sz w:val="22"/>
          <w:szCs w:val="22"/>
          <w:lang w:val="sl-SI" w:eastAsia="sl-SI"/>
        </w:rPr>
      </w:pPr>
    </w:p>
    <w:p w14:paraId="66513554" w14:textId="77777777" w:rsidR="00C55C5A" w:rsidRPr="00C55C5A" w:rsidRDefault="00C55C5A" w:rsidP="00C55C5A">
      <w:p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Vir sredstev za FI za MSP v okviru OP 2014 - 2020 na TC 1 in TC 3, in sicer v višini 333 mio EUR, od tega 255 mio EUR iz TC 3 in 78 mio EUR iz TC 1. Za velika podjetja je v okviru TC 1 namenjenih 50 mio EUR.</w:t>
      </w:r>
      <w:r w:rsidRPr="00C55C5A">
        <w:rPr>
          <w:rFonts w:ascii="Arial" w:eastAsia="Georgia" w:hAnsi="Arial" w:cs="Arial"/>
          <w:sz w:val="22"/>
          <w:szCs w:val="22"/>
          <w:vertAlign w:val="superscript"/>
          <w:lang w:val="sl-SI" w:eastAsia="sl-SI"/>
        </w:rPr>
        <w:footnoteReference w:id="13"/>
      </w:r>
    </w:p>
    <w:p w14:paraId="5477C5A9" w14:textId="77777777" w:rsidR="00C55C5A" w:rsidRPr="00C55C5A" w:rsidRDefault="00C55C5A" w:rsidP="00C55C5A">
      <w:pPr>
        <w:spacing w:after="10"/>
        <w:ind w:right="256"/>
        <w:jc w:val="both"/>
        <w:rPr>
          <w:rFonts w:ascii="Arial" w:eastAsia="Georgia" w:hAnsi="Arial" w:cs="Arial"/>
          <w:sz w:val="22"/>
          <w:szCs w:val="22"/>
          <w:lang w:val="sl-SI" w:eastAsia="sl-SI"/>
        </w:rPr>
      </w:pPr>
    </w:p>
    <w:p w14:paraId="11E6BEB0"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Za izvedbo FI je predvideno, da bodo sredstva zagotovljena za vzhodno in zahodno kohezijsko regijo (razen pri prednostni naložbi 4.1, ki pokriva celotno Slovenijo) ter v naslednjih tranšah:</w:t>
      </w:r>
    </w:p>
    <w:p w14:paraId="5C2E14B1" w14:textId="77777777" w:rsidR="00C55C5A" w:rsidRPr="00C55C5A" w:rsidRDefault="00C55C5A" w:rsidP="00C55C5A">
      <w:pPr>
        <w:jc w:val="both"/>
        <w:rPr>
          <w:rFonts w:ascii="Arial" w:hAnsi="Arial" w:cs="Arial"/>
          <w:sz w:val="20"/>
          <w:szCs w:val="20"/>
          <w:lang w:val="sl-SI"/>
        </w:rPr>
      </w:pPr>
    </w:p>
    <w:p w14:paraId="6EDCB153" w14:textId="77777777" w:rsidR="00C55C5A" w:rsidRPr="00C55C5A" w:rsidRDefault="00C55C5A" w:rsidP="00C55C5A">
      <w:pPr>
        <w:jc w:val="both"/>
        <w:rPr>
          <w:rFonts w:ascii="Arial" w:hAnsi="Arial" w:cs="Arial"/>
          <w:sz w:val="20"/>
          <w:szCs w:val="20"/>
          <w:lang w:val="sl-SI"/>
        </w:rPr>
      </w:pPr>
      <w:r w:rsidRPr="00C55C5A">
        <w:rPr>
          <w:rFonts w:ascii="Arial" w:hAnsi="Arial" w:cs="Arial"/>
          <w:sz w:val="20"/>
          <w:szCs w:val="20"/>
          <w:lang w:val="sl-SI"/>
        </w:rPr>
        <w:t>Tabela 10: Finančna sredstva za FI po letih in kohezijskih regijah</w:t>
      </w:r>
    </w:p>
    <w:tbl>
      <w:tblPr>
        <w:tblW w:w="1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50"/>
        <w:gridCol w:w="1430"/>
        <w:gridCol w:w="1547"/>
        <w:gridCol w:w="1430"/>
        <w:gridCol w:w="1688"/>
        <w:gridCol w:w="1660"/>
      </w:tblGrid>
      <w:tr w:rsidR="00C55C5A" w:rsidRPr="00C55C5A" w14:paraId="73D7DBCA" w14:textId="77777777" w:rsidTr="00E6701A">
        <w:trPr>
          <w:trHeight w:val="300"/>
        </w:trPr>
        <w:tc>
          <w:tcPr>
            <w:tcW w:w="1560" w:type="dxa"/>
            <w:shd w:val="clear" w:color="auto" w:fill="auto"/>
            <w:noWrap/>
            <w:vAlign w:val="bottom"/>
            <w:hideMark/>
          </w:tcPr>
          <w:p w14:paraId="238BB3FE" w14:textId="77777777" w:rsidR="00C55C5A" w:rsidRPr="00C55C5A" w:rsidRDefault="00C55C5A" w:rsidP="00C55C5A">
            <w:pPr>
              <w:jc w:val="both"/>
              <w:rPr>
                <w:rFonts w:ascii="Arial" w:hAnsi="Arial" w:cs="Arial"/>
                <w:color w:val="000000"/>
                <w:sz w:val="20"/>
                <w:szCs w:val="20"/>
                <w:lang w:val="sl-SI" w:eastAsia="sl-SI"/>
              </w:rPr>
            </w:pPr>
            <w:r w:rsidRPr="00C55C5A">
              <w:rPr>
                <w:rFonts w:ascii="Arial" w:hAnsi="Arial" w:cs="Arial"/>
                <w:color w:val="000000"/>
                <w:sz w:val="20"/>
                <w:szCs w:val="20"/>
                <w:lang w:val="sl-SI" w:eastAsia="sl-SI"/>
              </w:rPr>
              <w:t>Prednostna naložba</w:t>
            </w:r>
          </w:p>
        </w:tc>
        <w:tc>
          <w:tcPr>
            <w:tcW w:w="850" w:type="dxa"/>
            <w:shd w:val="clear" w:color="auto" w:fill="auto"/>
            <w:noWrap/>
            <w:vAlign w:val="bottom"/>
            <w:hideMark/>
          </w:tcPr>
          <w:p w14:paraId="4184CE0C" w14:textId="77777777" w:rsidR="00C55C5A" w:rsidRPr="00C55C5A" w:rsidRDefault="00C55C5A" w:rsidP="00C55C5A">
            <w:pPr>
              <w:jc w:val="both"/>
              <w:rPr>
                <w:rFonts w:ascii="Arial" w:hAnsi="Arial" w:cs="Arial"/>
                <w:color w:val="000000"/>
                <w:sz w:val="20"/>
                <w:szCs w:val="20"/>
                <w:lang w:val="sl-SI" w:eastAsia="sl-SI"/>
              </w:rPr>
            </w:pPr>
            <w:r w:rsidRPr="00C55C5A">
              <w:rPr>
                <w:rFonts w:ascii="Arial" w:hAnsi="Arial" w:cs="Arial"/>
                <w:color w:val="000000"/>
                <w:sz w:val="20"/>
                <w:szCs w:val="20"/>
                <w:lang w:val="sl-SI" w:eastAsia="sl-SI"/>
              </w:rPr>
              <w:t>Regija</w:t>
            </w:r>
          </w:p>
        </w:tc>
        <w:tc>
          <w:tcPr>
            <w:tcW w:w="1430" w:type="dxa"/>
            <w:shd w:val="clear" w:color="auto" w:fill="auto"/>
            <w:noWrap/>
            <w:vAlign w:val="bottom"/>
            <w:hideMark/>
          </w:tcPr>
          <w:p w14:paraId="1EE173BC" w14:textId="77777777" w:rsidR="00C55C5A" w:rsidRPr="00C55C5A" w:rsidRDefault="00C55C5A" w:rsidP="00C55C5A">
            <w:pPr>
              <w:jc w:val="right"/>
              <w:rPr>
                <w:rFonts w:ascii="Arial" w:hAnsi="Arial" w:cs="Arial"/>
                <w:color w:val="000000"/>
                <w:sz w:val="20"/>
                <w:szCs w:val="20"/>
                <w:lang w:val="sl-SI" w:eastAsia="sl-SI"/>
              </w:rPr>
            </w:pPr>
            <w:r w:rsidRPr="00C55C5A">
              <w:rPr>
                <w:rFonts w:ascii="Arial" w:hAnsi="Arial" w:cs="Arial"/>
                <w:color w:val="000000"/>
                <w:sz w:val="20"/>
                <w:szCs w:val="20"/>
                <w:lang w:val="sl-SI" w:eastAsia="sl-SI"/>
              </w:rPr>
              <w:t>2017</w:t>
            </w:r>
          </w:p>
        </w:tc>
        <w:tc>
          <w:tcPr>
            <w:tcW w:w="1547" w:type="dxa"/>
            <w:shd w:val="clear" w:color="auto" w:fill="auto"/>
            <w:noWrap/>
            <w:vAlign w:val="bottom"/>
            <w:hideMark/>
          </w:tcPr>
          <w:p w14:paraId="4A21B0D0" w14:textId="77777777" w:rsidR="00C55C5A" w:rsidRPr="00C55C5A" w:rsidRDefault="00C55C5A" w:rsidP="00C55C5A">
            <w:pPr>
              <w:jc w:val="right"/>
              <w:rPr>
                <w:rFonts w:ascii="Arial" w:hAnsi="Arial" w:cs="Arial"/>
                <w:color w:val="000000"/>
                <w:sz w:val="20"/>
                <w:szCs w:val="20"/>
                <w:lang w:val="sl-SI" w:eastAsia="sl-SI"/>
              </w:rPr>
            </w:pPr>
            <w:r w:rsidRPr="00C55C5A">
              <w:rPr>
                <w:rFonts w:ascii="Arial" w:hAnsi="Arial" w:cs="Arial"/>
                <w:color w:val="000000"/>
                <w:sz w:val="20"/>
                <w:szCs w:val="20"/>
                <w:lang w:val="sl-SI" w:eastAsia="sl-SI"/>
              </w:rPr>
              <w:t>2019</w:t>
            </w:r>
          </w:p>
        </w:tc>
        <w:tc>
          <w:tcPr>
            <w:tcW w:w="1430" w:type="dxa"/>
            <w:shd w:val="clear" w:color="auto" w:fill="auto"/>
            <w:noWrap/>
            <w:vAlign w:val="bottom"/>
            <w:hideMark/>
          </w:tcPr>
          <w:p w14:paraId="0988FA47" w14:textId="77777777" w:rsidR="00C55C5A" w:rsidRPr="00C55C5A" w:rsidRDefault="00C55C5A" w:rsidP="00C55C5A">
            <w:pPr>
              <w:jc w:val="right"/>
              <w:rPr>
                <w:rFonts w:ascii="Arial" w:hAnsi="Arial" w:cs="Arial"/>
                <w:color w:val="000000"/>
                <w:sz w:val="20"/>
                <w:szCs w:val="20"/>
                <w:lang w:val="sl-SI" w:eastAsia="sl-SI"/>
              </w:rPr>
            </w:pPr>
            <w:r w:rsidRPr="00C55C5A">
              <w:rPr>
                <w:rFonts w:ascii="Arial" w:hAnsi="Arial" w:cs="Arial"/>
                <w:color w:val="000000"/>
                <w:sz w:val="20"/>
                <w:szCs w:val="20"/>
                <w:lang w:val="sl-SI" w:eastAsia="sl-SI"/>
              </w:rPr>
              <w:t>2021</w:t>
            </w:r>
          </w:p>
        </w:tc>
        <w:tc>
          <w:tcPr>
            <w:tcW w:w="1688" w:type="dxa"/>
            <w:shd w:val="clear" w:color="auto" w:fill="auto"/>
            <w:noWrap/>
            <w:vAlign w:val="bottom"/>
            <w:hideMark/>
          </w:tcPr>
          <w:p w14:paraId="66F619AE" w14:textId="77777777" w:rsidR="00C55C5A" w:rsidRPr="00C55C5A" w:rsidRDefault="00C55C5A" w:rsidP="00C55C5A">
            <w:pPr>
              <w:jc w:val="right"/>
              <w:rPr>
                <w:rFonts w:ascii="Arial" w:hAnsi="Arial" w:cs="Arial"/>
                <w:color w:val="000000"/>
                <w:sz w:val="20"/>
                <w:szCs w:val="20"/>
                <w:lang w:val="sl-SI" w:eastAsia="sl-SI"/>
              </w:rPr>
            </w:pPr>
            <w:r w:rsidRPr="00C55C5A">
              <w:rPr>
                <w:rFonts w:ascii="Arial" w:hAnsi="Arial" w:cs="Arial"/>
                <w:color w:val="000000"/>
                <w:sz w:val="20"/>
                <w:szCs w:val="20"/>
                <w:lang w:val="sl-SI" w:eastAsia="sl-SI"/>
              </w:rPr>
              <w:t>2022</w:t>
            </w:r>
          </w:p>
        </w:tc>
        <w:tc>
          <w:tcPr>
            <w:tcW w:w="1660" w:type="dxa"/>
            <w:shd w:val="clear" w:color="auto" w:fill="auto"/>
            <w:noWrap/>
            <w:vAlign w:val="bottom"/>
            <w:hideMark/>
          </w:tcPr>
          <w:p w14:paraId="0A4428A4" w14:textId="77777777" w:rsidR="00C55C5A" w:rsidRPr="00C55C5A" w:rsidRDefault="00C55C5A" w:rsidP="00C55C5A">
            <w:pPr>
              <w:jc w:val="both"/>
              <w:rPr>
                <w:rFonts w:ascii="Arial" w:hAnsi="Arial" w:cs="Arial"/>
                <w:color w:val="000000"/>
                <w:sz w:val="20"/>
                <w:szCs w:val="20"/>
                <w:lang w:val="sl-SI" w:eastAsia="sl-SI"/>
              </w:rPr>
            </w:pPr>
            <w:r w:rsidRPr="00C55C5A">
              <w:rPr>
                <w:rFonts w:ascii="Arial" w:hAnsi="Arial" w:cs="Arial"/>
                <w:color w:val="000000"/>
                <w:sz w:val="20"/>
                <w:szCs w:val="20"/>
                <w:lang w:val="sl-SI" w:eastAsia="sl-SI"/>
              </w:rPr>
              <w:t>Skupaj</w:t>
            </w:r>
          </w:p>
        </w:tc>
      </w:tr>
      <w:tr w:rsidR="00C55C5A" w:rsidRPr="00C55C5A" w14:paraId="2E819690" w14:textId="77777777" w:rsidTr="00E6701A">
        <w:trPr>
          <w:trHeight w:val="300"/>
        </w:trPr>
        <w:tc>
          <w:tcPr>
            <w:tcW w:w="1560" w:type="dxa"/>
            <w:shd w:val="clear" w:color="auto" w:fill="auto"/>
            <w:noWrap/>
            <w:vAlign w:val="bottom"/>
            <w:hideMark/>
          </w:tcPr>
          <w:p w14:paraId="3B17C7C6"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1.2</w:t>
            </w:r>
          </w:p>
        </w:tc>
        <w:tc>
          <w:tcPr>
            <w:tcW w:w="850" w:type="dxa"/>
            <w:shd w:val="clear" w:color="auto" w:fill="auto"/>
            <w:noWrap/>
            <w:vAlign w:val="bottom"/>
            <w:hideMark/>
          </w:tcPr>
          <w:p w14:paraId="1A57C648"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Vzhod</w:t>
            </w:r>
          </w:p>
        </w:tc>
        <w:tc>
          <w:tcPr>
            <w:tcW w:w="1430" w:type="dxa"/>
            <w:shd w:val="clear" w:color="auto" w:fill="auto"/>
            <w:noWrap/>
            <w:vAlign w:val="bottom"/>
            <w:hideMark/>
          </w:tcPr>
          <w:p w14:paraId="345E7958" w14:textId="77777777" w:rsidR="00C55C5A" w:rsidRPr="00C55C5A" w:rsidRDefault="00C55C5A" w:rsidP="00C55C5A">
            <w:pPr>
              <w:jc w:val="right"/>
              <w:rPr>
                <w:rFonts w:ascii="Arial" w:hAnsi="Arial"/>
                <w:sz w:val="20"/>
                <w:szCs w:val="20"/>
              </w:rPr>
            </w:pPr>
            <w:r w:rsidRPr="00C55C5A">
              <w:rPr>
                <w:rFonts w:ascii="Arial" w:hAnsi="Arial"/>
                <w:sz w:val="20"/>
                <w:szCs w:val="20"/>
              </w:rPr>
              <w:t>8.550.000,00</w:t>
            </w:r>
          </w:p>
          <w:p w14:paraId="2761FFDC" w14:textId="77777777" w:rsidR="00C55C5A" w:rsidRPr="00C55C5A" w:rsidRDefault="00C55C5A" w:rsidP="00C55C5A">
            <w:pPr>
              <w:jc w:val="right"/>
              <w:rPr>
                <w:rFonts w:ascii="Arial" w:hAnsi="Arial"/>
                <w:sz w:val="20"/>
                <w:szCs w:val="20"/>
              </w:rPr>
            </w:pPr>
          </w:p>
        </w:tc>
        <w:tc>
          <w:tcPr>
            <w:tcW w:w="1547" w:type="dxa"/>
            <w:shd w:val="clear" w:color="auto" w:fill="auto"/>
            <w:noWrap/>
            <w:vAlign w:val="bottom"/>
            <w:hideMark/>
          </w:tcPr>
          <w:p w14:paraId="75A15B0F" w14:textId="77777777" w:rsidR="00C55C5A" w:rsidRPr="00C55C5A" w:rsidRDefault="00C55C5A" w:rsidP="00C55C5A">
            <w:pPr>
              <w:jc w:val="right"/>
              <w:rPr>
                <w:rFonts w:ascii="Arial" w:hAnsi="Arial"/>
                <w:sz w:val="20"/>
                <w:szCs w:val="20"/>
              </w:rPr>
            </w:pPr>
            <w:r w:rsidRPr="00C55C5A">
              <w:rPr>
                <w:rFonts w:ascii="Arial" w:hAnsi="Arial"/>
                <w:sz w:val="20"/>
                <w:szCs w:val="20"/>
              </w:rPr>
              <w:t>8.550.000,00</w:t>
            </w:r>
          </w:p>
          <w:p w14:paraId="4A2F3ADF" w14:textId="77777777" w:rsidR="00C55C5A" w:rsidRPr="00C55C5A" w:rsidRDefault="00C55C5A" w:rsidP="00C55C5A">
            <w:pPr>
              <w:jc w:val="right"/>
              <w:rPr>
                <w:rFonts w:ascii="Arial" w:hAnsi="Arial"/>
                <w:sz w:val="20"/>
                <w:szCs w:val="20"/>
              </w:rPr>
            </w:pPr>
          </w:p>
        </w:tc>
        <w:tc>
          <w:tcPr>
            <w:tcW w:w="1430" w:type="dxa"/>
            <w:shd w:val="clear" w:color="auto" w:fill="auto"/>
            <w:noWrap/>
            <w:vAlign w:val="bottom"/>
            <w:hideMark/>
          </w:tcPr>
          <w:p w14:paraId="10F2508F" w14:textId="77777777" w:rsidR="00C55C5A" w:rsidRPr="00C55C5A" w:rsidRDefault="00C55C5A" w:rsidP="00C55C5A">
            <w:pPr>
              <w:jc w:val="right"/>
              <w:rPr>
                <w:rFonts w:ascii="Arial" w:hAnsi="Arial"/>
                <w:sz w:val="20"/>
                <w:szCs w:val="20"/>
              </w:rPr>
            </w:pPr>
            <w:r w:rsidRPr="00C55C5A">
              <w:rPr>
                <w:rFonts w:ascii="Arial" w:hAnsi="Arial"/>
                <w:sz w:val="20"/>
                <w:szCs w:val="20"/>
              </w:rPr>
              <w:t>8.550.000,00</w:t>
            </w:r>
          </w:p>
          <w:p w14:paraId="3B0945BB" w14:textId="77777777" w:rsidR="00C55C5A" w:rsidRPr="00C55C5A" w:rsidRDefault="00C55C5A" w:rsidP="00C55C5A">
            <w:pPr>
              <w:jc w:val="right"/>
              <w:rPr>
                <w:rFonts w:ascii="Arial" w:hAnsi="Arial"/>
                <w:sz w:val="20"/>
                <w:szCs w:val="20"/>
              </w:rPr>
            </w:pPr>
          </w:p>
        </w:tc>
        <w:tc>
          <w:tcPr>
            <w:tcW w:w="1688" w:type="dxa"/>
            <w:shd w:val="clear" w:color="auto" w:fill="auto"/>
            <w:noWrap/>
            <w:vAlign w:val="bottom"/>
            <w:hideMark/>
          </w:tcPr>
          <w:p w14:paraId="6DC4F138" w14:textId="77777777" w:rsidR="00C55C5A" w:rsidRPr="00C55C5A" w:rsidRDefault="00C55C5A" w:rsidP="00C55C5A">
            <w:pPr>
              <w:jc w:val="right"/>
              <w:rPr>
                <w:rFonts w:ascii="Arial" w:hAnsi="Arial"/>
                <w:sz w:val="20"/>
                <w:szCs w:val="20"/>
              </w:rPr>
            </w:pPr>
            <w:r w:rsidRPr="00C55C5A">
              <w:rPr>
                <w:rFonts w:ascii="Arial" w:hAnsi="Arial"/>
                <w:sz w:val="20"/>
                <w:szCs w:val="20"/>
              </w:rPr>
              <w:t>8.550.000,00</w:t>
            </w:r>
          </w:p>
          <w:p w14:paraId="3766ECD4" w14:textId="77777777" w:rsidR="00C55C5A" w:rsidRPr="00C55C5A" w:rsidRDefault="00C55C5A" w:rsidP="00C55C5A">
            <w:pPr>
              <w:jc w:val="right"/>
              <w:rPr>
                <w:rFonts w:ascii="Arial" w:hAnsi="Arial"/>
                <w:sz w:val="20"/>
                <w:szCs w:val="20"/>
              </w:rPr>
            </w:pPr>
          </w:p>
        </w:tc>
        <w:tc>
          <w:tcPr>
            <w:tcW w:w="1660" w:type="dxa"/>
            <w:shd w:val="clear" w:color="auto" w:fill="auto"/>
            <w:noWrap/>
            <w:vAlign w:val="bottom"/>
            <w:hideMark/>
          </w:tcPr>
          <w:p w14:paraId="029841AF" w14:textId="77777777" w:rsidR="00C55C5A" w:rsidRPr="00C55C5A" w:rsidRDefault="00C55C5A" w:rsidP="00C55C5A">
            <w:pPr>
              <w:jc w:val="right"/>
              <w:rPr>
                <w:rFonts w:ascii="Arial" w:hAnsi="Arial"/>
                <w:sz w:val="20"/>
                <w:szCs w:val="20"/>
              </w:rPr>
            </w:pPr>
            <w:r w:rsidRPr="00C55C5A">
              <w:rPr>
                <w:rFonts w:ascii="Arial" w:hAnsi="Arial"/>
                <w:sz w:val="20"/>
                <w:szCs w:val="20"/>
              </w:rPr>
              <w:t>34.200.000,00</w:t>
            </w:r>
          </w:p>
          <w:p w14:paraId="261C80B0" w14:textId="77777777" w:rsidR="00C55C5A" w:rsidRPr="00C55C5A" w:rsidRDefault="00C55C5A" w:rsidP="00C55C5A">
            <w:pPr>
              <w:jc w:val="right"/>
              <w:rPr>
                <w:rFonts w:ascii="Arial" w:hAnsi="Arial"/>
                <w:sz w:val="20"/>
                <w:szCs w:val="20"/>
              </w:rPr>
            </w:pPr>
          </w:p>
        </w:tc>
      </w:tr>
      <w:tr w:rsidR="00C55C5A" w:rsidRPr="00C55C5A" w14:paraId="1AE24D5F" w14:textId="77777777" w:rsidTr="00E6701A">
        <w:trPr>
          <w:trHeight w:val="300"/>
        </w:trPr>
        <w:tc>
          <w:tcPr>
            <w:tcW w:w="1560" w:type="dxa"/>
            <w:shd w:val="clear" w:color="auto" w:fill="auto"/>
            <w:noWrap/>
            <w:vAlign w:val="bottom"/>
            <w:hideMark/>
          </w:tcPr>
          <w:p w14:paraId="3C79ECC0"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1.2</w:t>
            </w:r>
          </w:p>
        </w:tc>
        <w:tc>
          <w:tcPr>
            <w:tcW w:w="850" w:type="dxa"/>
            <w:shd w:val="clear" w:color="auto" w:fill="auto"/>
            <w:noWrap/>
            <w:vAlign w:val="bottom"/>
            <w:hideMark/>
          </w:tcPr>
          <w:p w14:paraId="2C7C64CF"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Zahod</w:t>
            </w:r>
          </w:p>
        </w:tc>
        <w:tc>
          <w:tcPr>
            <w:tcW w:w="1430" w:type="dxa"/>
            <w:shd w:val="clear" w:color="auto" w:fill="auto"/>
            <w:noWrap/>
            <w:vAlign w:val="bottom"/>
            <w:hideMark/>
          </w:tcPr>
          <w:p w14:paraId="3B34119F" w14:textId="77777777" w:rsidR="00C55C5A" w:rsidRPr="00C55C5A" w:rsidRDefault="00C55C5A" w:rsidP="00C55C5A">
            <w:pPr>
              <w:jc w:val="right"/>
              <w:rPr>
                <w:rFonts w:ascii="Arial" w:hAnsi="Arial"/>
                <w:sz w:val="20"/>
                <w:szCs w:val="20"/>
              </w:rPr>
            </w:pPr>
            <w:r w:rsidRPr="00C55C5A">
              <w:rPr>
                <w:rFonts w:ascii="Arial" w:hAnsi="Arial"/>
                <w:sz w:val="20"/>
                <w:szCs w:val="20"/>
              </w:rPr>
              <w:t>13.450.000,00</w:t>
            </w:r>
          </w:p>
          <w:p w14:paraId="5794D1FC" w14:textId="77777777" w:rsidR="00C55C5A" w:rsidRPr="00C55C5A" w:rsidRDefault="00C55C5A" w:rsidP="00C55C5A">
            <w:pPr>
              <w:jc w:val="right"/>
              <w:rPr>
                <w:rFonts w:ascii="Arial" w:hAnsi="Arial"/>
                <w:sz w:val="20"/>
                <w:szCs w:val="20"/>
              </w:rPr>
            </w:pPr>
          </w:p>
        </w:tc>
        <w:tc>
          <w:tcPr>
            <w:tcW w:w="1547" w:type="dxa"/>
            <w:shd w:val="clear" w:color="auto" w:fill="auto"/>
            <w:noWrap/>
            <w:vAlign w:val="bottom"/>
            <w:hideMark/>
          </w:tcPr>
          <w:p w14:paraId="0348867E" w14:textId="77777777" w:rsidR="00C55C5A" w:rsidRPr="00C55C5A" w:rsidRDefault="00C55C5A" w:rsidP="00C55C5A">
            <w:pPr>
              <w:jc w:val="right"/>
              <w:rPr>
                <w:rFonts w:ascii="Arial" w:hAnsi="Arial"/>
                <w:sz w:val="20"/>
                <w:szCs w:val="20"/>
              </w:rPr>
            </w:pPr>
            <w:r w:rsidRPr="00C55C5A">
              <w:rPr>
                <w:rFonts w:ascii="Arial" w:hAnsi="Arial"/>
                <w:sz w:val="20"/>
                <w:szCs w:val="20"/>
              </w:rPr>
              <w:t>13.450.000,00</w:t>
            </w:r>
          </w:p>
          <w:p w14:paraId="105C505D" w14:textId="77777777" w:rsidR="00C55C5A" w:rsidRPr="00C55C5A" w:rsidRDefault="00C55C5A" w:rsidP="00C55C5A">
            <w:pPr>
              <w:jc w:val="right"/>
              <w:rPr>
                <w:rFonts w:ascii="Arial" w:hAnsi="Arial"/>
                <w:sz w:val="20"/>
                <w:szCs w:val="20"/>
              </w:rPr>
            </w:pPr>
          </w:p>
        </w:tc>
        <w:tc>
          <w:tcPr>
            <w:tcW w:w="1430" w:type="dxa"/>
            <w:shd w:val="clear" w:color="auto" w:fill="auto"/>
            <w:noWrap/>
            <w:vAlign w:val="bottom"/>
            <w:hideMark/>
          </w:tcPr>
          <w:p w14:paraId="4083C94B" w14:textId="77777777" w:rsidR="00C55C5A" w:rsidRPr="00C55C5A" w:rsidRDefault="00C55C5A" w:rsidP="00C55C5A">
            <w:pPr>
              <w:jc w:val="right"/>
              <w:rPr>
                <w:rFonts w:ascii="Arial" w:hAnsi="Arial"/>
                <w:sz w:val="20"/>
                <w:szCs w:val="20"/>
              </w:rPr>
            </w:pPr>
            <w:r w:rsidRPr="00C55C5A">
              <w:rPr>
                <w:rFonts w:ascii="Arial" w:hAnsi="Arial"/>
                <w:sz w:val="20"/>
                <w:szCs w:val="20"/>
              </w:rPr>
              <w:t>13.450.000,00</w:t>
            </w:r>
          </w:p>
          <w:p w14:paraId="1ACE13FF" w14:textId="77777777" w:rsidR="00C55C5A" w:rsidRPr="00C55C5A" w:rsidRDefault="00C55C5A" w:rsidP="00C55C5A">
            <w:pPr>
              <w:jc w:val="right"/>
              <w:rPr>
                <w:rFonts w:ascii="Arial" w:hAnsi="Arial"/>
                <w:sz w:val="20"/>
                <w:szCs w:val="20"/>
              </w:rPr>
            </w:pPr>
          </w:p>
        </w:tc>
        <w:tc>
          <w:tcPr>
            <w:tcW w:w="1688" w:type="dxa"/>
            <w:shd w:val="clear" w:color="auto" w:fill="auto"/>
            <w:noWrap/>
            <w:vAlign w:val="bottom"/>
            <w:hideMark/>
          </w:tcPr>
          <w:p w14:paraId="6EE1D7A1" w14:textId="77777777" w:rsidR="00C55C5A" w:rsidRPr="00C55C5A" w:rsidRDefault="00C55C5A" w:rsidP="00C55C5A">
            <w:pPr>
              <w:jc w:val="right"/>
              <w:rPr>
                <w:rFonts w:ascii="Arial" w:hAnsi="Arial"/>
                <w:sz w:val="20"/>
                <w:szCs w:val="20"/>
              </w:rPr>
            </w:pPr>
            <w:r w:rsidRPr="00C55C5A">
              <w:rPr>
                <w:rFonts w:ascii="Arial" w:hAnsi="Arial"/>
                <w:sz w:val="20"/>
                <w:szCs w:val="20"/>
              </w:rPr>
              <w:t>13.450.000,00</w:t>
            </w:r>
          </w:p>
          <w:p w14:paraId="691A2BF4" w14:textId="77777777" w:rsidR="00C55C5A" w:rsidRPr="00C55C5A" w:rsidRDefault="00C55C5A" w:rsidP="00C55C5A">
            <w:pPr>
              <w:jc w:val="right"/>
              <w:rPr>
                <w:rFonts w:ascii="Arial" w:hAnsi="Arial"/>
                <w:sz w:val="20"/>
                <w:szCs w:val="20"/>
              </w:rPr>
            </w:pPr>
          </w:p>
        </w:tc>
        <w:tc>
          <w:tcPr>
            <w:tcW w:w="1660" w:type="dxa"/>
            <w:shd w:val="clear" w:color="auto" w:fill="auto"/>
            <w:noWrap/>
            <w:vAlign w:val="bottom"/>
            <w:hideMark/>
          </w:tcPr>
          <w:p w14:paraId="2C152235" w14:textId="77777777" w:rsidR="00C55C5A" w:rsidRPr="00C55C5A" w:rsidRDefault="00C55C5A" w:rsidP="00C55C5A">
            <w:pPr>
              <w:jc w:val="right"/>
              <w:rPr>
                <w:rFonts w:ascii="Arial" w:hAnsi="Arial"/>
                <w:sz w:val="20"/>
                <w:szCs w:val="20"/>
              </w:rPr>
            </w:pPr>
            <w:r w:rsidRPr="00C55C5A">
              <w:rPr>
                <w:rFonts w:ascii="Arial" w:hAnsi="Arial"/>
                <w:sz w:val="20"/>
                <w:szCs w:val="20"/>
              </w:rPr>
              <w:t>53.800.000,00</w:t>
            </w:r>
          </w:p>
          <w:p w14:paraId="41CE1AAE" w14:textId="77777777" w:rsidR="00C55C5A" w:rsidRPr="00C55C5A" w:rsidRDefault="00C55C5A" w:rsidP="00C55C5A">
            <w:pPr>
              <w:jc w:val="right"/>
              <w:rPr>
                <w:rFonts w:ascii="Arial" w:hAnsi="Arial"/>
                <w:sz w:val="20"/>
                <w:szCs w:val="20"/>
              </w:rPr>
            </w:pPr>
          </w:p>
        </w:tc>
      </w:tr>
      <w:tr w:rsidR="00C55C5A" w:rsidRPr="00C55C5A" w14:paraId="47E2EE39" w14:textId="77777777" w:rsidTr="00E6701A">
        <w:trPr>
          <w:trHeight w:val="300"/>
        </w:trPr>
        <w:tc>
          <w:tcPr>
            <w:tcW w:w="1560" w:type="dxa"/>
            <w:shd w:val="clear" w:color="auto" w:fill="auto"/>
            <w:noWrap/>
            <w:vAlign w:val="bottom"/>
            <w:hideMark/>
          </w:tcPr>
          <w:p w14:paraId="76BEE5EA" w14:textId="77777777" w:rsidR="00C55C5A" w:rsidRPr="00C55C5A" w:rsidRDefault="00C55C5A" w:rsidP="00C55C5A">
            <w:pPr>
              <w:jc w:val="both"/>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1.2 Vsota</w:t>
            </w:r>
          </w:p>
        </w:tc>
        <w:tc>
          <w:tcPr>
            <w:tcW w:w="850" w:type="dxa"/>
            <w:shd w:val="clear" w:color="auto" w:fill="auto"/>
            <w:noWrap/>
            <w:vAlign w:val="bottom"/>
            <w:hideMark/>
          </w:tcPr>
          <w:p w14:paraId="148728E3" w14:textId="77777777" w:rsidR="00C55C5A" w:rsidRPr="00C55C5A" w:rsidRDefault="00C55C5A" w:rsidP="00C55C5A">
            <w:pPr>
              <w:jc w:val="both"/>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20384F14"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22.000.000,00</w:t>
            </w:r>
          </w:p>
        </w:tc>
        <w:tc>
          <w:tcPr>
            <w:tcW w:w="1547" w:type="dxa"/>
            <w:shd w:val="clear" w:color="auto" w:fill="auto"/>
            <w:noWrap/>
            <w:vAlign w:val="bottom"/>
            <w:hideMark/>
          </w:tcPr>
          <w:p w14:paraId="2B3E781A"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22.000.000,00</w:t>
            </w:r>
          </w:p>
        </w:tc>
        <w:tc>
          <w:tcPr>
            <w:tcW w:w="1430" w:type="dxa"/>
            <w:shd w:val="clear" w:color="auto" w:fill="auto"/>
            <w:noWrap/>
            <w:vAlign w:val="bottom"/>
            <w:hideMark/>
          </w:tcPr>
          <w:p w14:paraId="16923C03"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22.000.000,00</w:t>
            </w:r>
          </w:p>
        </w:tc>
        <w:tc>
          <w:tcPr>
            <w:tcW w:w="1688" w:type="dxa"/>
            <w:shd w:val="clear" w:color="auto" w:fill="auto"/>
            <w:noWrap/>
            <w:vAlign w:val="bottom"/>
            <w:hideMark/>
          </w:tcPr>
          <w:p w14:paraId="03150C45"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22.000.000,00</w:t>
            </w:r>
          </w:p>
        </w:tc>
        <w:tc>
          <w:tcPr>
            <w:tcW w:w="1660" w:type="dxa"/>
            <w:shd w:val="clear" w:color="auto" w:fill="auto"/>
            <w:noWrap/>
            <w:vAlign w:val="bottom"/>
            <w:hideMark/>
          </w:tcPr>
          <w:p w14:paraId="598469FD"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88.000.000,00</w:t>
            </w:r>
          </w:p>
        </w:tc>
      </w:tr>
      <w:tr w:rsidR="00C55C5A" w:rsidRPr="00C55C5A" w14:paraId="0F0404FD" w14:textId="77777777" w:rsidTr="00E6701A">
        <w:trPr>
          <w:trHeight w:val="300"/>
        </w:trPr>
        <w:tc>
          <w:tcPr>
            <w:tcW w:w="1560" w:type="dxa"/>
            <w:shd w:val="clear" w:color="auto" w:fill="auto"/>
            <w:noWrap/>
            <w:vAlign w:val="bottom"/>
            <w:hideMark/>
          </w:tcPr>
          <w:p w14:paraId="67D9CCFB"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3.1</w:t>
            </w:r>
          </w:p>
        </w:tc>
        <w:tc>
          <w:tcPr>
            <w:tcW w:w="850" w:type="dxa"/>
            <w:shd w:val="clear" w:color="auto" w:fill="auto"/>
            <w:noWrap/>
            <w:vAlign w:val="bottom"/>
            <w:hideMark/>
          </w:tcPr>
          <w:p w14:paraId="2999B5F1"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Vzhod</w:t>
            </w:r>
          </w:p>
        </w:tc>
        <w:tc>
          <w:tcPr>
            <w:tcW w:w="1430" w:type="dxa"/>
            <w:shd w:val="clear" w:color="auto" w:fill="auto"/>
            <w:noWrap/>
            <w:vAlign w:val="bottom"/>
            <w:hideMark/>
          </w:tcPr>
          <w:p w14:paraId="08E5A297"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13.875.000,00</w:t>
            </w:r>
          </w:p>
          <w:p w14:paraId="6C9B2BA2" w14:textId="77777777" w:rsidR="00C55C5A" w:rsidRPr="00C55C5A" w:rsidRDefault="00C55C5A" w:rsidP="00C55C5A">
            <w:pPr>
              <w:jc w:val="right"/>
              <w:outlineLvl w:val="1"/>
              <w:rPr>
                <w:rFonts w:ascii="Arial" w:hAnsi="Arial" w:cs="Arial"/>
                <w:color w:val="000000"/>
                <w:sz w:val="20"/>
                <w:szCs w:val="20"/>
                <w:lang w:val="sl-SI" w:eastAsia="sl-SI"/>
              </w:rPr>
            </w:pPr>
          </w:p>
        </w:tc>
        <w:tc>
          <w:tcPr>
            <w:tcW w:w="1547" w:type="dxa"/>
            <w:shd w:val="clear" w:color="auto" w:fill="auto"/>
            <w:noWrap/>
            <w:vAlign w:val="bottom"/>
            <w:hideMark/>
          </w:tcPr>
          <w:p w14:paraId="17E5C936"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13.875.000,00</w:t>
            </w:r>
          </w:p>
          <w:p w14:paraId="6564CAB2" w14:textId="77777777" w:rsidR="00C55C5A" w:rsidRPr="00C55C5A" w:rsidRDefault="00C55C5A" w:rsidP="00C55C5A">
            <w:pPr>
              <w:jc w:val="right"/>
              <w:outlineLvl w:val="1"/>
              <w:rPr>
                <w:rFonts w:ascii="Arial" w:hAnsi="Arial" w:cs="Arial"/>
                <w:color w:val="000000"/>
                <w:sz w:val="20"/>
                <w:szCs w:val="20"/>
                <w:lang w:val="sl-SI" w:eastAsia="sl-SI"/>
              </w:rPr>
            </w:pPr>
          </w:p>
        </w:tc>
        <w:tc>
          <w:tcPr>
            <w:tcW w:w="1430" w:type="dxa"/>
            <w:shd w:val="clear" w:color="auto" w:fill="auto"/>
            <w:noWrap/>
            <w:vAlign w:val="bottom"/>
            <w:hideMark/>
          </w:tcPr>
          <w:p w14:paraId="66C103B3"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13.875.000,00</w:t>
            </w:r>
          </w:p>
          <w:p w14:paraId="15B7DF98" w14:textId="77777777" w:rsidR="00C55C5A" w:rsidRPr="00C55C5A" w:rsidRDefault="00C55C5A" w:rsidP="00C55C5A">
            <w:pPr>
              <w:jc w:val="right"/>
              <w:outlineLvl w:val="1"/>
              <w:rPr>
                <w:rFonts w:ascii="Arial" w:hAnsi="Arial" w:cs="Arial"/>
                <w:color w:val="000000"/>
                <w:sz w:val="20"/>
                <w:szCs w:val="20"/>
                <w:lang w:val="sl-SI" w:eastAsia="sl-SI"/>
              </w:rPr>
            </w:pPr>
          </w:p>
        </w:tc>
        <w:tc>
          <w:tcPr>
            <w:tcW w:w="1688" w:type="dxa"/>
            <w:shd w:val="clear" w:color="auto" w:fill="auto"/>
            <w:noWrap/>
            <w:vAlign w:val="bottom"/>
            <w:hideMark/>
          </w:tcPr>
          <w:p w14:paraId="4A097D78"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13.875.000,00</w:t>
            </w:r>
          </w:p>
          <w:p w14:paraId="691F47B9" w14:textId="77777777" w:rsidR="00C55C5A" w:rsidRPr="00C55C5A" w:rsidRDefault="00C55C5A" w:rsidP="00C55C5A">
            <w:pPr>
              <w:jc w:val="right"/>
              <w:outlineLvl w:val="1"/>
              <w:rPr>
                <w:rFonts w:ascii="Arial" w:hAnsi="Arial" w:cs="Arial"/>
                <w:color w:val="000000"/>
                <w:sz w:val="20"/>
                <w:szCs w:val="20"/>
                <w:lang w:val="sl-SI" w:eastAsia="sl-SI"/>
              </w:rPr>
            </w:pPr>
          </w:p>
        </w:tc>
        <w:tc>
          <w:tcPr>
            <w:tcW w:w="1660" w:type="dxa"/>
            <w:shd w:val="clear" w:color="auto" w:fill="auto"/>
            <w:noWrap/>
            <w:vAlign w:val="bottom"/>
            <w:hideMark/>
          </w:tcPr>
          <w:p w14:paraId="700F69F5"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55.500.000,00</w:t>
            </w:r>
          </w:p>
          <w:p w14:paraId="1A60CF79" w14:textId="77777777" w:rsidR="00C55C5A" w:rsidRPr="00C55C5A" w:rsidRDefault="00C55C5A" w:rsidP="00C55C5A">
            <w:pPr>
              <w:jc w:val="right"/>
              <w:outlineLvl w:val="1"/>
              <w:rPr>
                <w:rFonts w:ascii="Arial" w:hAnsi="Arial" w:cs="Arial"/>
                <w:color w:val="000000"/>
                <w:sz w:val="20"/>
                <w:szCs w:val="20"/>
                <w:lang w:val="sl-SI" w:eastAsia="sl-SI"/>
              </w:rPr>
            </w:pPr>
          </w:p>
        </w:tc>
      </w:tr>
      <w:tr w:rsidR="00C55C5A" w:rsidRPr="00C55C5A" w14:paraId="432784D3" w14:textId="77777777" w:rsidTr="00E6701A">
        <w:trPr>
          <w:trHeight w:val="300"/>
        </w:trPr>
        <w:tc>
          <w:tcPr>
            <w:tcW w:w="1560" w:type="dxa"/>
            <w:shd w:val="clear" w:color="auto" w:fill="auto"/>
            <w:noWrap/>
            <w:vAlign w:val="bottom"/>
            <w:hideMark/>
          </w:tcPr>
          <w:p w14:paraId="284021F2"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3.1</w:t>
            </w:r>
          </w:p>
        </w:tc>
        <w:tc>
          <w:tcPr>
            <w:tcW w:w="850" w:type="dxa"/>
            <w:shd w:val="clear" w:color="auto" w:fill="auto"/>
            <w:noWrap/>
            <w:vAlign w:val="bottom"/>
            <w:hideMark/>
          </w:tcPr>
          <w:p w14:paraId="3F63180E"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Zahod</w:t>
            </w:r>
          </w:p>
        </w:tc>
        <w:tc>
          <w:tcPr>
            <w:tcW w:w="1430" w:type="dxa"/>
            <w:shd w:val="clear" w:color="auto" w:fill="auto"/>
            <w:noWrap/>
            <w:vAlign w:val="bottom"/>
            <w:hideMark/>
          </w:tcPr>
          <w:p w14:paraId="579EB471"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19.875.000,00</w:t>
            </w:r>
          </w:p>
          <w:p w14:paraId="7E7D2757" w14:textId="77777777" w:rsidR="00C55C5A" w:rsidRPr="00C55C5A" w:rsidRDefault="00C55C5A" w:rsidP="00C55C5A">
            <w:pPr>
              <w:jc w:val="right"/>
              <w:outlineLvl w:val="1"/>
              <w:rPr>
                <w:rFonts w:ascii="Arial" w:hAnsi="Arial" w:cs="Arial"/>
                <w:color w:val="000000"/>
                <w:sz w:val="20"/>
                <w:szCs w:val="20"/>
                <w:lang w:val="sl-SI" w:eastAsia="sl-SI"/>
              </w:rPr>
            </w:pPr>
          </w:p>
        </w:tc>
        <w:tc>
          <w:tcPr>
            <w:tcW w:w="1547" w:type="dxa"/>
            <w:shd w:val="clear" w:color="auto" w:fill="auto"/>
            <w:noWrap/>
            <w:vAlign w:val="bottom"/>
            <w:hideMark/>
          </w:tcPr>
          <w:p w14:paraId="225B4212"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19.875.000,00</w:t>
            </w:r>
          </w:p>
          <w:p w14:paraId="220283FC" w14:textId="77777777" w:rsidR="00C55C5A" w:rsidRPr="00C55C5A" w:rsidRDefault="00C55C5A" w:rsidP="00C55C5A">
            <w:pPr>
              <w:jc w:val="right"/>
              <w:outlineLvl w:val="1"/>
              <w:rPr>
                <w:rFonts w:ascii="Arial" w:hAnsi="Arial" w:cs="Arial"/>
                <w:color w:val="000000"/>
                <w:sz w:val="20"/>
                <w:szCs w:val="20"/>
                <w:lang w:val="sl-SI" w:eastAsia="sl-SI"/>
              </w:rPr>
            </w:pPr>
          </w:p>
        </w:tc>
        <w:tc>
          <w:tcPr>
            <w:tcW w:w="1430" w:type="dxa"/>
            <w:shd w:val="clear" w:color="auto" w:fill="auto"/>
            <w:noWrap/>
            <w:vAlign w:val="bottom"/>
            <w:hideMark/>
          </w:tcPr>
          <w:p w14:paraId="558E0D0C"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19.875.000,00</w:t>
            </w:r>
          </w:p>
          <w:p w14:paraId="45976F88" w14:textId="77777777" w:rsidR="00C55C5A" w:rsidRPr="00C55C5A" w:rsidRDefault="00C55C5A" w:rsidP="00C55C5A">
            <w:pPr>
              <w:jc w:val="right"/>
              <w:outlineLvl w:val="1"/>
              <w:rPr>
                <w:rFonts w:ascii="Arial" w:hAnsi="Arial" w:cs="Arial"/>
                <w:color w:val="000000"/>
                <w:sz w:val="20"/>
                <w:szCs w:val="20"/>
                <w:lang w:val="sl-SI" w:eastAsia="sl-SI"/>
              </w:rPr>
            </w:pPr>
          </w:p>
        </w:tc>
        <w:tc>
          <w:tcPr>
            <w:tcW w:w="1688" w:type="dxa"/>
            <w:shd w:val="clear" w:color="auto" w:fill="auto"/>
            <w:noWrap/>
            <w:vAlign w:val="bottom"/>
            <w:hideMark/>
          </w:tcPr>
          <w:p w14:paraId="5D9E9D01"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19.875.000,00</w:t>
            </w:r>
          </w:p>
          <w:p w14:paraId="28FA1F15" w14:textId="77777777" w:rsidR="00C55C5A" w:rsidRPr="00C55C5A" w:rsidRDefault="00C55C5A" w:rsidP="00C55C5A">
            <w:pPr>
              <w:jc w:val="right"/>
              <w:outlineLvl w:val="1"/>
              <w:rPr>
                <w:rFonts w:ascii="Arial" w:hAnsi="Arial" w:cs="Arial"/>
                <w:color w:val="000000"/>
                <w:sz w:val="20"/>
                <w:szCs w:val="20"/>
                <w:lang w:val="sl-SI" w:eastAsia="sl-SI"/>
              </w:rPr>
            </w:pPr>
          </w:p>
        </w:tc>
        <w:tc>
          <w:tcPr>
            <w:tcW w:w="1660" w:type="dxa"/>
            <w:shd w:val="clear" w:color="auto" w:fill="auto"/>
            <w:noWrap/>
            <w:vAlign w:val="bottom"/>
            <w:hideMark/>
          </w:tcPr>
          <w:p w14:paraId="1E873BCD" w14:textId="77777777" w:rsidR="00C55C5A" w:rsidRPr="00C55C5A" w:rsidRDefault="00C55C5A" w:rsidP="00C55C5A">
            <w:pPr>
              <w:jc w:val="right"/>
              <w:outlineLvl w:val="1"/>
              <w:rPr>
                <w:rFonts w:ascii="Arial" w:hAnsi="Arial" w:cs="Arial"/>
                <w:color w:val="000000"/>
                <w:sz w:val="20"/>
                <w:szCs w:val="20"/>
              </w:rPr>
            </w:pPr>
            <w:r w:rsidRPr="00C55C5A">
              <w:rPr>
                <w:rFonts w:ascii="Arial" w:hAnsi="Arial" w:cs="Arial"/>
                <w:color w:val="000000"/>
                <w:sz w:val="20"/>
                <w:szCs w:val="20"/>
              </w:rPr>
              <w:t>79.500.000,00</w:t>
            </w:r>
          </w:p>
          <w:p w14:paraId="450DF2C7" w14:textId="77777777" w:rsidR="00C55C5A" w:rsidRPr="00C55C5A" w:rsidRDefault="00C55C5A" w:rsidP="00C55C5A">
            <w:pPr>
              <w:jc w:val="right"/>
              <w:outlineLvl w:val="1"/>
              <w:rPr>
                <w:rFonts w:ascii="Arial" w:hAnsi="Arial" w:cs="Arial"/>
                <w:color w:val="000000"/>
                <w:sz w:val="20"/>
                <w:szCs w:val="20"/>
                <w:lang w:val="sl-SI" w:eastAsia="sl-SI"/>
              </w:rPr>
            </w:pPr>
          </w:p>
        </w:tc>
      </w:tr>
      <w:tr w:rsidR="00C55C5A" w:rsidRPr="00C55C5A" w14:paraId="5CD1F5D7" w14:textId="77777777" w:rsidTr="00E6701A">
        <w:trPr>
          <w:trHeight w:val="300"/>
        </w:trPr>
        <w:tc>
          <w:tcPr>
            <w:tcW w:w="1560" w:type="dxa"/>
            <w:shd w:val="clear" w:color="auto" w:fill="auto"/>
            <w:noWrap/>
            <w:vAlign w:val="bottom"/>
            <w:hideMark/>
          </w:tcPr>
          <w:p w14:paraId="5E1F65E5" w14:textId="77777777" w:rsidR="00C55C5A" w:rsidRPr="00C55C5A" w:rsidRDefault="00C55C5A" w:rsidP="00C55C5A">
            <w:pPr>
              <w:jc w:val="both"/>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3.1 Vsota</w:t>
            </w:r>
          </w:p>
        </w:tc>
        <w:tc>
          <w:tcPr>
            <w:tcW w:w="850" w:type="dxa"/>
            <w:shd w:val="clear" w:color="auto" w:fill="auto"/>
            <w:noWrap/>
            <w:vAlign w:val="bottom"/>
            <w:hideMark/>
          </w:tcPr>
          <w:p w14:paraId="7594FAD3" w14:textId="77777777" w:rsidR="00C55C5A" w:rsidRPr="00C55C5A" w:rsidRDefault="00C55C5A" w:rsidP="00C55C5A">
            <w:pPr>
              <w:jc w:val="both"/>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6F675B6C"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33.750.000,00</w:t>
            </w:r>
          </w:p>
        </w:tc>
        <w:tc>
          <w:tcPr>
            <w:tcW w:w="1547" w:type="dxa"/>
            <w:shd w:val="clear" w:color="auto" w:fill="auto"/>
            <w:noWrap/>
            <w:vAlign w:val="bottom"/>
            <w:hideMark/>
          </w:tcPr>
          <w:p w14:paraId="6B2B384A"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33.750.000,00</w:t>
            </w:r>
          </w:p>
        </w:tc>
        <w:tc>
          <w:tcPr>
            <w:tcW w:w="1430" w:type="dxa"/>
            <w:shd w:val="clear" w:color="auto" w:fill="auto"/>
            <w:noWrap/>
            <w:vAlign w:val="bottom"/>
            <w:hideMark/>
          </w:tcPr>
          <w:p w14:paraId="741B6B09"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33.750.000,00</w:t>
            </w:r>
          </w:p>
        </w:tc>
        <w:tc>
          <w:tcPr>
            <w:tcW w:w="1688" w:type="dxa"/>
            <w:shd w:val="clear" w:color="auto" w:fill="auto"/>
            <w:noWrap/>
            <w:vAlign w:val="bottom"/>
            <w:hideMark/>
          </w:tcPr>
          <w:p w14:paraId="5AE637B9"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33.750.000,00</w:t>
            </w:r>
          </w:p>
        </w:tc>
        <w:tc>
          <w:tcPr>
            <w:tcW w:w="1660" w:type="dxa"/>
            <w:shd w:val="clear" w:color="auto" w:fill="auto"/>
            <w:noWrap/>
            <w:vAlign w:val="bottom"/>
            <w:hideMark/>
          </w:tcPr>
          <w:p w14:paraId="4CF48CFF"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135.000.000,00</w:t>
            </w:r>
          </w:p>
        </w:tc>
      </w:tr>
      <w:tr w:rsidR="00C55C5A" w:rsidRPr="00C55C5A" w14:paraId="602A27C4" w14:textId="77777777" w:rsidTr="00E6701A">
        <w:trPr>
          <w:trHeight w:val="300"/>
        </w:trPr>
        <w:tc>
          <w:tcPr>
            <w:tcW w:w="1560" w:type="dxa"/>
            <w:shd w:val="clear" w:color="auto" w:fill="auto"/>
            <w:noWrap/>
            <w:vAlign w:val="bottom"/>
            <w:hideMark/>
          </w:tcPr>
          <w:p w14:paraId="7DD125D3"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4.1</w:t>
            </w:r>
          </w:p>
        </w:tc>
        <w:tc>
          <w:tcPr>
            <w:tcW w:w="850" w:type="dxa"/>
            <w:shd w:val="clear" w:color="auto" w:fill="auto"/>
            <w:noWrap/>
            <w:vAlign w:val="bottom"/>
            <w:hideMark/>
          </w:tcPr>
          <w:p w14:paraId="5BA4FEFF"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SI</w:t>
            </w:r>
          </w:p>
        </w:tc>
        <w:tc>
          <w:tcPr>
            <w:tcW w:w="1430" w:type="dxa"/>
            <w:shd w:val="clear" w:color="auto" w:fill="auto"/>
            <w:noWrap/>
            <w:vAlign w:val="bottom"/>
            <w:hideMark/>
          </w:tcPr>
          <w:p w14:paraId="63D7537A"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6.250.000,00</w:t>
            </w:r>
          </w:p>
        </w:tc>
        <w:tc>
          <w:tcPr>
            <w:tcW w:w="1547" w:type="dxa"/>
            <w:shd w:val="clear" w:color="auto" w:fill="auto"/>
            <w:noWrap/>
            <w:vAlign w:val="bottom"/>
            <w:hideMark/>
          </w:tcPr>
          <w:p w14:paraId="56AA5D2A"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6.250.000,00</w:t>
            </w:r>
          </w:p>
        </w:tc>
        <w:tc>
          <w:tcPr>
            <w:tcW w:w="1430" w:type="dxa"/>
            <w:shd w:val="clear" w:color="auto" w:fill="auto"/>
            <w:noWrap/>
            <w:vAlign w:val="bottom"/>
            <w:hideMark/>
          </w:tcPr>
          <w:p w14:paraId="60C4F909"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6.250.000,00</w:t>
            </w:r>
          </w:p>
        </w:tc>
        <w:tc>
          <w:tcPr>
            <w:tcW w:w="1688" w:type="dxa"/>
            <w:shd w:val="clear" w:color="auto" w:fill="auto"/>
            <w:noWrap/>
            <w:vAlign w:val="bottom"/>
            <w:hideMark/>
          </w:tcPr>
          <w:p w14:paraId="7F92B3DE"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6.250.000,00</w:t>
            </w:r>
          </w:p>
        </w:tc>
        <w:tc>
          <w:tcPr>
            <w:tcW w:w="1660" w:type="dxa"/>
            <w:shd w:val="clear" w:color="auto" w:fill="auto"/>
            <w:noWrap/>
            <w:vAlign w:val="bottom"/>
            <w:hideMark/>
          </w:tcPr>
          <w:p w14:paraId="3A0B578A"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25.000.000,00</w:t>
            </w:r>
          </w:p>
        </w:tc>
      </w:tr>
      <w:tr w:rsidR="00C55C5A" w:rsidRPr="00C55C5A" w14:paraId="4E6CE80C" w14:textId="77777777" w:rsidTr="00E6701A">
        <w:trPr>
          <w:trHeight w:val="300"/>
        </w:trPr>
        <w:tc>
          <w:tcPr>
            <w:tcW w:w="1560" w:type="dxa"/>
            <w:shd w:val="clear" w:color="auto" w:fill="auto"/>
            <w:noWrap/>
            <w:vAlign w:val="bottom"/>
            <w:hideMark/>
          </w:tcPr>
          <w:p w14:paraId="4C4473DA" w14:textId="77777777" w:rsidR="00C55C5A" w:rsidRPr="00C55C5A" w:rsidRDefault="00C55C5A" w:rsidP="00C55C5A">
            <w:pPr>
              <w:jc w:val="both"/>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4.1 Vsota</w:t>
            </w:r>
          </w:p>
        </w:tc>
        <w:tc>
          <w:tcPr>
            <w:tcW w:w="850" w:type="dxa"/>
            <w:shd w:val="clear" w:color="auto" w:fill="auto"/>
            <w:noWrap/>
            <w:vAlign w:val="bottom"/>
            <w:hideMark/>
          </w:tcPr>
          <w:p w14:paraId="791D5061" w14:textId="77777777" w:rsidR="00C55C5A" w:rsidRPr="00C55C5A" w:rsidRDefault="00C55C5A" w:rsidP="00C55C5A">
            <w:pPr>
              <w:jc w:val="both"/>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74A17F70"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6.250.000,00</w:t>
            </w:r>
          </w:p>
        </w:tc>
        <w:tc>
          <w:tcPr>
            <w:tcW w:w="1547" w:type="dxa"/>
            <w:shd w:val="clear" w:color="auto" w:fill="auto"/>
            <w:noWrap/>
            <w:vAlign w:val="bottom"/>
            <w:hideMark/>
          </w:tcPr>
          <w:p w14:paraId="72A2E299"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6.250.000,00</w:t>
            </w:r>
          </w:p>
        </w:tc>
        <w:tc>
          <w:tcPr>
            <w:tcW w:w="1430" w:type="dxa"/>
            <w:shd w:val="clear" w:color="auto" w:fill="auto"/>
            <w:noWrap/>
            <w:vAlign w:val="bottom"/>
            <w:hideMark/>
          </w:tcPr>
          <w:p w14:paraId="6DDBEB9C"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6.250.000,00</w:t>
            </w:r>
          </w:p>
        </w:tc>
        <w:tc>
          <w:tcPr>
            <w:tcW w:w="1688" w:type="dxa"/>
            <w:shd w:val="clear" w:color="auto" w:fill="auto"/>
            <w:noWrap/>
            <w:vAlign w:val="bottom"/>
            <w:hideMark/>
          </w:tcPr>
          <w:p w14:paraId="28EAAC65"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6.250.000,00</w:t>
            </w:r>
          </w:p>
        </w:tc>
        <w:tc>
          <w:tcPr>
            <w:tcW w:w="1660" w:type="dxa"/>
            <w:shd w:val="clear" w:color="auto" w:fill="auto"/>
            <w:noWrap/>
            <w:vAlign w:val="bottom"/>
            <w:hideMark/>
          </w:tcPr>
          <w:p w14:paraId="4DE467BF"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25.000.000,00</w:t>
            </w:r>
          </w:p>
        </w:tc>
      </w:tr>
      <w:tr w:rsidR="00C55C5A" w:rsidRPr="00C55C5A" w14:paraId="605BA4FE" w14:textId="77777777" w:rsidTr="00E6701A">
        <w:trPr>
          <w:trHeight w:val="300"/>
        </w:trPr>
        <w:tc>
          <w:tcPr>
            <w:tcW w:w="1560" w:type="dxa"/>
            <w:shd w:val="clear" w:color="auto" w:fill="auto"/>
            <w:noWrap/>
            <w:vAlign w:val="bottom"/>
            <w:hideMark/>
          </w:tcPr>
          <w:p w14:paraId="430EF026"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6.3</w:t>
            </w:r>
          </w:p>
        </w:tc>
        <w:tc>
          <w:tcPr>
            <w:tcW w:w="850" w:type="dxa"/>
            <w:shd w:val="clear" w:color="auto" w:fill="auto"/>
            <w:noWrap/>
            <w:vAlign w:val="bottom"/>
            <w:hideMark/>
          </w:tcPr>
          <w:p w14:paraId="2F1FA8D7"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Vzhod</w:t>
            </w:r>
          </w:p>
        </w:tc>
        <w:tc>
          <w:tcPr>
            <w:tcW w:w="1430" w:type="dxa"/>
            <w:shd w:val="clear" w:color="auto" w:fill="auto"/>
            <w:noWrap/>
            <w:vAlign w:val="bottom"/>
            <w:hideMark/>
          </w:tcPr>
          <w:p w14:paraId="6C9CFB12"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800.000,00</w:t>
            </w:r>
          </w:p>
        </w:tc>
        <w:tc>
          <w:tcPr>
            <w:tcW w:w="1547" w:type="dxa"/>
            <w:shd w:val="clear" w:color="auto" w:fill="auto"/>
            <w:noWrap/>
            <w:vAlign w:val="bottom"/>
            <w:hideMark/>
          </w:tcPr>
          <w:p w14:paraId="5D58DFDE"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800.000,00</w:t>
            </w:r>
          </w:p>
        </w:tc>
        <w:tc>
          <w:tcPr>
            <w:tcW w:w="1430" w:type="dxa"/>
            <w:shd w:val="clear" w:color="auto" w:fill="auto"/>
            <w:noWrap/>
            <w:vAlign w:val="bottom"/>
            <w:hideMark/>
          </w:tcPr>
          <w:p w14:paraId="35912B14"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800.000,00</w:t>
            </w:r>
          </w:p>
        </w:tc>
        <w:tc>
          <w:tcPr>
            <w:tcW w:w="1688" w:type="dxa"/>
            <w:shd w:val="clear" w:color="auto" w:fill="auto"/>
            <w:noWrap/>
            <w:vAlign w:val="bottom"/>
            <w:hideMark/>
          </w:tcPr>
          <w:p w14:paraId="1D2E7988"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800.000,00</w:t>
            </w:r>
          </w:p>
        </w:tc>
        <w:tc>
          <w:tcPr>
            <w:tcW w:w="1660" w:type="dxa"/>
            <w:shd w:val="clear" w:color="auto" w:fill="auto"/>
            <w:noWrap/>
            <w:vAlign w:val="bottom"/>
            <w:hideMark/>
          </w:tcPr>
          <w:p w14:paraId="1AF91307"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3.200.000,00</w:t>
            </w:r>
          </w:p>
        </w:tc>
      </w:tr>
      <w:tr w:rsidR="00C55C5A" w:rsidRPr="00C55C5A" w14:paraId="768BCA06" w14:textId="77777777" w:rsidTr="00E6701A">
        <w:trPr>
          <w:trHeight w:val="300"/>
        </w:trPr>
        <w:tc>
          <w:tcPr>
            <w:tcW w:w="1560" w:type="dxa"/>
            <w:shd w:val="clear" w:color="auto" w:fill="auto"/>
            <w:noWrap/>
            <w:vAlign w:val="bottom"/>
            <w:hideMark/>
          </w:tcPr>
          <w:p w14:paraId="36D59FFB"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6.3</w:t>
            </w:r>
          </w:p>
        </w:tc>
        <w:tc>
          <w:tcPr>
            <w:tcW w:w="850" w:type="dxa"/>
            <w:shd w:val="clear" w:color="auto" w:fill="auto"/>
            <w:noWrap/>
            <w:vAlign w:val="bottom"/>
            <w:hideMark/>
          </w:tcPr>
          <w:p w14:paraId="3C6735C1" w14:textId="77777777" w:rsidR="00C55C5A" w:rsidRPr="00C55C5A" w:rsidRDefault="00C55C5A" w:rsidP="00C55C5A">
            <w:pPr>
              <w:jc w:val="both"/>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Zahod</w:t>
            </w:r>
          </w:p>
        </w:tc>
        <w:tc>
          <w:tcPr>
            <w:tcW w:w="1430" w:type="dxa"/>
            <w:shd w:val="clear" w:color="auto" w:fill="auto"/>
            <w:noWrap/>
            <w:vAlign w:val="bottom"/>
            <w:hideMark/>
          </w:tcPr>
          <w:p w14:paraId="5E85F139"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450.000,00</w:t>
            </w:r>
          </w:p>
        </w:tc>
        <w:tc>
          <w:tcPr>
            <w:tcW w:w="1547" w:type="dxa"/>
            <w:shd w:val="clear" w:color="auto" w:fill="auto"/>
            <w:noWrap/>
            <w:vAlign w:val="bottom"/>
            <w:hideMark/>
          </w:tcPr>
          <w:p w14:paraId="5383F5D1"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450.000,00</w:t>
            </w:r>
          </w:p>
        </w:tc>
        <w:tc>
          <w:tcPr>
            <w:tcW w:w="1430" w:type="dxa"/>
            <w:shd w:val="clear" w:color="auto" w:fill="auto"/>
            <w:noWrap/>
            <w:vAlign w:val="bottom"/>
            <w:hideMark/>
          </w:tcPr>
          <w:p w14:paraId="087A322A"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450.000,00</w:t>
            </w:r>
          </w:p>
        </w:tc>
        <w:tc>
          <w:tcPr>
            <w:tcW w:w="1688" w:type="dxa"/>
            <w:shd w:val="clear" w:color="auto" w:fill="auto"/>
            <w:noWrap/>
            <w:vAlign w:val="bottom"/>
            <w:hideMark/>
          </w:tcPr>
          <w:p w14:paraId="52E32390"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450.000,00</w:t>
            </w:r>
          </w:p>
        </w:tc>
        <w:tc>
          <w:tcPr>
            <w:tcW w:w="1660" w:type="dxa"/>
            <w:shd w:val="clear" w:color="auto" w:fill="auto"/>
            <w:noWrap/>
            <w:vAlign w:val="bottom"/>
            <w:hideMark/>
          </w:tcPr>
          <w:p w14:paraId="6ED82EE4" w14:textId="77777777" w:rsidR="00C55C5A" w:rsidRPr="00C55C5A" w:rsidRDefault="00C55C5A" w:rsidP="00C55C5A">
            <w:pPr>
              <w:jc w:val="right"/>
              <w:outlineLvl w:val="1"/>
              <w:rPr>
                <w:rFonts w:ascii="Arial" w:hAnsi="Arial" w:cs="Arial"/>
                <w:color w:val="000000"/>
                <w:sz w:val="20"/>
                <w:szCs w:val="20"/>
                <w:lang w:val="sl-SI" w:eastAsia="sl-SI"/>
              </w:rPr>
            </w:pPr>
            <w:r w:rsidRPr="00C55C5A">
              <w:rPr>
                <w:rFonts w:ascii="Arial" w:hAnsi="Arial" w:cs="Arial"/>
                <w:color w:val="000000"/>
                <w:sz w:val="20"/>
                <w:szCs w:val="20"/>
                <w:lang w:val="sl-SI" w:eastAsia="sl-SI"/>
              </w:rPr>
              <w:t>1.800.000,00</w:t>
            </w:r>
          </w:p>
        </w:tc>
      </w:tr>
      <w:tr w:rsidR="00C55C5A" w:rsidRPr="00C55C5A" w14:paraId="486130D3" w14:textId="77777777" w:rsidTr="00E6701A">
        <w:trPr>
          <w:trHeight w:val="300"/>
        </w:trPr>
        <w:tc>
          <w:tcPr>
            <w:tcW w:w="1560" w:type="dxa"/>
            <w:shd w:val="clear" w:color="auto" w:fill="auto"/>
            <w:noWrap/>
            <w:vAlign w:val="bottom"/>
            <w:hideMark/>
          </w:tcPr>
          <w:p w14:paraId="6BD24947" w14:textId="77777777" w:rsidR="00C55C5A" w:rsidRPr="00C55C5A" w:rsidRDefault="00C55C5A" w:rsidP="00C55C5A">
            <w:pPr>
              <w:jc w:val="both"/>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6.3 Vsota</w:t>
            </w:r>
          </w:p>
        </w:tc>
        <w:tc>
          <w:tcPr>
            <w:tcW w:w="850" w:type="dxa"/>
            <w:shd w:val="clear" w:color="auto" w:fill="auto"/>
            <w:noWrap/>
            <w:vAlign w:val="bottom"/>
            <w:hideMark/>
          </w:tcPr>
          <w:p w14:paraId="7D5227CB" w14:textId="77777777" w:rsidR="00C55C5A" w:rsidRPr="00C55C5A" w:rsidRDefault="00C55C5A" w:rsidP="00C55C5A">
            <w:pPr>
              <w:jc w:val="both"/>
              <w:outlineLvl w:val="0"/>
              <w:rPr>
                <w:rFonts w:ascii="Arial" w:hAnsi="Arial" w:cs="Arial"/>
                <w:b/>
                <w:bCs/>
                <w:color w:val="000000"/>
                <w:sz w:val="20"/>
                <w:szCs w:val="20"/>
                <w:lang w:val="sl-SI" w:eastAsia="sl-SI"/>
              </w:rPr>
            </w:pPr>
          </w:p>
        </w:tc>
        <w:tc>
          <w:tcPr>
            <w:tcW w:w="1430" w:type="dxa"/>
            <w:shd w:val="clear" w:color="auto" w:fill="auto"/>
            <w:noWrap/>
            <w:vAlign w:val="bottom"/>
            <w:hideMark/>
          </w:tcPr>
          <w:p w14:paraId="53CD9274"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1.250.000,00</w:t>
            </w:r>
          </w:p>
        </w:tc>
        <w:tc>
          <w:tcPr>
            <w:tcW w:w="1547" w:type="dxa"/>
            <w:shd w:val="clear" w:color="auto" w:fill="auto"/>
            <w:noWrap/>
            <w:vAlign w:val="bottom"/>
            <w:hideMark/>
          </w:tcPr>
          <w:p w14:paraId="107841C9"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1.250.000,00</w:t>
            </w:r>
          </w:p>
        </w:tc>
        <w:tc>
          <w:tcPr>
            <w:tcW w:w="1430" w:type="dxa"/>
            <w:shd w:val="clear" w:color="auto" w:fill="auto"/>
            <w:noWrap/>
            <w:vAlign w:val="bottom"/>
            <w:hideMark/>
          </w:tcPr>
          <w:p w14:paraId="70808718"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1.250.000,00</w:t>
            </w:r>
          </w:p>
        </w:tc>
        <w:tc>
          <w:tcPr>
            <w:tcW w:w="1688" w:type="dxa"/>
            <w:shd w:val="clear" w:color="auto" w:fill="auto"/>
            <w:noWrap/>
            <w:vAlign w:val="bottom"/>
            <w:hideMark/>
          </w:tcPr>
          <w:p w14:paraId="0DCBA413"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1.250.000,00</w:t>
            </w:r>
          </w:p>
        </w:tc>
        <w:tc>
          <w:tcPr>
            <w:tcW w:w="1660" w:type="dxa"/>
            <w:shd w:val="clear" w:color="auto" w:fill="auto"/>
            <w:noWrap/>
            <w:vAlign w:val="bottom"/>
            <w:hideMark/>
          </w:tcPr>
          <w:p w14:paraId="58622639" w14:textId="77777777" w:rsidR="00C55C5A" w:rsidRPr="00C55C5A" w:rsidRDefault="00C55C5A" w:rsidP="00C55C5A">
            <w:pPr>
              <w:jc w:val="right"/>
              <w:outlineLvl w:val="0"/>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5.000.000,00</w:t>
            </w:r>
          </w:p>
        </w:tc>
      </w:tr>
      <w:tr w:rsidR="00C55C5A" w:rsidRPr="00C55C5A" w14:paraId="52C5E07D" w14:textId="77777777" w:rsidTr="00E6701A">
        <w:trPr>
          <w:trHeight w:val="300"/>
        </w:trPr>
        <w:tc>
          <w:tcPr>
            <w:tcW w:w="1560" w:type="dxa"/>
            <w:shd w:val="clear" w:color="auto" w:fill="auto"/>
            <w:noWrap/>
            <w:vAlign w:val="bottom"/>
            <w:hideMark/>
          </w:tcPr>
          <w:p w14:paraId="539AD981" w14:textId="77777777" w:rsidR="00C55C5A" w:rsidRPr="00C55C5A" w:rsidRDefault="00C55C5A" w:rsidP="00C55C5A">
            <w:pPr>
              <w:jc w:val="both"/>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Skupna vsota</w:t>
            </w:r>
          </w:p>
        </w:tc>
        <w:tc>
          <w:tcPr>
            <w:tcW w:w="850" w:type="dxa"/>
            <w:shd w:val="clear" w:color="auto" w:fill="auto"/>
            <w:noWrap/>
            <w:vAlign w:val="bottom"/>
            <w:hideMark/>
          </w:tcPr>
          <w:p w14:paraId="7697154F" w14:textId="77777777" w:rsidR="00C55C5A" w:rsidRPr="00C55C5A" w:rsidRDefault="00C55C5A" w:rsidP="00C55C5A">
            <w:pPr>
              <w:jc w:val="both"/>
              <w:rPr>
                <w:rFonts w:ascii="Arial" w:hAnsi="Arial" w:cs="Arial"/>
                <w:b/>
                <w:bCs/>
                <w:color w:val="000000"/>
                <w:sz w:val="20"/>
                <w:szCs w:val="20"/>
                <w:lang w:val="sl-SI" w:eastAsia="sl-SI"/>
              </w:rPr>
            </w:pPr>
          </w:p>
        </w:tc>
        <w:tc>
          <w:tcPr>
            <w:tcW w:w="1430" w:type="dxa"/>
            <w:shd w:val="clear" w:color="auto" w:fill="auto"/>
            <w:noWrap/>
            <w:vAlign w:val="bottom"/>
            <w:hideMark/>
          </w:tcPr>
          <w:p w14:paraId="1D1963AC" w14:textId="77777777" w:rsidR="00C55C5A" w:rsidRPr="00C55C5A" w:rsidRDefault="00C55C5A" w:rsidP="00C55C5A">
            <w:pPr>
              <w:jc w:val="right"/>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63.250.000,00</w:t>
            </w:r>
          </w:p>
        </w:tc>
        <w:tc>
          <w:tcPr>
            <w:tcW w:w="1547" w:type="dxa"/>
            <w:shd w:val="clear" w:color="auto" w:fill="auto"/>
            <w:noWrap/>
            <w:vAlign w:val="bottom"/>
            <w:hideMark/>
          </w:tcPr>
          <w:p w14:paraId="72118D94" w14:textId="77777777" w:rsidR="00C55C5A" w:rsidRPr="00C55C5A" w:rsidRDefault="00C55C5A" w:rsidP="00C55C5A">
            <w:pPr>
              <w:jc w:val="right"/>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63.250.000,00</w:t>
            </w:r>
          </w:p>
        </w:tc>
        <w:tc>
          <w:tcPr>
            <w:tcW w:w="1430" w:type="dxa"/>
            <w:shd w:val="clear" w:color="auto" w:fill="auto"/>
            <w:noWrap/>
            <w:vAlign w:val="bottom"/>
            <w:hideMark/>
          </w:tcPr>
          <w:p w14:paraId="26716DA3" w14:textId="77777777" w:rsidR="00C55C5A" w:rsidRPr="00C55C5A" w:rsidRDefault="00C55C5A" w:rsidP="00C55C5A">
            <w:pPr>
              <w:jc w:val="right"/>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63.250.000,00</w:t>
            </w:r>
          </w:p>
        </w:tc>
        <w:tc>
          <w:tcPr>
            <w:tcW w:w="1688" w:type="dxa"/>
            <w:shd w:val="clear" w:color="auto" w:fill="auto"/>
            <w:noWrap/>
            <w:vAlign w:val="bottom"/>
            <w:hideMark/>
          </w:tcPr>
          <w:p w14:paraId="6887DE41" w14:textId="77777777" w:rsidR="00C55C5A" w:rsidRPr="00C55C5A" w:rsidRDefault="00C55C5A" w:rsidP="00C55C5A">
            <w:pPr>
              <w:jc w:val="right"/>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63.250.000,00</w:t>
            </w:r>
          </w:p>
        </w:tc>
        <w:tc>
          <w:tcPr>
            <w:tcW w:w="1660" w:type="dxa"/>
            <w:shd w:val="clear" w:color="auto" w:fill="auto"/>
            <w:noWrap/>
            <w:vAlign w:val="bottom"/>
            <w:hideMark/>
          </w:tcPr>
          <w:p w14:paraId="3F664DDD" w14:textId="77777777" w:rsidR="00C55C5A" w:rsidRPr="00C55C5A" w:rsidRDefault="00C55C5A" w:rsidP="00C55C5A">
            <w:pPr>
              <w:jc w:val="right"/>
              <w:rPr>
                <w:rFonts w:ascii="Arial" w:hAnsi="Arial" w:cs="Arial"/>
                <w:b/>
                <w:bCs/>
                <w:color w:val="000000"/>
                <w:sz w:val="20"/>
                <w:szCs w:val="20"/>
                <w:lang w:val="sl-SI" w:eastAsia="sl-SI"/>
              </w:rPr>
            </w:pPr>
            <w:r w:rsidRPr="00C55C5A">
              <w:rPr>
                <w:rFonts w:ascii="Arial" w:hAnsi="Arial" w:cs="Arial"/>
                <w:b/>
                <w:bCs/>
                <w:color w:val="000000"/>
                <w:sz w:val="20"/>
                <w:szCs w:val="20"/>
                <w:lang w:val="sl-SI" w:eastAsia="sl-SI"/>
              </w:rPr>
              <w:t>253.000.000,00</w:t>
            </w:r>
          </w:p>
        </w:tc>
      </w:tr>
    </w:tbl>
    <w:p w14:paraId="0C420703" w14:textId="77777777" w:rsidR="00C55C5A" w:rsidRPr="00C55C5A" w:rsidRDefault="00C55C5A" w:rsidP="00C55C5A">
      <w:pPr>
        <w:jc w:val="both"/>
        <w:rPr>
          <w:rFonts w:ascii="Arial" w:hAnsi="Arial" w:cs="Arial"/>
          <w:sz w:val="20"/>
          <w:szCs w:val="20"/>
          <w:lang w:val="sl-SI"/>
        </w:rPr>
      </w:pPr>
    </w:p>
    <w:p w14:paraId="5C13AB45" w14:textId="77777777" w:rsidR="00C55C5A" w:rsidRPr="00C55C5A" w:rsidRDefault="00C55C5A" w:rsidP="00C55C5A">
      <w:pPr>
        <w:spacing w:after="10"/>
        <w:ind w:right="256"/>
        <w:jc w:val="both"/>
        <w:rPr>
          <w:rFonts w:ascii="Arial" w:eastAsia="Georgia" w:hAnsi="Arial" w:cs="Arial"/>
          <w:sz w:val="22"/>
          <w:szCs w:val="22"/>
          <w:lang w:val="sl-SI" w:eastAsia="sl-SI"/>
        </w:rPr>
      </w:pPr>
      <w:r w:rsidRPr="00C55C5A">
        <w:rPr>
          <w:rFonts w:ascii="Arial" w:eastAsia="Calibri" w:hAnsi="Arial" w:cs="Arial"/>
          <w:color w:val="000000"/>
          <w:sz w:val="22"/>
          <w:szCs w:val="22"/>
          <w:lang w:val="sl-SI"/>
        </w:rPr>
        <w:t>Upravljavec sklada skladov se v sporazumu o financiranju med drugim zaveže k rednemu plasiranju sredstev (prek finančnih posrednikov ali neposredno) do končnih prejemnikov.</w:t>
      </w:r>
    </w:p>
    <w:p w14:paraId="799E6435" w14:textId="77777777" w:rsidR="00C55C5A" w:rsidRPr="00C55C5A" w:rsidRDefault="00C55C5A" w:rsidP="00C55C5A">
      <w:p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V nadaljevanju so predstavljeni finančni instrumenti po področjih in sicer:</w:t>
      </w:r>
    </w:p>
    <w:p w14:paraId="4C7745E8" w14:textId="77777777" w:rsidR="00C55C5A" w:rsidRPr="00C55C5A" w:rsidRDefault="00C55C5A" w:rsidP="00C55C5A">
      <w:pPr>
        <w:numPr>
          <w:ilvl w:val="0"/>
          <w:numId w:val="4"/>
        </w:num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Finančni instrumenti za MSP (financirani iz TC 3),</w:t>
      </w:r>
    </w:p>
    <w:p w14:paraId="16C1AA7A" w14:textId="77777777" w:rsidR="00C55C5A" w:rsidRPr="00C55C5A" w:rsidRDefault="00C55C5A" w:rsidP="00C55C5A">
      <w:pPr>
        <w:numPr>
          <w:ilvl w:val="0"/>
          <w:numId w:val="4"/>
        </w:num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Finančni instrumenti za RRI za MSP in velika podjetja (financirani iz TC 1),</w:t>
      </w:r>
    </w:p>
    <w:p w14:paraId="1EB5D1F4" w14:textId="77777777" w:rsidR="00C55C5A" w:rsidRPr="00C55C5A" w:rsidRDefault="00C55C5A" w:rsidP="00C55C5A">
      <w:pPr>
        <w:numPr>
          <w:ilvl w:val="0"/>
          <w:numId w:val="4"/>
        </w:num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Finančni instrumenti za energetsko učinkovitost (financirani iz TC 4) in</w:t>
      </w:r>
    </w:p>
    <w:p w14:paraId="404449FE" w14:textId="77777777" w:rsidR="00C55C5A" w:rsidRPr="00C55C5A" w:rsidRDefault="00C55C5A" w:rsidP="00C55C5A">
      <w:pPr>
        <w:numPr>
          <w:ilvl w:val="0"/>
          <w:numId w:val="4"/>
        </w:num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Finančni instrumenti za urbani razvoj (financirani iz TC 6).</w:t>
      </w:r>
    </w:p>
    <w:p w14:paraId="16D772A3" w14:textId="77777777" w:rsidR="00C55C5A" w:rsidRPr="00C55C5A" w:rsidRDefault="00C55C5A" w:rsidP="00C55C5A">
      <w:pPr>
        <w:spacing w:after="90"/>
        <w:jc w:val="both"/>
        <w:rPr>
          <w:rFonts w:ascii="Arial" w:eastAsia="Georgia" w:hAnsi="Arial" w:cs="Arial"/>
          <w:sz w:val="22"/>
          <w:szCs w:val="22"/>
          <w:lang w:val="sl-SI"/>
        </w:rPr>
      </w:pPr>
    </w:p>
    <w:p w14:paraId="62559720" w14:textId="77777777" w:rsidR="00C55C5A" w:rsidRPr="00C55C5A" w:rsidRDefault="00C55C5A" w:rsidP="00C55C5A">
      <w:pPr>
        <w:keepNext/>
        <w:keepLines/>
        <w:spacing w:before="40"/>
        <w:jc w:val="both"/>
        <w:outlineLvl w:val="3"/>
        <w:rPr>
          <w:rFonts w:ascii="Arial" w:eastAsia="Georgia" w:hAnsi="Arial" w:cs="Arial"/>
          <w:b/>
          <w:i/>
          <w:iCs/>
          <w:color w:val="2E74B5"/>
          <w:sz w:val="22"/>
          <w:lang w:val="sl-SI" w:eastAsia="sl-SI"/>
        </w:rPr>
      </w:pPr>
      <w:r w:rsidRPr="00C55C5A">
        <w:rPr>
          <w:rFonts w:ascii="Arial" w:eastAsia="Georgia" w:hAnsi="Arial" w:cs="Arial"/>
          <w:b/>
          <w:i/>
          <w:iCs/>
          <w:color w:val="2E74B5"/>
          <w:sz w:val="22"/>
          <w:lang w:val="sl-SI" w:eastAsia="sl-SI"/>
        </w:rPr>
        <w:t xml:space="preserve">3.2.1 Finančni instrument za RRI </w:t>
      </w:r>
    </w:p>
    <w:p w14:paraId="0893A482" w14:textId="77777777" w:rsidR="00C55C5A" w:rsidRPr="00C55C5A" w:rsidRDefault="00C55C5A" w:rsidP="00C55C5A">
      <w:pPr>
        <w:jc w:val="both"/>
        <w:rPr>
          <w:rFonts w:ascii="Arial" w:eastAsia="Georgia" w:hAnsi="Arial" w:cs="Arial"/>
          <w:sz w:val="22"/>
          <w:szCs w:val="22"/>
          <w:lang w:val="sl-SI" w:eastAsia="sl-SI"/>
        </w:rPr>
      </w:pPr>
    </w:p>
    <w:p w14:paraId="231AC8B3" w14:textId="77777777" w:rsidR="00C55C5A" w:rsidRPr="00C55C5A" w:rsidRDefault="00C55C5A" w:rsidP="00C55C5A">
      <w:pPr>
        <w:spacing w:after="147"/>
        <w:ind w:left="-15" w:right="257"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lastRenderedPageBreak/>
        <w:t xml:space="preserve">Predlagani FI za RRI se osredotoča na zagotavljanje posojil za projekte na področju RRI za start-up podjetja, MSP ter velika podjetja. Pridobljene izkušnje drugih držav članic so opozorile na dejstvo, da sta za pozitivne rezultate pri takšnem FI potrebna dobro razvit sistem inovacij ter jasna struktura projektov. </w:t>
      </w:r>
    </w:p>
    <w:p w14:paraId="55923AB7" w14:textId="77777777" w:rsidR="00C55C5A" w:rsidRPr="00C55C5A" w:rsidRDefault="00C55C5A" w:rsidP="00C55C5A">
      <w:pPr>
        <w:ind w:right="257"/>
        <w:jc w:val="both"/>
        <w:rPr>
          <w:rFonts w:ascii="Arial" w:eastAsia="Georgia" w:hAnsi="Arial" w:cs="Arial"/>
          <w:sz w:val="22"/>
          <w:lang w:val="sl-SI" w:eastAsia="sl-SI"/>
        </w:rPr>
      </w:pPr>
    </w:p>
    <w:p w14:paraId="65E36774" w14:textId="77777777" w:rsidR="00C55C5A" w:rsidRPr="00C55C5A" w:rsidRDefault="00C55C5A" w:rsidP="00C55C5A">
      <w:pPr>
        <w:ind w:right="257"/>
        <w:jc w:val="both"/>
        <w:rPr>
          <w:rFonts w:ascii="Arial" w:eastAsia="Georgia" w:hAnsi="Arial" w:cs="Arial"/>
          <w:sz w:val="22"/>
          <w:lang w:val="sl-SI" w:eastAsia="sl-SI"/>
        </w:rPr>
      </w:pPr>
    </w:p>
    <w:p w14:paraId="6004B956" w14:textId="77777777" w:rsidR="00C55C5A" w:rsidRPr="00C55C5A" w:rsidRDefault="00C55C5A" w:rsidP="00C55C5A">
      <w:pPr>
        <w:ind w:right="257"/>
        <w:jc w:val="both"/>
        <w:rPr>
          <w:rFonts w:ascii="Arial" w:eastAsia="Georgia" w:hAnsi="Arial" w:cs="Arial"/>
          <w:sz w:val="22"/>
          <w:lang w:val="sl-SI" w:eastAsia="sl-SI"/>
        </w:rPr>
      </w:pPr>
    </w:p>
    <w:p w14:paraId="3046FD2C" w14:textId="77777777" w:rsidR="00C55C5A" w:rsidRPr="00C55C5A" w:rsidRDefault="00C55C5A" w:rsidP="00C55C5A">
      <w:pPr>
        <w:keepNext/>
        <w:keepLines/>
        <w:spacing w:before="40"/>
        <w:jc w:val="both"/>
        <w:outlineLvl w:val="4"/>
        <w:rPr>
          <w:rFonts w:ascii="Arial" w:eastAsia="Georgia" w:hAnsi="Arial" w:cs="Arial"/>
          <w:color w:val="2E74B5"/>
          <w:sz w:val="22"/>
          <w:lang w:val="sl-SI" w:eastAsia="sl-SI"/>
        </w:rPr>
      </w:pPr>
      <w:r w:rsidRPr="00C55C5A">
        <w:rPr>
          <w:rFonts w:ascii="Arial" w:eastAsia="Georgia" w:hAnsi="Arial" w:cs="Arial"/>
          <w:color w:val="2E74B5"/>
          <w:sz w:val="22"/>
          <w:lang w:val="sl-SI" w:eastAsia="sl-SI"/>
        </w:rPr>
        <w:t>3.2.1.1 Posojila za MSP in velika podjetja</w:t>
      </w:r>
    </w:p>
    <w:p w14:paraId="2E6B4E29" w14:textId="77777777" w:rsidR="00C55C5A" w:rsidRPr="00C55C5A" w:rsidRDefault="00C55C5A" w:rsidP="00C55C5A">
      <w:pPr>
        <w:ind w:left="-15" w:right="257" w:firstLine="2"/>
        <w:jc w:val="both"/>
        <w:rPr>
          <w:rFonts w:ascii="Arial" w:eastAsia="Georgia" w:hAnsi="Arial" w:cs="Arial"/>
          <w:sz w:val="22"/>
          <w:szCs w:val="22"/>
          <w:lang w:val="sl-SI" w:eastAsia="sl-SI"/>
        </w:rPr>
      </w:pPr>
    </w:p>
    <w:p w14:paraId="65A2582E" w14:textId="77777777" w:rsidR="00C55C5A" w:rsidRPr="00C55C5A" w:rsidRDefault="00C55C5A" w:rsidP="00C55C5A">
      <w:pPr>
        <w:ind w:left="-15" w:right="257"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Za spodbujanje RRI se bodo izvajala ugodna posojila (dolge ročnosti, nizka obrestna mera slabša zavarovanja) za inovativna start-up podjetja in MSP ter za velika podjetja. </w:t>
      </w:r>
    </w:p>
    <w:p w14:paraId="201DBC06" w14:textId="77777777" w:rsidR="00C55C5A" w:rsidRPr="00C55C5A" w:rsidRDefault="00C55C5A" w:rsidP="00C55C5A">
      <w:pPr>
        <w:ind w:right="48"/>
        <w:jc w:val="both"/>
        <w:rPr>
          <w:rFonts w:ascii="Arial" w:eastAsia="Georgia" w:hAnsi="Arial" w:cs="Arial"/>
          <w:sz w:val="22"/>
          <w:szCs w:val="22"/>
          <w:lang w:val="sl-SI"/>
        </w:rPr>
      </w:pPr>
    </w:p>
    <w:p w14:paraId="2FC2E774" w14:textId="77777777" w:rsidR="00C55C5A" w:rsidRPr="00C55C5A" w:rsidRDefault="00C55C5A" w:rsidP="00C55C5A">
      <w:pPr>
        <w:ind w:right="48"/>
        <w:jc w:val="both"/>
        <w:rPr>
          <w:rFonts w:ascii="Arial" w:eastAsia="Georgia" w:hAnsi="Arial" w:cs="Arial"/>
          <w:sz w:val="22"/>
          <w:szCs w:val="22"/>
          <w:lang w:val="sl-SI"/>
        </w:rPr>
      </w:pPr>
      <w:r w:rsidRPr="00C55C5A">
        <w:rPr>
          <w:rFonts w:ascii="Arial" w:eastAsia="Georgia" w:hAnsi="Arial" w:cs="Arial"/>
          <w:sz w:val="22"/>
          <w:szCs w:val="22"/>
          <w:lang w:val="sl-SI"/>
        </w:rPr>
        <w:t xml:space="preserve">Za posojila je namenjenih </w:t>
      </w:r>
      <w:r w:rsidRPr="00C55C5A">
        <w:rPr>
          <w:rFonts w:ascii="Arial" w:eastAsia="Georgia" w:hAnsi="Arial" w:cs="Arial"/>
          <w:b/>
          <w:sz w:val="22"/>
          <w:szCs w:val="22"/>
          <w:lang w:val="sl-SI"/>
        </w:rPr>
        <w:t>58 mio EUR</w:t>
      </w:r>
      <w:r w:rsidRPr="00C55C5A">
        <w:rPr>
          <w:rFonts w:ascii="Arial" w:eastAsia="Georgia" w:hAnsi="Arial" w:cs="Arial"/>
          <w:sz w:val="22"/>
          <w:szCs w:val="22"/>
          <w:lang w:val="sl-SI"/>
        </w:rPr>
        <w:t xml:space="preserve">, ki izhajajo iz TC 1: </w:t>
      </w:r>
    </w:p>
    <w:p w14:paraId="63362C99" w14:textId="77777777" w:rsidR="00C55C5A" w:rsidRPr="00C55C5A" w:rsidRDefault="00C55C5A" w:rsidP="00C55C5A">
      <w:pPr>
        <w:numPr>
          <w:ilvl w:val="0"/>
          <w:numId w:val="29"/>
        </w:numPr>
        <w:jc w:val="both"/>
        <w:rPr>
          <w:rFonts w:ascii="Arial" w:eastAsia="Georgia" w:hAnsi="Arial" w:cs="Arial"/>
          <w:sz w:val="22"/>
          <w:szCs w:val="22"/>
          <w:lang w:val="sl-SI"/>
        </w:rPr>
      </w:pPr>
      <w:r w:rsidRPr="00C55C5A">
        <w:rPr>
          <w:rFonts w:ascii="Arial" w:eastAsia="Georgia" w:hAnsi="Arial" w:cs="Arial"/>
          <w:sz w:val="22"/>
          <w:szCs w:val="22"/>
          <w:lang w:val="sl-SI"/>
        </w:rPr>
        <w:t xml:space="preserve">20 mio EUR za velika podjetja; </w:t>
      </w:r>
    </w:p>
    <w:p w14:paraId="3059D328" w14:textId="77777777" w:rsidR="00C55C5A" w:rsidRPr="00C55C5A" w:rsidRDefault="00C55C5A" w:rsidP="00C55C5A">
      <w:pPr>
        <w:numPr>
          <w:ilvl w:val="0"/>
          <w:numId w:val="29"/>
        </w:numPr>
        <w:jc w:val="both"/>
        <w:rPr>
          <w:rFonts w:ascii="Arial" w:eastAsia="Georgia" w:hAnsi="Arial" w:cs="Arial"/>
          <w:sz w:val="22"/>
          <w:szCs w:val="22"/>
          <w:lang w:val="sl-SI"/>
        </w:rPr>
      </w:pPr>
      <w:r w:rsidRPr="00C55C5A">
        <w:rPr>
          <w:rFonts w:ascii="Arial" w:eastAsia="Georgia" w:hAnsi="Arial" w:cs="Arial"/>
          <w:sz w:val="22"/>
          <w:szCs w:val="22"/>
          <w:lang w:val="sl-SI"/>
        </w:rPr>
        <w:t xml:space="preserve">38 mio EUR za MSP. </w:t>
      </w:r>
    </w:p>
    <w:p w14:paraId="01067CC0" w14:textId="77777777" w:rsidR="00C55C5A" w:rsidRPr="00C55C5A" w:rsidRDefault="00C55C5A" w:rsidP="00C55C5A">
      <w:pPr>
        <w:ind w:left="-15" w:right="257" w:firstLine="2"/>
        <w:jc w:val="both"/>
        <w:rPr>
          <w:rFonts w:ascii="Arial" w:eastAsia="Georgia" w:hAnsi="Arial" w:cs="Arial"/>
          <w:sz w:val="22"/>
          <w:szCs w:val="22"/>
          <w:lang w:val="sl-SI" w:eastAsia="sl-SI"/>
        </w:rPr>
      </w:pPr>
      <w:r w:rsidRPr="00C55C5A">
        <w:rPr>
          <w:rFonts w:ascii="Arial" w:eastAsia="Georgia" w:hAnsi="Arial" w:cs="Arial"/>
          <w:b/>
          <w:sz w:val="22"/>
          <w:szCs w:val="22"/>
          <w:lang w:val="sl-SI"/>
        </w:rPr>
        <w:t xml:space="preserve"> </w:t>
      </w:r>
    </w:p>
    <w:p w14:paraId="70EC95B5" w14:textId="77777777" w:rsidR="00C55C5A" w:rsidRPr="00C55C5A" w:rsidRDefault="00C55C5A" w:rsidP="00C55C5A">
      <w:pPr>
        <w:ind w:left="-15" w:right="257"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Pričakovani učinek finančnega vzvoda je 1,5 do 2,5.</w:t>
      </w:r>
    </w:p>
    <w:p w14:paraId="3F38374B" w14:textId="77777777" w:rsidR="00C55C5A" w:rsidRPr="00C55C5A" w:rsidRDefault="00C55C5A" w:rsidP="00C55C5A">
      <w:pPr>
        <w:jc w:val="both"/>
        <w:rPr>
          <w:rFonts w:ascii="Arial" w:eastAsia="Georgia" w:hAnsi="Arial" w:cs="Arial"/>
          <w:sz w:val="22"/>
          <w:szCs w:val="22"/>
          <w:lang w:val="sl-SI" w:eastAsia="sl-SI"/>
        </w:rPr>
      </w:pPr>
    </w:p>
    <w:p w14:paraId="6AAE04E5" w14:textId="77777777" w:rsidR="00C55C5A" w:rsidRPr="00C55C5A" w:rsidRDefault="00C55C5A" w:rsidP="00C55C5A">
      <w:pPr>
        <w:ind w:left="-5" w:hanging="10"/>
        <w:jc w:val="both"/>
        <w:rPr>
          <w:rFonts w:ascii="Arial" w:eastAsia="Georgia" w:hAnsi="Arial" w:cs="Arial"/>
          <w:sz w:val="22"/>
          <w:szCs w:val="22"/>
          <w:lang w:val="sl-SI" w:eastAsia="sl-SI"/>
        </w:rPr>
      </w:pPr>
      <w:r w:rsidRPr="00C55C5A">
        <w:rPr>
          <w:rFonts w:ascii="Arial" w:eastAsia="Georgia" w:hAnsi="Arial" w:cs="Arial"/>
          <w:sz w:val="22"/>
          <w:szCs w:val="22"/>
          <w:lang w:val="sl-SI"/>
        </w:rPr>
        <w:t>Posojila lahko pokrivajo investicije (opredmetene ali neopredmetene).</w:t>
      </w:r>
    </w:p>
    <w:p w14:paraId="30FEBE6D" w14:textId="77777777" w:rsidR="00C55C5A" w:rsidRPr="00C55C5A" w:rsidRDefault="00C55C5A" w:rsidP="00C55C5A">
      <w:pPr>
        <w:ind w:left="-15" w:right="257" w:firstLine="2"/>
        <w:jc w:val="both"/>
        <w:rPr>
          <w:rFonts w:ascii="Arial" w:eastAsia="Georgia" w:hAnsi="Arial" w:cs="Arial"/>
          <w:sz w:val="22"/>
          <w:szCs w:val="22"/>
          <w:lang w:val="sl-SI" w:eastAsia="sl-SI"/>
        </w:rPr>
      </w:pPr>
    </w:p>
    <w:p w14:paraId="37DC3164" w14:textId="77777777" w:rsidR="00C55C5A" w:rsidRPr="00C55C5A" w:rsidRDefault="00C55C5A" w:rsidP="00C55C5A">
      <w:pPr>
        <w:ind w:left="-15" w:right="257"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Državne pomoči: </w:t>
      </w:r>
      <w:r w:rsidRPr="00C55C5A">
        <w:rPr>
          <w:rFonts w:ascii="Arial" w:eastAsia="Georgia" w:hAnsi="Arial" w:cs="Arial"/>
          <w:sz w:val="22"/>
          <w:szCs w:val="22"/>
          <w:lang w:val="sl-SI"/>
        </w:rPr>
        <w:t>krediti se presojajo  skladno z relevantno shemo državne pomoči ali pomoči de minimis</w:t>
      </w:r>
      <w:r w:rsidRPr="00C55C5A">
        <w:rPr>
          <w:rFonts w:ascii="Arial" w:eastAsia="Georgia" w:hAnsi="Arial" w:cs="Arial"/>
          <w:sz w:val="22"/>
          <w:szCs w:val="22"/>
          <w:lang w:val="sl-SI" w:eastAsia="sl-SI"/>
        </w:rPr>
        <w:t>.</w:t>
      </w:r>
    </w:p>
    <w:p w14:paraId="155FA259" w14:textId="77777777" w:rsidR="00C55C5A" w:rsidRPr="00C55C5A" w:rsidRDefault="00C55C5A" w:rsidP="00C55C5A">
      <w:pPr>
        <w:ind w:left="-15" w:right="257" w:firstLine="2"/>
        <w:jc w:val="both"/>
        <w:rPr>
          <w:rFonts w:ascii="Arial" w:eastAsia="Georgia" w:hAnsi="Arial" w:cs="Arial"/>
          <w:sz w:val="22"/>
          <w:szCs w:val="22"/>
          <w:lang w:val="sl-SI" w:eastAsia="sl-SI"/>
        </w:rPr>
      </w:pPr>
    </w:p>
    <w:p w14:paraId="10E3DBB8" w14:textId="77777777" w:rsidR="00C55C5A" w:rsidRPr="00C55C5A" w:rsidRDefault="00C55C5A" w:rsidP="00C55C5A">
      <w:pPr>
        <w:ind w:left="-15" w:right="257"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Ciljne skupine:</w:t>
      </w:r>
    </w:p>
    <w:p w14:paraId="1070DBD7"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Inovativna start-up podjetja, MSP in velika podjetja.</w:t>
      </w:r>
    </w:p>
    <w:p w14:paraId="54AE9135" w14:textId="77777777" w:rsidR="00C55C5A" w:rsidRPr="00C55C5A" w:rsidRDefault="00C55C5A" w:rsidP="00C55C5A">
      <w:pPr>
        <w:jc w:val="both"/>
        <w:rPr>
          <w:rFonts w:ascii="Arial" w:eastAsia="Georgia" w:hAnsi="Arial" w:cs="Arial"/>
          <w:sz w:val="22"/>
          <w:szCs w:val="22"/>
          <w:lang w:val="sl-SI"/>
        </w:rPr>
      </w:pPr>
    </w:p>
    <w:p w14:paraId="480590BF"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Cilji:</w:t>
      </w:r>
    </w:p>
    <w:p w14:paraId="188EB7D8"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Podpora za start-up podjetja, MSP ter velika podjetja z inovativnim projektom, naj bo podjetje v semenski fazi, fazi oblikovanja in/ali fazi razvoja (mogoče je tudi financiranje razvoja, čeprav je poudarek na semenski fazi in fazi oblikovanja); </w:t>
      </w:r>
    </w:p>
    <w:p w14:paraId="362FA5BF"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Financiranje inovativnih start-up podjetij, MSP in velikih podjetij, ki si upajo tvegati; </w:t>
      </w:r>
    </w:p>
    <w:p w14:paraId="5CF666C7"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Financiranje opredmetenih in neopredmetenih investicij (saj je financiranje neopredmetenih investicij za MSP lahko težavno); </w:t>
      </w:r>
    </w:p>
    <w:p w14:paraId="73D1CAB0"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Zagotavljanje delitve tveganja s finančnim posrednikom (kar omogoča približno 2x vzvod); </w:t>
      </w:r>
    </w:p>
    <w:p w14:paraId="5259BF71"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Dopolnitev obstoječega financiranja, ki je namenjeno inovacijam; </w:t>
      </w:r>
    </w:p>
    <w:p w14:paraId="5812357B"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Zmanjšanje specifičnih težav ciljnih skupin in končnih prejemnikov pri dostopanju do financiranja, saj se finančni instituciji njihov projekt zdi preveč tvegan/bančno neprimeren.</w:t>
      </w:r>
    </w:p>
    <w:p w14:paraId="4D9A8AF2" w14:textId="77777777" w:rsidR="00C55C5A" w:rsidRPr="00C55C5A" w:rsidRDefault="00C55C5A" w:rsidP="00C55C5A">
      <w:pPr>
        <w:ind w:right="257"/>
        <w:jc w:val="both"/>
        <w:rPr>
          <w:rFonts w:ascii="Arial" w:eastAsia="Georgia" w:hAnsi="Arial" w:cs="Arial"/>
          <w:sz w:val="22"/>
          <w:szCs w:val="22"/>
          <w:lang w:val="sl-SI" w:eastAsia="sl-SI"/>
        </w:rPr>
      </w:pPr>
    </w:p>
    <w:p w14:paraId="3CD148E5" w14:textId="77777777" w:rsidR="00C55C5A" w:rsidRPr="00C55C5A" w:rsidRDefault="00C55C5A" w:rsidP="00C55C5A">
      <w:pPr>
        <w:ind w:left="-15" w:right="257"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Kazalniki:</w:t>
      </w:r>
    </w:p>
    <w:p w14:paraId="43E65102"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Število podprtih podjetij (z razdelitvijo na MSP in velika podjetja) in podjetnikov,</w:t>
      </w:r>
    </w:p>
    <w:p w14:paraId="75BE8F11"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Skupni znesek, ki je dodeljen MSP in velikim podjetjem,</w:t>
      </w:r>
    </w:p>
    <w:p w14:paraId="2A837B1C"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Učinek finančnega vzvoda.</w:t>
      </w:r>
    </w:p>
    <w:p w14:paraId="1116A56F" w14:textId="77777777" w:rsidR="00C55C5A" w:rsidRPr="00C55C5A" w:rsidRDefault="00C55C5A" w:rsidP="00C55C5A">
      <w:pPr>
        <w:ind w:right="14"/>
        <w:jc w:val="both"/>
        <w:rPr>
          <w:rFonts w:ascii="Arial" w:eastAsia="Georgia" w:hAnsi="Arial" w:cs="Arial"/>
          <w:sz w:val="22"/>
          <w:lang w:val="sl-SI" w:eastAsia="sl-SI"/>
        </w:rPr>
      </w:pPr>
    </w:p>
    <w:p w14:paraId="2CD55902" w14:textId="77777777" w:rsidR="00C55C5A" w:rsidRPr="00C55C5A" w:rsidRDefault="00C55C5A" w:rsidP="00C55C5A">
      <w:pPr>
        <w:keepNext/>
        <w:keepLines/>
        <w:spacing w:before="40"/>
        <w:jc w:val="both"/>
        <w:outlineLvl w:val="4"/>
        <w:rPr>
          <w:rFonts w:ascii="Arial" w:eastAsia="Georgia" w:hAnsi="Arial" w:cs="Arial"/>
          <w:color w:val="2E74B5"/>
          <w:sz w:val="22"/>
          <w:lang w:val="sl-SI" w:eastAsia="sl-SI"/>
        </w:rPr>
      </w:pPr>
      <w:r w:rsidRPr="00C55C5A">
        <w:rPr>
          <w:rFonts w:ascii="Arial" w:eastAsia="Georgia" w:hAnsi="Arial" w:cs="Arial"/>
          <w:color w:val="2E74B5"/>
          <w:sz w:val="22"/>
          <w:lang w:val="sl-SI" w:eastAsia="sl-SI"/>
        </w:rPr>
        <w:t>3.2.2.2 Portfeljske garancije za podporo MSP in velikih podjetij</w:t>
      </w:r>
    </w:p>
    <w:p w14:paraId="0FC478B9" w14:textId="77777777" w:rsidR="00C55C5A" w:rsidRPr="00C55C5A" w:rsidRDefault="00C55C5A" w:rsidP="00C55C5A">
      <w:pPr>
        <w:ind w:right="14"/>
        <w:jc w:val="both"/>
        <w:rPr>
          <w:rFonts w:ascii="Arial" w:eastAsia="Georgia" w:hAnsi="Arial" w:cs="Arial"/>
          <w:sz w:val="22"/>
          <w:lang w:val="sl-SI" w:eastAsia="sl-SI"/>
        </w:rPr>
      </w:pPr>
    </w:p>
    <w:p w14:paraId="7F580042" w14:textId="77777777" w:rsidR="00C55C5A" w:rsidRPr="00C55C5A" w:rsidRDefault="00C55C5A" w:rsidP="00C55C5A">
      <w:pPr>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Namen portfeljskih garancij je zagotovitev koristi za končnega prejemnika (podjetje), da (i) zmanjša maksimalno raven zavarovanja, ki jo od podjetij zahteva komercialna banka, (ii) zmanjša obrestne </w:t>
      </w:r>
      <w:r w:rsidRPr="00C55C5A">
        <w:rPr>
          <w:rFonts w:ascii="Arial" w:eastAsia="Georgia" w:hAnsi="Arial" w:cs="Arial"/>
          <w:sz w:val="22"/>
          <w:szCs w:val="22"/>
          <w:lang w:val="sl-SI" w:eastAsia="sl-SI"/>
        </w:rPr>
        <w:lastRenderedPageBreak/>
        <w:t>mere, ki je zahtevana pri posojilu, (iii) manjši stroški garancije od tržnih stroškov in (iv) možnost za obdobje odloga vračanja posojila, ki je daljše od tistega, ki ga običajno določi trg.</w:t>
      </w:r>
    </w:p>
    <w:p w14:paraId="6E0EE6E0" w14:textId="77777777" w:rsidR="00C55C5A" w:rsidRPr="00C55C5A" w:rsidRDefault="00C55C5A" w:rsidP="00C55C5A">
      <w:pPr>
        <w:ind w:right="47"/>
        <w:jc w:val="both"/>
        <w:rPr>
          <w:rFonts w:ascii="Arial" w:eastAsia="Georgia" w:hAnsi="Arial" w:cs="Arial"/>
          <w:sz w:val="22"/>
          <w:szCs w:val="22"/>
          <w:lang w:val="sl-SI"/>
        </w:rPr>
      </w:pPr>
    </w:p>
    <w:p w14:paraId="4CBC05CD" w14:textId="77777777" w:rsidR="00C55C5A" w:rsidRPr="00C55C5A" w:rsidRDefault="00C55C5A" w:rsidP="00C55C5A">
      <w:pPr>
        <w:ind w:right="47"/>
        <w:jc w:val="both"/>
        <w:rPr>
          <w:rFonts w:ascii="Arial" w:eastAsia="Georgia" w:hAnsi="Arial" w:cs="Arial"/>
          <w:sz w:val="22"/>
          <w:szCs w:val="22"/>
          <w:lang w:val="sl-SI"/>
        </w:rPr>
      </w:pPr>
      <w:r w:rsidRPr="00C55C5A">
        <w:rPr>
          <w:rFonts w:ascii="Arial" w:eastAsia="Georgia" w:hAnsi="Arial" w:cs="Arial"/>
          <w:sz w:val="22"/>
          <w:szCs w:val="22"/>
          <w:lang w:val="sl-SI"/>
        </w:rPr>
        <w:t xml:space="preserve">Ta produkt bo zagotovljen v okviru instrumenta za porazdelitev tveganj, kjer del tveganja prevzema tudi kreditodajalec. Portfeljska garancija bo zagotovljena vnaprej kreditodajalcu. Garancija bo lahko krila morebitne izgube kreditodajalca (izgube, ki so povezane z neplačevanjem glavnice in/ali obresti posojila). </w:t>
      </w:r>
    </w:p>
    <w:p w14:paraId="64376F00" w14:textId="77777777" w:rsidR="00C55C5A" w:rsidRPr="00C55C5A" w:rsidRDefault="00C55C5A" w:rsidP="00C55C5A">
      <w:pPr>
        <w:ind w:right="47"/>
        <w:jc w:val="both"/>
        <w:rPr>
          <w:rFonts w:ascii="Arial" w:eastAsia="Georgia" w:hAnsi="Arial" w:cs="Arial"/>
          <w:sz w:val="22"/>
          <w:szCs w:val="22"/>
          <w:lang w:val="sl-SI"/>
        </w:rPr>
      </w:pPr>
    </w:p>
    <w:p w14:paraId="3DAA318F" w14:textId="77777777" w:rsidR="00C55C5A" w:rsidRPr="00C55C5A" w:rsidRDefault="00C55C5A" w:rsidP="00C55C5A">
      <w:pPr>
        <w:ind w:right="47"/>
        <w:jc w:val="both"/>
        <w:rPr>
          <w:rFonts w:ascii="Arial" w:eastAsia="Georgia" w:hAnsi="Arial" w:cs="Arial"/>
          <w:sz w:val="22"/>
          <w:szCs w:val="22"/>
          <w:lang w:val="sl-SI"/>
        </w:rPr>
      </w:pPr>
      <w:r w:rsidRPr="00C55C5A">
        <w:rPr>
          <w:rFonts w:ascii="Arial" w:eastAsia="Georgia" w:hAnsi="Arial" w:cs="Arial"/>
          <w:sz w:val="22"/>
          <w:szCs w:val="22"/>
          <w:lang w:val="sl-SI"/>
        </w:rPr>
        <w:t xml:space="preserve">Portfeljske garancije bodo pokrile izgube portfelja podjetij, ki ga je ustvaril izbrani kreditodajalec. Te ugodnosti, dodeljene kreditodajalcu (tj. komercialna banka), se bodo na ciljne skupine   prenesle kot nižje zahteve po zavarovanju, nižje obrestne mere, daljše obdobje odplačevanja in daljše obdobje odloga plačevanja. To bo obravnavano v teku pogajanj s kreditodajalcem. </w:t>
      </w:r>
    </w:p>
    <w:p w14:paraId="453C1DA1" w14:textId="77777777" w:rsidR="00C55C5A" w:rsidRPr="00C55C5A" w:rsidRDefault="00C55C5A" w:rsidP="00C55C5A">
      <w:pPr>
        <w:ind w:right="47"/>
        <w:jc w:val="both"/>
        <w:rPr>
          <w:rFonts w:ascii="Arial" w:eastAsia="Georgia" w:hAnsi="Arial" w:cs="Arial"/>
          <w:sz w:val="22"/>
          <w:szCs w:val="22"/>
          <w:lang w:val="sl-SI"/>
        </w:rPr>
      </w:pPr>
    </w:p>
    <w:p w14:paraId="2E498BCC" w14:textId="77777777" w:rsidR="00C55C5A" w:rsidRPr="00C55C5A" w:rsidRDefault="00C55C5A" w:rsidP="00C55C5A">
      <w:pPr>
        <w:ind w:right="47"/>
        <w:jc w:val="both"/>
        <w:rPr>
          <w:rFonts w:ascii="Arial" w:eastAsia="Georgia" w:hAnsi="Arial" w:cs="Arial"/>
          <w:sz w:val="22"/>
          <w:szCs w:val="22"/>
          <w:lang w:val="sl-SI"/>
        </w:rPr>
      </w:pPr>
      <w:r w:rsidRPr="00C55C5A">
        <w:rPr>
          <w:rFonts w:ascii="Arial" w:eastAsia="Georgia" w:hAnsi="Arial" w:cs="Arial"/>
          <w:sz w:val="22"/>
          <w:szCs w:val="22"/>
          <w:lang w:val="sl-SI"/>
        </w:rPr>
        <w:t xml:space="preserve">Portfeljske garancije pokrivajo (i) naložbeno financiranje (osnovna sredstva) in (ii) financiranje obratnega kapitala (podpora za obratni kapital mogoča le v povezavi z investicijami).  </w:t>
      </w:r>
    </w:p>
    <w:p w14:paraId="5684D093" w14:textId="77777777" w:rsidR="00C55C5A" w:rsidRPr="00C55C5A" w:rsidRDefault="00C55C5A" w:rsidP="00C55C5A">
      <w:pPr>
        <w:ind w:right="14"/>
        <w:jc w:val="both"/>
        <w:rPr>
          <w:rFonts w:ascii="Arial" w:eastAsia="Georgia" w:hAnsi="Arial" w:cs="Arial"/>
          <w:sz w:val="22"/>
          <w:szCs w:val="22"/>
          <w:lang w:val="sl-SI" w:eastAsia="sl-SI"/>
        </w:rPr>
      </w:pPr>
    </w:p>
    <w:p w14:paraId="40426B79" w14:textId="77777777" w:rsidR="00C55C5A" w:rsidRPr="00C55C5A" w:rsidRDefault="00C55C5A" w:rsidP="00C55C5A">
      <w:pPr>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Predvidena je izdaja portfeljskih garancij v višini </w:t>
      </w:r>
      <w:r w:rsidRPr="00C55C5A">
        <w:rPr>
          <w:rFonts w:ascii="Arial" w:eastAsia="Georgia" w:hAnsi="Arial" w:cs="Arial"/>
          <w:b/>
          <w:sz w:val="22"/>
          <w:szCs w:val="22"/>
          <w:lang w:val="sl-SI" w:eastAsia="sl-SI"/>
        </w:rPr>
        <w:t>30 mio EUR</w:t>
      </w:r>
      <w:r w:rsidRPr="00C55C5A">
        <w:rPr>
          <w:rFonts w:ascii="Arial" w:eastAsia="Georgia" w:hAnsi="Arial" w:cs="Arial"/>
          <w:sz w:val="22"/>
          <w:szCs w:val="22"/>
          <w:lang w:val="sl-SI" w:eastAsia="sl-SI"/>
        </w:rPr>
        <w:t xml:space="preserve"> iz TC 1: </w:t>
      </w:r>
    </w:p>
    <w:p w14:paraId="4F21D327" w14:textId="77777777" w:rsidR="00C55C5A" w:rsidRPr="00C55C5A" w:rsidRDefault="00C55C5A" w:rsidP="00C55C5A">
      <w:pPr>
        <w:numPr>
          <w:ilvl w:val="0"/>
          <w:numId w:val="29"/>
        </w:numPr>
        <w:jc w:val="both"/>
        <w:rPr>
          <w:rFonts w:ascii="Arial" w:eastAsia="Georgia" w:hAnsi="Arial" w:cs="Arial"/>
          <w:sz w:val="22"/>
          <w:szCs w:val="22"/>
          <w:lang w:val="sl-SI"/>
        </w:rPr>
      </w:pPr>
      <w:r w:rsidRPr="00C55C5A">
        <w:rPr>
          <w:rFonts w:ascii="Arial" w:eastAsia="Georgia" w:hAnsi="Arial" w:cs="Arial"/>
          <w:sz w:val="22"/>
          <w:szCs w:val="22"/>
          <w:lang w:val="sl-SI"/>
        </w:rPr>
        <w:t xml:space="preserve">20 mio EUR pod TC 1 za MSP in </w:t>
      </w:r>
    </w:p>
    <w:p w14:paraId="5FAE62F9" w14:textId="77777777" w:rsidR="00C55C5A" w:rsidRPr="00C55C5A" w:rsidRDefault="00C55C5A" w:rsidP="00C55C5A">
      <w:pPr>
        <w:numPr>
          <w:ilvl w:val="0"/>
          <w:numId w:val="29"/>
        </w:numPr>
        <w:jc w:val="both"/>
        <w:rPr>
          <w:rFonts w:ascii="Arial" w:eastAsia="Georgia" w:hAnsi="Arial" w:cs="Arial"/>
          <w:sz w:val="22"/>
          <w:szCs w:val="22"/>
          <w:lang w:val="sl-SI"/>
        </w:rPr>
      </w:pPr>
      <w:r w:rsidRPr="00C55C5A">
        <w:rPr>
          <w:rFonts w:ascii="Arial" w:eastAsia="Georgia" w:hAnsi="Arial" w:cs="Arial"/>
          <w:sz w:val="22"/>
          <w:szCs w:val="22"/>
          <w:lang w:val="sl-SI"/>
        </w:rPr>
        <w:t>10 mio EUR pod TC1 za velika podjetja</w:t>
      </w:r>
    </w:p>
    <w:p w14:paraId="4017C233" w14:textId="77777777" w:rsidR="00C55C5A" w:rsidRPr="00C55C5A" w:rsidRDefault="00C55C5A" w:rsidP="00C55C5A">
      <w:pPr>
        <w:spacing w:after="190"/>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br/>
        <w:t>Pričakovani učinek finančnega vzvoda je 1,5 do 5.</w:t>
      </w:r>
    </w:p>
    <w:p w14:paraId="6A81ECE6" w14:textId="77777777" w:rsidR="00C55C5A" w:rsidRPr="00C55C5A" w:rsidRDefault="00C55C5A" w:rsidP="00C55C5A">
      <w:pPr>
        <w:spacing w:after="190"/>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Državne pomoči: </w:t>
      </w:r>
      <w:r w:rsidRPr="00C55C5A">
        <w:rPr>
          <w:rFonts w:ascii="Arial" w:eastAsia="Georgia" w:hAnsi="Arial" w:cs="Arial"/>
          <w:sz w:val="22"/>
          <w:szCs w:val="22"/>
          <w:lang w:val="sl-SI"/>
        </w:rPr>
        <w:t>krediti se presojajo  skladno z relevantno shemo državne pomoči ali pomoči de minimis</w:t>
      </w:r>
      <w:r w:rsidRPr="00C55C5A">
        <w:rPr>
          <w:rFonts w:ascii="Arial" w:eastAsia="Georgia" w:hAnsi="Arial" w:cs="Arial"/>
          <w:sz w:val="22"/>
          <w:szCs w:val="22"/>
          <w:lang w:val="sl-SI" w:eastAsia="sl-SI"/>
        </w:rPr>
        <w:t>.</w:t>
      </w:r>
    </w:p>
    <w:p w14:paraId="156A339C" w14:textId="77777777" w:rsidR="00C55C5A" w:rsidRPr="00C55C5A" w:rsidRDefault="00C55C5A" w:rsidP="00C55C5A">
      <w:pPr>
        <w:spacing w:after="190"/>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Možna je kombinacija portfeljskih garancij z nepovratnimi viri.</w:t>
      </w:r>
    </w:p>
    <w:p w14:paraId="264AAB69" w14:textId="77777777" w:rsidR="00C55C5A" w:rsidRPr="00C55C5A" w:rsidRDefault="00C55C5A" w:rsidP="00C55C5A">
      <w:pPr>
        <w:ind w:left="5" w:right="45"/>
        <w:jc w:val="both"/>
        <w:rPr>
          <w:rFonts w:ascii="Arial" w:eastAsia="Georgia" w:hAnsi="Arial" w:cs="Arial"/>
          <w:sz w:val="22"/>
          <w:szCs w:val="22"/>
          <w:lang w:val="sl-SI"/>
        </w:rPr>
      </w:pPr>
      <w:r w:rsidRPr="00C55C5A">
        <w:rPr>
          <w:rFonts w:ascii="Arial" w:eastAsia="Georgia" w:hAnsi="Arial" w:cs="Arial"/>
          <w:sz w:val="22"/>
          <w:szCs w:val="22"/>
          <w:lang w:val="sl-SI"/>
        </w:rPr>
        <w:t xml:space="preserve">Ciljna skupina so: MSP in velika podjetja  </w:t>
      </w:r>
    </w:p>
    <w:p w14:paraId="199E966A" w14:textId="77777777" w:rsidR="00C55C5A" w:rsidRPr="00C55C5A" w:rsidRDefault="00C55C5A" w:rsidP="00C55C5A">
      <w:pPr>
        <w:ind w:right="45"/>
        <w:jc w:val="both"/>
        <w:rPr>
          <w:rFonts w:ascii="Arial" w:eastAsia="Georgia" w:hAnsi="Arial" w:cs="Arial"/>
          <w:sz w:val="22"/>
          <w:szCs w:val="22"/>
          <w:lang w:val="sl-SI"/>
        </w:rPr>
      </w:pPr>
    </w:p>
    <w:p w14:paraId="73FD2DFB" w14:textId="77777777" w:rsidR="00C55C5A" w:rsidRPr="00C55C5A" w:rsidRDefault="00C55C5A" w:rsidP="00C55C5A">
      <w:pPr>
        <w:ind w:left="5" w:right="45"/>
        <w:jc w:val="both"/>
        <w:rPr>
          <w:rFonts w:ascii="Arial" w:eastAsia="Georgia" w:hAnsi="Arial" w:cs="Arial"/>
          <w:sz w:val="22"/>
          <w:szCs w:val="22"/>
          <w:lang w:val="sl-SI"/>
        </w:rPr>
      </w:pPr>
      <w:r w:rsidRPr="00C55C5A">
        <w:rPr>
          <w:rFonts w:ascii="Arial" w:eastAsia="Georgia" w:hAnsi="Arial" w:cs="Arial"/>
          <w:sz w:val="22"/>
          <w:szCs w:val="22"/>
          <w:lang w:val="sl-SI"/>
        </w:rPr>
        <w:t>Cilji, ki jih zasledujemo z izvajanjem portfeljskih garancij:</w:t>
      </w:r>
    </w:p>
    <w:p w14:paraId="52D9EF58"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Dopolnjevanje obstoječih garancijskih instrumentov (garancije za posamične projekte, ki niso portfeljske garancije); </w:t>
      </w:r>
    </w:p>
    <w:p w14:paraId="0DBFD1DF"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Podpora financiranju obratnega kapitala in investicijam. </w:t>
      </w:r>
    </w:p>
    <w:p w14:paraId="12E315C1" w14:textId="77777777" w:rsidR="00C55C5A" w:rsidRPr="00C55C5A" w:rsidRDefault="00C55C5A" w:rsidP="00C55C5A">
      <w:pPr>
        <w:ind w:left="5" w:right="45"/>
        <w:jc w:val="both"/>
        <w:rPr>
          <w:rFonts w:ascii="Arial" w:eastAsia="Georgia" w:hAnsi="Arial" w:cs="Arial"/>
          <w:sz w:val="22"/>
          <w:szCs w:val="22"/>
          <w:lang w:val="sl-SI"/>
        </w:rPr>
      </w:pPr>
    </w:p>
    <w:p w14:paraId="2CC65A5E" w14:textId="77777777" w:rsidR="00C55C5A" w:rsidRPr="00C55C5A" w:rsidRDefault="00C55C5A" w:rsidP="00C55C5A">
      <w:pPr>
        <w:ind w:left="5" w:right="45"/>
        <w:jc w:val="both"/>
        <w:rPr>
          <w:rFonts w:ascii="Arial" w:eastAsia="Georgia" w:hAnsi="Arial" w:cs="Arial"/>
          <w:sz w:val="22"/>
          <w:szCs w:val="22"/>
          <w:lang w:val="sl-SI"/>
        </w:rPr>
      </w:pPr>
      <w:r w:rsidRPr="00C55C5A">
        <w:rPr>
          <w:rFonts w:ascii="Arial" w:eastAsia="Georgia" w:hAnsi="Arial" w:cs="Arial"/>
          <w:sz w:val="22"/>
          <w:szCs w:val="22"/>
          <w:lang w:val="sl-SI"/>
        </w:rPr>
        <w:t>Kazalniki:</w:t>
      </w:r>
    </w:p>
    <w:p w14:paraId="5085860A"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Število podprtih MSP in velikih podjetij (z razdelitvijo na mikro, mala podjetja, srednje velika podjetja ter velika podjetja) in podjetnikov; </w:t>
      </w:r>
    </w:p>
    <w:p w14:paraId="2D7408D2"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Število zaposlenih v posameznem podjetju ob vključitvi v portfelj.</w:t>
      </w:r>
    </w:p>
    <w:p w14:paraId="57833C4D" w14:textId="77777777" w:rsidR="00C55C5A" w:rsidRPr="00C55C5A" w:rsidRDefault="00C55C5A" w:rsidP="00C55C5A">
      <w:p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rPr>
        <w:t xml:space="preserve"> </w:t>
      </w:r>
    </w:p>
    <w:p w14:paraId="60AD31E8" w14:textId="77777777" w:rsidR="00C55C5A" w:rsidRPr="00C55C5A" w:rsidRDefault="00C55C5A" w:rsidP="00C55C5A">
      <w:pPr>
        <w:keepNext/>
        <w:keepLines/>
        <w:spacing w:before="40"/>
        <w:ind w:left="142"/>
        <w:jc w:val="both"/>
        <w:outlineLvl w:val="3"/>
        <w:rPr>
          <w:rFonts w:ascii="Arial" w:eastAsia="Georgia" w:hAnsi="Arial" w:cs="Arial"/>
          <w:b/>
          <w:iCs/>
          <w:color w:val="2E74B5"/>
          <w:sz w:val="22"/>
          <w:lang w:val="sl-SI" w:eastAsia="sl-SI"/>
        </w:rPr>
      </w:pPr>
      <w:r w:rsidRPr="00C55C5A">
        <w:rPr>
          <w:rFonts w:ascii="Arial" w:eastAsia="Georgia" w:hAnsi="Arial" w:cs="Arial"/>
          <w:b/>
          <w:i/>
          <w:iCs/>
          <w:color w:val="2E74B5"/>
          <w:sz w:val="22"/>
          <w:lang w:val="sl-SI" w:eastAsia="sl-SI"/>
        </w:rPr>
        <w:t xml:space="preserve">3.2.2 Finančni instrumenti za MSP </w:t>
      </w:r>
    </w:p>
    <w:p w14:paraId="6F608C9C" w14:textId="77777777" w:rsidR="00C55C5A" w:rsidRPr="00C55C5A" w:rsidRDefault="00C55C5A" w:rsidP="00C55C5A">
      <w:pPr>
        <w:keepNext/>
        <w:keepLines/>
        <w:spacing w:after="72"/>
        <w:ind w:left="-5" w:hanging="10"/>
        <w:jc w:val="both"/>
        <w:outlineLvl w:val="2"/>
        <w:rPr>
          <w:rFonts w:ascii="Arial" w:eastAsia="Georgia" w:hAnsi="Arial" w:cs="Arial"/>
          <w:b/>
          <w:i/>
          <w:sz w:val="22"/>
          <w:lang w:val="sl-SI" w:eastAsia="sl-SI"/>
        </w:rPr>
      </w:pPr>
    </w:p>
    <w:p w14:paraId="65FF3C1F" w14:textId="77777777" w:rsidR="00C55C5A" w:rsidRPr="00C55C5A" w:rsidRDefault="00C55C5A" w:rsidP="00C55C5A">
      <w:pPr>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Upravljavec sklada skladov bo za MSP razvil in izvajal tri vrste finančnih produktov:</w:t>
      </w:r>
    </w:p>
    <w:p w14:paraId="0BB2706B" w14:textId="77777777" w:rsidR="00C55C5A" w:rsidRPr="00C55C5A" w:rsidRDefault="00C55C5A" w:rsidP="00C55C5A">
      <w:pPr>
        <w:numPr>
          <w:ilvl w:val="0"/>
          <w:numId w:val="4"/>
        </w:num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Portfeljske garancije, vključno z mikrogarancijami za MSP,</w:t>
      </w:r>
    </w:p>
    <w:p w14:paraId="578F75B6" w14:textId="77777777" w:rsidR="00C55C5A" w:rsidRPr="00C55C5A" w:rsidRDefault="00C55C5A" w:rsidP="00C55C5A">
      <w:pPr>
        <w:numPr>
          <w:ilvl w:val="0"/>
          <w:numId w:val="4"/>
        </w:num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Prednostno posojilo za zagotavljanje mikroposojil mikropodjetjem in podjetnikom; </w:t>
      </w:r>
    </w:p>
    <w:p w14:paraId="35A3B3D7" w14:textId="77777777" w:rsidR="00C55C5A" w:rsidRPr="00C55C5A" w:rsidRDefault="00C55C5A" w:rsidP="00C55C5A">
      <w:pPr>
        <w:numPr>
          <w:ilvl w:val="0"/>
          <w:numId w:val="4"/>
        </w:numPr>
        <w:spacing w:after="10"/>
        <w:ind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Lastniško financiranje za zagotavljanje lastniškega in kvazi-lastniškega financiranja za MSP.</w:t>
      </w:r>
    </w:p>
    <w:p w14:paraId="64370815" w14:textId="77777777" w:rsidR="00C55C5A" w:rsidRPr="00C55C5A" w:rsidRDefault="00C55C5A" w:rsidP="00C55C5A">
      <w:pPr>
        <w:shd w:val="clear" w:color="auto" w:fill="FFFFFF"/>
        <w:ind w:left="-5" w:hanging="10"/>
        <w:jc w:val="both"/>
        <w:rPr>
          <w:rFonts w:ascii="Arial" w:eastAsia="Georgia" w:hAnsi="Arial" w:cs="Arial"/>
          <w:sz w:val="22"/>
          <w:szCs w:val="22"/>
          <w:lang w:val="sl-SI"/>
        </w:rPr>
      </w:pPr>
    </w:p>
    <w:p w14:paraId="2E3E0AB0" w14:textId="77777777" w:rsidR="00C55C5A" w:rsidRPr="00C55C5A" w:rsidRDefault="00C55C5A" w:rsidP="00C55C5A">
      <w:pPr>
        <w:shd w:val="clear" w:color="auto" w:fill="FFFFFF"/>
        <w:ind w:left="-5" w:hanging="10"/>
        <w:jc w:val="both"/>
        <w:rPr>
          <w:rFonts w:ascii="Arial" w:eastAsia="Georgia" w:hAnsi="Arial" w:cs="Arial"/>
          <w:sz w:val="22"/>
          <w:szCs w:val="22"/>
          <w:lang w:val="sl-SI" w:eastAsia="sl-SI"/>
        </w:rPr>
      </w:pPr>
      <w:r w:rsidRPr="00C55C5A">
        <w:rPr>
          <w:rFonts w:ascii="Arial" w:eastAsia="Georgia" w:hAnsi="Arial" w:cs="Arial"/>
          <w:sz w:val="22"/>
          <w:szCs w:val="22"/>
          <w:lang w:val="sl-SI"/>
        </w:rPr>
        <w:t xml:space="preserve">Pri vseh navedenih finančnih produktih je možna kombinacija z nepovratnimi viri.  </w:t>
      </w:r>
    </w:p>
    <w:p w14:paraId="1D2CBB7C" w14:textId="77777777" w:rsidR="00C55C5A" w:rsidRPr="00C55C5A" w:rsidRDefault="00C55C5A" w:rsidP="00C55C5A">
      <w:pPr>
        <w:ind w:right="14"/>
        <w:jc w:val="both"/>
        <w:rPr>
          <w:rFonts w:ascii="Arial" w:eastAsia="Georgia" w:hAnsi="Arial" w:cs="Arial"/>
          <w:sz w:val="22"/>
          <w:lang w:val="sl-SI" w:eastAsia="sl-SI"/>
        </w:rPr>
      </w:pPr>
    </w:p>
    <w:p w14:paraId="58214AB4" w14:textId="77777777" w:rsidR="00C55C5A" w:rsidRPr="00C55C5A" w:rsidRDefault="00C55C5A" w:rsidP="00C55C5A">
      <w:pPr>
        <w:keepNext/>
        <w:keepLines/>
        <w:spacing w:before="40"/>
        <w:jc w:val="both"/>
        <w:outlineLvl w:val="4"/>
        <w:rPr>
          <w:rFonts w:ascii="Arial" w:eastAsia="Georgia" w:hAnsi="Arial" w:cs="Arial"/>
          <w:color w:val="2E74B5"/>
          <w:sz w:val="22"/>
          <w:lang w:val="sl-SI" w:eastAsia="sl-SI"/>
        </w:rPr>
      </w:pPr>
      <w:r w:rsidRPr="00C55C5A">
        <w:rPr>
          <w:rFonts w:ascii="Arial" w:eastAsia="Georgia" w:hAnsi="Arial" w:cs="Arial"/>
          <w:color w:val="2E74B5"/>
          <w:sz w:val="22"/>
          <w:lang w:val="sl-SI" w:eastAsia="sl-SI"/>
        </w:rPr>
        <w:t>3.2.2.1 Portfeljske garancije za podporo MSP, vključno z mikrogarancijami za posojila pod vrednostjo 25.000 EUR</w:t>
      </w:r>
    </w:p>
    <w:p w14:paraId="103BC03F" w14:textId="77777777" w:rsidR="00C55C5A" w:rsidRPr="00C55C5A" w:rsidRDefault="00C55C5A" w:rsidP="00C55C5A">
      <w:pPr>
        <w:ind w:right="14"/>
        <w:jc w:val="both"/>
        <w:rPr>
          <w:rFonts w:ascii="Arial" w:eastAsia="Georgia" w:hAnsi="Arial" w:cs="Arial"/>
          <w:sz w:val="22"/>
          <w:lang w:val="sl-SI" w:eastAsia="sl-SI"/>
        </w:rPr>
      </w:pPr>
    </w:p>
    <w:p w14:paraId="5F4AF718" w14:textId="77777777" w:rsidR="00C55C5A" w:rsidRPr="00C55C5A" w:rsidRDefault="00C55C5A" w:rsidP="00C55C5A">
      <w:pPr>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Namen portfeljskih garancij je zagotovitev koristi za končnega prejemnika (MSP), da (i) maksimalno zmanjša delež zavarovanja, ki jo od podjetij zahteva komercialna banka, (ii) zmanjša obrestne mere, ki je zahtevana pri posojilu, (iii) manjši stroški garancije od tržnih stroškov in (iv) možnost za obdobje odloga, ki je daljše od tistega, ki ga običajno določi trg.</w:t>
      </w:r>
    </w:p>
    <w:p w14:paraId="59F63520" w14:textId="77777777" w:rsidR="00C55C5A" w:rsidRPr="00C55C5A" w:rsidRDefault="00C55C5A" w:rsidP="00C55C5A">
      <w:pPr>
        <w:ind w:right="47"/>
        <w:jc w:val="both"/>
        <w:rPr>
          <w:rFonts w:ascii="Arial" w:eastAsia="Georgia" w:hAnsi="Arial" w:cs="Arial"/>
          <w:sz w:val="22"/>
          <w:szCs w:val="22"/>
          <w:lang w:val="sl-SI"/>
        </w:rPr>
      </w:pPr>
    </w:p>
    <w:p w14:paraId="5560EB8F" w14:textId="77777777" w:rsidR="00C55C5A" w:rsidRPr="00C55C5A" w:rsidRDefault="00C55C5A" w:rsidP="00C55C5A">
      <w:pPr>
        <w:ind w:right="47"/>
        <w:jc w:val="both"/>
        <w:rPr>
          <w:rFonts w:ascii="Arial" w:eastAsia="Georgia" w:hAnsi="Arial" w:cs="Arial"/>
          <w:sz w:val="22"/>
          <w:szCs w:val="22"/>
          <w:lang w:val="sl-SI"/>
        </w:rPr>
      </w:pPr>
      <w:r w:rsidRPr="00C55C5A">
        <w:rPr>
          <w:rFonts w:ascii="Arial" w:eastAsia="Georgia" w:hAnsi="Arial" w:cs="Arial"/>
          <w:sz w:val="22"/>
          <w:szCs w:val="22"/>
          <w:lang w:val="sl-SI"/>
        </w:rPr>
        <w:t>Ta produkt bo zagotovljen v okviru instrumenta za porazdelitev tveganj, kjer del tveganja prevzema tudi kreditodajalec</w:t>
      </w:r>
      <w:r w:rsidRPr="00C55C5A">
        <w:rPr>
          <w:rFonts w:ascii="Arial" w:eastAsia="Georgia" w:hAnsi="Arial" w:cs="Arial"/>
          <w:sz w:val="22"/>
          <w:szCs w:val="22"/>
          <w:vertAlign w:val="superscript"/>
          <w:lang w:val="sl-SI"/>
        </w:rPr>
        <w:footnoteReference w:id="14"/>
      </w:r>
      <w:r w:rsidRPr="00C55C5A">
        <w:rPr>
          <w:rFonts w:ascii="Arial" w:eastAsia="Georgia" w:hAnsi="Arial" w:cs="Arial"/>
          <w:sz w:val="22"/>
          <w:szCs w:val="22"/>
          <w:lang w:val="sl-SI"/>
        </w:rPr>
        <w:t xml:space="preserve">. Portfeljska garancija bo zagotovljena vnaprej kreditodajalcu. Garancija bo lahko krila morebitne izgube kreditodajalca (izgube, ki so povezane z neplačevanjem glavnice in obresti posojila). </w:t>
      </w:r>
    </w:p>
    <w:p w14:paraId="0239AC1D" w14:textId="77777777" w:rsidR="00C55C5A" w:rsidRPr="00C55C5A" w:rsidRDefault="00C55C5A" w:rsidP="00C55C5A">
      <w:pPr>
        <w:ind w:right="47"/>
        <w:jc w:val="both"/>
        <w:rPr>
          <w:rFonts w:ascii="Arial" w:eastAsia="Georgia" w:hAnsi="Arial" w:cs="Arial"/>
          <w:sz w:val="22"/>
          <w:szCs w:val="22"/>
          <w:lang w:val="sl-SI"/>
        </w:rPr>
      </w:pPr>
    </w:p>
    <w:p w14:paraId="798C7BDF" w14:textId="77777777" w:rsidR="00C55C5A" w:rsidRPr="00C55C5A" w:rsidRDefault="00C55C5A" w:rsidP="00C55C5A">
      <w:pPr>
        <w:ind w:right="47"/>
        <w:jc w:val="both"/>
        <w:rPr>
          <w:rFonts w:ascii="Arial" w:eastAsia="Georgia" w:hAnsi="Arial" w:cs="Arial"/>
          <w:sz w:val="22"/>
          <w:szCs w:val="22"/>
          <w:lang w:val="sl-SI"/>
        </w:rPr>
      </w:pPr>
      <w:r w:rsidRPr="00C55C5A">
        <w:rPr>
          <w:rFonts w:ascii="Arial" w:eastAsia="Georgia" w:hAnsi="Arial" w:cs="Arial"/>
          <w:sz w:val="22"/>
          <w:szCs w:val="22"/>
          <w:lang w:val="sl-SI"/>
        </w:rPr>
        <w:t xml:space="preserve">Portfeljske garancije bodo pomenile predvsem – ne pa samo – nižje zahteve po zavarovanju, ki jih bodo kreditodajalci zahtevali od končnih prejemnikov in nižjo pogodbeno obrestno mero, pokrile pa bodo tudi morebitne izgube kreditodajalcev, iz naslova plasiranih sredstev končnim prejemnikom. Te ugodnosti, dodeljene kreditodajalcu se bodo na ciljne skupine (tj. MSP, start-up podjetja, socialna podjetja) prenesle lahko tudi kot nižje zahteve po zavarovanju, nižje obrestne mere, daljše obdobje odplačevanja in daljše obdobje odloga plačevanja. To bo obravnavano v teku pogajanj s kreditodajalcem. </w:t>
      </w:r>
    </w:p>
    <w:p w14:paraId="1D7901B8" w14:textId="77777777" w:rsidR="00C55C5A" w:rsidRPr="00C55C5A" w:rsidRDefault="00C55C5A" w:rsidP="00C55C5A">
      <w:pPr>
        <w:ind w:right="47"/>
        <w:jc w:val="both"/>
        <w:rPr>
          <w:rFonts w:ascii="Arial" w:eastAsia="Georgia" w:hAnsi="Arial" w:cs="Arial"/>
          <w:sz w:val="22"/>
          <w:szCs w:val="22"/>
          <w:lang w:val="sl-SI"/>
        </w:rPr>
      </w:pPr>
    </w:p>
    <w:p w14:paraId="4643A305" w14:textId="77777777" w:rsidR="00C55C5A" w:rsidRPr="00C55C5A" w:rsidRDefault="00C55C5A" w:rsidP="00C55C5A">
      <w:pPr>
        <w:spacing w:after="86"/>
        <w:ind w:right="47"/>
        <w:jc w:val="both"/>
        <w:rPr>
          <w:rFonts w:ascii="Arial" w:eastAsia="Georgia" w:hAnsi="Arial" w:cs="Arial"/>
          <w:sz w:val="22"/>
          <w:szCs w:val="22"/>
          <w:lang w:val="sl-SI"/>
        </w:rPr>
      </w:pPr>
      <w:r w:rsidRPr="00C55C5A">
        <w:rPr>
          <w:rFonts w:ascii="Arial" w:eastAsia="Georgia" w:hAnsi="Arial" w:cs="Arial"/>
          <w:sz w:val="22"/>
          <w:szCs w:val="22"/>
          <w:lang w:val="sl-SI"/>
        </w:rPr>
        <w:t xml:space="preserve">Končni prejemnik lahko sredstva kredita, kritega z garancijo, nameni za (i) naložbeno financiranje (osnovna sredstva) in (ii) financiranje obratnega kapitala.  </w:t>
      </w:r>
    </w:p>
    <w:p w14:paraId="2BD1D2FB" w14:textId="77777777" w:rsidR="00C55C5A" w:rsidRPr="00C55C5A" w:rsidRDefault="00C55C5A" w:rsidP="00C55C5A">
      <w:pPr>
        <w:ind w:right="14"/>
        <w:jc w:val="both"/>
        <w:rPr>
          <w:rFonts w:ascii="Arial" w:eastAsia="Georgia" w:hAnsi="Arial" w:cs="Arial"/>
          <w:sz w:val="22"/>
          <w:szCs w:val="22"/>
          <w:lang w:val="sl-SI" w:eastAsia="sl-SI"/>
        </w:rPr>
      </w:pPr>
    </w:p>
    <w:p w14:paraId="2B97AAB2" w14:textId="77777777" w:rsidR="00C55C5A" w:rsidRPr="00C55C5A" w:rsidRDefault="00C55C5A" w:rsidP="00C55C5A">
      <w:pPr>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Predvidena je izdaja portfeljskih garancij v višini </w:t>
      </w:r>
      <w:r w:rsidRPr="00C55C5A">
        <w:rPr>
          <w:rFonts w:ascii="Arial" w:eastAsia="Georgia" w:hAnsi="Arial" w:cs="Arial"/>
          <w:b/>
          <w:sz w:val="22"/>
          <w:szCs w:val="22"/>
          <w:lang w:val="sl-SI" w:eastAsia="sl-SI"/>
        </w:rPr>
        <w:t>65 mio EUR</w:t>
      </w:r>
      <w:r w:rsidRPr="00C55C5A">
        <w:rPr>
          <w:rFonts w:ascii="Arial" w:eastAsia="Georgia" w:hAnsi="Arial" w:cs="Arial"/>
          <w:sz w:val="22"/>
          <w:szCs w:val="22"/>
          <w:lang w:val="sl-SI" w:eastAsia="sl-SI"/>
        </w:rPr>
        <w:t xml:space="preserve"> iz TC 3: </w:t>
      </w:r>
    </w:p>
    <w:p w14:paraId="747C3B63" w14:textId="77777777" w:rsidR="00C55C5A" w:rsidRPr="00C55C5A" w:rsidRDefault="00C55C5A" w:rsidP="00C55C5A">
      <w:pPr>
        <w:numPr>
          <w:ilvl w:val="0"/>
          <w:numId w:val="29"/>
        </w:numPr>
        <w:jc w:val="both"/>
        <w:rPr>
          <w:rFonts w:ascii="Arial" w:eastAsia="Georgia" w:hAnsi="Arial" w:cs="Arial"/>
          <w:sz w:val="22"/>
          <w:szCs w:val="22"/>
          <w:lang w:val="sl-SI"/>
        </w:rPr>
      </w:pPr>
      <w:r w:rsidRPr="00C55C5A">
        <w:rPr>
          <w:rFonts w:ascii="Arial" w:eastAsia="Georgia" w:hAnsi="Arial" w:cs="Arial"/>
          <w:sz w:val="22"/>
          <w:szCs w:val="22"/>
          <w:lang w:val="sl-SI"/>
        </w:rPr>
        <w:t>40 mio EUR</w:t>
      </w:r>
    </w:p>
    <w:p w14:paraId="5CFF452A" w14:textId="77777777" w:rsidR="00C55C5A" w:rsidRPr="00C55C5A" w:rsidRDefault="00C55C5A" w:rsidP="00C55C5A">
      <w:pPr>
        <w:numPr>
          <w:ilvl w:val="0"/>
          <w:numId w:val="29"/>
        </w:numPr>
        <w:jc w:val="both"/>
        <w:rPr>
          <w:rFonts w:ascii="Arial" w:eastAsia="Georgia" w:hAnsi="Arial" w:cs="Arial"/>
          <w:sz w:val="22"/>
          <w:szCs w:val="22"/>
          <w:lang w:val="sl-SI"/>
        </w:rPr>
      </w:pPr>
      <w:r w:rsidRPr="00C55C5A">
        <w:rPr>
          <w:rFonts w:ascii="Arial" w:eastAsia="Georgia" w:hAnsi="Arial" w:cs="Arial"/>
          <w:sz w:val="22"/>
          <w:szCs w:val="22"/>
          <w:lang w:val="sl-SI"/>
        </w:rPr>
        <w:t xml:space="preserve">25 mio EUR za MSP za spodbujanje snovne in energetske učinkovitosti, krepitve in integracije sistemov ter optimizacijo tehnologij in procesov </w:t>
      </w:r>
    </w:p>
    <w:p w14:paraId="480D545E" w14:textId="77777777" w:rsidR="00C55C5A" w:rsidRPr="00C55C5A" w:rsidRDefault="00C55C5A" w:rsidP="00C55C5A">
      <w:pPr>
        <w:spacing w:after="190"/>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br/>
        <w:t>Pričakovani učinek finančnega vzvoda je 1,5 do 5.</w:t>
      </w:r>
    </w:p>
    <w:p w14:paraId="426A7A82" w14:textId="77777777" w:rsidR="00C55C5A" w:rsidRPr="00C55C5A" w:rsidRDefault="00C55C5A" w:rsidP="00C55C5A">
      <w:pPr>
        <w:spacing w:after="190"/>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Državne pomoči: kredit končnemu prejemniku zaradi portfeljske garancije ali mikrogarancije se presoja skladno z relevantno shemo državne pomoči ali pomoči de minimis.</w:t>
      </w:r>
    </w:p>
    <w:p w14:paraId="09EA9756" w14:textId="77777777" w:rsidR="00C55C5A" w:rsidRPr="00C55C5A" w:rsidRDefault="00C55C5A" w:rsidP="00C55C5A">
      <w:pPr>
        <w:spacing w:after="190"/>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Možna je kombinacija portfeljskih garancij z nepovratnimi sredstvi evropskih strukturnih in investicijskih skladov v okviru sklada skladov ali v okviru ločene operacije.</w:t>
      </w:r>
    </w:p>
    <w:p w14:paraId="07BC6403" w14:textId="77777777" w:rsidR="00C55C5A" w:rsidRPr="00C55C5A" w:rsidRDefault="00C55C5A" w:rsidP="00C55C5A">
      <w:pPr>
        <w:spacing w:after="86"/>
        <w:ind w:left="5" w:right="45"/>
        <w:jc w:val="both"/>
        <w:rPr>
          <w:rFonts w:ascii="Arial" w:eastAsia="Georgia" w:hAnsi="Arial" w:cs="Arial"/>
          <w:sz w:val="22"/>
          <w:szCs w:val="22"/>
          <w:lang w:val="sl-SI"/>
        </w:rPr>
      </w:pPr>
      <w:r w:rsidRPr="00C55C5A">
        <w:rPr>
          <w:rFonts w:ascii="Arial" w:eastAsia="Georgia" w:hAnsi="Arial" w:cs="Arial"/>
          <w:sz w:val="22"/>
          <w:szCs w:val="22"/>
          <w:lang w:val="sl-SI"/>
        </w:rPr>
        <w:t>Ciljna skupina so: MSP (vključno s socialnimi podjetji, inovativnimi podjetji, itd.)</w:t>
      </w:r>
    </w:p>
    <w:p w14:paraId="6155692E" w14:textId="77777777" w:rsidR="00C55C5A" w:rsidRPr="00C55C5A" w:rsidRDefault="00C55C5A" w:rsidP="00C55C5A">
      <w:pPr>
        <w:ind w:right="45"/>
        <w:jc w:val="both"/>
        <w:rPr>
          <w:rFonts w:ascii="Arial" w:eastAsia="Georgia" w:hAnsi="Arial" w:cs="Arial"/>
          <w:sz w:val="22"/>
          <w:szCs w:val="22"/>
          <w:lang w:val="sl-SI"/>
        </w:rPr>
      </w:pPr>
    </w:p>
    <w:p w14:paraId="24B0FC5A" w14:textId="77777777" w:rsidR="00C55C5A" w:rsidRPr="00C55C5A" w:rsidRDefault="00C55C5A" w:rsidP="00C55C5A">
      <w:pPr>
        <w:ind w:left="5" w:right="45"/>
        <w:jc w:val="both"/>
        <w:rPr>
          <w:rFonts w:ascii="Arial" w:eastAsia="Georgia" w:hAnsi="Arial" w:cs="Arial"/>
          <w:sz w:val="22"/>
          <w:szCs w:val="22"/>
          <w:lang w:val="sl-SI"/>
        </w:rPr>
      </w:pPr>
      <w:r w:rsidRPr="00C55C5A">
        <w:rPr>
          <w:rFonts w:ascii="Arial" w:eastAsia="Georgia" w:hAnsi="Arial" w:cs="Arial"/>
          <w:sz w:val="22"/>
          <w:szCs w:val="22"/>
          <w:lang w:val="sl-SI"/>
        </w:rPr>
        <w:t>Cilji, ki jih zasledujemo z izvajanjem portfeljskih garancij, so:</w:t>
      </w:r>
    </w:p>
    <w:p w14:paraId="34CDDF17" w14:textId="77777777" w:rsidR="00C55C5A" w:rsidRPr="00C55C5A" w:rsidRDefault="00C55C5A" w:rsidP="00C55C5A">
      <w:pPr>
        <w:numPr>
          <w:ilvl w:val="0"/>
          <w:numId w:val="11"/>
        </w:numPr>
        <w:jc w:val="both"/>
        <w:rPr>
          <w:rFonts w:ascii="Arial" w:eastAsia="Georgia" w:hAnsi="Arial" w:cs="Arial"/>
          <w:sz w:val="22"/>
          <w:szCs w:val="22"/>
          <w:lang w:val="sl-SI"/>
        </w:rPr>
      </w:pPr>
      <w:r w:rsidRPr="00C55C5A">
        <w:rPr>
          <w:rFonts w:ascii="Arial" w:eastAsia="Georgia" w:hAnsi="Arial" w:cs="Arial"/>
          <w:sz w:val="22"/>
          <w:szCs w:val="22"/>
          <w:lang w:val="sl-SI"/>
        </w:rPr>
        <w:t xml:space="preserve">zmanjšanje težav pri dostopanju do financiranja s posojili, s katerimi se soočajo MSP in podjetniki (na primer z mikrogarancijo, ki bi omogočala posojilo v vrednosti pod 25.000 EUR), </w:t>
      </w:r>
      <w:r w:rsidRPr="00C55C5A">
        <w:rPr>
          <w:rFonts w:ascii="Arial" w:eastAsia="Georgia" w:hAnsi="Arial" w:cs="Arial"/>
          <w:sz w:val="22"/>
          <w:szCs w:val="22"/>
          <w:lang w:val="sl-SI"/>
        </w:rPr>
        <w:lastRenderedPageBreak/>
        <w:t xml:space="preserve">saj MSP/podjetniki pogosto nimajo potrebnega zavarovanja ali pa komercialne banke njihove ekonomsko upravičene projekte obravnavajo kot preveč tvegane;  </w:t>
      </w:r>
    </w:p>
    <w:p w14:paraId="58F43964" w14:textId="77777777" w:rsidR="00C55C5A" w:rsidRPr="00C55C5A" w:rsidRDefault="00C55C5A" w:rsidP="00C55C5A">
      <w:pPr>
        <w:numPr>
          <w:ilvl w:val="0"/>
          <w:numId w:val="11"/>
        </w:numPr>
        <w:jc w:val="both"/>
        <w:rPr>
          <w:rFonts w:ascii="Arial" w:eastAsia="Georgia" w:hAnsi="Arial" w:cs="Arial"/>
          <w:sz w:val="22"/>
          <w:szCs w:val="22"/>
          <w:lang w:val="sl-SI"/>
        </w:rPr>
      </w:pPr>
      <w:r w:rsidRPr="00C55C5A">
        <w:rPr>
          <w:rFonts w:ascii="Arial" w:eastAsia="Georgia" w:hAnsi="Arial" w:cs="Arial"/>
          <w:sz w:val="22"/>
          <w:szCs w:val="22"/>
          <w:lang w:val="sl-SI"/>
        </w:rPr>
        <w:t xml:space="preserve">podpora zagotavljanju mikroposojil in posojil MSP ter podjetnikom;  </w:t>
      </w:r>
    </w:p>
    <w:p w14:paraId="2C4A8879" w14:textId="77777777" w:rsidR="00C55C5A" w:rsidRPr="00C55C5A" w:rsidRDefault="00C55C5A" w:rsidP="00C55C5A">
      <w:pPr>
        <w:numPr>
          <w:ilvl w:val="0"/>
          <w:numId w:val="11"/>
        </w:numPr>
        <w:jc w:val="both"/>
        <w:rPr>
          <w:rFonts w:ascii="Arial" w:eastAsia="Georgia" w:hAnsi="Arial" w:cs="Arial"/>
          <w:sz w:val="22"/>
          <w:szCs w:val="22"/>
          <w:lang w:val="sl-SI"/>
        </w:rPr>
      </w:pPr>
      <w:r w:rsidRPr="00C55C5A">
        <w:rPr>
          <w:rFonts w:ascii="Arial" w:eastAsia="Georgia" w:hAnsi="Arial" w:cs="Arial"/>
          <w:sz w:val="22"/>
          <w:szCs w:val="22"/>
          <w:lang w:val="sl-SI"/>
        </w:rPr>
        <w:t xml:space="preserve">dopolnjevanje obstoječih garancijskih instrumentov (garancije za posamične projekte, ki niso portfeljske garancije); </w:t>
      </w:r>
    </w:p>
    <w:p w14:paraId="426246F3" w14:textId="77777777" w:rsidR="00C55C5A" w:rsidRPr="00C55C5A" w:rsidRDefault="00C55C5A" w:rsidP="00C55C5A">
      <w:pPr>
        <w:numPr>
          <w:ilvl w:val="0"/>
          <w:numId w:val="11"/>
        </w:numPr>
        <w:jc w:val="both"/>
        <w:rPr>
          <w:rFonts w:ascii="Arial" w:eastAsia="Georgia" w:hAnsi="Arial" w:cs="Arial"/>
          <w:sz w:val="22"/>
          <w:szCs w:val="22"/>
          <w:lang w:val="sl-SI"/>
        </w:rPr>
      </w:pPr>
      <w:r w:rsidRPr="00C55C5A">
        <w:rPr>
          <w:rFonts w:ascii="Arial" w:eastAsia="Georgia" w:hAnsi="Arial" w:cs="Arial"/>
          <w:sz w:val="22"/>
          <w:szCs w:val="22"/>
          <w:lang w:val="sl-SI"/>
        </w:rPr>
        <w:t xml:space="preserve">podpora financiranju obratnega kapitala in investicijam. </w:t>
      </w:r>
    </w:p>
    <w:p w14:paraId="4F48AC92" w14:textId="77777777" w:rsidR="00C55C5A" w:rsidRPr="00C55C5A" w:rsidRDefault="00C55C5A" w:rsidP="00C55C5A">
      <w:pPr>
        <w:ind w:left="5" w:right="45"/>
        <w:jc w:val="both"/>
        <w:rPr>
          <w:rFonts w:ascii="Arial" w:eastAsia="Georgia" w:hAnsi="Arial" w:cs="Arial"/>
          <w:sz w:val="22"/>
          <w:szCs w:val="22"/>
          <w:lang w:val="sl-SI"/>
        </w:rPr>
      </w:pPr>
    </w:p>
    <w:p w14:paraId="32114424" w14:textId="77777777" w:rsidR="00C55C5A" w:rsidRPr="00C55C5A" w:rsidRDefault="00C55C5A" w:rsidP="00C55C5A">
      <w:pPr>
        <w:ind w:left="5" w:right="45"/>
        <w:jc w:val="both"/>
        <w:rPr>
          <w:rFonts w:ascii="Arial" w:eastAsia="Georgia" w:hAnsi="Arial" w:cs="Arial"/>
          <w:sz w:val="22"/>
          <w:szCs w:val="22"/>
          <w:lang w:val="sl-SI"/>
        </w:rPr>
      </w:pPr>
    </w:p>
    <w:p w14:paraId="5B6FF085" w14:textId="77777777" w:rsidR="00C55C5A" w:rsidRPr="00C55C5A" w:rsidRDefault="00C55C5A" w:rsidP="00C55C5A">
      <w:pPr>
        <w:ind w:right="45"/>
        <w:jc w:val="both"/>
        <w:rPr>
          <w:rFonts w:ascii="Arial" w:eastAsia="Georgia" w:hAnsi="Arial" w:cs="Arial"/>
          <w:sz w:val="22"/>
          <w:szCs w:val="22"/>
          <w:lang w:val="sl-SI"/>
        </w:rPr>
      </w:pPr>
      <w:r w:rsidRPr="00C55C5A">
        <w:rPr>
          <w:rFonts w:ascii="Arial" w:eastAsia="Georgia" w:hAnsi="Arial" w:cs="Arial"/>
          <w:sz w:val="22"/>
          <w:szCs w:val="22"/>
          <w:lang w:val="sl-SI"/>
        </w:rPr>
        <w:t>Kazalniki:</w:t>
      </w:r>
    </w:p>
    <w:p w14:paraId="706AF72E" w14:textId="77777777" w:rsidR="00C55C5A" w:rsidRPr="00C55C5A" w:rsidRDefault="00C55C5A" w:rsidP="00C55C5A">
      <w:pPr>
        <w:numPr>
          <w:ilvl w:val="0"/>
          <w:numId w:val="11"/>
        </w:numPr>
        <w:jc w:val="both"/>
        <w:rPr>
          <w:rFonts w:ascii="Arial" w:eastAsia="Georgia" w:hAnsi="Arial" w:cs="Arial"/>
          <w:sz w:val="22"/>
          <w:szCs w:val="22"/>
          <w:lang w:val="sl-SI"/>
        </w:rPr>
      </w:pPr>
      <w:r w:rsidRPr="00C55C5A">
        <w:rPr>
          <w:rFonts w:ascii="Arial" w:eastAsia="Georgia" w:hAnsi="Arial" w:cs="Arial"/>
          <w:sz w:val="22"/>
          <w:szCs w:val="22"/>
          <w:lang w:val="sl-SI"/>
        </w:rPr>
        <w:t xml:space="preserve">Število podprtih MSP in podjetnikov (z razdelitvijo na mikro podjetja, mala podjetja, srednje velika podjetja); </w:t>
      </w:r>
    </w:p>
    <w:p w14:paraId="529989E2"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Število zaposlenih v posameznem MSP ob vključitvi MSP v portfelj</w:t>
      </w:r>
    </w:p>
    <w:p w14:paraId="674B8BC6"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Število novo zaposlenih.</w:t>
      </w:r>
    </w:p>
    <w:p w14:paraId="583E219D" w14:textId="77777777" w:rsidR="00C55C5A" w:rsidRPr="00C55C5A" w:rsidRDefault="00C55C5A" w:rsidP="00C55C5A">
      <w:pPr>
        <w:ind w:left="-5" w:hanging="10"/>
        <w:jc w:val="both"/>
        <w:rPr>
          <w:rFonts w:ascii="Arial" w:eastAsia="Georgia" w:hAnsi="Arial" w:cs="Arial"/>
          <w:i/>
          <w:sz w:val="22"/>
          <w:szCs w:val="22"/>
          <w:lang w:val="sl-SI" w:eastAsia="sl-SI"/>
        </w:rPr>
      </w:pPr>
    </w:p>
    <w:p w14:paraId="629C7972" w14:textId="77777777" w:rsidR="00C55C5A" w:rsidRPr="00C55C5A" w:rsidRDefault="00C55C5A" w:rsidP="00C55C5A">
      <w:pPr>
        <w:keepNext/>
        <w:keepLines/>
        <w:spacing w:before="40"/>
        <w:jc w:val="both"/>
        <w:outlineLvl w:val="4"/>
        <w:rPr>
          <w:rFonts w:ascii="Arial" w:eastAsia="Georgia" w:hAnsi="Arial" w:cs="Arial"/>
          <w:color w:val="2E74B5"/>
          <w:sz w:val="22"/>
          <w:lang w:val="sl-SI" w:eastAsia="sl-SI"/>
        </w:rPr>
      </w:pPr>
      <w:r w:rsidRPr="00C55C5A">
        <w:rPr>
          <w:rFonts w:ascii="Arial" w:eastAsia="Georgia" w:hAnsi="Arial" w:cs="Arial"/>
          <w:color w:val="2E74B5"/>
          <w:sz w:val="22"/>
          <w:lang w:val="sl-SI" w:eastAsia="sl-SI"/>
        </w:rPr>
        <w:t xml:space="preserve">3.2.2.2 Mikroposojila za podporo mikro in malim podjetjem do vrednosti 25.000 EUR.   </w:t>
      </w:r>
    </w:p>
    <w:p w14:paraId="27EBFC75" w14:textId="77777777" w:rsidR="00C55C5A" w:rsidRPr="00C55C5A" w:rsidRDefault="00C55C5A" w:rsidP="00C55C5A">
      <w:pPr>
        <w:shd w:val="clear" w:color="auto" w:fill="FFFFFF"/>
        <w:ind w:left="-5" w:hanging="10"/>
        <w:jc w:val="both"/>
        <w:rPr>
          <w:rFonts w:ascii="Arial" w:eastAsia="Georgia" w:hAnsi="Arial" w:cs="Arial"/>
          <w:b/>
          <w:sz w:val="22"/>
          <w:lang w:val="sl-SI" w:eastAsia="sl-SI"/>
        </w:rPr>
      </w:pPr>
    </w:p>
    <w:p w14:paraId="2340D984" w14:textId="77777777" w:rsidR="00C55C5A" w:rsidRPr="00C55C5A" w:rsidRDefault="00C55C5A" w:rsidP="00C55C5A">
      <w:pPr>
        <w:shd w:val="clear" w:color="auto" w:fill="FFFFFF"/>
        <w:jc w:val="both"/>
        <w:rPr>
          <w:rFonts w:ascii="Arial" w:eastAsia="Georgia" w:hAnsi="Arial" w:cs="Arial"/>
          <w:sz w:val="22"/>
          <w:szCs w:val="22"/>
          <w:lang w:val="sl-SI"/>
        </w:rPr>
      </w:pPr>
      <w:r w:rsidRPr="00C55C5A">
        <w:rPr>
          <w:rFonts w:ascii="Arial" w:eastAsia="Georgia" w:hAnsi="Arial" w:cs="Arial"/>
          <w:sz w:val="22"/>
          <w:szCs w:val="22"/>
          <w:lang w:val="sl-SI"/>
        </w:rPr>
        <w:t>Produkt mikroposojil je namenjen mikro in malim podjetjem in samostojnim podjetnikom za naložbe v osnovna sredstva in za financiranje obratnih sredstev.</w:t>
      </w:r>
    </w:p>
    <w:p w14:paraId="09E55B99" w14:textId="77777777" w:rsidR="00C55C5A" w:rsidRPr="00C55C5A" w:rsidRDefault="00C55C5A" w:rsidP="00C55C5A">
      <w:pPr>
        <w:shd w:val="clear" w:color="auto" w:fill="FFFFFF"/>
        <w:jc w:val="both"/>
        <w:rPr>
          <w:rFonts w:ascii="Arial" w:eastAsia="Georgia" w:hAnsi="Arial" w:cs="Arial"/>
          <w:sz w:val="22"/>
          <w:szCs w:val="22"/>
          <w:lang w:val="sl-SI"/>
        </w:rPr>
      </w:pPr>
    </w:p>
    <w:p w14:paraId="3EF7AA5D" w14:textId="77777777" w:rsidR="00C55C5A" w:rsidRPr="00C55C5A" w:rsidRDefault="00C55C5A" w:rsidP="00C55C5A">
      <w:pPr>
        <w:ind w:right="24"/>
        <w:jc w:val="both"/>
        <w:rPr>
          <w:rFonts w:ascii="Arial" w:eastAsia="Georgia" w:hAnsi="Arial" w:cs="Arial"/>
          <w:sz w:val="22"/>
          <w:szCs w:val="22"/>
          <w:lang w:val="sl-SI"/>
        </w:rPr>
      </w:pPr>
      <w:r w:rsidRPr="00C55C5A">
        <w:rPr>
          <w:rFonts w:ascii="Arial" w:eastAsia="Georgia" w:hAnsi="Arial" w:cs="Arial"/>
          <w:sz w:val="22"/>
          <w:szCs w:val="22"/>
          <w:lang w:val="sl-SI"/>
        </w:rPr>
        <w:t>Okvirni pogoji financiranja se opredelijo v naložbeni strategiji.</w:t>
      </w:r>
    </w:p>
    <w:p w14:paraId="3E4F8AF3" w14:textId="77777777" w:rsidR="00C55C5A" w:rsidRPr="00C55C5A" w:rsidRDefault="00C55C5A" w:rsidP="00C55C5A">
      <w:pPr>
        <w:shd w:val="clear" w:color="auto" w:fill="FFFFFF"/>
        <w:jc w:val="both"/>
        <w:rPr>
          <w:rFonts w:ascii="Arial" w:eastAsia="Georgia" w:hAnsi="Arial" w:cs="Arial"/>
          <w:sz w:val="22"/>
          <w:szCs w:val="22"/>
          <w:lang w:val="sl-SI"/>
        </w:rPr>
      </w:pPr>
    </w:p>
    <w:p w14:paraId="0C926BF7" w14:textId="77777777" w:rsidR="00C55C5A" w:rsidRPr="00C55C5A" w:rsidRDefault="00C55C5A" w:rsidP="00C55C5A">
      <w:pPr>
        <w:shd w:val="clear" w:color="auto" w:fill="FFFFFF"/>
        <w:ind w:left="-5" w:hanging="10"/>
        <w:jc w:val="both"/>
        <w:rPr>
          <w:rFonts w:ascii="Arial" w:eastAsia="Georgia" w:hAnsi="Arial" w:cs="Arial"/>
          <w:sz w:val="22"/>
          <w:szCs w:val="22"/>
          <w:lang w:val="sl-SI"/>
        </w:rPr>
      </w:pPr>
      <w:r w:rsidRPr="00C55C5A">
        <w:rPr>
          <w:rFonts w:ascii="Arial" w:eastAsia="Georgia" w:hAnsi="Arial" w:cs="Arial"/>
          <w:sz w:val="22"/>
          <w:szCs w:val="22"/>
          <w:lang w:val="sl-SI"/>
        </w:rPr>
        <w:t xml:space="preserve">Predlog vrednosti za mikro financiranje je </w:t>
      </w:r>
      <w:r w:rsidRPr="00C55C5A">
        <w:rPr>
          <w:rFonts w:ascii="Arial" w:eastAsia="Georgia" w:hAnsi="Arial" w:cs="Arial"/>
          <w:b/>
          <w:sz w:val="22"/>
          <w:szCs w:val="22"/>
          <w:lang w:val="sl-SI"/>
        </w:rPr>
        <w:t>60 mio EUR</w:t>
      </w:r>
      <w:r w:rsidRPr="00C55C5A">
        <w:rPr>
          <w:rFonts w:ascii="Arial" w:eastAsia="Georgia" w:hAnsi="Arial" w:cs="Arial"/>
          <w:sz w:val="22"/>
          <w:szCs w:val="22"/>
          <w:lang w:val="sl-SI"/>
        </w:rPr>
        <w:t>, ki izhajajo iz TC3.</w:t>
      </w:r>
    </w:p>
    <w:p w14:paraId="6844947B" w14:textId="77777777" w:rsidR="00C55C5A" w:rsidRPr="00C55C5A" w:rsidRDefault="00C55C5A" w:rsidP="00C55C5A">
      <w:pPr>
        <w:shd w:val="clear" w:color="auto" w:fill="FFFFFF"/>
        <w:ind w:left="-5" w:hanging="10"/>
        <w:jc w:val="both"/>
        <w:rPr>
          <w:rFonts w:ascii="Arial" w:eastAsia="Georgia" w:hAnsi="Arial" w:cs="Arial"/>
          <w:sz w:val="22"/>
          <w:szCs w:val="22"/>
          <w:lang w:val="sl-SI"/>
        </w:rPr>
      </w:pPr>
      <w:r w:rsidRPr="00C55C5A">
        <w:rPr>
          <w:rFonts w:ascii="Arial" w:eastAsia="Georgia" w:hAnsi="Arial" w:cs="Arial"/>
          <w:sz w:val="22"/>
          <w:szCs w:val="22"/>
          <w:lang w:val="sl-SI"/>
        </w:rPr>
        <w:br/>
        <w:t>Pričakovan učinek finančnega vzvoda je 1,5 do 2,5.</w:t>
      </w:r>
    </w:p>
    <w:p w14:paraId="2A0123E7" w14:textId="77777777" w:rsidR="00C55C5A" w:rsidRPr="00C55C5A" w:rsidRDefault="00C55C5A" w:rsidP="00C55C5A">
      <w:pPr>
        <w:shd w:val="clear" w:color="auto" w:fill="FFFFFF"/>
        <w:ind w:left="-5" w:hanging="10"/>
        <w:jc w:val="both"/>
        <w:rPr>
          <w:rFonts w:ascii="Arial" w:eastAsia="Georgia" w:hAnsi="Arial" w:cs="Arial"/>
          <w:sz w:val="22"/>
          <w:szCs w:val="22"/>
          <w:lang w:val="sl-SI"/>
        </w:rPr>
      </w:pPr>
    </w:p>
    <w:p w14:paraId="08CB1A01" w14:textId="77777777" w:rsidR="00C55C5A" w:rsidRPr="00C55C5A" w:rsidRDefault="00C55C5A" w:rsidP="00C55C5A">
      <w:pPr>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Možna je kombinacija mikroposojil z nepovratnimi viri.</w:t>
      </w:r>
    </w:p>
    <w:p w14:paraId="72B15DF8" w14:textId="77777777" w:rsidR="00C55C5A" w:rsidRPr="00C55C5A" w:rsidRDefault="00C55C5A" w:rsidP="00C55C5A">
      <w:pPr>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 </w:t>
      </w:r>
    </w:p>
    <w:p w14:paraId="196EE97C" w14:textId="77777777" w:rsidR="00C55C5A" w:rsidRPr="00C55C5A" w:rsidRDefault="00C55C5A" w:rsidP="00C55C5A">
      <w:pPr>
        <w:shd w:val="clear" w:color="auto" w:fill="FFFFFF"/>
        <w:ind w:left="-5" w:hanging="10"/>
        <w:jc w:val="both"/>
        <w:rPr>
          <w:rFonts w:ascii="Arial" w:eastAsia="Georgia" w:hAnsi="Arial" w:cs="Arial"/>
          <w:sz w:val="22"/>
          <w:szCs w:val="22"/>
          <w:lang w:val="sl-SI"/>
        </w:rPr>
      </w:pPr>
      <w:r w:rsidRPr="00C55C5A">
        <w:rPr>
          <w:rFonts w:ascii="Arial" w:eastAsia="Georgia" w:hAnsi="Arial" w:cs="Arial"/>
          <w:sz w:val="22"/>
          <w:szCs w:val="22"/>
          <w:lang w:val="sl-SI"/>
        </w:rPr>
        <w:t>Državne pomoči: mikrokrediti se presojajo skladno z relevantno shemo državne pomoči ali pomoči de minimis.</w:t>
      </w:r>
    </w:p>
    <w:p w14:paraId="4EFFED39" w14:textId="77777777" w:rsidR="00C55C5A" w:rsidRPr="00C55C5A" w:rsidRDefault="00C55C5A" w:rsidP="00C55C5A">
      <w:pPr>
        <w:shd w:val="clear" w:color="auto" w:fill="FFFFFF"/>
        <w:jc w:val="both"/>
        <w:rPr>
          <w:rFonts w:ascii="Arial" w:eastAsia="Georgia" w:hAnsi="Arial" w:cs="Arial"/>
          <w:sz w:val="22"/>
          <w:szCs w:val="22"/>
          <w:lang w:val="sl-SI" w:eastAsia="sl-SI"/>
        </w:rPr>
      </w:pPr>
    </w:p>
    <w:p w14:paraId="4B3C7FDE" w14:textId="77777777" w:rsidR="00C55C5A" w:rsidRPr="00C55C5A" w:rsidRDefault="00C55C5A" w:rsidP="00C55C5A">
      <w:pPr>
        <w:shd w:val="clear" w:color="auto" w:fill="FFFFFF"/>
        <w:ind w:left="-5" w:hanging="10"/>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Ciljne skupine so p</w:t>
      </w:r>
      <w:r w:rsidRPr="00C55C5A">
        <w:rPr>
          <w:rFonts w:ascii="Arial" w:eastAsia="Georgia" w:hAnsi="Arial" w:cs="Arial"/>
          <w:sz w:val="22"/>
          <w:szCs w:val="22"/>
          <w:lang w:val="sl-SI"/>
        </w:rPr>
        <w:t>osamezniki in mikro in mala podjetja ter samostojni podjetniki.</w:t>
      </w:r>
    </w:p>
    <w:p w14:paraId="6B025185" w14:textId="77777777" w:rsidR="00C55C5A" w:rsidRPr="00C55C5A" w:rsidRDefault="00C55C5A" w:rsidP="00C55C5A">
      <w:pPr>
        <w:shd w:val="clear" w:color="auto" w:fill="FFFFFF"/>
        <w:jc w:val="both"/>
        <w:rPr>
          <w:rFonts w:ascii="Arial" w:eastAsia="Georgia" w:hAnsi="Arial" w:cs="Arial"/>
          <w:sz w:val="22"/>
          <w:szCs w:val="22"/>
          <w:lang w:val="sl-SI" w:eastAsia="sl-SI"/>
        </w:rPr>
      </w:pPr>
    </w:p>
    <w:p w14:paraId="52FE4E68" w14:textId="77777777" w:rsidR="00C55C5A" w:rsidRPr="00C55C5A" w:rsidRDefault="00C55C5A" w:rsidP="00C55C5A">
      <w:pPr>
        <w:shd w:val="clear" w:color="auto" w:fill="FFFFFF"/>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Cilji:</w:t>
      </w:r>
    </w:p>
    <w:p w14:paraId="0112C5A0"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Zmanjšanje specifičnih težav ciljnih skupin in končnih upravičencev pri dostopanju do financiranja, saj finančne institucije njihove projekte obravnavajo kot preveč tvegane/bančno neprimerne. </w:t>
      </w:r>
    </w:p>
    <w:p w14:paraId="4834366F"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Vzpostavitev finančne sheme delitve tveganja s finančnimi posredniki v smislu zagotavljanja posojil v zelo majhnih zneskih za bančno neprimerne posameznike, ki financiranje potrebujejo za izboljšan dostop do trga dela.  </w:t>
      </w:r>
    </w:p>
    <w:p w14:paraId="161919B8" w14:textId="77777777" w:rsidR="00C55C5A" w:rsidRPr="00C55C5A" w:rsidRDefault="00C55C5A" w:rsidP="00C55C5A">
      <w:pPr>
        <w:shd w:val="clear" w:color="auto" w:fill="FFFFFF"/>
        <w:ind w:left="-5" w:hanging="10"/>
        <w:jc w:val="both"/>
        <w:rPr>
          <w:rFonts w:ascii="Arial" w:eastAsia="Georgia" w:hAnsi="Arial" w:cs="Arial"/>
          <w:sz w:val="22"/>
          <w:szCs w:val="22"/>
          <w:lang w:val="sl-SI" w:eastAsia="sl-SI"/>
        </w:rPr>
      </w:pPr>
    </w:p>
    <w:p w14:paraId="5BFC5B2B" w14:textId="77777777" w:rsidR="00C55C5A" w:rsidRPr="00C55C5A" w:rsidRDefault="00C55C5A" w:rsidP="00C55C5A">
      <w:pPr>
        <w:shd w:val="clear" w:color="auto" w:fill="FFFFFF"/>
        <w:ind w:left="-5" w:hanging="10"/>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Kazalniki:</w:t>
      </w:r>
    </w:p>
    <w:p w14:paraId="7B426AB7"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Število podprtih mikro in malih podjetij in podjetnikov; </w:t>
      </w:r>
    </w:p>
    <w:p w14:paraId="3E04F67A"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Število novo zaposlenih; </w:t>
      </w:r>
    </w:p>
    <w:p w14:paraId="5F7073DF"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Finančni vzvod.</w:t>
      </w:r>
    </w:p>
    <w:p w14:paraId="781A0BC6" w14:textId="77777777" w:rsidR="00C55C5A" w:rsidRPr="00C55C5A" w:rsidRDefault="00C55C5A" w:rsidP="00C55C5A">
      <w:pPr>
        <w:shd w:val="clear" w:color="auto" w:fill="FFFFFF"/>
        <w:spacing w:after="9"/>
        <w:ind w:left="-5" w:hanging="10"/>
        <w:jc w:val="both"/>
        <w:rPr>
          <w:rFonts w:ascii="Arial" w:eastAsia="Georgia" w:hAnsi="Arial" w:cs="Arial"/>
          <w:sz w:val="22"/>
          <w:lang w:val="sl-SI" w:eastAsia="sl-SI"/>
        </w:rPr>
      </w:pPr>
    </w:p>
    <w:p w14:paraId="1A429C00" w14:textId="77777777" w:rsidR="00C55C5A" w:rsidRPr="00C55C5A" w:rsidRDefault="00C55C5A" w:rsidP="00C55C5A">
      <w:pPr>
        <w:keepNext/>
        <w:keepLines/>
        <w:spacing w:before="40"/>
        <w:jc w:val="both"/>
        <w:outlineLvl w:val="4"/>
        <w:rPr>
          <w:rFonts w:ascii="Arial" w:eastAsia="Georgia" w:hAnsi="Arial" w:cs="Arial"/>
          <w:color w:val="2E74B5"/>
          <w:sz w:val="22"/>
          <w:lang w:val="sl-SI" w:eastAsia="sl-SI"/>
        </w:rPr>
      </w:pPr>
      <w:r w:rsidRPr="00C55C5A">
        <w:rPr>
          <w:rFonts w:ascii="Arial" w:eastAsia="Georgia" w:hAnsi="Arial" w:cs="Arial"/>
          <w:color w:val="2E74B5"/>
          <w:sz w:val="22"/>
          <w:lang w:val="sl-SI" w:eastAsia="sl-SI"/>
        </w:rPr>
        <w:t>3.2.2.3 Lastniško financiranje</w:t>
      </w:r>
    </w:p>
    <w:p w14:paraId="0867633A" w14:textId="77777777" w:rsidR="00C55C5A" w:rsidRPr="00C55C5A" w:rsidRDefault="00C55C5A" w:rsidP="00C55C5A">
      <w:pPr>
        <w:spacing w:after="9"/>
        <w:ind w:left="-5" w:hanging="10"/>
        <w:jc w:val="both"/>
        <w:rPr>
          <w:rFonts w:ascii="Arial" w:eastAsia="Georgia" w:hAnsi="Arial" w:cs="Arial"/>
          <w:sz w:val="22"/>
          <w:lang w:val="sl-SI" w:eastAsia="sl-SI"/>
        </w:rPr>
      </w:pPr>
    </w:p>
    <w:p w14:paraId="01565688" w14:textId="77777777" w:rsidR="00C55C5A" w:rsidRPr="00C55C5A" w:rsidRDefault="00C55C5A" w:rsidP="00C55C5A">
      <w:pPr>
        <w:spacing w:after="9"/>
        <w:ind w:left="-5" w:hanging="10"/>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lastRenderedPageBreak/>
        <w:t>Gre za produkt, ki zagotavlja lastniško financiranje za MSP (lastniško in kvazi-lastniško).</w:t>
      </w:r>
    </w:p>
    <w:p w14:paraId="68424432" w14:textId="77777777" w:rsidR="00C55C5A" w:rsidRPr="00C55C5A" w:rsidRDefault="00C55C5A" w:rsidP="00C55C5A">
      <w:pPr>
        <w:jc w:val="both"/>
        <w:rPr>
          <w:rFonts w:ascii="Arial" w:eastAsia="Georgia" w:hAnsi="Arial" w:cs="Arial"/>
          <w:sz w:val="22"/>
          <w:szCs w:val="22"/>
          <w:lang w:val="sl-SI" w:eastAsia="sl-SI"/>
        </w:rPr>
      </w:pPr>
    </w:p>
    <w:p w14:paraId="513F131F" w14:textId="77777777" w:rsidR="00C55C5A" w:rsidRPr="00C55C5A" w:rsidRDefault="00C55C5A" w:rsidP="00C55C5A">
      <w:pPr>
        <w:spacing w:after="67"/>
        <w:ind w:left="5"/>
        <w:jc w:val="both"/>
        <w:rPr>
          <w:rFonts w:ascii="Arial" w:eastAsia="Georgia" w:hAnsi="Arial" w:cs="Arial"/>
          <w:sz w:val="22"/>
          <w:szCs w:val="22"/>
          <w:lang w:val="sl-SI"/>
        </w:rPr>
      </w:pPr>
      <w:r w:rsidRPr="00C55C5A">
        <w:rPr>
          <w:rFonts w:ascii="Arial" w:eastAsia="Georgia" w:hAnsi="Arial" w:cs="Arial"/>
          <w:sz w:val="22"/>
          <w:szCs w:val="22"/>
          <w:lang w:val="sl-SI"/>
        </w:rPr>
        <w:t>Predviden znesek v OP 2014 - 2020 je 40 mio EUR. Skladno s Predhodno analizo FI pa je predlog vrednosti lastniškega financiranja 30 mio EUR iz TC 3 in TC 1. Predlagana višina sredstev za izvedbo lastniškega financiranja pa je</w:t>
      </w:r>
      <w:r w:rsidRPr="00C55C5A">
        <w:rPr>
          <w:rFonts w:ascii="Arial" w:eastAsia="Georgia" w:hAnsi="Arial" w:cs="Arial"/>
          <w:b/>
          <w:sz w:val="22"/>
          <w:szCs w:val="22"/>
          <w:lang w:val="sl-SI"/>
        </w:rPr>
        <w:t xml:space="preserve"> 10 mio EUR</w:t>
      </w:r>
      <w:r w:rsidRPr="00C55C5A">
        <w:rPr>
          <w:rFonts w:ascii="Arial" w:eastAsia="Georgia" w:hAnsi="Arial" w:cs="Arial"/>
          <w:sz w:val="22"/>
          <w:szCs w:val="22"/>
          <w:lang w:val="sl-SI"/>
        </w:rPr>
        <w:t xml:space="preserve"> pod TC3 za MSP. Lastniško financiranje za velika podjetja (TC 1) trenutno ni predvideno.</w:t>
      </w:r>
    </w:p>
    <w:p w14:paraId="7BCD7336" w14:textId="77777777" w:rsidR="00C55C5A" w:rsidRPr="00C55C5A" w:rsidRDefault="00C55C5A" w:rsidP="00C55C5A">
      <w:pPr>
        <w:ind w:right="24"/>
        <w:jc w:val="both"/>
        <w:rPr>
          <w:rFonts w:ascii="Arial" w:eastAsia="Georgia" w:hAnsi="Arial" w:cs="Arial"/>
          <w:sz w:val="22"/>
          <w:szCs w:val="22"/>
          <w:lang w:val="sl-SI"/>
        </w:rPr>
      </w:pPr>
    </w:p>
    <w:p w14:paraId="13C9CE7D" w14:textId="77777777" w:rsidR="00C55C5A" w:rsidRPr="00C55C5A" w:rsidRDefault="00C55C5A" w:rsidP="00C55C5A">
      <w:pPr>
        <w:spacing w:after="9"/>
        <w:ind w:left="-5" w:hanging="10"/>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Državne pomoči: </w:t>
      </w:r>
      <w:r w:rsidRPr="00C55C5A">
        <w:rPr>
          <w:rFonts w:ascii="Arial" w:eastAsia="Georgia" w:hAnsi="Arial" w:cs="Arial"/>
          <w:sz w:val="22"/>
          <w:szCs w:val="22"/>
          <w:lang w:val="sl-SI"/>
        </w:rPr>
        <w:t>ukrep se presoja skladno z relevantno shemo državne pomoči ali pomoči de minimis.</w:t>
      </w:r>
    </w:p>
    <w:p w14:paraId="40034C3B" w14:textId="77777777" w:rsidR="00C55C5A" w:rsidRPr="00C55C5A" w:rsidRDefault="00C55C5A" w:rsidP="00C55C5A">
      <w:pPr>
        <w:spacing w:after="9"/>
        <w:ind w:left="-5" w:hanging="10"/>
        <w:jc w:val="both"/>
        <w:rPr>
          <w:rFonts w:ascii="Arial" w:eastAsia="Georgia" w:hAnsi="Arial" w:cs="Arial"/>
          <w:sz w:val="22"/>
          <w:szCs w:val="22"/>
          <w:lang w:val="sl-SI" w:eastAsia="sl-SI"/>
        </w:rPr>
      </w:pPr>
    </w:p>
    <w:p w14:paraId="59903D76" w14:textId="77777777" w:rsidR="00C55C5A" w:rsidRPr="00C55C5A" w:rsidRDefault="00C55C5A" w:rsidP="00C55C5A">
      <w:pPr>
        <w:ind w:right="45"/>
        <w:jc w:val="both"/>
        <w:rPr>
          <w:rFonts w:ascii="Arial" w:eastAsia="Georgia" w:hAnsi="Arial" w:cs="Arial"/>
          <w:sz w:val="22"/>
          <w:szCs w:val="22"/>
          <w:lang w:val="sl-SI"/>
        </w:rPr>
      </w:pPr>
      <w:r w:rsidRPr="00C55C5A">
        <w:rPr>
          <w:rFonts w:ascii="Arial" w:eastAsia="Georgia" w:hAnsi="Arial" w:cs="Arial"/>
          <w:sz w:val="22"/>
          <w:szCs w:val="22"/>
          <w:lang w:val="sl-SI" w:eastAsia="sl-SI"/>
        </w:rPr>
        <w:t xml:space="preserve">Možna je kombinacija lastniškega financiranja z nepovratnimi viri.  </w:t>
      </w:r>
    </w:p>
    <w:p w14:paraId="0D92C365" w14:textId="77777777" w:rsidR="00C55C5A" w:rsidRPr="00C55C5A" w:rsidRDefault="00C55C5A" w:rsidP="00C55C5A">
      <w:pPr>
        <w:spacing w:after="9"/>
        <w:ind w:left="-5" w:hanging="10"/>
        <w:jc w:val="both"/>
        <w:rPr>
          <w:rFonts w:ascii="Arial" w:eastAsia="Georgia" w:hAnsi="Arial" w:cs="Arial"/>
          <w:sz w:val="22"/>
          <w:szCs w:val="22"/>
          <w:lang w:val="sl-SI" w:eastAsia="sl-SI"/>
        </w:rPr>
      </w:pPr>
    </w:p>
    <w:p w14:paraId="525E9FE7" w14:textId="77777777" w:rsidR="00C55C5A" w:rsidRPr="00C55C5A" w:rsidRDefault="00C55C5A" w:rsidP="00C55C5A">
      <w:pPr>
        <w:ind w:right="24"/>
        <w:jc w:val="both"/>
        <w:rPr>
          <w:rFonts w:ascii="Arial" w:eastAsia="Georgia" w:hAnsi="Arial" w:cs="Arial"/>
          <w:sz w:val="22"/>
          <w:szCs w:val="22"/>
          <w:lang w:val="sl-SI"/>
        </w:rPr>
      </w:pPr>
      <w:r w:rsidRPr="00C55C5A">
        <w:rPr>
          <w:rFonts w:ascii="Arial" w:eastAsia="Georgia" w:hAnsi="Arial" w:cs="Arial"/>
          <w:sz w:val="22"/>
          <w:szCs w:val="22"/>
          <w:lang w:val="sl-SI"/>
        </w:rPr>
        <w:t>Ciljne skupine: MSP.</w:t>
      </w:r>
    </w:p>
    <w:p w14:paraId="13295330" w14:textId="77777777" w:rsidR="00C55C5A" w:rsidRPr="00C55C5A" w:rsidRDefault="00C55C5A" w:rsidP="00C55C5A">
      <w:pPr>
        <w:ind w:left="-5" w:hanging="10"/>
        <w:jc w:val="both"/>
        <w:rPr>
          <w:rFonts w:ascii="Arial" w:eastAsia="Georgia" w:hAnsi="Arial" w:cs="Arial"/>
          <w:sz w:val="22"/>
          <w:szCs w:val="22"/>
          <w:lang w:val="sl-SI" w:eastAsia="sl-SI"/>
        </w:rPr>
      </w:pPr>
    </w:p>
    <w:p w14:paraId="33690BFD" w14:textId="77777777" w:rsidR="00C55C5A" w:rsidRPr="00C55C5A" w:rsidRDefault="00C55C5A" w:rsidP="00C55C5A">
      <w:pPr>
        <w:ind w:left="-5" w:hanging="10"/>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Cilji so:</w:t>
      </w:r>
    </w:p>
    <w:p w14:paraId="5FFDC18C"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Izboljšati lastniško in kvazi-lastniško financiranje za podjetja v semenski fazi, fazi oblikovanja, fazi razvoja in fazi preobrata;  </w:t>
      </w:r>
    </w:p>
    <w:p w14:paraId="24F7137E"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Podpora podjetjem v vseh fazah na podlagi dobrega poslovnega načrta; </w:t>
      </w:r>
    </w:p>
    <w:p w14:paraId="35B39760"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Izboljšanje kapitalizacije MSP z visokim potencialom rasti v Sloveniji </w:t>
      </w:r>
    </w:p>
    <w:p w14:paraId="45C3061B"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Spodbujanje oblikovanja kapitalskega trga v Sloveniji, vključno s poslovnimi angeli; </w:t>
      </w:r>
    </w:p>
    <w:p w14:paraId="65CE178B"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Dopolnitev obstoječe ponudbe lastniškega financiranja, so-vlaganje skupaj z upravljalci trga (poslovni angeli, naložbeni skladi, itd.), ki so prisotni v državi, in pritegnitev zunanjih investitorjev, ki običajno niso dejavni v državi.</w:t>
      </w:r>
    </w:p>
    <w:p w14:paraId="2E6A1241" w14:textId="77777777" w:rsidR="00C55C5A" w:rsidRPr="00C55C5A" w:rsidRDefault="00C55C5A" w:rsidP="00C55C5A">
      <w:pPr>
        <w:jc w:val="both"/>
        <w:rPr>
          <w:rFonts w:ascii="Arial" w:eastAsia="Georgia" w:hAnsi="Arial" w:cs="Arial"/>
          <w:sz w:val="22"/>
          <w:szCs w:val="22"/>
          <w:lang w:val="sl-SI"/>
        </w:rPr>
      </w:pPr>
    </w:p>
    <w:p w14:paraId="364B0A86"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Kazalniki spremljanja:</w:t>
      </w:r>
    </w:p>
    <w:p w14:paraId="77DF9862"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Število podprtih MSP (mikro, mala, srednje velika podjetja) in podjetnikov; </w:t>
      </w:r>
    </w:p>
    <w:p w14:paraId="57E5E268"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Število zaposlenih v MSP ob vključitvi v portfelj; </w:t>
      </w:r>
    </w:p>
    <w:p w14:paraId="292BA4E5"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Število novih zaposlitev;</w:t>
      </w:r>
    </w:p>
    <w:p w14:paraId="0A61BB5D"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Skupen zagotovljen znesek; </w:t>
      </w:r>
    </w:p>
    <w:p w14:paraId="625D8DEA"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Finančni vzvod.</w:t>
      </w:r>
    </w:p>
    <w:p w14:paraId="3A1A2D83" w14:textId="77777777" w:rsidR="00C55C5A" w:rsidRPr="00C55C5A" w:rsidRDefault="00C55C5A" w:rsidP="00C55C5A">
      <w:pPr>
        <w:jc w:val="both"/>
        <w:rPr>
          <w:rFonts w:ascii="Arial" w:eastAsia="Georgia" w:hAnsi="Arial" w:cs="Arial"/>
          <w:sz w:val="22"/>
          <w:lang w:val="sl-SI"/>
        </w:rPr>
      </w:pPr>
    </w:p>
    <w:p w14:paraId="1950DCD3" w14:textId="77777777" w:rsidR="00C55C5A" w:rsidRPr="00C55C5A" w:rsidRDefault="00C55C5A" w:rsidP="00C55C5A">
      <w:pPr>
        <w:keepNext/>
        <w:keepLines/>
        <w:spacing w:before="40"/>
        <w:jc w:val="both"/>
        <w:outlineLvl w:val="3"/>
        <w:rPr>
          <w:rFonts w:ascii="Arial" w:eastAsia="Georgia" w:hAnsi="Arial" w:cs="Arial"/>
          <w:b/>
          <w:iCs/>
          <w:color w:val="2E74B5"/>
          <w:sz w:val="22"/>
          <w:lang w:val="sl-SI" w:eastAsia="sl-SI"/>
        </w:rPr>
      </w:pPr>
      <w:r w:rsidRPr="00C55C5A">
        <w:rPr>
          <w:rFonts w:ascii="Arial" w:eastAsia="Georgia" w:hAnsi="Arial" w:cs="Arial"/>
          <w:b/>
          <w:i/>
          <w:iCs/>
          <w:color w:val="2E74B5"/>
          <w:sz w:val="22"/>
          <w:lang w:val="sl-SI" w:eastAsia="sl-SI"/>
        </w:rPr>
        <w:t xml:space="preserve">3.2.3 Finančni instrument za energetsko učinkovitost </w:t>
      </w:r>
    </w:p>
    <w:p w14:paraId="4E344326" w14:textId="77777777" w:rsidR="00C55C5A" w:rsidRPr="00C55C5A" w:rsidRDefault="00C55C5A" w:rsidP="00C55C5A">
      <w:pPr>
        <w:ind w:left="-15" w:right="14" w:firstLine="2"/>
        <w:jc w:val="both"/>
        <w:rPr>
          <w:rFonts w:ascii="Arial" w:eastAsia="Georgia" w:hAnsi="Arial" w:cs="Arial"/>
          <w:sz w:val="22"/>
          <w:lang w:val="sl-SI" w:eastAsia="sl-SI"/>
        </w:rPr>
      </w:pPr>
    </w:p>
    <w:p w14:paraId="4600E0FF" w14:textId="77777777" w:rsidR="00C55C5A" w:rsidRPr="00C55C5A" w:rsidRDefault="00C55C5A" w:rsidP="00C55C5A">
      <w:pPr>
        <w:jc w:val="both"/>
        <w:rPr>
          <w:rFonts w:ascii="Arial" w:eastAsia="Georgia" w:hAnsi="Arial" w:cs="Arial"/>
          <w:sz w:val="22"/>
          <w:szCs w:val="22"/>
          <w:lang w:val="sl-SI"/>
        </w:rPr>
      </w:pPr>
      <w:r w:rsidRPr="00C55C5A">
        <w:rPr>
          <w:rFonts w:ascii="Arial" w:eastAsia="Georgia" w:hAnsi="Arial" w:cs="Arial"/>
          <w:sz w:val="22"/>
          <w:szCs w:val="22"/>
          <w:lang w:val="sl-SI"/>
        </w:rPr>
        <w:t xml:space="preserve">Tabela 11: Predvideni finančni produkti za področje energetske učinkovitosti </w:t>
      </w:r>
    </w:p>
    <w:tbl>
      <w:tblPr>
        <w:tblStyle w:val="Tabelamrea"/>
        <w:tblW w:w="5248" w:type="pct"/>
        <w:tblLook w:val="04A0" w:firstRow="1" w:lastRow="0" w:firstColumn="1" w:lastColumn="0" w:noHBand="0" w:noVBand="1"/>
      </w:tblPr>
      <w:tblGrid>
        <w:gridCol w:w="2749"/>
        <w:gridCol w:w="1676"/>
        <w:gridCol w:w="2038"/>
        <w:gridCol w:w="2256"/>
        <w:gridCol w:w="1862"/>
      </w:tblGrid>
      <w:tr w:rsidR="00C55C5A" w:rsidRPr="00C55C5A" w14:paraId="6235C6A4" w14:textId="77777777" w:rsidTr="00E6701A">
        <w:tc>
          <w:tcPr>
            <w:tcW w:w="1299" w:type="pct"/>
            <w:vAlign w:val="center"/>
          </w:tcPr>
          <w:p w14:paraId="2AC46876"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Področje z zaznano finančno vrzeljo</w:t>
            </w:r>
          </w:p>
        </w:tc>
        <w:tc>
          <w:tcPr>
            <w:tcW w:w="792" w:type="pct"/>
            <w:vAlign w:val="center"/>
          </w:tcPr>
          <w:p w14:paraId="4BE837D4"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Finančni produkt glede na vrzel financiranja</w:t>
            </w:r>
          </w:p>
        </w:tc>
        <w:tc>
          <w:tcPr>
            <w:tcW w:w="963" w:type="pct"/>
            <w:vAlign w:val="center"/>
          </w:tcPr>
          <w:p w14:paraId="26B2AC5D"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Ugotovljena vrzel financiranja</w:t>
            </w:r>
          </w:p>
          <w:p w14:paraId="2F8B384A"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(v mio EUR)</w:t>
            </w:r>
          </w:p>
        </w:tc>
        <w:tc>
          <w:tcPr>
            <w:tcW w:w="1066" w:type="pct"/>
            <w:shd w:val="clear" w:color="auto" w:fill="auto"/>
            <w:vAlign w:val="center"/>
          </w:tcPr>
          <w:p w14:paraId="0AFB33D2"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Finančni produkt</w:t>
            </w:r>
          </w:p>
        </w:tc>
        <w:tc>
          <w:tcPr>
            <w:tcW w:w="878" w:type="pct"/>
            <w:shd w:val="clear" w:color="auto" w:fill="auto"/>
            <w:vAlign w:val="center"/>
          </w:tcPr>
          <w:p w14:paraId="61FFB6F6"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Predvidena višina javnih sredstev - FI</w:t>
            </w:r>
          </w:p>
          <w:p w14:paraId="2A1AD3A2"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(v mio EUR)</w:t>
            </w:r>
          </w:p>
        </w:tc>
      </w:tr>
      <w:tr w:rsidR="00C55C5A" w:rsidRPr="00C55C5A" w14:paraId="10B13961" w14:textId="77777777" w:rsidTr="00E6701A">
        <w:trPr>
          <w:trHeight w:val="427"/>
        </w:trPr>
        <w:tc>
          <w:tcPr>
            <w:tcW w:w="5000" w:type="pct"/>
            <w:gridSpan w:val="5"/>
            <w:shd w:val="clear" w:color="auto" w:fill="auto"/>
          </w:tcPr>
          <w:p w14:paraId="441264C9"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ENERGETSKA UČINKOVITOST</w:t>
            </w:r>
          </w:p>
        </w:tc>
      </w:tr>
      <w:tr w:rsidR="00C55C5A" w:rsidRPr="00C55C5A" w14:paraId="7B68C608" w14:textId="77777777" w:rsidTr="00E6701A">
        <w:tc>
          <w:tcPr>
            <w:tcW w:w="5000" w:type="pct"/>
            <w:gridSpan w:val="5"/>
            <w:shd w:val="clear" w:color="auto" w:fill="auto"/>
            <w:vAlign w:val="center"/>
          </w:tcPr>
          <w:p w14:paraId="79F30737" w14:textId="77777777" w:rsidR="00C55C5A" w:rsidRPr="00C55C5A" w:rsidRDefault="00C55C5A" w:rsidP="00C55C5A">
            <w:pPr>
              <w:autoSpaceDE w:val="0"/>
              <w:autoSpaceDN w:val="0"/>
              <w:adjustRightInd w:val="0"/>
              <w:jc w:val="center"/>
              <w:rPr>
                <w:rFonts w:ascii="Arial" w:eastAsia="Calibri" w:hAnsi="Arial" w:cs="Arial"/>
                <w:i/>
                <w:color w:val="000000"/>
                <w:sz w:val="22"/>
                <w:szCs w:val="22"/>
                <w:lang w:val="sl-SI"/>
              </w:rPr>
            </w:pPr>
            <w:r w:rsidRPr="00C55C5A">
              <w:rPr>
                <w:rFonts w:ascii="Arial" w:eastAsia="Calibri" w:hAnsi="Arial" w:cs="Arial"/>
                <w:i/>
                <w:color w:val="000000"/>
                <w:sz w:val="22"/>
                <w:szCs w:val="22"/>
                <w:lang w:val="sl-SI"/>
              </w:rPr>
              <w:t>Prednostna os: 4/ Tematski cilj: 4</w:t>
            </w:r>
          </w:p>
        </w:tc>
      </w:tr>
      <w:tr w:rsidR="00C55C5A" w:rsidRPr="00C55C5A" w14:paraId="0528B651" w14:textId="77777777" w:rsidTr="00E6701A">
        <w:tc>
          <w:tcPr>
            <w:tcW w:w="5000" w:type="pct"/>
            <w:gridSpan w:val="5"/>
            <w:shd w:val="clear" w:color="auto" w:fill="auto"/>
          </w:tcPr>
          <w:p w14:paraId="7D822740" w14:textId="77777777" w:rsidR="00C55C5A" w:rsidRPr="00C55C5A" w:rsidRDefault="00C55C5A" w:rsidP="00C55C5A">
            <w:pPr>
              <w:autoSpaceDE w:val="0"/>
              <w:autoSpaceDN w:val="0"/>
              <w:adjustRightInd w:val="0"/>
              <w:jc w:val="center"/>
              <w:rPr>
                <w:rFonts w:ascii="Arial" w:eastAsia="Calibri" w:hAnsi="Arial" w:cs="Arial"/>
                <w:i/>
                <w:color w:val="000000"/>
                <w:sz w:val="22"/>
                <w:szCs w:val="22"/>
                <w:lang w:val="sl-SI"/>
              </w:rPr>
            </w:pPr>
            <w:r w:rsidRPr="00C55C5A">
              <w:rPr>
                <w:rFonts w:ascii="Arial" w:hAnsi="Arial" w:cs="Arial"/>
                <w:bCs/>
                <w:i/>
                <w:sz w:val="22"/>
                <w:szCs w:val="22"/>
                <w:lang w:val="sl-SI"/>
              </w:rPr>
              <w:t>Prednostna naložba: 4.1</w:t>
            </w:r>
          </w:p>
        </w:tc>
      </w:tr>
      <w:tr w:rsidR="00C55C5A" w:rsidRPr="00C55C5A" w14:paraId="0A64BB8A" w14:textId="77777777" w:rsidTr="00E6701A">
        <w:tc>
          <w:tcPr>
            <w:tcW w:w="5000" w:type="pct"/>
            <w:gridSpan w:val="5"/>
            <w:tcBorders>
              <w:bottom w:val="single" w:sz="4" w:space="0" w:color="auto"/>
            </w:tcBorders>
            <w:shd w:val="clear" w:color="auto" w:fill="auto"/>
          </w:tcPr>
          <w:p w14:paraId="05E702D8" w14:textId="77777777" w:rsidR="00C55C5A" w:rsidRPr="00C55C5A" w:rsidRDefault="00C55C5A" w:rsidP="00C55C5A">
            <w:pPr>
              <w:autoSpaceDE w:val="0"/>
              <w:autoSpaceDN w:val="0"/>
              <w:adjustRightInd w:val="0"/>
              <w:jc w:val="both"/>
              <w:rPr>
                <w:rFonts w:ascii="Arial" w:eastAsia="Calibri" w:hAnsi="Arial" w:cs="Arial"/>
                <w:b/>
                <w:i/>
                <w:color w:val="000000"/>
                <w:sz w:val="22"/>
                <w:szCs w:val="22"/>
                <w:lang w:val="sl-SI"/>
              </w:rPr>
            </w:pPr>
            <w:r w:rsidRPr="00C55C5A">
              <w:rPr>
                <w:rFonts w:ascii="Arial" w:eastAsia="Calibri" w:hAnsi="Arial" w:cs="Arial"/>
                <w:b/>
                <w:i/>
                <w:color w:val="000000"/>
                <w:sz w:val="22"/>
                <w:szCs w:val="22"/>
                <w:lang w:val="sl-SI"/>
              </w:rPr>
              <w:t>Specifični cilj: 1</w:t>
            </w:r>
          </w:p>
        </w:tc>
      </w:tr>
      <w:tr w:rsidR="00C55C5A" w:rsidRPr="00C55C5A" w14:paraId="5707F84D" w14:textId="77777777" w:rsidTr="00E6701A">
        <w:tc>
          <w:tcPr>
            <w:tcW w:w="1299" w:type="pct"/>
            <w:tcBorders>
              <w:bottom w:val="single" w:sz="4" w:space="0" w:color="auto"/>
            </w:tcBorders>
          </w:tcPr>
          <w:p w14:paraId="557B50E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Energetska prenova javnih stavb</w:t>
            </w:r>
          </w:p>
        </w:tc>
        <w:tc>
          <w:tcPr>
            <w:tcW w:w="792" w:type="pct"/>
            <w:tcBorders>
              <w:bottom w:val="single" w:sz="4" w:space="0" w:color="auto"/>
            </w:tcBorders>
          </w:tcPr>
          <w:p w14:paraId="76DBC1D3"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Posojila</w:t>
            </w:r>
          </w:p>
        </w:tc>
        <w:tc>
          <w:tcPr>
            <w:tcW w:w="963" w:type="pct"/>
            <w:tcBorders>
              <w:bottom w:val="single" w:sz="4" w:space="0" w:color="auto"/>
            </w:tcBorders>
          </w:tcPr>
          <w:p w14:paraId="67A7AAEB"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bCs/>
                <w:color w:val="000000"/>
                <w:sz w:val="22"/>
                <w:szCs w:val="22"/>
                <w:lang w:val="sl-SI"/>
              </w:rPr>
              <w:t>65-132</w:t>
            </w:r>
          </w:p>
        </w:tc>
        <w:tc>
          <w:tcPr>
            <w:tcW w:w="1066" w:type="pct"/>
            <w:tcBorders>
              <w:bottom w:val="single" w:sz="4" w:space="0" w:color="auto"/>
            </w:tcBorders>
            <w:shd w:val="clear" w:color="auto" w:fill="auto"/>
          </w:tcPr>
          <w:p w14:paraId="2654EF8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Posojila za  celovito </w:t>
            </w:r>
          </w:p>
          <w:p w14:paraId="23761F6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energetsko prenovo  javnih stavb, garancijske sheme, </w:t>
            </w:r>
            <w:r w:rsidRPr="00C55C5A">
              <w:rPr>
                <w:rFonts w:ascii="Arial" w:eastAsia="Calibri" w:hAnsi="Arial" w:cs="Arial"/>
                <w:color w:val="000000"/>
                <w:sz w:val="22"/>
                <w:szCs w:val="22"/>
                <w:lang w:val="sl-SI"/>
              </w:rPr>
              <w:lastRenderedPageBreak/>
              <w:t>lastniško financiranje</w:t>
            </w:r>
            <w:r w:rsidRPr="00C55C5A">
              <w:rPr>
                <w:rFonts w:ascii="Arial" w:eastAsia="Calibri" w:hAnsi="Arial" w:cs="Arial"/>
                <w:color w:val="000000"/>
                <w:sz w:val="22"/>
                <w:szCs w:val="22"/>
                <w:vertAlign w:val="superscript"/>
                <w:lang w:val="sl-SI"/>
              </w:rPr>
              <w:footnoteReference w:id="15"/>
            </w:r>
          </w:p>
        </w:tc>
        <w:tc>
          <w:tcPr>
            <w:tcW w:w="878" w:type="pct"/>
            <w:tcBorders>
              <w:bottom w:val="single" w:sz="4" w:space="0" w:color="auto"/>
            </w:tcBorders>
            <w:shd w:val="clear" w:color="auto" w:fill="auto"/>
          </w:tcPr>
          <w:p w14:paraId="059F9AF2" w14:textId="77777777" w:rsidR="00C55C5A" w:rsidRPr="00C55C5A" w:rsidRDefault="00C55C5A" w:rsidP="00C55C5A">
            <w:pPr>
              <w:autoSpaceDE w:val="0"/>
              <w:autoSpaceDN w:val="0"/>
              <w:adjustRightInd w:val="0"/>
              <w:jc w:val="center"/>
              <w:rPr>
                <w:rFonts w:ascii="Arial" w:eastAsia="Calibri" w:hAnsi="Arial" w:cs="Arial"/>
                <w:color w:val="000000"/>
                <w:sz w:val="22"/>
                <w:szCs w:val="22"/>
                <w:lang w:val="sl-SI"/>
              </w:rPr>
            </w:pPr>
            <w:r w:rsidRPr="00C55C5A">
              <w:rPr>
                <w:rFonts w:ascii="Arial" w:eastAsia="Calibri" w:hAnsi="Arial" w:cs="Arial"/>
                <w:color w:val="000000"/>
                <w:sz w:val="22"/>
                <w:szCs w:val="22"/>
                <w:lang w:val="sl-SI"/>
              </w:rPr>
              <w:lastRenderedPageBreak/>
              <w:t>25</w:t>
            </w:r>
          </w:p>
        </w:tc>
      </w:tr>
    </w:tbl>
    <w:p w14:paraId="67CD7943" w14:textId="77777777" w:rsidR="00C55C5A" w:rsidRPr="00C55C5A" w:rsidRDefault="00C55C5A" w:rsidP="00C55C5A">
      <w:pPr>
        <w:keepNext/>
        <w:keepLines/>
        <w:spacing w:before="40"/>
        <w:jc w:val="both"/>
        <w:outlineLvl w:val="4"/>
        <w:rPr>
          <w:rFonts w:ascii="Arial" w:eastAsia="Georgia" w:hAnsi="Arial" w:cs="Arial"/>
          <w:color w:val="2E74B5"/>
          <w:sz w:val="22"/>
          <w:lang w:val="sl-SI" w:eastAsia="sl-SI"/>
        </w:rPr>
      </w:pPr>
      <w:r w:rsidRPr="00C55C5A">
        <w:rPr>
          <w:rFonts w:ascii="Arial" w:eastAsia="Georgia" w:hAnsi="Arial" w:cs="Arial"/>
          <w:color w:val="2E74B5"/>
          <w:sz w:val="22"/>
          <w:lang w:val="sl-SI" w:eastAsia="sl-SI"/>
        </w:rPr>
        <w:lastRenderedPageBreak/>
        <w:t>3.2.3.1 Posojilo za celovito energetsko prenovo javnih stavb</w:t>
      </w:r>
    </w:p>
    <w:p w14:paraId="50B1F0A1" w14:textId="77777777" w:rsidR="00C55C5A" w:rsidRPr="00C55C5A" w:rsidRDefault="00C55C5A" w:rsidP="00C55C5A">
      <w:pPr>
        <w:jc w:val="both"/>
        <w:rPr>
          <w:rFonts w:ascii="Arial" w:eastAsia="Georgia" w:hAnsi="Arial" w:cs="Arial"/>
          <w:i/>
          <w:sz w:val="22"/>
          <w:lang w:val="sl-SI" w:eastAsia="sl-SI"/>
        </w:rPr>
      </w:pPr>
    </w:p>
    <w:p w14:paraId="556942E7" w14:textId="77777777" w:rsidR="00C55C5A" w:rsidRPr="00C55C5A" w:rsidRDefault="00C55C5A" w:rsidP="00C55C5A">
      <w:pPr>
        <w:ind w:right="45"/>
        <w:jc w:val="both"/>
        <w:rPr>
          <w:rFonts w:ascii="Arial" w:eastAsia="Georgia" w:hAnsi="Arial" w:cs="Arial"/>
          <w:sz w:val="22"/>
          <w:szCs w:val="22"/>
          <w:lang w:val="sl-SI"/>
        </w:rPr>
      </w:pPr>
      <w:r w:rsidRPr="00C55C5A">
        <w:rPr>
          <w:rFonts w:ascii="Arial" w:eastAsia="Georgia" w:hAnsi="Arial" w:cs="Arial"/>
          <w:sz w:val="22"/>
          <w:szCs w:val="22"/>
          <w:lang w:val="sl-SI"/>
        </w:rPr>
        <w:t>S FI se omogoči posojilo z nižjimi zahtevami za zavarovanje, nižjo obrestno mero in daljšo odplačilno dobo za javne subjekte za celovito energetsko prenovo javnih stavb.</w:t>
      </w:r>
    </w:p>
    <w:p w14:paraId="42387FC5" w14:textId="77777777" w:rsidR="00C55C5A" w:rsidRPr="00C55C5A" w:rsidRDefault="00C55C5A" w:rsidP="00C55C5A">
      <w:pPr>
        <w:ind w:right="45"/>
        <w:jc w:val="both"/>
        <w:rPr>
          <w:rFonts w:ascii="Arial" w:eastAsia="Georgia" w:hAnsi="Arial" w:cs="Arial"/>
          <w:sz w:val="22"/>
          <w:szCs w:val="22"/>
          <w:lang w:val="sl-SI"/>
        </w:rPr>
      </w:pPr>
    </w:p>
    <w:p w14:paraId="0C8A78F8" w14:textId="77777777" w:rsidR="00C55C5A" w:rsidRPr="00C55C5A" w:rsidRDefault="00C55C5A" w:rsidP="00C55C5A">
      <w:pPr>
        <w:ind w:right="45"/>
        <w:jc w:val="both"/>
        <w:rPr>
          <w:rFonts w:ascii="Arial" w:eastAsia="Georgia" w:hAnsi="Arial" w:cs="Arial"/>
          <w:sz w:val="22"/>
          <w:szCs w:val="22"/>
          <w:lang w:val="sl-SI"/>
        </w:rPr>
      </w:pPr>
      <w:r w:rsidRPr="00C55C5A">
        <w:rPr>
          <w:rFonts w:ascii="Arial" w:eastAsia="Georgia" w:hAnsi="Arial" w:cs="Arial"/>
          <w:sz w:val="22"/>
          <w:szCs w:val="22"/>
          <w:lang w:val="sl-SI"/>
        </w:rPr>
        <w:t xml:space="preserve">Finančni posrednik bo imel neposredno kreditno povezavo z javnim subjektom, ki celovito energetsko prenavlja javno stavbo (končnim prejemnikom). </w:t>
      </w:r>
    </w:p>
    <w:p w14:paraId="374F71C0" w14:textId="77777777" w:rsidR="00C55C5A" w:rsidRPr="00C55C5A" w:rsidRDefault="00C55C5A" w:rsidP="00C55C5A">
      <w:pPr>
        <w:ind w:left="-15" w:right="258" w:firstLine="2"/>
        <w:jc w:val="both"/>
        <w:rPr>
          <w:rFonts w:ascii="Arial" w:eastAsia="Georgia" w:hAnsi="Arial" w:cs="Arial"/>
          <w:sz w:val="22"/>
          <w:szCs w:val="22"/>
          <w:lang w:val="sl-SI"/>
        </w:rPr>
      </w:pPr>
    </w:p>
    <w:p w14:paraId="7DCB9A4E" w14:textId="77777777" w:rsidR="00C55C5A" w:rsidRPr="00C55C5A" w:rsidRDefault="00C55C5A" w:rsidP="00C55C5A">
      <w:pPr>
        <w:ind w:left="-5" w:hanging="10"/>
        <w:jc w:val="both"/>
        <w:rPr>
          <w:rFonts w:ascii="Arial" w:eastAsia="Georgia" w:hAnsi="Arial" w:cs="Arial"/>
          <w:sz w:val="22"/>
          <w:szCs w:val="22"/>
          <w:lang w:val="sl-SI"/>
        </w:rPr>
      </w:pPr>
      <w:r w:rsidRPr="00C55C5A">
        <w:rPr>
          <w:rFonts w:ascii="Arial" w:eastAsia="Georgia" w:hAnsi="Arial" w:cs="Arial"/>
          <w:sz w:val="22"/>
          <w:szCs w:val="22"/>
          <w:lang w:val="sl-SI" w:eastAsia="sl-SI"/>
        </w:rPr>
        <w:t xml:space="preserve">Možna je kombinacija posojila z nepovratnimi viri.   </w:t>
      </w:r>
    </w:p>
    <w:p w14:paraId="06EB8E16" w14:textId="77777777" w:rsidR="00C55C5A" w:rsidRPr="00C55C5A" w:rsidRDefault="00C55C5A" w:rsidP="00C55C5A">
      <w:pPr>
        <w:ind w:right="257"/>
        <w:jc w:val="both"/>
        <w:rPr>
          <w:rFonts w:ascii="Arial" w:eastAsia="Georgia" w:hAnsi="Arial" w:cs="Arial"/>
          <w:sz w:val="22"/>
          <w:szCs w:val="22"/>
          <w:lang w:val="sl-SI" w:eastAsia="sl-SI"/>
        </w:rPr>
      </w:pPr>
    </w:p>
    <w:p w14:paraId="15B69D43" w14:textId="77777777" w:rsidR="00C55C5A" w:rsidRPr="00C55C5A" w:rsidRDefault="00C55C5A" w:rsidP="00C55C5A">
      <w:pPr>
        <w:ind w:left="-15" w:right="257"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Državne pomoči: posojila se presojajo skladno z relevantno shemo državne pomoči ali pomoči de minimis.</w:t>
      </w:r>
    </w:p>
    <w:p w14:paraId="19BBE0D2" w14:textId="77777777" w:rsidR="00C55C5A" w:rsidRPr="00C55C5A" w:rsidRDefault="00C55C5A" w:rsidP="00C55C5A">
      <w:pPr>
        <w:ind w:left="-15" w:right="257" w:firstLine="2"/>
        <w:jc w:val="both"/>
        <w:rPr>
          <w:rFonts w:ascii="Arial" w:eastAsia="Georgia" w:hAnsi="Arial" w:cs="Arial"/>
          <w:sz w:val="22"/>
          <w:szCs w:val="22"/>
          <w:lang w:val="sl-SI" w:eastAsia="sl-SI"/>
        </w:rPr>
      </w:pPr>
    </w:p>
    <w:p w14:paraId="57AC84B8" w14:textId="77777777" w:rsidR="00C55C5A" w:rsidRPr="00C55C5A" w:rsidRDefault="00C55C5A" w:rsidP="00C55C5A">
      <w:pPr>
        <w:autoSpaceDE w:val="0"/>
        <w:autoSpaceDN w:val="0"/>
        <w:adjustRightInd w:val="0"/>
        <w:contextualSpacing/>
        <w:jc w:val="both"/>
        <w:rPr>
          <w:rFonts w:ascii="Arial" w:eastAsia="Georgia" w:hAnsi="Arial" w:cs="Arial"/>
          <w:sz w:val="22"/>
          <w:szCs w:val="22"/>
          <w:lang w:val="sl-SI"/>
        </w:rPr>
      </w:pPr>
      <w:r w:rsidRPr="00C55C5A">
        <w:rPr>
          <w:rFonts w:ascii="Arial" w:eastAsia="Georgia" w:hAnsi="Arial" w:cs="Arial"/>
          <w:sz w:val="22"/>
          <w:szCs w:val="22"/>
          <w:lang w:val="sl-SI"/>
        </w:rPr>
        <w:t xml:space="preserve">Tabela 12: Ciljni končni prejemniki posameznih finančnih produktov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714"/>
      </w:tblGrid>
      <w:tr w:rsidR="00C55C5A" w:rsidRPr="00C55C5A" w14:paraId="6BDF3107" w14:textId="77777777" w:rsidTr="00E6701A">
        <w:tc>
          <w:tcPr>
            <w:tcW w:w="2376" w:type="dxa"/>
            <w:shd w:val="clear" w:color="auto" w:fill="auto"/>
            <w:vAlign w:val="center"/>
          </w:tcPr>
          <w:p w14:paraId="106C7C09" w14:textId="77777777" w:rsidR="00C55C5A" w:rsidRPr="00C55C5A" w:rsidRDefault="00C55C5A" w:rsidP="00C55C5A">
            <w:pPr>
              <w:autoSpaceDE w:val="0"/>
              <w:autoSpaceDN w:val="0"/>
              <w:adjustRightInd w:val="0"/>
              <w:jc w:val="center"/>
              <w:rPr>
                <w:rFonts w:ascii="Arial" w:eastAsia="Georgia" w:hAnsi="Arial" w:cs="Arial"/>
                <w:sz w:val="22"/>
                <w:szCs w:val="22"/>
                <w:lang w:val="sl-SI"/>
              </w:rPr>
            </w:pPr>
            <w:r w:rsidRPr="00C55C5A">
              <w:rPr>
                <w:rFonts w:ascii="Arial" w:eastAsia="Georgia" w:hAnsi="Arial" w:cs="Arial"/>
                <w:sz w:val="22"/>
                <w:szCs w:val="22"/>
                <w:lang w:val="sl-SI"/>
              </w:rPr>
              <w:t>Področje</w:t>
            </w:r>
          </w:p>
        </w:tc>
        <w:tc>
          <w:tcPr>
            <w:tcW w:w="3544" w:type="dxa"/>
            <w:shd w:val="clear" w:color="auto" w:fill="auto"/>
            <w:vAlign w:val="center"/>
          </w:tcPr>
          <w:p w14:paraId="2CDF1C0B" w14:textId="77777777" w:rsidR="00C55C5A" w:rsidRPr="00C55C5A" w:rsidRDefault="00C55C5A" w:rsidP="00C55C5A">
            <w:pPr>
              <w:autoSpaceDE w:val="0"/>
              <w:autoSpaceDN w:val="0"/>
              <w:adjustRightInd w:val="0"/>
              <w:jc w:val="center"/>
              <w:rPr>
                <w:rFonts w:ascii="Arial" w:eastAsia="Georgia" w:hAnsi="Arial" w:cs="Arial"/>
                <w:sz w:val="22"/>
                <w:szCs w:val="22"/>
                <w:lang w:val="sl-SI"/>
              </w:rPr>
            </w:pPr>
            <w:r w:rsidRPr="00C55C5A">
              <w:rPr>
                <w:rFonts w:ascii="Arial" w:eastAsia="Georgia" w:hAnsi="Arial" w:cs="Arial"/>
                <w:sz w:val="22"/>
                <w:szCs w:val="22"/>
                <w:lang w:val="sl-SI"/>
              </w:rPr>
              <w:t>Finančni produkt</w:t>
            </w:r>
          </w:p>
        </w:tc>
        <w:tc>
          <w:tcPr>
            <w:tcW w:w="3714" w:type="dxa"/>
            <w:shd w:val="clear" w:color="auto" w:fill="auto"/>
            <w:vAlign w:val="center"/>
          </w:tcPr>
          <w:p w14:paraId="0643A35F" w14:textId="77777777" w:rsidR="00C55C5A" w:rsidRPr="00C55C5A" w:rsidRDefault="00C55C5A" w:rsidP="00C55C5A">
            <w:pPr>
              <w:autoSpaceDE w:val="0"/>
              <w:autoSpaceDN w:val="0"/>
              <w:adjustRightInd w:val="0"/>
              <w:jc w:val="center"/>
              <w:rPr>
                <w:rFonts w:ascii="Arial" w:eastAsia="Georgia" w:hAnsi="Arial" w:cs="Arial"/>
                <w:sz w:val="22"/>
                <w:szCs w:val="22"/>
                <w:lang w:val="sl-SI"/>
              </w:rPr>
            </w:pPr>
            <w:r w:rsidRPr="00C55C5A">
              <w:rPr>
                <w:rFonts w:ascii="Arial" w:eastAsia="Georgia" w:hAnsi="Arial" w:cs="Arial"/>
                <w:sz w:val="22"/>
                <w:szCs w:val="22"/>
                <w:lang w:val="sl-SI"/>
              </w:rPr>
              <w:t>Ciljni končni prejemniki</w:t>
            </w:r>
          </w:p>
        </w:tc>
      </w:tr>
      <w:tr w:rsidR="00C55C5A" w:rsidRPr="00C55C5A" w14:paraId="2C584895" w14:textId="77777777" w:rsidTr="00E6701A">
        <w:trPr>
          <w:trHeight w:val="592"/>
        </w:trPr>
        <w:tc>
          <w:tcPr>
            <w:tcW w:w="2376" w:type="dxa"/>
            <w:shd w:val="clear" w:color="auto" w:fill="auto"/>
            <w:vAlign w:val="center"/>
          </w:tcPr>
          <w:p w14:paraId="6C68B840" w14:textId="77777777" w:rsidR="00C55C5A" w:rsidRPr="00C55C5A" w:rsidRDefault="00C55C5A" w:rsidP="00C55C5A">
            <w:pPr>
              <w:autoSpaceDE w:val="0"/>
              <w:autoSpaceDN w:val="0"/>
              <w:adjustRightInd w:val="0"/>
              <w:jc w:val="center"/>
              <w:rPr>
                <w:rFonts w:ascii="Arial" w:eastAsia="Georgia" w:hAnsi="Arial" w:cs="Arial"/>
                <w:sz w:val="22"/>
                <w:szCs w:val="22"/>
                <w:lang w:val="sl-SI"/>
              </w:rPr>
            </w:pPr>
            <w:r w:rsidRPr="00C55C5A">
              <w:rPr>
                <w:rFonts w:ascii="Arial" w:eastAsia="Georgia" w:hAnsi="Arial" w:cs="Arial"/>
                <w:sz w:val="22"/>
                <w:szCs w:val="22"/>
                <w:lang w:val="sl-SI"/>
              </w:rPr>
              <w:t>Energetska učinkovitost</w:t>
            </w:r>
          </w:p>
        </w:tc>
        <w:tc>
          <w:tcPr>
            <w:tcW w:w="3544" w:type="dxa"/>
            <w:shd w:val="clear" w:color="auto" w:fill="auto"/>
          </w:tcPr>
          <w:p w14:paraId="08715FDF" w14:textId="77777777" w:rsidR="00C55C5A" w:rsidRPr="00C55C5A" w:rsidRDefault="00C55C5A" w:rsidP="00C55C5A">
            <w:pPr>
              <w:autoSpaceDE w:val="0"/>
              <w:autoSpaceDN w:val="0"/>
              <w:adjustRightInd w:val="0"/>
              <w:jc w:val="both"/>
              <w:rPr>
                <w:rFonts w:ascii="Arial" w:eastAsia="Georgia" w:hAnsi="Arial" w:cs="Arial"/>
                <w:sz w:val="22"/>
                <w:szCs w:val="22"/>
                <w:lang w:val="sl-SI"/>
              </w:rPr>
            </w:pPr>
            <w:r w:rsidRPr="00C55C5A">
              <w:rPr>
                <w:rFonts w:ascii="Arial" w:eastAsia="Georgia" w:hAnsi="Arial" w:cs="Arial"/>
                <w:sz w:val="22"/>
                <w:szCs w:val="22"/>
                <w:lang w:val="sl-SI"/>
              </w:rPr>
              <w:t>Posojilo za celovito energetsko prenovo javnih stavb</w:t>
            </w:r>
            <w:r w:rsidRPr="00C55C5A" w:rsidDel="00015CBA">
              <w:rPr>
                <w:rFonts w:ascii="Arial" w:eastAsia="Georgia" w:hAnsi="Arial" w:cs="Arial"/>
                <w:sz w:val="22"/>
                <w:szCs w:val="22"/>
                <w:lang w:val="sl-SI"/>
              </w:rPr>
              <w:t xml:space="preserve"> </w:t>
            </w:r>
          </w:p>
        </w:tc>
        <w:tc>
          <w:tcPr>
            <w:tcW w:w="3714" w:type="dxa"/>
            <w:shd w:val="clear" w:color="auto" w:fill="auto"/>
          </w:tcPr>
          <w:p w14:paraId="0077A1CB" w14:textId="77777777" w:rsidR="00C55C5A" w:rsidRPr="00C55C5A" w:rsidRDefault="00C55C5A" w:rsidP="00C55C5A">
            <w:pPr>
              <w:autoSpaceDE w:val="0"/>
              <w:autoSpaceDN w:val="0"/>
              <w:adjustRightInd w:val="0"/>
              <w:jc w:val="both"/>
              <w:rPr>
                <w:rFonts w:ascii="Arial" w:eastAsia="Georgia" w:hAnsi="Arial" w:cs="Arial"/>
                <w:sz w:val="22"/>
                <w:szCs w:val="22"/>
                <w:lang w:val="sl-SI"/>
              </w:rPr>
            </w:pPr>
            <w:r w:rsidRPr="00C55C5A">
              <w:rPr>
                <w:rFonts w:ascii="Arial" w:eastAsia="Georgia" w:hAnsi="Arial" w:cs="Arial"/>
                <w:sz w:val="22"/>
                <w:szCs w:val="22"/>
                <w:lang w:val="sl-SI"/>
              </w:rPr>
              <w:t>javni sektor, ESCO podjetja</w:t>
            </w:r>
          </w:p>
          <w:p w14:paraId="08868992" w14:textId="77777777" w:rsidR="00C55C5A" w:rsidRPr="00C55C5A" w:rsidRDefault="00C55C5A" w:rsidP="00C55C5A">
            <w:pPr>
              <w:autoSpaceDE w:val="0"/>
              <w:autoSpaceDN w:val="0"/>
              <w:adjustRightInd w:val="0"/>
              <w:jc w:val="both"/>
              <w:rPr>
                <w:rFonts w:ascii="Arial" w:eastAsia="Georgia" w:hAnsi="Arial" w:cs="Arial"/>
                <w:sz w:val="22"/>
                <w:szCs w:val="22"/>
                <w:lang w:val="sl-SI"/>
              </w:rPr>
            </w:pPr>
          </w:p>
        </w:tc>
      </w:tr>
    </w:tbl>
    <w:p w14:paraId="51E5575A" w14:textId="77777777" w:rsidR="00C55C5A" w:rsidRPr="00C55C5A" w:rsidRDefault="00C55C5A" w:rsidP="00C55C5A">
      <w:pPr>
        <w:autoSpaceDE w:val="0"/>
        <w:autoSpaceDN w:val="0"/>
        <w:adjustRightInd w:val="0"/>
        <w:jc w:val="both"/>
        <w:rPr>
          <w:rFonts w:ascii="Arial" w:eastAsia="Georgia" w:hAnsi="Arial" w:cs="Arial"/>
          <w:sz w:val="22"/>
          <w:szCs w:val="22"/>
          <w:lang w:val="sl-SI"/>
        </w:rPr>
      </w:pPr>
    </w:p>
    <w:p w14:paraId="66550A5F" w14:textId="77777777" w:rsidR="00C55C5A" w:rsidRPr="00C55C5A" w:rsidRDefault="00C55C5A" w:rsidP="00C55C5A">
      <w:pPr>
        <w:ind w:right="258"/>
        <w:jc w:val="both"/>
        <w:rPr>
          <w:rFonts w:ascii="Arial" w:eastAsia="Georgia" w:hAnsi="Arial" w:cs="Arial"/>
          <w:sz w:val="22"/>
          <w:szCs w:val="22"/>
          <w:lang w:val="sl-SI"/>
        </w:rPr>
      </w:pPr>
      <w:r w:rsidRPr="00C55C5A">
        <w:rPr>
          <w:rFonts w:ascii="Arial" w:eastAsia="Georgia" w:hAnsi="Arial" w:cs="Arial"/>
          <w:sz w:val="22"/>
          <w:szCs w:val="22"/>
          <w:lang w:val="sl-SI"/>
        </w:rPr>
        <w:t>Cilj:</w:t>
      </w:r>
    </w:p>
    <w:p w14:paraId="677BCB9B"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ustvarjanje dodatne finančne ponudbe za celovito energetsko prenovo javnih stavb za osebe javnega sektorja s pričakovanim finančnim vzvodom 2,27 </w:t>
      </w:r>
    </w:p>
    <w:p w14:paraId="133EE522" w14:textId="77777777" w:rsidR="00C55C5A" w:rsidRPr="00C55C5A" w:rsidRDefault="00C55C5A" w:rsidP="00C55C5A">
      <w:pPr>
        <w:ind w:left="398"/>
        <w:jc w:val="both"/>
        <w:rPr>
          <w:rFonts w:ascii="Arial" w:eastAsia="Georgia" w:hAnsi="Arial" w:cs="Arial"/>
          <w:sz w:val="22"/>
          <w:szCs w:val="22"/>
          <w:lang w:val="sl-SI"/>
        </w:rPr>
      </w:pPr>
    </w:p>
    <w:p w14:paraId="6EE90B70" w14:textId="77777777" w:rsidR="00C55C5A" w:rsidRPr="00C55C5A" w:rsidRDefault="00C55C5A" w:rsidP="00C55C5A">
      <w:pPr>
        <w:ind w:right="258"/>
        <w:jc w:val="both"/>
        <w:rPr>
          <w:rFonts w:ascii="Arial" w:eastAsia="Georgia" w:hAnsi="Arial" w:cs="Arial"/>
          <w:sz w:val="22"/>
          <w:szCs w:val="22"/>
          <w:lang w:val="sl-SI"/>
        </w:rPr>
      </w:pPr>
      <w:r w:rsidRPr="00C55C5A">
        <w:rPr>
          <w:rFonts w:ascii="Arial" w:eastAsia="Georgia" w:hAnsi="Arial" w:cs="Arial"/>
          <w:sz w:val="22"/>
          <w:szCs w:val="22"/>
          <w:lang w:val="sl-SI" w:eastAsia="sl-SI"/>
        </w:rPr>
        <w:t>Kazalniki:</w:t>
      </w:r>
      <w:r w:rsidRPr="00C55C5A">
        <w:rPr>
          <w:rFonts w:ascii="Arial" w:eastAsia="Georgia" w:hAnsi="Arial" w:cs="Arial"/>
          <w:sz w:val="22"/>
          <w:szCs w:val="22"/>
          <w:lang w:val="sl-SI"/>
        </w:rPr>
        <w:t xml:space="preserve"> </w:t>
      </w:r>
    </w:p>
    <w:p w14:paraId="7D68A977" w14:textId="77777777" w:rsidR="00C55C5A" w:rsidRPr="00C55C5A" w:rsidRDefault="00C55C5A" w:rsidP="00C55C5A">
      <w:pPr>
        <w:numPr>
          <w:ilvl w:val="0"/>
          <w:numId w:val="31"/>
        </w:numPr>
        <w:jc w:val="both"/>
        <w:rPr>
          <w:rFonts w:ascii="Arial" w:eastAsia="Georgia" w:hAnsi="Arial" w:cs="Arial"/>
          <w:sz w:val="22"/>
          <w:szCs w:val="22"/>
          <w:lang w:val="sl-SI"/>
        </w:rPr>
      </w:pPr>
      <w:r w:rsidRPr="00C55C5A">
        <w:rPr>
          <w:rFonts w:ascii="Arial" w:eastAsia="Georgia" w:hAnsi="Arial" w:cs="Arial"/>
          <w:sz w:val="22"/>
          <w:szCs w:val="22"/>
          <w:lang w:val="sl-SI"/>
        </w:rPr>
        <w:t>Število celovito energetsko prenovljenih javnih stavb,</w:t>
      </w:r>
    </w:p>
    <w:p w14:paraId="333A3C15" w14:textId="77777777" w:rsidR="00C55C5A" w:rsidRPr="00C55C5A" w:rsidRDefault="00C55C5A" w:rsidP="00C55C5A">
      <w:pPr>
        <w:numPr>
          <w:ilvl w:val="0"/>
          <w:numId w:val="31"/>
        </w:numPr>
        <w:jc w:val="both"/>
        <w:rPr>
          <w:rFonts w:ascii="Arial" w:eastAsia="Georgia" w:hAnsi="Arial" w:cs="Arial"/>
          <w:sz w:val="22"/>
          <w:szCs w:val="22"/>
          <w:lang w:val="sl-SI"/>
        </w:rPr>
      </w:pPr>
      <w:r w:rsidRPr="00C55C5A">
        <w:rPr>
          <w:rFonts w:ascii="Arial" w:eastAsia="Georgia" w:hAnsi="Arial" w:cs="Arial"/>
          <w:sz w:val="22"/>
          <w:szCs w:val="22"/>
          <w:lang w:val="sl-SI"/>
        </w:rPr>
        <w:t xml:space="preserve">Tlorisna površina celovito energetsko prenovljenih stavb celotnega javnega </w:t>
      </w:r>
    </w:p>
    <w:p w14:paraId="5C1FC339" w14:textId="77777777" w:rsidR="00C55C5A" w:rsidRPr="00C55C5A" w:rsidRDefault="00C55C5A" w:rsidP="00C55C5A">
      <w:pPr>
        <w:ind w:left="398"/>
        <w:jc w:val="both"/>
        <w:rPr>
          <w:rFonts w:ascii="Arial" w:eastAsia="Georgia" w:hAnsi="Arial" w:cs="Arial"/>
          <w:sz w:val="22"/>
          <w:szCs w:val="22"/>
          <w:lang w:val="sl-SI"/>
        </w:rPr>
      </w:pPr>
      <w:r w:rsidRPr="00C55C5A">
        <w:rPr>
          <w:rFonts w:ascii="Arial" w:eastAsia="Georgia" w:hAnsi="Arial" w:cs="Arial"/>
          <w:sz w:val="22"/>
          <w:szCs w:val="22"/>
          <w:lang w:val="sl-SI"/>
        </w:rPr>
        <w:t>sektorja (m2);</w:t>
      </w:r>
    </w:p>
    <w:p w14:paraId="49915A7E" w14:textId="77777777" w:rsidR="00C55C5A" w:rsidRPr="00C55C5A" w:rsidRDefault="00C55C5A" w:rsidP="00C55C5A">
      <w:pPr>
        <w:numPr>
          <w:ilvl w:val="0"/>
          <w:numId w:val="31"/>
        </w:numPr>
        <w:jc w:val="both"/>
        <w:rPr>
          <w:rFonts w:ascii="Arial" w:eastAsia="Georgia" w:hAnsi="Arial" w:cs="Arial"/>
          <w:sz w:val="22"/>
          <w:szCs w:val="22"/>
          <w:lang w:val="sl-SI"/>
        </w:rPr>
      </w:pPr>
      <w:r w:rsidRPr="00C55C5A">
        <w:rPr>
          <w:rFonts w:ascii="Arial" w:eastAsia="Georgia" w:hAnsi="Arial" w:cs="Arial"/>
          <w:sz w:val="22"/>
          <w:szCs w:val="22"/>
          <w:lang w:val="sl-SI"/>
        </w:rPr>
        <w:t>Tlorisna površina celovito energetsko prenovljenih  stavb v lasti in uporabi osrednje oziroma ožje vlade (m2);</w:t>
      </w:r>
    </w:p>
    <w:p w14:paraId="6849661E" w14:textId="77777777" w:rsidR="00C55C5A" w:rsidRPr="00C55C5A" w:rsidRDefault="00C55C5A" w:rsidP="00C55C5A">
      <w:pPr>
        <w:numPr>
          <w:ilvl w:val="0"/>
          <w:numId w:val="31"/>
        </w:numPr>
        <w:jc w:val="both"/>
        <w:rPr>
          <w:rFonts w:ascii="Arial" w:eastAsia="Georgia" w:hAnsi="Arial" w:cs="Arial"/>
          <w:sz w:val="22"/>
          <w:szCs w:val="22"/>
          <w:lang w:val="sl-SI"/>
        </w:rPr>
      </w:pPr>
      <w:r w:rsidRPr="00C55C5A">
        <w:rPr>
          <w:rFonts w:ascii="Arial" w:eastAsia="Georgia" w:hAnsi="Arial" w:cs="Arial"/>
          <w:sz w:val="22"/>
          <w:szCs w:val="22"/>
          <w:lang w:val="sl-SI"/>
        </w:rPr>
        <w:t>Skupni dodeljeni znesek za celovito energetsko prenovo javnih stavb (EUR);</w:t>
      </w:r>
    </w:p>
    <w:p w14:paraId="62DF7EA3" w14:textId="77777777" w:rsidR="00C55C5A" w:rsidRPr="00C55C5A" w:rsidRDefault="00C55C5A" w:rsidP="00C55C5A">
      <w:pPr>
        <w:numPr>
          <w:ilvl w:val="0"/>
          <w:numId w:val="31"/>
        </w:numPr>
        <w:jc w:val="both"/>
        <w:rPr>
          <w:rFonts w:ascii="Arial" w:eastAsia="Georgia" w:hAnsi="Arial" w:cs="Arial"/>
          <w:sz w:val="22"/>
          <w:szCs w:val="22"/>
          <w:lang w:val="sl-SI"/>
        </w:rPr>
      </w:pPr>
      <w:r w:rsidRPr="00C55C5A">
        <w:rPr>
          <w:rFonts w:ascii="Arial" w:eastAsia="Georgia" w:hAnsi="Arial" w:cs="Arial"/>
          <w:sz w:val="22"/>
          <w:szCs w:val="22"/>
          <w:lang w:val="sl-SI"/>
        </w:rPr>
        <w:t>Zmanjšanje letne porabe primarne energije v javnih stavbah (kWh/leto);</w:t>
      </w:r>
    </w:p>
    <w:p w14:paraId="330A2914" w14:textId="77777777" w:rsidR="00C55C5A" w:rsidRPr="00C55C5A" w:rsidRDefault="00C55C5A" w:rsidP="00C55C5A">
      <w:pPr>
        <w:numPr>
          <w:ilvl w:val="0"/>
          <w:numId w:val="31"/>
        </w:numPr>
        <w:jc w:val="both"/>
        <w:rPr>
          <w:rFonts w:ascii="Arial" w:eastAsia="Georgia" w:hAnsi="Arial" w:cs="Arial"/>
          <w:sz w:val="22"/>
          <w:szCs w:val="22"/>
          <w:lang w:val="sl-SI"/>
        </w:rPr>
      </w:pPr>
      <w:r w:rsidRPr="00C55C5A">
        <w:rPr>
          <w:rFonts w:ascii="Arial" w:eastAsia="Georgia" w:hAnsi="Arial" w:cs="Arial"/>
          <w:sz w:val="22"/>
          <w:szCs w:val="22"/>
          <w:lang w:val="sl-SI"/>
        </w:rPr>
        <w:t>Zmanjšanje izpustov toplogrednih plinov (te CO2);</w:t>
      </w:r>
    </w:p>
    <w:p w14:paraId="27D6B364" w14:textId="77777777" w:rsidR="00C55C5A" w:rsidRPr="00C55C5A" w:rsidRDefault="00C55C5A" w:rsidP="00C55C5A">
      <w:pPr>
        <w:numPr>
          <w:ilvl w:val="0"/>
          <w:numId w:val="31"/>
        </w:numPr>
        <w:jc w:val="both"/>
        <w:rPr>
          <w:rFonts w:ascii="Arial" w:eastAsia="Georgia" w:hAnsi="Arial" w:cs="Arial"/>
          <w:sz w:val="22"/>
          <w:szCs w:val="22"/>
          <w:lang w:val="sl-SI"/>
        </w:rPr>
      </w:pPr>
      <w:r w:rsidRPr="00C55C5A">
        <w:rPr>
          <w:rFonts w:ascii="Arial" w:eastAsia="Georgia" w:hAnsi="Arial" w:cs="Arial"/>
          <w:sz w:val="22"/>
          <w:szCs w:val="22"/>
          <w:lang w:val="sl-SI"/>
        </w:rPr>
        <w:t>Finančni vzvod.</w:t>
      </w:r>
    </w:p>
    <w:p w14:paraId="72ACD5F9" w14:textId="77777777" w:rsidR="00C55C5A" w:rsidRPr="00C55C5A" w:rsidRDefault="00C55C5A" w:rsidP="00C55C5A">
      <w:pPr>
        <w:ind w:left="26"/>
        <w:jc w:val="both"/>
        <w:rPr>
          <w:rFonts w:ascii="Arial" w:eastAsia="Georgia" w:hAnsi="Arial" w:cs="Arial"/>
          <w:sz w:val="22"/>
          <w:lang w:val="sl-SI" w:eastAsia="sl-SI"/>
        </w:rPr>
      </w:pPr>
    </w:p>
    <w:p w14:paraId="6B9998B5" w14:textId="77777777" w:rsidR="00C55C5A" w:rsidRPr="00C55C5A" w:rsidRDefault="00C55C5A" w:rsidP="00C55C5A">
      <w:pPr>
        <w:keepNext/>
        <w:keepLines/>
        <w:spacing w:before="40"/>
        <w:jc w:val="both"/>
        <w:outlineLvl w:val="3"/>
        <w:rPr>
          <w:rFonts w:ascii="Arial" w:eastAsia="Georgia" w:hAnsi="Arial" w:cs="Arial"/>
          <w:b/>
          <w:iCs/>
          <w:color w:val="2E74B5"/>
          <w:sz w:val="22"/>
          <w:lang w:val="sl-SI" w:eastAsia="sl-SI"/>
        </w:rPr>
      </w:pPr>
      <w:r w:rsidRPr="00C55C5A">
        <w:rPr>
          <w:rFonts w:ascii="Arial" w:eastAsia="Georgia" w:hAnsi="Arial" w:cs="Arial"/>
          <w:b/>
          <w:i/>
          <w:iCs/>
          <w:color w:val="2E74B5"/>
          <w:sz w:val="22"/>
          <w:lang w:val="sl-SI" w:eastAsia="sl-SI"/>
        </w:rPr>
        <w:t xml:space="preserve">3.2.4 Finančni instrument za urbani razvoj </w:t>
      </w:r>
    </w:p>
    <w:p w14:paraId="7E843D47" w14:textId="77777777" w:rsidR="00C55C5A" w:rsidRPr="00C55C5A" w:rsidRDefault="00C55C5A" w:rsidP="00C55C5A">
      <w:pPr>
        <w:ind w:left="-15" w:right="259" w:firstLine="2"/>
        <w:jc w:val="both"/>
        <w:rPr>
          <w:rFonts w:ascii="Arial" w:eastAsia="Georgia" w:hAnsi="Arial" w:cs="Arial"/>
          <w:sz w:val="22"/>
          <w:lang w:val="sl-SI" w:eastAsia="sl-SI"/>
        </w:rPr>
      </w:pPr>
    </w:p>
    <w:p w14:paraId="322FD1CB" w14:textId="77777777" w:rsidR="00C55C5A" w:rsidRPr="00C55C5A" w:rsidRDefault="00C55C5A" w:rsidP="00C55C5A">
      <w:pPr>
        <w:ind w:left="-15" w:right="256"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V programskem obdobju 2014—2020 je v sklopu TC4 in TC6 za izvajanje trajnostnih urbanih strategij v okviru mehanizma CTN namenjeno 117 mil EUR. Za implementacijo pilotnih projektov s finančnimi instrumenti v mestnih občinah je v predhodni oceni za FI predvidenih</w:t>
      </w:r>
      <w:r w:rsidRPr="00C55C5A" w:rsidDel="00062CC0">
        <w:rPr>
          <w:rFonts w:ascii="Arial" w:eastAsia="Georgia" w:hAnsi="Arial" w:cs="Arial"/>
          <w:sz w:val="22"/>
          <w:szCs w:val="22"/>
          <w:lang w:val="sl-SI" w:eastAsia="sl-SI"/>
        </w:rPr>
        <w:t xml:space="preserve"> </w:t>
      </w:r>
      <w:r w:rsidRPr="00C55C5A">
        <w:rPr>
          <w:rFonts w:ascii="Arial" w:eastAsia="Georgia" w:hAnsi="Arial" w:cs="Arial"/>
          <w:sz w:val="22"/>
          <w:szCs w:val="22"/>
          <w:lang w:val="sl-SI" w:eastAsia="sl-SI"/>
        </w:rPr>
        <w:t>16,7 mio EUR</w:t>
      </w:r>
    </w:p>
    <w:p w14:paraId="6F901C1B" w14:textId="77777777" w:rsidR="00C55C5A" w:rsidRPr="00C55C5A" w:rsidRDefault="00C55C5A" w:rsidP="00C55C5A">
      <w:pPr>
        <w:ind w:left="-15" w:right="256" w:firstLine="2"/>
        <w:jc w:val="both"/>
        <w:rPr>
          <w:rFonts w:ascii="Arial" w:eastAsia="Georgia" w:hAnsi="Arial" w:cs="Arial"/>
          <w:sz w:val="22"/>
          <w:szCs w:val="22"/>
          <w:lang w:val="sl-SI" w:eastAsia="sl-SI"/>
        </w:rPr>
      </w:pPr>
    </w:p>
    <w:p w14:paraId="06931CF7" w14:textId="77777777" w:rsidR="00C55C5A" w:rsidRPr="00C55C5A" w:rsidRDefault="00C55C5A" w:rsidP="00C55C5A">
      <w:pPr>
        <w:ind w:left="-15" w:right="256"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lastRenderedPageBreak/>
        <w:t>Na podlagi odločitve OU pa bo za to področje v obliki FI namenjenih 5 mio EUR kohezijskih sredstev, ki bodo prispevali k doseganju specifičnega cilja prednostne naložbe 6.3 in morebitna druga sredstva, ki bodo spodbujala izvedbo investicij urbane prenove v mestih in prispevala tudi k drugim prednostnim naložbam OP 2014 - 2020.</w:t>
      </w:r>
    </w:p>
    <w:p w14:paraId="54CAEB99" w14:textId="77777777" w:rsidR="00C55C5A" w:rsidRPr="00C55C5A" w:rsidRDefault="00C55C5A" w:rsidP="00C55C5A">
      <w:pPr>
        <w:ind w:left="-15" w:right="256" w:firstLine="2"/>
        <w:jc w:val="both"/>
        <w:rPr>
          <w:rFonts w:ascii="Arial" w:eastAsia="Georgia" w:hAnsi="Arial" w:cs="Arial"/>
          <w:sz w:val="22"/>
          <w:lang w:val="sl-SI" w:eastAsia="sl-SI"/>
        </w:rPr>
      </w:pPr>
    </w:p>
    <w:p w14:paraId="07BD2B72" w14:textId="77777777" w:rsidR="00C55C5A" w:rsidRPr="00C55C5A" w:rsidRDefault="00C55C5A" w:rsidP="00C55C5A">
      <w:pPr>
        <w:ind w:left="-15" w:right="256" w:firstLine="2"/>
        <w:jc w:val="both"/>
        <w:rPr>
          <w:rFonts w:ascii="Arial" w:eastAsia="Georgia" w:hAnsi="Arial" w:cs="Arial"/>
          <w:sz w:val="22"/>
          <w:lang w:val="sl-SI" w:eastAsia="sl-SI"/>
        </w:rPr>
      </w:pPr>
    </w:p>
    <w:p w14:paraId="7F38663D" w14:textId="77777777" w:rsidR="00C55C5A" w:rsidRPr="00C55C5A" w:rsidRDefault="00C55C5A" w:rsidP="00C55C5A">
      <w:pPr>
        <w:ind w:left="-15" w:right="256" w:firstLine="2"/>
        <w:jc w:val="both"/>
        <w:rPr>
          <w:rFonts w:ascii="Arial" w:eastAsia="Georgia" w:hAnsi="Arial" w:cs="Arial"/>
          <w:sz w:val="22"/>
          <w:lang w:val="sl-SI" w:eastAsia="sl-SI"/>
        </w:rPr>
      </w:pPr>
    </w:p>
    <w:p w14:paraId="31B72A59" w14:textId="77777777" w:rsidR="00C55C5A" w:rsidRPr="00C55C5A" w:rsidRDefault="00C55C5A" w:rsidP="00C55C5A">
      <w:pPr>
        <w:keepNext/>
        <w:keepLines/>
        <w:spacing w:before="40"/>
        <w:jc w:val="both"/>
        <w:outlineLvl w:val="4"/>
        <w:rPr>
          <w:rFonts w:ascii="Arial" w:eastAsia="Georgia" w:hAnsi="Arial" w:cs="Arial"/>
          <w:color w:val="2E74B5"/>
          <w:sz w:val="22"/>
          <w:lang w:val="sl-SI" w:eastAsia="sl-SI"/>
        </w:rPr>
      </w:pPr>
      <w:r w:rsidRPr="00C55C5A">
        <w:rPr>
          <w:rFonts w:ascii="Arial" w:eastAsia="Georgia" w:hAnsi="Arial" w:cs="Arial"/>
          <w:color w:val="2E74B5"/>
          <w:sz w:val="22"/>
          <w:lang w:val="sl-SI" w:eastAsia="sl-SI"/>
        </w:rPr>
        <w:t>3.2.4.1 Posojila za urbani razvoj</w:t>
      </w:r>
    </w:p>
    <w:p w14:paraId="5AE0594B" w14:textId="77777777" w:rsidR="00C55C5A" w:rsidRPr="00C55C5A" w:rsidRDefault="00C55C5A" w:rsidP="00C55C5A">
      <w:pPr>
        <w:ind w:left="-15" w:right="256" w:firstLine="2"/>
        <w:jc w:val="both"/>
        <w:rPr>
          <w:rFonts w:ascii="Arial" w:eastAsia="Georgia" w:hAnsi="Arial" w:cs="Arial"/>
          <w:sz w:val="22"/>
          <w:lang w:val="sl-SI" w:eastAsia="sl-SI"/>
        </w:rPr>
      </w:pPr>
    </w:p>
    <w:p w14:paraId="6BCE7E97" w14:textId="77777777" w:rsidR="00C55C5A" w:rsidRPr="00C55C5A" w:rsidRDefault="00C55C5A" w:rsidP="00C55C5A">
      <w:pPr>
        <w:ind w:left="-15" w:right="259"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Predlagani FI za spodbujanje urbanega razvoja zajema posojila za mestne občine, podjetja za upravljanje z javnimi površinami in stavbami, stanovanjske kooperative in ponudnike drugih alternativnih oblik bivanja v mestih. Sredstva bodo namenjena projektom, ki bodo prispevali k izvajanju trajnostnih urbanih strategij v (11) mestnih občinah. </w:t>
      </w:r>
    </w:p>
    <w:p w14:paraId="6BDB59B8" w14:textId="77777777" w:rsidR="00C55C5A" w:rsidRPr="00C55C5A" w:rsidRDefault="00C55C5A" w:rsidP="00C55C5A">
      <w:pPr>
        <w:ind w:left="-15" w:right="259" w:firstLine="2"/>
        <w:jc w:val="both"/>
        <w:rPr>
          <w:rFonts w:ascii="Arial" w:eastAsia="Georgia" w:hAnsi="Arial" w:cs="Arial"/>
          <w:sz w:val="22"/>
          <w:szCs w:val="22"/>
          <w:lang w:val="sl-SI"/>
        </w:rPr>
      </w:pPr>
      <w:r w:rsidRPr="00C55C5A">
        <w:rPr>
          <w:rFonts w:ascii="Arial" w:eastAsia="Georgia" w:hAnsi="Arial" w:cs="Arial"/>
          <w:sz w:val="22"/>
          <w:szCs w:val="22"/>
          <w:lang w:val="sl-SI" w:eastAsia="sl-SI"/>
        </w:rPr>
        <w:t xml:space="preserve"> </w:t>
      </w:r>
    </w:p>
    <w:p w14:paraId="590DD337" w14:textId="77777777" w:rsidR="00C55C5A" w:rsidRPr="00C55C5A" w:rsidRDefault="00C55C5A" w:rsidP="00C55C5A">
      <w:pPr>
        <w:ind w:left="2"/>
        <w:jc w:val="both"/>
        <w:rPr>
          <w:rFonts w:ascii="Arial" w:eastAsia="Georgia" w:hAnsi="Arial" w:cs="Arial"/>
          <w:sz w:val="22"/>
          <w:szCs w:val="22"/>
          <w:lang w:val="sl-SI"/>
        </w:rPr>
      </w:pPr>
      <w:r w:rsidRPr="00C55C5A">
        <w:rPr>
          <w:rFonts w:ascii="Arial" w:eastAsia="Georgia" w:hAnsi="Arial" w:cs="Arial"/>
          <w:sz w:val="22"/>
          <w:szCs w:val="22"/>
          <w:lang w:val="sl-SI"/>
        </w:rPr>
        <w:t xml:space="preserve">Za izvajanje posojil bo namenjenih </w:t>
      </w:r>
      <w:r w:rsidRPr="00C55C5A">
        <w:rPr>
          <w:rFonts w:ascii="Arial" w:eastAsia="Georgia" w:hAnsi="Arial" w:cs="Arial"/>
          <w:b/>
          <w:sz w:val="22"/>
          <w:szCs w:val="22"/>
          <w:lang w:val="sl-SI"/>
        </w:rPr>
        <w:t xml:space="preserve">5 mio EUR </w:t>
      </w:r>
      <w:r w:rsidRPr="00C55C5A">
        <w:rPr>
          <w:rFonts w:ascii="Arial" w:eastAsia="Georgia" w:hAnsi="Arial" w:cs="Arial"/>
          <w:sz w:val="22"/>
          <w:szCs w:val="22"/>
          <w:lang w:val="sl-SI"/>
        </w:rPr>
        <w:t>EU sredstev iz TC 6.  Predlagani znesek je namenjen projektom v 11 mestnih občinah</w:t>
      </w:r>
      <w:r w:rsidRPr="00C55C5A">
        <w:rPr>
          <w:rFonts w:ascii="Arial" w:eastAsia="Georgia" w:hAnsi="Arial" w:cs="Arial"/>
          <w:sz w:val="22"/>
          <w:szCs w:val="22"/>
          <w:vertAlign w:val="superscript"/>
          <w:lang w:val="sl-SI"/>
        </w:rPr>
        <w:footnoteReference w:id="16"/>
      </w:r>
      <w:r w:rsidRPr="00C55C5A">
        <w:rPr>
          <w:rFonts w:ascii="Arial" w:eastAsia="Georgia" w:hAnsi="Arial" w:cs="Arial"/>
          <w:sz w:val="22"/>
          <w:szCs w:val="22"/>
          <w:lang w:val="sl-SI"/>
        </w:rPr>
        <w:t>, pri čemer se predvideva spodbuditev manjšega števila večjih pilotnih projektov (V in Z kohezijska regija).</w:t>
      </w:r>
    </w:p>
    <w:p w14:paraId="026CCA10" w14:textId="77777777" w:rsidR="00C55C5A" w:rsidRPr="00C55C5A" w:rsidRDefault="00C55C5A" w:rsidP="00C55C5A">
      <w:pPr>
        <w:ind w:left="-15" w:right="256" w:firstLine="2"/>
        <w:jc w:val="both"/>
        <w:rPr>
          <w:rFonts w:ascii="Arial" w:eastAsia="Georgia" w:hAnsi="Arial" w:cs="Arial"/>
          <w:sz w:val="22"/>
          <w:szCs w:val="22"/>
          <w:lang w:val="sl-SI" w:eastAsia="sl-SI"/>
        </w:rPr>
      </w:pPr>
    </w:p>
    <w:p w14:paraId="22907C90" w14:textId="77777777" w:rsidR="00C55C5A" w:rsidRPr="00C55C5A" w:rsidRDefault="00C55C5A" w:rsidP="00C55C5A">
      <w:pPr>
        <w:ind w:left="-15" w:right="256"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Pričakovani učinek finančnega vzvoda je 1,5 do 2,5.</w:t>
      </w:r>
    </w:p>
    <w:p w14:paraId="1C07755C" w14:textId="77777777" w:rsidR="00C55C5A" w:rsidRPr="00C55C5A" w:rsidRDefault="00C55C5A" w:rsidP="00C55C5A">
      <w:pPr>
        <w:ind w:left="-5" w:hanging="10"/>
        <w:jc w:val="both"/>
        <w:rPr>
          <w:rFonts w:ascii="Arial" w:eastAsia="Georgia" w:hAnsi="Arial" w:cs="Arial"/>
          <w:sz w:val="22"/>
          <w:szCs w:val="22"/>
          <w:lang w:val="sl-SI" w:eastAsia="sl-SI"/>
        </w:rPr>
      </w:pPr>
    </w:p>
    <w:p w14:paraId="652E1B1E" w14:textId="77777777" w:rsidR="00C55C5A" w:rsidRPr="00C55C5A" w:rsidRDefault="00C55C5A" w:rsidP="00C55C5A">
      <w:pPr>
        <w:ind w:left="-5" w:hanging="10"/>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Možna je kombinacija posojil z nepovratnimi viri. </w:t>
      </w:r>
    </w:p>
    <w:p w14:paraId="34D33FCA" w14:textId="77777777" w:rsidR="00C55C5A" w:rsidRPr="00C55C5A" w:rsidRDefault="00C55C5A" w:rsidP="00C55C5A">
      <w:pPr>
        <w:ind w:left="-5" w:hanging="10"/>
        <w:jc w:val="both"/>
        <w:rPr>
          <w:rFonts w:ascii="Arial" w:eastAsia="Georgia" w:hAnsi="Arial" w:cs="Arial"/>
          <w:sz w:val="22"/>
          <w:szCs w:val="22"/>
          <w:lang w:val="sl-SI" w:eastAsia="sl-SI"/>
        </w:rPr>
      </w:pPr>
    </w:p>
    <w:p w14:paraId="274305D2" w14:textId="77777777" w:rsidR="00C55C5A" w:rsidRPr="00C55C5A" w:rsidRDefault="00C55C5A" w:rsidP="00C55C5A">
      <w:pPr>
        <w:ind w:left="-15" w:right="256"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Državne pomoči: </w:t>
      </w:r>
      <w:r w:rsidRPr="00C55C5A">
        <w:rPr>
          <w:rFonts w:ascii="Arial" w:eastAsia="Georgia" w:hAnsi="Arial" w:cs="Arial"/>
          <w:sz w:val="22"/>
          <w:szCs w:val="22"/>
          <w:lang w:val="sl-SI"/>
        </w:rPr>
        <w:t>krediti se presojajo  skladno z relevantno shemo državne pomoči ali pomoči de minimis</w:t>
      </w:r>
      <w:r w:rsidRPr="00C55C5A">
        <w:rPr>
          <w:rFonts w:ascii="Arial" w:eastAsia="Georgia" w:hAnsi="Arial" w:cs="Arial"/>
          <w:sz w:val="22"/>
          <w:szCs w:val="22"/>
          <w:lang w:val="sl-SI" w:eastAsia="sl-SI"/>
        </w:rPr>
        <w:t>.</w:t>
      </w:r>
    </w:p>
    <w:p w14:paraId="5143102C" w14:textId="77777777" w:rsidR="00C55C5A" w:rsidRPr="00C55C5A" w:rsidRDefault="00C55C5A" w:rsidP="00C55C5A">
      <w:pPr>
        <w:ind w:left="-15" w:right="256" w:firstLine="2"/>
        <w:jc w:val="both"/>
        <w:rPr>
          <w:rFonts w:ascii="Arial" w:eastAsia="Georgia" w:hAnsi="Arial" w:cs="Arial"/>
          <w:sz w:val="22"/>
          <w:szCs w:val="22"/>
          <w:lang w:val="sl-SI" w:eastAsia="sl-SI"/>
        </w:rPr>
      </w:pPr>
    </w:p>
    <w:p w14:paraId="14D03B62" w14:textId="77777777" w:rsidR="00C55C5A" w:rsidRPr="00C55C5A" w:rsidRDefault="00C55C5A" w:rsidP="00C55C5A">
      <w:pPr>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Upravičenci do sredstev so:</w:t>
      </w:r>
    </w:p>
    <w:p w14:paraId="1382D873"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Javni sektor (mestne občine, javna podjetja, ki upravljajo z javnimi površinami in stavbami),</w:t>
      </w:r>
    </w:p>
    <w:p w14:paraId="1DB66FF2"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Zasebni sektor (npr. koncesionarji, zasebna podjetja, ki upravljajo z javnimi površinami in stavbami, neprofitne stanovanjske organizacije, stanovanjske kooperative),</w:t>
      </w:r>
    </w:p>
    <w:p w14:paraId="7AF16B48"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Javno zasebna partnerstva.</w:t>
      </w:r>
    </w:p>
    <w:p w14:paraId="1AAD973B" w14:textId="77777777" w:rsidR="00C55C5A" w:rsidRPr="00C55C5A" w:rsidRDefault="00C55C5A" w:rsidP="00C55C5A">
      <w:pPr>
        <w:ind w:right="256"/>
        <w:jc w:val="both"/>
        <w:rPr>
          <w:rFonts w:ascii="Arial" w:eastAsia="Georgia" w:hAnsi="Arial" w:cs="Arial"/>
          <w:sz w:val="22"/>
          <w:szCs w:val="22"/>
          <w:lang w:val="sl-SI" w:eastAsia="sl-SI"/>
        </w:rPr>
      </w:pPr>
    </w:p>
    <w:p w14:paraId="108F5F78" w14:textId="77777777" w:rsidR="00C55C5A" w:rsidRPr="00C55C5A" w:rsidRDefault="00C55C5A" w:rsidP="00C55C5A">
      <w:pPr>
        <w:ind w:left="-15" w:right="256"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Cilji:</w:t>
      </w:r>
    </w:p>
    <w:p w14:paraId="674E3870"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Zmanjšanje specifičnih težav ciljnih skupin in končnih upravičencev pri dostopanju do financiranja,                                                                                                 </w:t>
      </w:r>
    </w:p>
    <w:p w14:paraId="3ED80338"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Podpora projektom na področju urbanega razvoja,  </w:t>
      </w:r>
    </w:p>
    <w:p w14:paraId="00004FB8" w14:textId="77777777" w:rsidR="00C55C5A" w:rsidRPr="00C55C5A" w:rsidRDefault="00C55C5A" w:rsidP="00C55C5A">
      <w:pPr>
        <w:ind w:left="-15" w:right="256" w:firstLine="2"/>
        <w:jc w:val="both"/>
        <w:rPr>
          <w:rFonts w:ascii="Arial" w:eastAsia="Georgia" w:hAnsi="Arial" w:cs="Arial"/>
          <w:sz w:val="22"/>
          <w:szCs w:val="22"/>
          <w:lang w:val="sl-SI" w:eastAsia="sl-SI"/>
        </w:rPr>
      </w:pPr>
    </w:p>
    <w:p w14:paraId="26FEE730" w14:textId="77777777" w:rsidR="00C55C5A" w:rsidRPr="00C55C5A" w:rsidRDefault="00C55C5A" w:rsidP="00C55C5A">
      <w:pPr>
        <w:ind w:left="-15" w:right="256" w:firstLine="2"/>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Kazalniki:</w:t>
      </w:r>
    </w:p>
    <w:p w14:paraId="1BF7EFC3"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Število financiranih projektov,</w:t>
      </w:r>
    </w:p>
    <w:p w14:paraId="11B5CC82"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Skupen znesek financiranih projektov urbane prenove,</w:t>
      </w:r>
    </w:p>
    <w:p w14:paraId="06734157"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 xml:space="preserve">Predvideno doseganje kazalnikov učinka glede na skupno dodeljen znesek FI, </w:t>
      </w:r>
    </w:p>
    <w:p w14:paraId="0E9E5D3B" w14:textId="77777777" w:rsidR="00C55C5A" w:rsidRPr="00C55C5A" w:rsidRDefault="00C55C5A" w:rsidP="00C55C5A">
      <w:pPr>
        <w:numPr>
          <w:ilvl w:val="0"/>
          <w:numId w:val="30"/>
        </w:numPr>
        <w:jc w:val="both"/>
        <w:rPr>
          <w:rFonts w:ascii="Arial" w:eastAsia="Georgia" w:hAnsi="Arial" w:cs="Arial"/>
          <w:sz w:val="22"/>
          <w:szCs w:val="22"/>
          <w:lang w:val="sl-SI"/>
        </w:rPr>
      </w:pPr>
      <w:r w:rsidRPr="00C55C5A">
        <w:rPr>
          <w:rFonts w:ascii="Arial" w:eastAsia="Georgia" w:hAnsi="Arial" w:cs="Arial"/>
          <w:sz w:val="22"/>
          <w:szCs w:val="22"/>
          <w:lang w:val="sl-SI"/>
        </w:rPr>
        <w:t>Učinek finančnega vzvoda.</w:t>
      </w:r>
    </w:p>
    <w:p w14:paraId="6C6B63DE" w14:textId="77777777" w:rsidR="00C55C5A" w:rsidRPr="00C55C5A" w:rsidRDefault="00C55C5A" w:rsidP="00C55C5A">
      <w:pPr>
        <w:ind w:left="-15" w:right="14" w:firstLine="2"/>
        <w:jc w:val="both"/>
        <w:rPr>
          <w:rFonts w:ascii="Arial" w:eastAsia="Georgia" w:hAnsi="Arial" w:cs="Arial"/>
          <w:sz w:val="22"/>
          <w:lang w:val="sl-SI" w:eastAsia="sl-SI"/>
        </w:rPr>
      </w:pPr>
    </w:p>
    <w:p w14:paraId="6EE327C4" w14:textId="77777777" w:rsidR="00C55C5A" w:rsidRPr="00C55C5A" w:rsidRDefault="00C55C5A" w:rsidP="00C55C5A">
      <w:pPr>
        <w:keepNext/>
        <w:keepLines/>
        <w:spacing w:before="40"/>
        <w:jc w:val="both"/>
        <w:outlineLvl w:val="2"/>
        <w:rPr>
          <w:rFonts w:ascii="Arial" w:eastAsia="Calibri" w:hAnsi="Arial" w:cs="Arial"/>
          <w:b/>
          <w:color w:val="1F4D78"/>
          <w:sz w:val="28"/>
          <w:szCs w:val="28"/>
          <w:lang w:val="sl-SI"/>
        </w:rPr>
      </w:pPr>
      <w:bookmarkStart w:id="23" w:name="_Toc479162941"/>
      <w:r w:rsidRPr="00C55C5A">
        <w:rPr>
          <w:rFonts w:ascii="Arial" w:eastAsia="Calibri" w:hAnsi="Arial" w:cs="Arial"/>
          <w:b/>
          <w:color w:val="1F4D78"/>
          <w:sz w:val="28"/>
          <w:szCs w:val="28"/>
          <w:lang w:val="sl-SI"/>
        </w:rPr>
        <w:lastRenderedPageBreak/>
        <w:t>3.3 Kombinacija z nepovratnimi sredstvi ESI skladov</w:t>
      </w:r>
      <w:bookmarkEnd w:id="23"/>
      <w:r w:rsidRPr="00C55C5A">
        <w:rPr>
          <w:rFonts w:ascii="Arial" w:eastAsia="Calibri" w:hAnsi="Arial" w:cs="Arial"/>
          <w:b/>
          <w:color w:val="1F4D78"/>
          <w:sz w:val="28"/>
          <w:szCs w:val="28"/>
          <w:lang w:val="sl-SI"/>
        </w:rPr>
        <w:t xml:space="preserve">  </w:t>
      </w:r>
    </w:p>
    <w:p w14:paraId="1B798E9B" w14:textId="77777777" w:rsidR="00C55C5A" w:rsidRPr="00C55C5A" w:rsidRDefault="00C55C5A" w:rsidP="00C55C5A">
      <w:pPr>
        <w:autoSpaceDE w:val="0"/>
        <w:autoSpaceDN w:val="0"/>
        <w:adjustRightInd w:val="0"/>
        <w:jc w:val="both"/>
        <w:rPr>
          <w:rFonts w:ascii="Arial" w:eastAsia="Calibri" w:hAnsi="Arial" w:cs="Arial"/>
          <w:iCs/>
          <w:color w:val="000000"/>
          <w:sz w:val="22"/>
          <w:lang w:val="sl-SI"/>
        </w:rPr>
      </w:pPr>
    </w:p>
    <w:p w14:paraId="2160824A"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 xml:space="preserve">Skladno s Predhodno oceno FI je predvidena tudi kombinacija z nepovratnimi sredstvi ESIF, kar je že predstavljeno pri posameznem FI.   </w:t>
      </w:r>
    </w:p>
    <w:p w14:paraId="0E730A48"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6E5E24E0" w14:textId="77777777" w:rsidR="00C55C5A" w:rsidRPr="00C55C5A" w:rsidRDefault="00C55C5A" w:rsidP="00C55C5A">
      <w:pPr>
        <w:spacing w:after="195"/>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Dopustna sta dva načina kombiniranja FI z nepovratnimi sredstvi ESI skladov ali drugimi oblikami podpore ESI sredstev</w:t>
      </w:r>
      <w:r w:rsidRPr="00C55C5A">
        <w:rPr>
          <w:rFonts w:ascii="Arial" w:eastAsia="Georgia" w:hAnsi="Arial" w:cs="Arial"/>
          <w:sz w:val="22"/>
          <w:szCs w:val="22"/>
          <w:vertAlign w:val="superscript"/>
          <w:lang w:val="sl-SI" w:eastAsia="sl-SI"/>
        </w:rPr>
        <w:footnoteReference w:id="17"/>
      </w:r>
      <w:r w:rsidRPr="00C55C5A">
        <w:rPr>
          <w:rFonts w:ascii="Arial" w:eastAsia="Georgia" w:hAnsi="Arial" w:cs="Arial"/>
          <w:sz w:val="22"/>
          <w:szCs w:val="22"/>
          <w:lang w:val="sl-SI" w:eastAsia="sl-SI"/>
        </w:rPr>
        <w:t xml:space="preserve">:  </w:t>
      </w:r>
    </w:p>
    <w:p w14:paraId="2CB99279" w14:textId="77777777" w:rsidR="00C55C5A" w:rsidRPr="00C55C5A" w:rsidRDefault="00C55C5A" w:rsidP="00C55C5A">
      <w:pPr>
        <w:numPr>
          <w:ilvl w:val="0"/>
          <w:numId w:val="12"/>
        </w:numPr>
        <w:spacing w:after="114"/>
        <w:ind w:right="160"/>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v okviru </w:t>
      </w:r>
      <w:r w:rsidRPr="00C55C5A">
        <w:rPr>
          <w:rFonts w:ascii="Arial" w:eastAsia="Georgia" w:hAnsi="Arial" w:cs="Arial"/>
          <w:b/>
          <w:sz w:val="22"/>
          <w:szCs w:val="22"/>
          <w:lang w:val="sl-SI" w:eastAsia="sl-SI"/>
        </w:rPr>
        <w:t>ene same operacije</w:t>
      </w:r>
      <w:r w:rsidRPr="00C55C5A">
        <w:rPr>
          <w:rFonts w:ascii="Arial" w:eastAsia="Georgia" w:hAnsi="Arial" w:cs="Arial"/>
          <w:sz w:val="22"/>
          <w:szCs w:val="22"/>
          <w:lang w:val="sl-SI" w:eastAsia="sl-SI"/>
        </w:rPr>
        <w:t>, tj. sklad skladov, če gre za subvencije obrestnih mer, subvencije garancijske provizije ali tehnično pomoč</w:t>
      </w:r>
      <w:r w:rsidRPr="00C55C5A">
        <w:rPr>
          <w:rFonts w:ascii="Arial" w:eastAsia="Georgia" w:hAnsi="Arial" w:cs="Arial"/>
          <w:sz w:val="22"/>
          <w:szCs w:val="22"/>
          <w:vertAlign w:val="superscript"/>
          <w:lang w:val="sl-SI" w:eastAsia="sl-SI"/>
        </w:rPr>
        <w:footnoteReference w:id="18"/>
      </w:r>
      <w:r w:rsidRPr="00C55C5A">
        <w:rPr>
          <w:rFonts w:ascii="Arial" w:eastAsia="Georgia" w:hAnsi="Arial" w:cs="Arial"/>
          <w:sz w:val="22"/>
          <w:szCs w:val="22"/>
          <w:lang w:val="sl-SI" w:eastAsia="sl-SI"/>
        </w:rPr>
        <w:t>). V primeru takšne podpore pri eni sami operaciji se upoštevajo določbe, ki se uporabljajo pri finančnih produktih, zagotovljenih preko finančnih instrumentov (7. odstavek 37. člena Uredbe EU št. 1303/2013).</w:t>
      </w:r>
      <w:r w:rsidRPr="00C55C5A">
        <w:rPr>
          <w:rFonts w:ascii="Calibri" w:eastAsia="Calibri" w:hAnsi="Calibri" w:cs="Calibri"/>
          <w:sz w:val="22"/>
          <w:szCs w:val="22"/>
          <w:lang w:val="sl-SI"/>
        </w:rPr>
        <w:t xml:space="preserve"> </w:t>
      </w:r>
      <w:r w:rsidRPr="00C55C5A">
        <w:rPr>
          <w:rFonts w:ascii="Arial" w:eastAsia="Georgia" w:hAnsi="Arial" w:cs="Arial"/>
          <w:sz w:val="22"/>
          <w:szCs w:val="22"/>
          <w:lang w:val="sl-SI" w:eastAsia="sl-SI"/>
        </w:rPr>
        <w:t>V takšnih primerih se spoštujejo veljavna pravila EU o državni pomoči, za vsako obliko podpore pa se vodi ločena evidenca.</w:t>
      </w:r>
    </w:p>
    <w:p w14:paraId="6634F16A" w14:textId="77777777" w:rsidR="00C55C5A" w:rsidRPr="00C55C5A" w:rsidRDefault="00C55C5A" w:rsidP="00C55C5A">
      <w:pPr>
        <w:spacing w:after="147"/>
        <w:ind w:left="720" w:right="256"/>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Subvencije obrestnih mer in/ali subvencije garancijskih provizij se lahko uporabljajo le za izboljšanje možnosti in pogojev dostopanja končnega prejemnika do zasebnih ali drugih javnih sredstev na ravni zadevnega končnega prejemnika. S tem se lahko doseže boljšo realizacijo ciljev Programa prenesenega na FI</w:t>
      </w:r>
      <w:r w:rsidRPr="00C55C5A">
        <w:rPr>
          <w:rFonts w:ascii="Arial" w:eastAsia="Calibri" w:hAnsi="Arial" w:cs="Arial"/>
          <w:sz w:val="22"/>
          <w:szCs w:val="22"/>
          <w:vertAlign w:val="superscript"/>
          <w:lang w:val="sl-SI" w:eastAsia="sl-SI"/>
        </w:rPr>
        <w:footnoteReference w:id="19"/>
      </w:r>
      <w:r w:rsidRPr="00C55C5A">
        <w:rPr>
          <w:rFonts w:ascii="Arial" w:eastAsia="Georgia" w:hAnsi="Arial" w:cs="Arial"/>
          <w:sz w:val="22"/>
          <w:szCs w:val="22"/>
          <w:lang w:val="sl-SI" w:eastAsia="sl-SI"/>
        </w:rPr>
        <w:t xml:space="preserve">.   </w:t>
      </w:r>
    </w:p>
    <w:p w14:paraId="181E57F6" w14:textId="77777777" w:rsidR="00C55C5A" w:rsidRPr="00C55C5A" w:rsidRDefault="00C55C5A" w:rsidP="00C55C5A">
      <w:pPr>
        <w:spacing w:after="194"/>
        <w:ind w:left="720"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Nepovratna sredstva za tehnično pomoč pa se lahko kombinirajo s finančnimi produkti le za namene tehnične priprave predvidene naložbe za korist in podporo končnemu upravičencu</w:t>
      </w:r>
      <w:r w:rsidRPr="00C55C5A">
        <w:rPr>
          <w:rFonts w:ascii="Arial" w:eastAsia="Calibri" w:hAnsi="Arial" w:cs="Arial"/>
          <w:sz w:val="22"/>
          <w:szCs w:val="22"/>
          <w:vertAlign w:val="superscript"/>
          <w:lang w:val="sl-SI" w:eastAsia="sl-SI"/>
        </w:rPr>
        <w:footnoteReference w:id="20"/>
      </w:r>
      <w:r w:rsidRPr="00C55C5A">
        <w:rPr>
          <w:rFonts w:ascii="Arial" w:eastAsia="Georgia" w:hAnsi="Arial" w:cs="Arial"/>
          <w:sz w:val="22"/>
          <w:szCs w:val="22"/>
          <w:lang w:val="sl-SI" w:eastAsia="sl-SI"/>
        </w:rPr>
        <w:t xml:space="preserve">. </w:t>
      </w:r>
    </w:p>
    <w:p w14:paraId="5F2133C9" w14:textId="77777777" w:rsidR="00C55C5A" w:rsidRPr="00C55C5A" w:rsidRDefault="00C55C5A" w:rsidP="00C55C5A">
      <w:pPr>
        <w:numPr>
          <w:ilvl w:val="0"/>
          <w:numId w:val="12"/>
        </w:numPr>
        <w:spacing w:after="194"/>
        <w:ind w:right="14"/>
        <w:jc w:val="both"/>
        <w:rPr>
          <w:rFonts w:ascii="Arial" w:eastAsia="Georgia" w:hAnsi="Arial" w:cs="Arial"/>
          <w:sz w:val="22"/>
          <w:szCs w:val="22"/>
          <w:lang w:val="sl-SI" w:eastAsia="sl-SI"/>
        </w:rPr>
      </w:pPr>
      <w:r w:rsidRPr="00C55C5A">
        <w:rPr>
          <w:rFonts w:ascii="Arial" w:eastAsia="Georgia" w:hAnsi="Arial" w:cs="Arial"/>
          <w:sz w:val="22"/>
          <w:szCs w:val="22"/>
          <w:lang w:val="sl-SI" w:eastAsia="sl-SI"/>
        </w:rPr>
        <w:t xml:space="preserve">Finančni produkti se lahko kombinirajo z nepovratnimi sredstvi ESIF za druge namene kot je določeno v prejšnji točki tudi </w:t>
      </w:r>
      <w:r w:rsidRPr="00C55C5A">
        <w:rPr>
          <w:rFonts w:ascii="Arial" w:eastAsia="Georgia" w:hAnsi="Arial" w:cs="Arial"/>
          <w:b/>
          <w:sz w:val="22"/>
          <w:szCs w:val="22"/>
          <w:lang w:val="sl-SI" w:eastAsia="sl-SI"/>
        </w:rPr>
        <w:t>v obliki ločenih operacij</w:t>
      </w:r>
      <w:r w:rsidRPr="00C55C5A">
        <w:rPr>
          <w:rFonts w:ascii="Arial" w:eastAsia="Georgia" w:hAnsi="Arial" w:cs="Arial"/>
          <w:sz w:val="22"/>
          <w:szCs w:val="22"/>
          <w:lang w:val="sl-SI" w:eastAsia="sl-SI"/>
        </w:rPr>
        <w:t xml:space="preserve">. Kadar se nepovratna sredstva uporabljajo kot dopolnitev naložbe FI, se morajo ta nepovratna sredstva obravnavati kot samostojna operacija, tudi če so lahko upravljana s strani istega organa. </w:t>
      </w:r>
    </w:p>
    <w:p w14:paraId="17CC816F" w14:textId="77777777" w:rsidR="00C55C5A" w:rsidRPr="00C55C5A" w:rsidRDefault="00C55C5A" w:rsidP="00C55C5A">
      <w:pPr>
        <w:autoSpaceDE w:val="0"/>
        <w:autoSpaceDN w:val="0"/>
        <w:adjustRightInd w:val="0"/>
        <w:jc w:val="both"/>
        <w:rPr>
          <w:rFonts w:ascii="Arial" w:eastAsia="Calibri" w:hAnsi="Arial" w:cs="Arial"/>
          <w:iCs/>
          <w:color w:val="000000"/>
          <w:sz w:val="22"/>
          <w:lang w:val="sl-SI"/>
        </w:rPr>
      </w:pPr>
    </w:p>
    <w:p w14:paraId="1B8E49E1" w14:textId="77777777" w:rsidR="00C55C5A" w:rsidRPr="00C55C5A" w:rsidRDefault="00C55C5A" w:rsidP="00C55C5A">
      <w:pPr>
        <w:keepNext/>
        <w:keepLines/>
        <w:spacing w:before="40"/>
        <w:jc w:val="both"/>
        <w:outlineLvl w:val="2"/>
        <w:rPr>
          <w:rFonts w:ascii="Arial" w:eastAsia="Calibri" w:hAnsi="Arial" w:cs="Arial"/>
          <w:b/>
          <w:color w:val="1F4D78"/>
          <w:sz w:val="28"/>
          <w:szCs w:val="28"/>
          <w:lang w:val="sl-SI"/>
        </w:rPr>
      </w:pPr>
      <w:bookmarkStart w:id="24" w:name="_Toc479162942"/>
      <w:r w:rsidRPr="00C55C5A">
        <w:rPr>
          <w:rFonts w:ascii="Arial" w:eastAsia="Calibri" w:hAnsi="Arial" w:cs="Arial"/>
          <w:b/>
          <w:color w:val="1F4D78"/>
          <w:sz w:val="28"/>
          <w:szCs w:val="28"/>
          <w:lang w:val="sl-SI"/>
        </w:rPr>
        <w:t>3.4 Drugi viri financiranja finančnih instrumentov</w:t>
      </w:r>
      <w:bookmarkEnd w:id="24"/>
    </w:p>
    <w:p w14:paraId="3CB50C50" w14:textId="77777777" w:rsidR="00C55C5A" w:rsidRPr="00C55C5A" w:rsidRDefault="00C55C5A" w:rsidP="00C55C5A">
      <w:pPr>
        <w:autoSpaceDE w:val="0"/>
        <w:autoSpaceDN w:val="0"/>
        <w:adjustRightInd w:val="0"/>
        <w:jc w:val="both"/>
        <w:rPr>
          <w:rFonts w:ascii="Arial" w:eastAsia="Calibri" w:hAnsi="Arial" w:cs="Arial"/>
          <w:iCs/>
          <w:color w:val="000000"/>
          <w:sz w:val="22"/>
          <w:lang w:val="sl-SI"/>
        </w:rPr>
      </w:pPr>
    </w:p>
    <w:p w14:paraId="08A62F29"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Upravljavec sklada skladov lahko poleg sredstev ESIF zagotavlja tudi druge vire financiranja na ravni sklada skladov, FI ali končnih prejemnikov, kot bo dogovorjeno v sporazumu o financiranju. Upravljavec sklada skladov mora obvestiti PO, če bo finančni produkt dopolnjeval z drugimi viri. Upravljavec sklada skladov mora skladno s tem voditi tudi evidenco sredstev po virih financiranja.</w:t>
      </w:r>
    </w:p>
    <w:p w14:paraId="6A6BE00E"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477F60B6" w14:textId="77777777" w:rsidR="00C55C5A" w:rsidRPr="00C55C5A" w:rsidRDefault="00C55C5A" w:rsidP="00C55C5A">
      <w:pPr>
        <w:jc w:val="both"/>
        <w:rPr>
          <w:rFonts w:ascii="Arial" w:hAnsi="Arial" w:cs="Arial"/>
          <w:sz w:val="22"/>
          <w:szCs w:val="22"/>
          <w:lang w:val="sl-SI"/>
        </w:rPr>
      </w:pPr>
      <w:r w:rsidRPr="00C55C5A">
        <w:rPr>
          <w:rFonts w:ascii="Arial" w:eastAsia="Calibri" w:hAnsi="Arial" w:cs="Arial"/>
          <w:iCs/>
          <w:color w:val="000000"/>
          <w:sz w:val="22"/>
          <w:szCs w:val="22"/>
          <w:lang w:val="sl-SI"/>
        </w:rPr>
        <w:t xml:space="preserve">Drugi viri (poleg ESIF) za </w:t>
      </w:r>
      <w:r w:rsidRPr="00C55C5A">
        <w:rPr>
          <w:rFonts w:ascii="Arial" w:hAnsi="Arial" w:cs="Arial"/>
          <w:sz w:val="22"/>
          <w:szCs w:val="22"/>
          <w:lang w:val="sl-SI"/>
        </w:rPr>
        <w:t>izvajanje FI se lahko zagotavljajo tudi iz:</w:t>
      </w:r>
    </w:p>
    <w:p w14:paraId="7CAE07F8" w14:textId="77777777" w:rsidR="00C55C5A" w:rsidRPr="00C55C5A" w:rsidRDefault="00C55C5A" w:rsidP="00C55C5A">
      <w:pPr>
        <w:numPr>
          <w:ilvl w:val="0"/>
          <w:numId w:val="9"/>
        </w:numPr>
        <w:contextualSpacing/>
        <w:jc w:val="both"/>
        <w:rPr>
          <w:rFonts w:ascii="Arial" w:eastAsia="Calibri" w:hAnsi="Arial" w:cs="Arial"/>
          <w:sz w:val="22"/>
          <w:szCs w:val="22"/>
          <w:lang w:val="sl-SI"/>
        </w:rPr>
      </w:pPr>
      <w:r w:rsidRPr="00C55C5A">
        <w:rPr>
          <w:rFonts w:ascii="Arial" w:eastAsia="Calibri" w:hAnsi="Arial" w:cs="Calibri"/>
          <w:sz w:val="22"/>
          <w:szCs w:val="22"/>
          <w:lang w:val="sl-SI"/>
        </w:rPr>
        <w:t>nacionalnih virov</w:t>
      </w:r>
      <w:r w:rsidRPr="00C55C5A">
        <w:rPr>
          <w:rFonts w:ascii="Arial" w:eastAsia="Calibri" w:hAnsi="Arial" w:cs="Arial"/>
          <w:sz w:val="22"/>
          <w:szCs w:val="22"/>
          <w:lang w:val="sl-SI"/>
        </w:rPr>
        <w:t>,</w:t>
      </w:r>
    </w:p>
    <w:p w14:paraId="3B74BDD7" w14:textId="77777777" w:rsidR="00C55C5A" w:rsidRPr="00C55C5A" w:rsidRDefault="00C55C5A" w:rsidP="00C55C5A">
      <w:pPr>
        <w:numPr>
          <w:ilvl w:val="0"/>
          <w:numId w:val="9"/>
        </w:numPr>
        <w:contextualSpacing/>
        <w:jc w:val="both"/>
        <w:rPr>
          <w:rFonts w:ascii="Arial" w:eastAsia="Calibri" w:hAnsi="Arial" w:cs="Arial"/>
          <w:sz w:val="22"/>
          <w:szCs w:val="22"/>
          <w:lang w:val="sl-SI"/>
        </w:rPr>
      </w:pPr>
      <w:r w:rsidRPr="00C55C5A">
        <w:rPr>
          <w:rFonts w:ascii="Arial" w:eastAsia="Calibri" w:hAnsi="Arial" w:cs="Arial"/>
          <w:iCs/>
          <w:color w:val="000000"/>
          <w:sz w:val="22"/>
          <w:szCs w:val="22"/>
          <w:lang w:val="sl-SI"/>
        </w:rPr>
        <w:lastRenderedPageBreak/>
        <w:t xml:space="preserve">drugih EU virov (viri COSME, Obzorje 2020, Evropski sklad za strateške investicije (EFSI), EASI, itd.) </w:t>
      </w:r>
    </w:p>
    <w:p w14:paraId="08A3A79E" w14:textId="77777777" w:rsidR="00C55C5A" w:rsidRPr="00C55C5A" w:rsidRDefault="00C55C5A" w:rsidP="00C55C5A">
      <w:pPr>
        <w:numPr>
          <w:ilvl w:val="0"/>
          <w:numId w:val="9"/>
        </w:numPr>
        <w:contextualSpacing/>
        <w:jc w:val="both"/>
        <w:rPr>
          <w:rFonts w:ascii="Arial" w:eastAsia="Calibri" w:hAnsi="Arial" w:cs="Arial"/>
          <w:sz w:val="22"/>
          <w:szCs w:val="22"/>
          <w:lang w:val="sl-SI"/>
        </w:rPr>
      </w:pPr>
      <w:r w:rsidRPr="00C55C5A">
        <w:rPr>
          <w:rFonts w:ascii="Arial" w:eastAsia="Calibri" w:hAnsi="Arial" w:cs="Arial"/>
          <w:sz w:val="22"/>
          <w:szCs w:val="22"/>
          <w:lang w:val="sl-SI"/>
        </w:rPr>
        <w:t>drugih lastnih virov upravljavca sklada skladov,</w:t>
      </w:r>
    </w:p>
    <w:p w14:paraId="096208F5" w14:textId="77777777" w:rsidR="00C55C5A" w:rsidRPr="00C55C5A" w:rsidRDefault="00C55C5A" w:rsidP="00C55C5A">
      <w:pPr>
        <w:numPr>
          <w:ilvl w:val="0"/>
          <w:numId w:val="9"/>
        </w:numPr>
        <w:contextualSpacing/>
        <w:jc w:val="both"/>
        <w:rPr>
          <w:rFonts w:ascii="Arial" w:eastAsia="Calibri" w:hAnsi="Arial" w:cs="Arial"/>
          <w:sz w:val="22"/>
          <w:szCs w:val="22"/>
          <w:lang w:val="sl-SI"/>
        </w:rPr>
      </w:pPr>
      <w:r w:rsidRPr="00C55C5A">
        <w:rPr>
          <w:rFonts w:ascii="Arial" w:eastAsia="Calibri" w:hAnsi="Arial" w:cs="Arial"/>
          <w:sz w:val="22"/>
          <w:szCs w:val="22"/>
          <w:lang w:val="sl-SI"/>
        </w:rPr>
        <w:t>drugih lastnih virov finančnih posrednikov,</w:t>
      </w:r>
    </w:p>
    <w:p w14:paraId="10FE4718" w14:textId="77777777" w:rsidR="00C55C5A" w:rsidRPr="00C55C5A" w:rsidRDefault="00C55C5A" w:rsidP="00C55C5A">
      <w:pPr>
        <w:numPr>
          <w:ilvl w:val="0"/>
          <w:numId w:val="9"/>
        </w:numPr>
        <w:contextualSpacing/>
        <w:jc w:val="both"/>
        <w:rPr>
          <w:rFonts w:ascii="Arial" w:eastAsia="Calibri" w:hAnsi="Arial" w:cs="Arial"/>
          <w:sz w:val="22"/>
          <w:szCs w:val="22"/>
          <w:lang w:val="sl-SI"/>
        </w:rPr>
      </w:pPr>
      <w:r w:rsidRPr="00C55C5A">
        <w:rPr>
          <w:rFonts w:ascii="Arial" w:eastAsia="Calibri" w:hAnsi="Arial" w:cs="Arial"/>
          <w:sz w:val="22"/>
          <w:szCs w:val="22"/>
          <w:lang w:val="sl-SI"/>
        </w:rPr>
        <w:t>drugih virov.</w:t>
      </w:r>
    </w:p>
    <w:p w14:paraId="05FA1E04" w14:textId="77777777" w:rsidR="00C55C5A" w:rsidRPr="00C55C5A" w:rsidRDefault="00C55C5A" w:rsidP="00C55C5A">
      <w:pPr>
        <w:jc w:val="both"/>
        <w:rPr>
          <w:rFonts w:ascii="Arial" w:hAnsi="Arial" w:cs="Arial"/>
          <w:sz w:val="22"/>
          <w:szCs w:val="22"/>
          <w:lang w:val="sl-SI"/>
        </w:rPr>
      </w:pPr>
    </w:p>
    <w:p w14:paraId="675E3F11"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Po prvem obratu sredstev iz naslova evropske kohezijske politike 2014 - 2020 za izvajanje FI  se ponovno pripravi predhodna ocena vrzeli financiranja (na tej prednostni naložbi), ki pokaže, ali, kje in v kakšnem obsegu še obstajajo vrzeli in kakšni FI so potrebni. V kolikor obstaja vrzel financiranja, se temu na podlagi nove naložbene strategije in v okviru določil sporazuma o financiranju namenijo vrnjena sredstva za FI skladno z ugotovitvami predhodne ocene vrzeli financiranja.  </w:t>
      </w:r>
    </w:p>
    <w:p w14:paraId="25A6512F" w14:textId="77777777" w:rsidR="00C55C5A" w:rsidRPr="00C55C5A" w:rsidRDefault="00C55C5A" w:rsidP="00C55C5A">
      <w:pPr>
        <w:autoSpaceDE w:val="0"/>
        <w:autoSpaceDN w:val="0"/>
        <w:adjustRightInd w:val="0"/>
        <w:jc w:val="both"/>
        <w:rPr>
          <w:rFonts w:ascii="Arial" w:hAnsi="Arial" w:cs="Arial"/>
          <w:sz w:val="22"/>
          <w:szCs w:val="22"/>
          <w:lang w:val="sl-SI"/>
        </w:rPr>
      </w:pPr>
    </w:p>
    <w:p w14:paraId="78854206" w14:textId="77777777" w:rsidR="00C55C5A" w:rsidRPr="00C55C5A" w:rsidRDefault="00C55C5A" w:rsidP="00C55C5A">
      <w:pPr>
        <w:spacing w:after="160"/>
        <w:jc w:val="both"/>
        <w:rPr>
          <w:rFonts w:ascii="Arial" w:eastAsia="Calibri" w:hAnsi="Arial" w:cs="Arial"/>
          <w:iCs/>
          <w:color w:val="000000"/>
          <w:sz w:val="22"/>
          <w:lang w:val="sl-SI"/>
        </w:rPr>
      </w:pPr>
      <w:r w:rsidRPr="00C55C5A">
        <w:rPr>
          <w:rFonts w:ascii="Arial" w:eastAsia="Calibri" w:hAnsi="Arial" w:cs="Arial"/>
          <w:iCs/>
          <w:color w:val="000000"/>
          <w:sz w:val="22"/>
          <w:lang w:val="sl-SI"/>
        </w:rPr>
        <w:br w:type="page"/>
      </w:r>
    </w:p>
    <w:p w14:paraId="2B42EB19" w14:textId="77777777" w:rsidR="00C55C5A" w:rsidRPr="00C55C5A" w:rsidRDefault="00C55C5A" w:rsidP="00C55C5A">
      <w:pPr>
        <w:keepNext/>
        <w:shd w:val="clear" w:color="auto" w:fill="9CC2E5"/>
        <w:outlineLvl w:val="1"/>
        <w:rPr>
          <w:rFonts w:ascii="Arial" w:hAnsi="Arial" w:cs="Arial"/>
          <w:b/>
          <w:sz w:val="32"/>
          <w:szCs w:val="32"/>
          <w:lang w:val="sl-SI"/>
        </w:rPr>
      </w:pPr>
      <w:bookmarkStart w:id="25" w:name="_Toc479162943"/>
      <w:r w:rsidRPr="00C55C5A">
        <w:rPr>
          <w:rFonts w:ascii="Arial" w:hAnsi="Arial" w:cs="Arial"/>
          <w:b/>
          <w:sz w:val="32"/>
          <w:szCs w:val="32"/>
          <w:lang w:val="sl-SI"/>
        </w:rPr>
        <w:lastRenderedPageBreak/>
        <w:t>4. Spremljanje izvajanja in poročanje</w:t>
      </w:r>
      <w:bookmarkEnd w:id="25"/>
    </w:p>
    <w:p w14:paraId="4141EEEE" w14:textId="77777777" w:rsidR="00C55C5A" w:rsidRPr="00C55C5A" w:rsidRDefault="00C55C5A" w:rsidP="00C55C5A">
      <w:pPr>
        <w:autoSpaceDE w:val="0"/>
        <w:autoSpaceDN w:val="0"/>
        <w:adjustRightInd w:val="0"/>
        <w:jc w:val="both"/>
        <w:rPr>
          <w:rFonts w:ascii="Arial" w:eastAsia="Calibri" w:hAnsi="Arial" w:cs="Arial"/>
          <w:iCs/>
          <w:color w:val="000000"/>
          <w:sz w:val="22"/>
          <w:lang w:val="sl-SI"/>
        </w:rPr>
      </w:pPr>
    </w:p>
    <w:p w14:paraId="1977F9EE"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Upravljavec sklada skladov je dolžan voditi </w:t>
      </w:r>
      <w:r w:rsidRPr="00C55C5A">
        <w:rPr>
          <w:rFonts w:ascii="Arial" w:eastAsia="Calibri" w:hAnsi="Arial" w:cs="Arial"/>
          <w:b/>
          <w:color w:val="000000"/>
          <w:sz w:val="22"/>
          <w:szCs w:val="22"/>
          <w:lang w:val="sl-SI"/>
        </w:rPr>
        <w:t>evidence</w:t>
      </w:r>
      <w:r w:rsidRPr="00C55C5A">
        <w:rPr>
          <w:rFonts w:ascii="Arial" w:eastAsia="Calibri" w:hAnsi="Arial" w:cs="Arial"/>
          <w:color w:val="000000"/>
          <w:sz w:val="22"/>
          <w:szCs w:val="22"/>
          <w:lang w:val="sl-SI"/>
        </w:rPr>
        <w:t>, iz katerih bo mogoče razlikovati med razpolaganjem s sredstvi evropske kohezijske politike in morebitnimi ostalimi sredstvi sklada skladov.</w:t>
      </w:r>
    </w:p>
    <w:p w14:paraId="2ABBCE4B" w14:textId="77777777" w:rsidR="00C55C5A" w:rsidRPr="00C55C5A" w:rsidRDefault="00C55C5A" w:rsidP="00C55C5A">
      <w:pPr>
        <w:suppressAutoHyphens/>
        <w:jc w:val="both"/>
        <w:rPr>
          <w:rFonts w:ascii="Arial" w:eastAsia="Calibri" w:hAnsi="Arial" w:cs="Arial"/>
          <w:color w:val="000000"/>
          <w:sz w:val="22"/>
          <w:szCs w:val="22"/>
          <w:lang w:val="sl-SI"/>
        </w:rPr>
      </w:pPr>
    </w:p>
    <w:p w14:paraId="01E5DAE2"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Upravljavec sklada skladov bo spremljal porabo sredstev v okviru naložbene strategije s poslovnimi načrti po prednostnih naložbah, posameznih FI, po končnih prejemnikih in teritorialni pripadnosti ter terminsko.</w:t>
      </w:r>
    </w:p>
    <w:p w14:paraId="6A0AB617"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37F86DB8"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 xml:space="preserve">PO bo spremljal izvajanje operacije sklad skladov </w:t>
      </w:r>
      <w:r w:rsidRPr="00C55C5A">
        <w:rPr>
          <w:rFonts w:ascii="Arial" w:eastAsia="Calibri" w:hAnsi="Arial" w:cs="Arial"/>
          <w:b/>
          <w:iCs/>
          <w:color w:val="000000"/>
          <w:sz w:val="22"/>
          <w:szCs w:val="22"/>
          <w:lang w:val="sl-SI"/>
        </w:rPr>
        <w:t>prek naslednjih poročil upravljavca sklada skladov</w:t>
      </w:r>
      <w:r w:rsidRPr="00C55C5A">
        <w:rPr>
          <w:rFonts w:ascii="Arial" w:eastAsia="Calibri" w:hAnsi="Arial" w:cs="Arial"/>
          <w:iCs/>
          <w:color w:val="000000"/>
          <w:sz w:val="22"/>
          <w:szCs w:val="22"/>
          <w:lang w:val="sl-SI"/>
        </w:rPr>
        <w:t>, ki bodo podrobneje opredeljena v sporazumu o financiranju:</w:t>
      </w:r>
    </w:p>
    <w:p w14:paraId="509602C3"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četrtletno (vključuje poročilo za določeno obdobje in tudi kumulativni seštevek vseh preteklih četrtletij in napredek v obdobju poročanja (izračun agregatov plasmajev (npr. po prednostnih naložbah, regijah, sektorjih, pravnoorganizacijskih oblikah in produktih) ter deležev prispevka obdobja glede na celotno obdobje in nakazila, itd.),</w:t>
      </w:r>
    </w:p>
    <w:p w14:paraId="25F4C14B"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letno (vključuje poleg finančnega dela še dodatno vsebinsko obrazložitev stanja in napredka (potek izvajanja, težave pri izvajanju, predloge za spremembo FI in/ali produktov, itd.)),</w:t>
      </w:r>
    </w:p>
    <w:p w14:paraId="39A8148B"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poročilo o zaključku operacije (časovno obdobje, višina načrtovane porabe, dejanska poraba, aktivnosti, opravljene naložbe, realizirana nakazila, upravljavska provizija, kazalniki, itd.),</w:t>
      </w:r>
    </w:p>
    <w:p w14:paraId="0028D81D" w14:textId="77777777" w:rsidR="00C55C5A" w:rsidRPr="00C55C5A" w:rsidRDefault="00C55C5A" w:rsidP="00C55C5A">
      <w:pPr>
        <w:numPr>
          <w:ilvl w:val="0"/>
          <w:numId w:val="4"/>
        </w:numPr>
        <w:jc w:val="both"/>
        <w:rPr>
          <w:rFonts w:ascii="Arial" w:eastAsia="Calibri" w:hAnsi="Arial" w:cs="Arial"/>
          <w:sz w:val="22"/>
          <w:szCs w:val="22"/>
          <w:lang w:val="sl-SI"/>
        </w:rPr>
      </w:pPr>
      <w:r w:rsidRPr="00C55C5A">
        <w:rPr>
          <w:rFonts w:ascii="Arial" w:eastAsia="Calibri" w:hAnsi="Arial" w:cs="Arial"/>
          <w:sz w:val="22"/>
          <w:szCs w:val="22"/>
          <w:lang w:val="sl-SI"/>
        </w:rPr>
        <w:t>druga poročila skladno s sporazumom o financiranju (vključno z ad hoc poizvedbami glede na  potrebe OU, PO in sodelujočih ministrstev s prilagojeno razčlembo finančnih in/ali vsebinskih kazalnikov FI).</w:t>
      </w:r>
    </w:p>
    <w:p w14:paraId="39F78C2E" w14:textId="77777777" w:rsidR="00C55C5A" w:rsidRPr="00C55C5A" w:rsidRDefault="00C55C5A" w:rsidP="00C55C5A">
      <w:pPr>
        <w:jc w:val="both"/>
        <w:rPr>
          <w:rFonts w:ascii="Arial" w:eastAsia="Calibri" w:hAnsi="Arial" w:cs="Arial"/>
          <w:snapToGrid w:val="0"/>
          <w:sz w:val="22"/>
          <w:szCs w:val="22"/>
          <w:lang w:val="sl-SI"/>
        </w:rPr>
      </w:pPr>
      <w:r w:rsidRPr="00C55C5A">
        <w:rPr>
          <w:rFonts w:ascii="Arial" w:eastAsia="Calibri" w:hAnsi="Arial" w:cs="Arial"/>
          <w:snapToGrid w:val="0"/>
          <w:sz w:val="22"/>
          <w:szCs w:val="22"/>
          <w:lang w:val="sl-SI"/>
        </w:rPr>
        <w:t>Rok za predložitev in podrobnejša vsebina posameznega poročila iz prejšnjega odstavka se opredelila v sporazumu o financiranju.</w:t>
      </w:r>
    </w:p>
    <w:p w14:paraId="68C98AAA" w14:textId="77777777" w:rsidR="00C55C5A" w:rsidRPr="00C55C5A" w:rsidRDefault="00C55C5A" w:rsidP="00C55C5A">
      <w:pPr>
        <w:jc w:val="both"/>
        <w:rPr>
          <w:rFonts w:ascii="Arial" w:hAnsi="Arial"/>
          <w:sz w:val="22"/>
          <w:szCs w:val="22"/>
          <w:lang w:val="sl-SI"/>
        </w:rPr>
      </w:pPr>
    </w:p>
    <w:p w14:paraId="16D98EB3" w14:textId="77777777" w:rsidR="00C55C5A" w:rsidRPr="00C55C5A" w:rsidRDefault="00C55C5A" w:rsidP="00C55C5A">
      <w:pPr>
        <w:jc w:val="both"/>
        <w:rPr>
          <w:rFonts w:ascii="Arial" w:eastAsia="Calibri" w:hAnsi="Arial" w:cs="Arial"/>
          <w:snapToGrid w:val="0"/>
          <w:sz w:val="22"/>
          <w:szCs w:val="22"/>
          <w:lang w:val="sl-SI"/>
        </w:rPr>
      </w:pPr>
      <w:r w:rsidRPr="00C55C5A">
        <w:rPr>
          <w:rFonts w:ascii="Arial" w:hAnsi="Arial" w:cs="Arial"/>
          <w:sz w:val="22"/>
          <w:szCs w:val="22"/>
          <w:lang w:val="sl-SI"/>
        </w:rPr>
        <w:t>Upravljavec sklada skladov mora letno (do 31. 1. za preteklo leto) ali tudi prej na poziv PO le-tega pisno seznaniti o trenutnem stanju na področju porabe sredstev evropske kohezijske politike ter podati predlog morebitne preusmeritve sredstev.</w:t>
      </w:r>
    </w:p>
    <w:p w14:paraId="334434EE"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5AAF6860"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PO bo v sporazumu o financiranju zavezal upravljavca sklada skladov, da mora glede spremljanja izvajanja in poročanja upoštevati Uredbo EU 1303/2013, Delegirano uredbo EU 480/2014 in Izvedbeno uredbo EU 821/2014 ter morebitne smernice Evropske komisije ter navodila OU.</w:t>
      </w:r>
    </w:p>
    <w:p w14:paraId="16440385"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4A47B439"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Upravljavec sklada skladov bo moral vzpostaviti sistem za sprotno dnevno računalniško beleženje podatkov z namenom spremljanja dodeljenih sredstev, doseganja ciljev in kazalnikov in izpolnjevanja obveznosti upravljavca sklada skladov glede poročanja PO odgovornemu za FI. V informacijskem sistemu upravljavca sklada skladov se zbirajo in trajno hranijo</w:t>
      </w:r>
      <w:r w:rsidRPr="00C55C5A">
        <w:rPr>
          <w:rFonts w:ascii="Arial" w:eastAsia="Calibri" w:hAnsi="Arial" w:cs="Arial"/>
          <w:iCs/>
          <w:color w:val="000000"/>
          <w:sz w:val="22"/>
          <w:szCs w:val="22"/>
          <w:vertAlign w:val="superscript"/>
          <w:lang w:val="sl-SI"/>
        </w:rPr>
        <w:footnoteReference w:id="21"/>
      </w:r>
      <w:r w:rsidRPr="00C55C5A">
        <w:rPr>
          <w:rFonts w:ascii="Arial" w:eastAsia="Calibri" w:hAnsi="Arial" w:cs="Arial"/>
          <w:iCs/>
          <w:color w:val="000000"/>
          <w:sz w:val="22"/>
          <w:szCs w:val="22"/>
          <w:lang w:val="sl-SI"/>
        </w:rPr>
        <w:t xml:space="preserve"> relevantni podatki finančnih posrednikov o končnih prejemnikih (da se zagotovi revizijska sled do končnih prejemnikov) in alociranih sredstvih FI.</w:t>
      </w:r>
    </w:p>
    <w:p w14:paraId="3BD9BD4F"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2B4047EF"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 xml:space="preserve">PO bo za potrebe EK pripravil posebno poročilo o FI skladno s 46. členom Uredbe EU št. 1303/2013 in na osnovi poročil upravljavca sklada skladov. </w:t>
      </w:r>
      <w:r w:rsidRPr="00C55C5A">
        <w:rPr>
          <w:rFonts w:ascii="Arial" w:eastAsia="Calibri" w:hAnsi="Arial" w:cs="Arial"/>
          <w:snapToGrid w:val="0"/>
          <w:sz w:val="22"/>
          <w:szCs w:val="22"/>
          <w:lang w:val="sl-SI"/>
        </w:rPr>
        <w:t xml:space="preserve">PO redno ocenjuje dejavnosti in poslovanje sklada skladov ter o tem obvešča ustrezne institucije </w:t>
      </w:r>
      <w:r w:rsidRPr="00C55C5A">
        <w:rPr>
          <w:rFonts w:ascii="Arial" w:eastAsia="Calibri" w:hAnsi="Arial" w:cs="Arial"/>
          <w:iCs/>
          <w:color w:val="000000"/>
          <w:sz w:val="22"/>
          <w:szCs w:val="22"/>
          <w:lang w:val="sl-SI"/>
        </w:rPr>
        <w:t xml:space="preserve">Evropske unije.  </w:t>
      </w:r>
    </w:p>
    <w:p w14:paraId="5C145332"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12C887EC"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lastRenderedPageBreak/>
        <w:t>V skladu s 4. odstavkom 125. člena Uredbe (EU) št. 1303/2013 bo PO poleg preverjanja izvajanja operacije preko poročil upravljavca sklada skladov izvajal tudi upravljalna preverjanja, in sicer od sklenitve sporazuma o financiranju do zaključka operacije. Upravljalna preverjanja bodo izvedena pri upravljavcu sklada skladov. Upravljalna preverjanja bodo vključevala tako administrativno kontrolo, kot tudi preverjanje na kraju samem skladno z Navodili OU za izvajanje upravljalnih preverjanj po 125. členu Uredbe (EU) št. 1303/2013.</w:t>
      </w:r>
    </w:p>
    <w:p w14:paraId="32132BA6"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247E3AA6"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r w:rsidRPr="00C55C5A">
        <w:rPr>
          <w:rFonts w:ascii="Arial" w:eastAsia="Calibri" w:hAnsi="Arial" w:cs="Arial"/>
          <w:iCs/>
          <w:color w:val="000000"/>
          <w:sz w:val="22"/>
          <w:szCs w:val="22"/>
          <w:lang w:val="sl-SI"/>
        </w:rPr>
        <w:t>Spremljanje izvajanja in zahteve o poročanju bodo zajete tudi v informacijskem sistemu OU.</w:t>
      </w:r>
    </w:p>
    <w:p w14:paraId="199CC6C0"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2E81826D" w14:textId="77777777" w:rsidR="00C55C5A" w:rsidRPr="00C55C5A" w:rsidRDefault="00C55C5A" w:rsidP="00C55C5A">
      <w:pPr>
        <w:autoSpaceDE w:val="0"/>
        <w:autoSpaceDN w:val="0"/>
        <w:adjustRightInd w:val="0"/>
        <w:jc w:val="both"/>
        <w:rPr>
          <w:rFonts w:ascii="Arial" w:eastAsia="Calibri" w:hAnsi="Arial" w:cs="Arial"/>
          <w:iCs/>
          <w:color w:val="000000"/>
          <w:sz w:val="22"/>
          <w:szCs w:val="22"/>
          <w:lang w:val="sl-SI"/>
        </w:rPr>
      </w:pPr>
    </w:p>
    <w:p w14:paraId="39755ECC" w14:textId="77777777" w:rsidR="00C55C5A" w:rsidRPr="00C55C5A" w:rsidRDefault="00C55C5A" w:rsidP="00C55C5A">
      <w:pPr>
        <w:autoSpaceDE w:val="0"/>
        <w:autoSpaceDN w:val="0"/>
        <w:adjustRightInd w:val="0"/>
        <w:jc w:val="both"/>
        <w:rPr>
          <w:rFonts w:ascii="Arial" w:eastAsia="Calibri" w:hAnsi="Arial" w:cs="Arial"/>
          <w:iCs/>
          <w:color w:val="000000"/>
          <w:sz w:val="22"/>
          <w:lang w:val="sl-SI"/>
        </w:rPr>
      </w:pPr>
    </w:p>
    <w:p w14:paraId="66C291B9" w14:textId="77777777" w:rsidR="00C55C5A" w:rsidRPr="00C55C5A" w:rsidRDefault="00C55C5A" w:rsidP="00C55C5A">
      <w:pPr>
        <w:autoSpaceDE w:val="0"/>
        <w:autoSpaceDN w:val="0"/>
        <w:adjustRightInd w:val="0"/>
        <w:jc w:val="both"/>
        <w:rPr>
          <w:rFonts w:ascii="Arial" w:eastAsia="Calibri" w:hAnsi="Arial" w:cs="Arial"/>
          <w:iCs/>
          <w:color w:val="000000"/>
          <w:sz w:val="22"/>
          <w:lang w:val="sl-SI"/>
        </w:rPr>
      </w:pPr>
    </w:p>
    <w:p w14:paraId="515D4956" w14:textId="77777777" w:rsidR="00C55C5A" w:rsidRPr="00C55C5A" w:rsidRDefault="00C55C5A" w:rsidP="00C55C5A">
      <w:pPr>
        <w:spacing w:after="160"/>
        <w:jc w:val="both"/>
        <w:rPr>
          <w:rFonts w:ascii="Arial" w:hAnsi="Arial" w:cs="Arial"/>
          <w:b/>
          <w:sz w:val="32"/>
          <w:szCs w:val="32"/>
          <w:lang w:val="sl-SI"/>
        </w:rPr>
      </w:pPr>
      <w:r w:rsidRPr="00C55C5A">
        <w:rPr>
          <w:rFonts w:ascii="Arial" w:hAnsi="Arial" w:cs="Arial"/>
          <w:bCs/>
          <w:iCs/>
          <w:sz w:val="32"/>
          <w:szCs w:val="32"/>
          <w:lang w:val="sl-SI"/>
        </w:rPr>
        <w:br w:type="page"/>
      </w:r>
    </w:p>
    <w:p w14:paraId="02D34E00" w14:textId="77777777" w:rsidR="00C55C5A" w:rsidRPr="00C55C5A" w:rsidRDefault="00C55C5A" w:rsidP="00C55C5A">
      <w:pPr>
        <w:keepNext/>
        <w:shd w:val="clear" w:color="auto" w:fill="9CC2E5"/>
        <w:outlineLvl w:val="1"/>
        <w:rPr>
          <w:rFonts w:ascii="Arial" w:hAnsi="Arial" w:cs="Arial"/>
          <w:b/>
          <w:sz w:val="32"/>
          <w:szCs w:val="32"/>
          <w:lang w:val="sl-SI"/>
        </w:rPr>
      </w:pPr>
      <w:bookmarkStart w:id="26" w:name="_Toc479162944"/>
      <w:r w:rsidRPr="00C55C5A">
        <w:rPr>
          <w:rFonts w:ascii="Arial" w:hAnsi="Arial" w:cs="Arial"/>
          <w:b/>
          <w:sz w:val="32"/>
          <w:szCs w:val="32"/>
          <w:lang w:val="sl-SI"/>
        </w:rPr>
        <w:lastRenderedPageBreak/>
        <w:t>5. Izdelan program porabe sredstev za FI</w:t>
      </w:r>
      <w:bookmarkEnd w:id="26"/>
    </w:p>
    <w:p w14:paraId="7F63FCBC"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39E3B4FB"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 v sporazumu o financiranju določi rok za nakazilo sredstev ESIF na podlagi prejetega zahtevka upravljavca sklada skladov za črpanje. V sporazumu o financiranju se bo tudi določilo vse v zvezi z zamudami pri nakazilu sredstev ESI upravljavcu sklada skladov, kakor tudi način zagotavljanja teh sredstev s strani RS .</w:t>
      </w:r>
    </w:p>
    <w:p w14:paraId="6FA2D553"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54DED0A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Nakazila sredstev ESIF upravljavcu sklada skladov bodo v tranšah do največ 25% dodeljenih sredstev ESIF za operacijo Sklad skladov. Pogoji za nakazilo posamezne tranše se določijo v sporazumu o financiranju skladno z 41. členom Uredbe EU 1303/2013. Upravljavec sklada skladov je upravičen do prvega nakazila takoj po sklenitvi sporazuma o financiranju, do drugega nakazila, ko je porabljenih 60% zneska prvega nakazila ter do nadaljnjih nakazil, ko je porabljenih 85% zneskov iz predhodnih zahtevkov. Kot porabljeni znesek se razume nakazilo sredstev končnim prejemnikom v primeru kreditov in lastniškega financiranja ter odobritev financiranja končnemu prejemniku v primeru garancij in drugih instrumentov delitve tveganj.</w:t>
      </w:r>
    </w:p>
    <w:p w14:paraId="02F8830C"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2C8230D"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 kolikor prva poraba sredstev ESI skladov ne bo dosegala plana prve porabe sredstev ESIF skladov iz sporazuma o financiranju ali v primeru nedoseganja ciljev ali v primeru nedoseganja terminskih planov, bo upravljavec sklada skladov pripravil poročilo o razlogih za odstopanja od plana. PO in upravljavec sklada skladov dogovorita spremembo naložbene strategije sklada skladov ali druge ukrepe, katerih okvir je opredeljen v sporazumu o financiranju (npr. posodobitev/revizija predhodne ocene, prerazporeditev med FI, prilagoditev produktov itn., v skrajnem primeru tudi sprememba upravljavca sklada skladov).</w:t>
      </w:r>
    </w:p>
    <w:p w14:paraId="22F56C57"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3C49FC14"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Upravljanje in nadzor FI se bosta izvajala skladno s 40. členom Uredbe EU št. 1303/2013 in 9. členom Delegirane Uredbe Komisije EU št. 480/2014.</w:t>
      </w:r>
    </w:p>
    <w:p w14:paraId="7D586720" w14:textId="77777777" w:rsidR="00C55C5A" w:rsidRPr="00C55C5A" w:rsidRDefault="00C55C5A" w:rsidP="00C55C5A">
      <w:pPr>
        <w:autoSpaceDE w:val="0"/>
        <w:autoSpaceDN w:val="0"/>
        <w:adjustRightInd w:val="0"/>
        <w:jc w:val="both"/>
        <w:rPr>
          <w:rFonts w:ascii="Arial" w:eastAsia="Calibri" w:hAnsi="Arial" w:cs="Arial"/>
          <w:sz w:val="22"/>
          <w:szCs w:val="22"/>
          <w:lang w:val="sl-SI"/>
        </w:rPr>
      </w:pPr>
    </w:p>
    <w:p w14:paraId="43792AFD" w14:textId="77777777" w:rsidR="00C55C5A" w:rsidRPr="00C55C5A" w:rsidRDefault="00C55C5A" w:rsidP="00C55C5A">
      <w:pPr>
        <w:autoSpaceDE w:val="0"/>
        <w:autoSpaceDN w:val="0"/>
        <w:adjustRightInd w:val="0"/>
        <w:jc w:val="both"/>
        <w:rPr>
          <w:rFonts w:ascii="Arial" w:hAnsi="Arial" w:cs="Arial"/>
          <w:sz w:val="22"/>
          <w:szCs w:val="22"/>
          <w:lang w:val="sl-SI"/>
        </w:rPr>
      </w:pPr>
      <w:r w:rsidRPr="00C55C5A">
        <w:rPr>
          <w:rFonts w:ascii="Arial" w:hAnsi="Arial" w:cs="Arial"/>
          <w:sz w:val="22"/>
          <w:szCs w:val="22"/>
          <w:lang w:val="sl-SI"/>
        </w:rPr>
        <w:t>Analiza EIB izpostavlja, da kombinacija finančnih sredstev iz različnih prednostnih osi v okviru enega sklada skladov postavlja tudi nekatere izzive, ki jih je potrebno nasloviti v primeru zamud posameznega finančnega posrednika/področja oziroma prednostne naložbe. To je mogoče ublažiti s:</w:t>
      </w:r>
    </w:p>
    <w:p w14:paraId="1A730933" w14:textId="77777777" w:rsidR="00C55C5A" w:rsidRPr="00C55C5A" w:rsidRDefault="00C55C5A" w:rsidP="00C55C5A">
      <w:pPr>
        <w:numPr>
          <w:ilvl w:val="0"/>
          <w:numId w:val="4"/>
        </w:numPr>
        <w:autoSpaceDE w:val="0"/>
        <w:autoSpaceDN w:val="0"/>
        <w:adjustRightInd w:val="0"/>
        <w:jc w:val="both"/>
        <w:rPr>
          <w:rFonts w:ascii="Arial" w:eastAsia="Calibri" w:hAnsi="Arial" w:cs="Arial"/>
          <w:sz w:val="22"/>
          <w:szCs w:val="22"/>
          <w:lang w:val="sl-SI"/>
        </w:rPr>
      </w:pPr>
      <w:r w:rsidRPr="00C55C5A">
        <w:rPr>
          <w:rFonts w:ascii="Arial" w:eastAsia="Calibri" w:hAnsi="Arial" w:cs="Arial"/>
          <w:sz w:val="22"/>
          <w:szCs w:val="22"/>
          <w:lang w:val="sl-SI"/>
        </w:rPr>
        <w:t>poglobljenim spremljanjem uspešnosti v okviru prednostne naložbe in zgodnjim prepoznavanjem zamud na posameznih investicijskih področjih;</w:t>
      </w:r>
    </w:p>
    <w:p w14:paraId="4A34A279" w14:textId="77777777" w:rsidR="00C55C5A" w:rsidRPr="00C55C5A" w:rsidRDefault="00C55C5A" w:rsidP="00C55C5A">
      <w:pPr>
        <w:numPr>
          <w:ilvl w:val="0"/>
          <w:numId w:val="4"/>
        </w:numPr>
        <w:autoSpaceDE w:val="0"/>
        <w:autoSpaceDN w:val="0"/>
        <w:adjustRightInd w:val="0"/>
        <w:jc w:val="both"/>
        <w:rPr>
          <w:rFonts w:ascii="Arial" w:eastAsia="Calibri" w:hAnsi="Arial" w:cs="Arial"/>
          <w:sz w:val="22"/>
          <w:szCs w:val="22"/>
          <w:lang w:val="sl-SI"/>
        </w:rPr>
      </w:pPr>
      <w:r w:rsidRPr="00C55C5A">
        <w:rPr>
          <w:rFonts w:ascii="Arial" w:eastAsia="Calibri" w:hAnsi="Arial" w:cs="Arial"/>
          <w:sz w:val="22"/>
          <w:szCs w:val="22"/>
          <w:lang w:val="sl-SI"/>
        </w:rPr>
        <w:t xml:space="preserve">predčasnim izvajanjem omilitvenih ukrepov, kot so prerazporeditve sredstev in možnost zmanjšanja sredstev, namenjenim manj uspešnim naložbenim področjem itd. </w:t>
      </w:r>
    </w:p>
    <w:p w14:paraId="6049D798" w14:textId="77777777" w:rsidR="00C55C5A" w:rsidRPr="00C55C5A" w:rsidRDefault="00C55C5A" w:rsidP="00C55C5A">
      <w:pPr>
        <w:autoSpaceDE w:val="0"/>
        <w:autoSpaceDN w:val="0"/>
        <w:adjustRightInd w:val="0"/>
        <w:jc w:val="both"/>
        <w:rPr>
          <w:rFonts w:ascii="Arial" w:eastAsia="Calibri" w:hAnsi="Arial" w:cs="Arial"/>
          <w:sz w:val="22"/>
          <w:szCs w:val="22"/>
          <w:lang w:val="sl-SI"/>
        </w:rPr>
      </w:pPr>
    </w:p>
    <w:p w14:paraId="0BE0C1AE" w14:textId="77777777" w:rsidR="00C55C5A" w:rsidRPr="00C55C5A" w:rsidRDefault="00C55C5A" w:rsidP="00C55C5A">
      <w:pPr>
        <w:autoSpaceDE w:val="0"/>
        <w:autoSpaceDN w:val="0"/>
        <w:adjustRightInd w:val="0"/>
        <w:jc w:val="both"/>
        <w:rPr>
          <w:rFonts w:ascii="Arial" w:eastAsia="Calibri" w:hAnsi="Arial" w:cs="Arial"/>
          <w:sz w:val="22"/>
          <w:szCs w:val="22"/>
          <w:lang w:val="sl-SI"/>
        </w:rPr>
      </w:pPr>
      <w:r w:rsidRPr="00C55C5A">
        <w:rPr>
          <w:rFonts w:ascii="Arial" w:eastAsia="Calibri" w:hAnsi="Arial" w:cs="Arial"/>
          <w:sz w:val="22"/>
          <w:szCs w:val="22"/>
          <w:lang w:val="sl-SI"/>
        </w:rPr>
        <w:t xml:space="preserve">V skladu z navedenim je zaradi nemotene izvedbe FI v obdobju upravičenosti zagotoviti določeno </w:t>
      </w:r>
      <w:r w:rsidRPr="00C55C5A">
        <w:rPr>
          <w:rFonts w:ascii="Arial" w:eastAsia="Calibri" w:hAnsi="Arial" w:cs="Arial"/>
          <w:b/>
          <w:sz w:val="22"/>
          <w:szCs w:val="22"/>
          <w:lang w:val="sl-SI"/>
        </w:rPr>
        <w:t xml:space="preserve">fleksibilnost </w:t>
      </w:r>
      <w:r w:rsidRPr="00C55C5A">
        <w:rPr>
          <w:rFonts w:ascii="Arial" w:eastAsia="Calibri" w:hAnsi="Arial" w:cs="Arial"/>
          <w:sz w:val="22"/>
          <w:szCs w:val="22"/>
          <w:lang w:val="sl-SI"/>
        </w:rPr>
        <w:t>skladno z Delegirano uredbo EK 480/2014, in sicer je mogoče:</w:t>
      </w:r>
    </w:p>
    <w:p w14:paraId="4872F36C" w14:textId="77777777" w:rsidR="00C55C5A" w:rsidRPr="00C55C5A" w:rsidRDefault="00C55C5A" w:rsidP="00C55C5A">
      <w:pPr>
        <w:numPr>
          <w:ilvl w:val="0"/>
          <w:numId w:val="4"/>
        </w:numPr>
        <w:autoSpaceDE w:val="0"/>
        <w:autoSpaceDN w:val="0"/>
        <w:adjustRightInd w:val="0"/>
        <w:jc w:val="both"/>
        <w:rPr>
          <w:rFonts w:ascii="Arial" w:eastAsia="Calibri" w:hAnsi="Arial" w:cs="Arial"/>
          <w:sz w:val="22"/>
          <w:szCs w:val="22"/>
          <w:lang w:val="sl-SI"/>
        </w:rPr>
      </w:pPr>
      <w:r w:rsidRPr="00C55C5A">
        <w:rPr>
          <w:rFonts w:ascii="Arial" w:eastAsia="Calibri" w:hAnsi="Arial" w:cs="Arial"/>
          <w:sz w:val="22"/>
          <w:szCs w:val="22"/>
          <w:lang w:val="sl-SI"/>
        </w:rPr>
        <w:t>prenašati sredstva med finančnimi produkti v okviru iste prednostne naložbe,</w:t>
      </w:r>
    </w:p>
    <w:p w14:paraId="7CF14D73"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likvidnostno prenašati sredstva med prednostnimi naložbami,</w:t>
      </w:r>
    </w:p>
    <w:p w14:paraId="50351F1A"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spremembe znotraj prednostne naložbe,</w:t>
      </w:r>
    </w:p>
    <w:p w14:paraId="20F6F8B2"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spremembe likvidnosti med leti,</w:t>
      </w:r>
    </w:p>
    <w:p w14:paraId="3DAF8CBF"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likvidnostno prenašati sredstva med vzhodno in zahodno kohezijsko regijo,</w:t>
      </w:r>
    </w:p>
    <w:p w14:paraId="12B74B30"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povečati sredstva v primeru (i) dodatnih virov (npr. nacionalni proračun, drugi viri), (ii) dopolnitve Ključnih elementov FI z novimi prednostnimi naložbami, (iii) ostankov sredstev ob zaključku obdobja upravičenosti, (iv) dodatnih virov EKP sredstev, itd.,</w:t>
      </w:r>
    </w:p>
    <w:p w14:paraId="1CCC3513"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vključiti dodatno prednostno naložbo (potrebna sprememba OP 2014 - 2020),</w:t>
      </w:r>
    </w:p>
    <w:p w14:paraId="611CDC10"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spremeniti predhodno oceno FI.</w:t>
      </w:r>
    </w:p>
    <w:p w14:paraId="2B333A90" w14:textId="77777777" w:rsidR="00C55C5A" w:rsidRPr="00C55C5A" w:rsidRDefault="00C55C5A" w:rsidP="00C55C5A">
      <w:pPr>
        <w:jc w:val="both"/>
        <w:rPr>
          <w:rFonts w:ascii="Calibri" w:hAnsi="Calibri"/>
          <w:sz w:val="22"/>
          <w:szCs w:val="22"/>
          <w:lang w:val="sl-SI"/>
        </w:rPr>
      </w:pPr>
      <w:r w:rsidRPr="00C55C5A">
        <w:rPr>
          <w:rFonts w:ascii="Arial" w:eastAsia="Calibri" w:hAnsi="Arial" w:cs="Arial"/>
          <w:color w:val="000000"/>
          <w:sz w:val="22"/>
          <w:szCs w:val="22"/>
          <w:lang w:val="sl-SI"/>
        </w:rPr>
        <w:t xml:space="preserve">Navedeno se zagotavlja tudi s korektivnimi ukrepi v okviru zahtevkov za izplačilo. </w:t>
      </w:r>
    </w:p>
    <w:p w14:paraId="675A7D9A"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5916E3D" w14:textId="77777777" w:rsidR="00C55C5A" w:rsidRPr="00C55C5A" w:rsidRDefault="00C55C5A" w:rsidP="00C55C5A">
      <w:pPr>
        <w:jc w:val="both"/>
        <w:rPr>
          <w:rFonts w:ascii="Arial" w:hAnsi="Arial" w:cs="Arial"/>
          <w:b/>
          <w:sz w:val="22"/>
          <w:szCs w:val="22"/>
          <w:u w:val="single"/>
          <w:lang w:val="sl-SI"/>
        </w:rPr>
      </w:pPr>
      <w:r w:rsidRPr="00C55C5A">
        <w:rPr>
          <w:rFonts w:ascii="Arial" w:hAnsi="Arial" w:cs="Arial"/>
          <w:b/>
          <w:sz w:val="22"/>
          <w:szCs w:val="22"/>
          <w:u w:val="single"/>
          <w:lang w:val="sl-SI"/>
        </w:rPr>
        <w:t>Napovedovanje likvidnosti in zahtevkov za izplačilo:</w:t>
      </w:r>
    </w:p>
    <w:p w14:paraId="073EE637" w14:textId="77777777" w:rsidR="00C55C5A" w:rsidRPr="00C55C5A" w:rsidRDefault="00C55C5A" w:rsidP="00C55C5A">
      <w:pPr>
        <w:jc w:val="both"/>
        <w:rPr>
          <w:rFonts w:ascii="Arial" w:hAnsi="Arial" w:cs="Arial"/>
          <w:sz w:val="22"/>
          <w:szCs w:val="22"/>
          <w:lang w:val="sl-SI"/>
        </w:rPr>
      </w:pPr>
    </w:p>
    <w:p w14:paraId="13128D79"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Ob priprava sporazuma o financiranju, je potrebno roke za predložitev zahtevkov za izplačilo uskladiti s plačilnim organom.  </w:t>
      </w:r>
    </w:p>
    <w:p w14:paraId="49CA04F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662E5A4A"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Datum nakazila sredstev ESI skladov upravljavcu sklada skladov mora PO napovedati Ministrstvu za finance-CA najmanj 3 mesece pred nakazilom.</w:t>
      </w:r>
      <w:r w:rsidRPr="00C55C5A">
        <w:rPr>
          <w:rFonts w:ascii="Arial" w:eastAsia="Calibri" w:hAnsi="Arial" w:cs="Arial"/>
          <w:color w:val="000000"/>
          <w:sz w:val="22"/>
          <w:szCs w:val="22"/>
          <w:vertAlign w:val="superscript"/>
          <w:lang w:val="sl-SI"/>
        </w:rPr>
        <w:footnoteReference w:id="22"/>
      </w:r>
      <w:r w:rsidRPr="00C55C5A" w:rsidDel="0000146F">
        <w:rPr>
          <w:rFonts w:ascii="Arial" w:eastAsia="Calibri" w:hAnsi="Arial" w:cs="Arial"/>
          <w:color w:val="000000"/>
          <w:sz w:val="22"/>
          <w:szCs w:val="22"/>
          <w:lang w:val="sl-SI"/>
        </w:rPr>
        <w:t xml:space="preserve"> </w:t>
      </w:r>
    </w:p>
    <w:p w14:paraId="1B4AB6C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C53C239" w14:textId="77777777" w:rsidR="00C55C5A" w:rsidRPr="00C55C5A" w:rsidRDefault="00C55C5A" w:rsidP="00C55C5A">
      <w:pPr>
        <w:spacing w:after="16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 </w:t>
      </w:r>
      <w:r w:rsidRPr="00C55C5A">
        <w:rPr>
          <w:rFonts w:ascii="Arial" w:eastAsia="Calibri" w:hAnsi="Arial" w:cs="Arial"/>
          <w:color w:val="000000"/>
          <w:sz w:val="22"/>
          <w:szCs w:val="22"/>
          <w:lang w:val="sl-SI"/>
        </w:rPr>
        <w:br w:type="page"/>
      </w:r>
    </w:p>
    <w:p w14:paraId="544EBFD3" w14:textId="77777777" w:rsidR="00C55C5A" w:rsidRPr="00C55C5A" w:rsidRDefault="00C55C5A" w:rsidP="00C55C5A">
      <w:pPr>
        <w:keepNext/>
        <w:shd w:val="clear" w:color="auto" w:fill="9CC2E5"/>
        <w:outlineLvl w:val="1"/>
        <w:rPr>
          <w:rFonts w:ascii="Arial" w:hAnsi="Arial" w:cs="Arial"/>
          <w:b/>
          <w:sz w:val="32"/>
          <w:szCs w:val="32"/>
          <w:lang w:val="sl-SI"/>
        </w:rPr>
      </w:pPr>
      <w:bookmarkStart w:id="27" w:name="_Toc479162945"/>
      <w:r w:rsidRPr="00C55C5A">
        <w:rPr>
          <w:rFonts w:ascii="Arial" w:hAnsi="Arial" w:cs="Arial"/>
          <w:b/>
          <w:sz w:val="32"/>
          <w:szCs w:val="32"/>
          <w:lang w:val="sl-SI"/>
        </w:rPr>
        <w:lastRenderedPageBreak/>
        <w:t>6. Obdobje porabe sredstev</w:t>
      </w:r>
      <w:bookmarkEnd w:id="27"/>
    </w:p>
    <w:p w14:paraId="6C21E78D"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6BBD0D9F"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Sredstva ESIF so lahko upravljavcu sklada skladov nakazana v obdobju od </w:t>
      </w:r>
      <w:r w:rsidRPr="00C55C5A">
        <w:rPr>
          <w:rFonts w:ascii="Arial" w:eastAsia="Calibri" w:hAnsi="Arial" w:cs="Arial"/>
          <w:b/>
          <w:color w:val="000000"/>
          <w:sz w:val="22"/>
          <w:szCs w:val="22"/>
          <w:lang w:val="sl-SI"/>
        </w:rPr>
        <w:t>sklenitve sporazuma o financiranju do 31.12.2022</w:t>
      </w:r>
      <w:r w:rsidRPr="00C55C5A">
        <w:rPr>
          <w:rFonts w:ascii="Arial" w:eastAsia="Calibri" w:hAnsi="Arial" w:cs="Arial"/>
          <w:color w:val="000000"/>
          <w:sz w:val="22"/>
          <w:szCs w:val="22"/>
          <w:lang w:val="sl-SI"/>
        </w:rPr>
        <w:t xml:space="preserve">. </w:t>
      </w:r>
    </w:p>
    <w:p w14:paraId="4EC0814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4A2C45A7" w14:textId="77777777" w:rsidR="00C55C5A" w:rsidRPr="00C55C5A" w:rsidRDefault="00C55C5A" w:rsidP="00C55C5A">
      <w:pPr>
        <w:autoSpaceDE w:val="0"/>
        <w:autoSpaceDN w:val="0"/>
        <w:adjustRightInd w:val="0"/>
        <w:jc w:val="both"/>
        <w:rPr>
          <w:rFonts w:ascii="Arial" w:hAnsi="Arial" w:cs="Arial"/>
          <w:sz w:val="22"/>
          <w:szCs w:val="22"/>
          <w:lang w:val="sl-SI"/>
        </w:rPr>
      </w:pPr>
      <w:r w:rsidRPr="00C55C5A">
        <w:rPr>
          <w:rFonts w:ascii="Arial" w:eastAsia="Calibri" w:hAnsi="Arial" w:cs="Arial"/>
          <w:color w:val="000000"/>
          <w:sz w:val="22"/>
          <w:szCs w:val="22"/>
          <w:lang w:val="sl-SI"/>
        </w:rPr>
        <w:t xml:space="preserve">Skrajni rok za nakazilo sredstev kreditov ali instrumentov lastniškega financiranja ali odobritev garancije končnim prejemnikom (ciljnim skupinam) je </w:t>
      </w:r>
      <w:r w:rsidRPr="00C55C5A">
        <w:rPr>
          <w:rFonts w:ascii="Arial" w:eastAsia="Calibri" w:hAnsi="Arial" w:cs="Arial"/>
          <w:b/>
          <w:color w:val="000000"/>
          <w:sz w:val="22"/>
          <w:szCs w:val="22"/>
          <w:lang w:val="sl-SI"/>
        </w:rPr>
        <w:t xml:space="preserve">31.12.2023 </w:t>
      </w:r>
      <w:r w:rsidRPr="00C55C5A">
        <w:rPr>
          <w:rFonts w:ascii="Arial" w:eastAsia="Calibri" w:hAnsi="Arial" w:cs="Arial"/>
          <w:color w:val="000000"/>
          <w:sz w:val="22"/>
          <w:szCs w:val="22"/>
          <w:lang w:val="sl-SI"/>
        </w:rPr>
        <w:t>oziroma</w:t>
      </w:r>
      <w:r w:rsidRPr="00C55C5A">
        <w:rPr>
          <w:rFonts w:ascii="Arial" w:eastAsia="Calibri" w:hAnsi="Arial" w:cs="Arial"/>
          <w:b/>
          <w:color w:val="000000"/>
          <w:sz w:val="22"/>
          <w:szCs w:val="22"/>
          <w:lang w:val="sl-SI"/>
        </w:rPr>
        <w:t xml:space="preserve"> </w:t>
      </w:r>
      <w:r w:rsidRPr="00C55C5A">
        <w:rPr>
          <w:rFonts w:ascii="Arial" w:hAnsi="Arial" w:cs="Arial"/>
          <w:sz w:val="22"/>
          <w:szCs w:val="22"/>
          <w:lang w:val="sl-SI"/>
        </w:rPr>
        <w:t>kasneje v primeru podaljšanja rokov s strani Evropske komisije</w:t>
      </w:r>
      <w:r w:rsidRPr="00C55C5A">
        <w:rPr>
          <w:rFonts w:ascii="Arial" w:eastAsia="Calibri" w:hAnsi="Arial" w:cs="Arial"/>
          <w:color w:val="000000"/>
          <w:sz w:val="22"/>
          <w:szCs w:val="22"/>
          <w:lang w:val="sl-SI"/>
        </w:rPr>
        <w:t xml:space="preserve"> </w:t>
      </w:r>
      <w:r w:rsidRPr="00C55C5A">
        <w:rPr>
          <w:rFonts w:ascii="Arial" w:hAnsi="Arial" w:cs="Arial"/>
          <w:sz w:val="22"/>
          <w:szCs w:val="22"/>
          <w:lang w:val="sl-SI"/>
        </w:rPr>
        <w:t>in se določi s sporazumom o financiranju. Rok se lahko tudi skrajša zaradi postopkov zaključevanja OP 2014 – 2020.</w:t>
      </w:r>
    </w:p>
    <w:p w14:paraId="1F78EEBD"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7D6B7EAE"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Skladno z 41. in 42. členom Uredbe EU št. 1303/2013 pomeni poraba sredstev ESIF za FI in poraba nacionalne udeležbe</w:t>
      </w:r>
      <w:r w:rsidRPr="00C55C5A">
        <w:rPr>
          <w:rFonts w:ascii="Arial" w:eastAsia="Calibri" w:hAnsi="Arial" w:cs="Arial"/>
          <w:color w:val="000000"/>
          <w:sz w:val="22"/>
          <w:szCs w:val="22"/>
          <w:vertAlign w:val="superscript"/>
          <w:lang w:val="sl-SI"/>
        </w:rPr>
        <w:footnoteReference w:id="23"/>
      </w:r>
      <w:r w:rsidRPr="00C55C5A">
        <w:rPr>
          <w:rFonts w:ascii="Arial" w:eastAsia="Calibri" w:hAnsi="Arial" w:cs="Arial"/>
          <w:color w:val="000000"/>
          <w:sz w:val="22"/>
          <w:szCs w:val="22"/>
          <w:lang w:val="sl-SI"/>
        </w:rPr>
        <w:t xml:space="preserve"> za FI upravičene izdatke FI za skupen znesek sredstev, ki jih je FI dejansko izplačal oziroma v primeru garancij ali drugih instrumentov prevzema tveganj, odobril v obdobju upravičenosti, kar ustreza:</w:t>
      </w:r>
    </w:p>
    <w:p w14:paraId="1FE7D7FE" w14:textId="77777777" w:rsidR="00C55C5A" w:rsidRPr="00C55C5A" w:rsidRDefault="00C55C5A" w:rsidP="00C55C5A">
      <w:pPr>
        <w:numPr>
          <w:ilvl w:val="0"/>
          <w:numId w:val="4"/>
        </w:numPr>
        <w:autoSpaceDE w:val="0"/>
        <w:autoSpaceDN w:val="0"/>
        <w:adjustRightInd w:val="0"/>
        <w:jc w:val="both"/>
        <w:rPr>
          <w:rFonts w:ascii="Arial" w:eastAsia="Calibri" w:hAnsi="Arial" w:cs="Calibri"/>
          <w:color w:val="000000"/>
          <w:sz w:val="22"/>
          <w:szCs w:val="22"/>
          <w:lang w:val="sl-SI"/>
        </w:rPr>
      </w:pPr>
      <w:r w:rsidRPr="00C55C5A">
        <w:rPr>
          <w:rFonts w:ascii="Arial" w:eastAsia="Calibri" w:hAnsi="Arial" w:cs="Arial"/>
          <w:color w:val="000000"/>
          <w:sz w:val="22"/>
          <w:szCs w:val="22"/>
          <w:lang w:val="sl-SI"/>
        </w:rPr>
        <w:t>izplačilom sredstev FI končnim prejemnikom in izplačilo nepovratnih sredstev v kombinaciji s FI na podlagi 7. odstavka 37. člena Uredbe EU št. 1303/2013,</w:t>
      </w:r>
    </w:p>
    <w:p w14:paraId="1C55EBA4" w14:textId="77777777" w:rsidR="00C55C5A" w:rsidRPr="00C55C5A" w:rsidRDefault="00C55C5A" w:rsidP="00C55C5A">
      <w:pPr>
        <w:numPr>
          <w:ilvl w:val="0"/>
          <w:numId w:val="4"/>
        </w:numPr>
        <w:autoSpaceDE w:val="0"/>
        <w:autoSpaceDN w:val="0"/>
        <w:adjustRightInd w:val="0"/>
        <w:jc w:val="both"/>
        <w:rPr>
          <w:rFonts w:ascii="Arial" w:eastAsia="Calibri" w:hAnsi="Arial" w:cs="Calibri"/>
          <w:color w:val="000000"/>
          <w:sz w:val="22"/>
          <w:szCs w:val="22"/>
          <w:lang w:val="sl-SI"/>
        </w:rPr>
      </w:pPr>
      <w:r w:rsidRPr="00C55C5A">
        <w:rPr>
          <w:rFonts w:ascii="Arial" w:eastAsia="Calibri" w:hAnsi="Arial" w:cs="Arial"/>
          <w:color w:val="000000"/>
          <w:sz w:val="22"/>
          <w:szCs w:val="22"/>
          <w:lang w:val="sl-SI"/>
        </w:rPr>
        <w:t>virom, odobrenim končnim prejemnikom na podlagi garancij in drugih instrumentov prevzema tveganja,</w:t>
      </w:r>
    </w:p>
    <w:p w14:paraId="273DA72E" w14:textId="77777777" w:rsidR="00C55C5A" w:rsidRPr="00C55C5A" w:rsidRDefault="00C55C5A" w:rsidP="00C55C5A">
      <w:pPr>
        <w:numPr>
          <w:ilvl w:val="0"/>
          <w:numId w:val="4"/>
        </w:numPr>
        <w:autoSpaceDE w:val="0"/>
        <w:autoSpaceDN w:val="0"/>
        <w:adjustRightInd w:val="0"/>
        <w:jc w:val="both"/>
        <w:rPr>
          <w:rFonts w:ascii="Arial" w:eastAsia="Calibri" w:hAnsi="Arial" w:cs="Calibri"/>
          <w:color w:val="000000"/>
          <w:sz w:val="22"/>
          <w:szCs w:val="22"/>
          <w:lang w:val="sl-SI"/>
        </w:rPr>
      </w:pPr>
      <w:r w:rsidRPr="00C55C5A">
        <w:rPr>
          <w:rFonts w:ascii="Arial" w:eastAsia="Calibri" w:hAnsi="Arial" w:cs="Arial"/>
          <w:color w:val="000000"/>
          <w:sz w:val="22"/>
          <w:szCs w:val="22"/>
          <w:lang w:val="sl-SI"/>
        </w:rPr>
        <w:t>kapitaliziranim subvencioniranim obrestnim meram ali subvencioniranim provizijam za garancije, ki ji je treba plačati za največ 10 let po obdobju upravičenosti za naložbe v končne prejemnike v obdobju upravičenosti,</w:t>
      </w:r>
    </w:p>
    <w:p w14:paraId="034356D2" w14:textId="77777777" w:rsidR="00C55C5A" w:rsidRPr="00C55C5A" w:rsidRDefault="00C55C5A" w:rsidP="00C55C5A">
      <w:pPr>
        <w:numPr>
          <w:ilvl w:val="0"/>
          <w:numId w:val="4"/>
        </w:numPr>
        <w:autoSpaceDE w:val="0"/>
        <w:autoSpaceDN w:val="0"/>
        <w:adjustRightInd w:val="0"/>
        <w:jc w:val="both"/>
        <w:rPr>
          <w:rFonts w:ascii="Arial" w:eastAsia="Calibri" w:hAnsi="Arial" w:cs="Calibri"/>
          <w:color w:val="000000"/>
          <w:sz w:val="22"/>
          <w:szCs w:val="22"/>
          <w:lang w:val="sl-SI"/>
        </w:rPr>
      </w:pPr>
      <w:r w:rsidRPr="00C55C5A">
        <w:rPr>
          <w:rFonts w:ascii="Arial" w:eastAsia="Calibri" w:hAnsi="Arial" w:cs="Arial"/>
          <w:color w:val="000000"/>
          <w:sz w:val="22"/>
          <w:szCs w:val="22"/>
          <w:lang w:val="sl-SI"/>
        </w:rPr>
        <w:t xml:space="preserve">povračilu nastalih stroškov upravljanja ali plačilu provizij za upravljanje FI. </w:t>
      </w:r>
    </w:p>
    <w:p w14:paraId="4966783A" w14:textId="77777777" w:rsidR="00C55C5A" w:rsidRPr="00C55C5A" w:rsidRDefault="00C55C5A" w:rsidP="00C55C5A">
      <w:pPr>
        <w:jc w:val="both"/>
        <w:rPr>
          <w:rFonts w:ascii="Arial" w:eastAsia="Calibri" w:hAnsi="Arial" w:cs="Arial"/>
          <w:color w:val="000000"/>
          <w:sz w:val="22"/>
          <w:szCs w:val="22"/>
          <w:lang w:val="sl-SI"/>
        </w:rPr>
      </w:pPr>
    </w:p>
    <w:p w14:paraId="7B1F1CEA"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Upravljavec sklada skladov bo pred zaključkom programa pripravil podatke o evidentiranih upravičenih izdatkih ob zaključku obdobja upravičenosti skladno z 42. členom Uredbe EU št. 1303/2013. Upravljavec sklada skladov pripravi tudi vsako leto letno poročilo.</w:t>
      </w:r>
    </w:p>
    <w:p w14:paraId="73A537AA" w14:textId="77777777" w:rsidR="00C55C5A" w:rsidRPr="00C55C5A" w:rsidRDefault="00C55C5A" w:rsidP="00C55C5A">
      <w:pPr>
        <w:jc w:val="both"/>
        <w:rPr>
          <w:rFonts w:ascii="Arial" w:eastAsia="Calibri" w:hAnsi="Arial" w:cs="Arial"/>
          <w:color w:val="000000"/>
          <w:sz w:val="22"/>
          <w:szCs w:val="22"/>
          <w:lang w:val="sl-SI"/>
        </w:rPr>
      </w:pPr>
    </w:p>
    <w:p w14:paraId="24555BF0" w14:textId="77777777" w:rsidR="00C55C5A" w:rsidRPr="00C55C5A" w:rsidRDefault="00C55C5A" w:rsidP="00C55C5A">
      <w:pPr>
        <w:spacing w:after="20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Z operacijo sklad skladov se bo zagotavljala dopolnilna ponudba FI na finančnih in kapitalskih trgih. Sredstva ESIF za FI nosijo kreditno tveganje financiranja končnega prejemnika, zato neodplačani krediti in kapital ter unovčene garancije ali drugi instrumenti prevzema tveganja pomenijo oslabitve (izgubo) zmanjšanje sredstev, ki jih je mogoče pripisati ESIF, za ponovno porabo. FI praviloma nosijo večje kreditno tveganje v primerjavi z komercialno ponudbo lastniških in dolžniških instrumentov na trgu oz. se od njih pričakuje nižja donosnost v primerjavi s komercialnimi instrumenti financiranja. Prav tako na višino sredstev za ponovno uporabo, ki jih je mogoče pripisati sredstva ESIF, vplivajo (negativne) obresti in drugi donosi iz naslova prostih sredstev. Finančna tveganja ob sklenitvi sporazuma o financiranju oceni upravljavec sklada skladov na podlagi usklajene naložbene strategije in takšna ocena se v sporazumu o financiranju določi kot delež od sredstev ESIF. Če se ocena finančnih tveganj spremeni zaradi spremembe naložbene strategije, se takšna sprememba uredi s sporazumom o financiranju. Če mora upravljavec sklada skladov zaradi zahtev predpisov oz. zaradi zahtev pristojnih regulatornih, nadzornih ali revizijskih organov spremeniti višino ocene finančnih tveganj se v sporazumu o financiranju določi nova višina ocene finančnih tveganj. Ne glede na oceno finančnih tveganj upravljavec sklada skladov ali finančni posrednik ne pokriva zmanjšanja vrnjenih sredstev ESIF iz FI.</w:t>
      </w:r>
    </w:p>
    <w:p w14:paraId="79B4BE4E" w14:textId="77777777" w:rsidR="00C55C5A" w:rsidRPr="00C55C5A" w:rsidRDefault="00C55C5A" w:rsidP="00C55C5A">
      <w:pPr>
        <w:spacing w:after="20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lastRenderedPageBreak/>
        <w:t>Izvajanje operacije sklad skladov pa vpliva tudi na (i) likvidnostno tveganje sklada skladov in finančnih posrednikov zaradi morebitnih zamud pri nakazilu sredstev ESIF, (ii) operativno tveganje sklada skladov ter upravljavca sklada skladov in finančnih posrednikov, (iii) tržno tveganje sklada skladov in finančnih posrednikov predvsem zaradi prenizke stopnje komplementarnosti drugih javnih finančnih spodbud za iste ciljne skupine končnih prejemnikov, (iv) tveganje ugleda sklada skladov ter upravljavca sklada skladov in finančnih posrednikov in morebitna druga tveganja.</w:t>
      </w:r>
    </w:p>
    <w:p w14:paraId="25F5B86A" w14:textId="77777777" w:rsidR="00C55C5A" w:rsidRPr="00C55C5A" w:rsidRDefault="00C55C5A" w:rsidP="00C55C5A">
      <w:pPr>
        <w:spacing w:after="20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Tveganje izgube sredstev predstavljajo unovčena garancija, nevračilo kredita ali slaba lastniška naložba, ki pomeni, da pri izstopu iz naložbe izgubimo del ali vsa sredstva. Glede na dosedanje izkušnje, izvedene evalvacije in stanje na trgu so predvidena tveganja za prvo porabo sredstev na nivoju sklada skladov in sicer ocenjujemo, da je lahko tveganje izgube sredstev 30% v odvisnosti od produkta in ciljnih skupin, za namen doseganja ciljev pa tudi višje. Za posamezne FI pripravi analizo tveganja upravljavec sklada skladov.</w:t>
      </w:r>
    </w:p>
    <w:p w14:paraId="5EB07A92"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335B187E" w14:textId="77777777" w:rsidR="00C55C5A" w:rsidRPr="00C55C5A" w:rsidRDefault="00C55C5A" w:rsidP="00C55C5A">
      <w:pPr>
        <w:spacing w:after="160"/>
        <w:jc w:val="both"/>
        <w:rPr>
          <w:rFonts w:ascii="Arial" w:hAnsi="Arial" w:cs="Arial"/>
          <w:b/>
          <w:sz w:val="32"/>
          <w:szCs w:val="32"/>
          <w:lang w:val="sl-SI"/>
        </w:rPr>
      </w:pPr>
      <w:r w:rsidRPr="00C55C5A">
        <w:rPr>
          <w:rFonts w:ascii="Arial" w:hAnsi="Arial" w:cs="Arial"/>
          <w:bCs/>
          <w:iCs/>
          <w:sz w:val="32"/>
          <w:szCs w:val="32"/>
          <w:lang w:val="sl-SI"/>
        </w:rPr>
        <w:br w:type="page"/>
      </w:r>
    </w:p>
    <w:p w14:paraId="48C7715D" w14:textId="77777777" w:rsidR="00C55C5A" w:rsidRPr="00C55C5A" w:rsidRDefault="00C55C5A" w:rsidP="00C55C5A">
      <w:pPr>
        <w:keepNext/>
        <w:shd w:val="clear" w:color="auto" w:fill="9CC2E5"/>
        <w:outlineLvl w:val="1"/>
        <w:rPr>
          <w:rFonts w:ascii="Arial" w:hAnsi="Arial" w:cs="Arial"/>
          <w:b/>
          <w:sz w:val="32"/>
          <w:szCs w:val="32"/>
          <w:lang w:val="sl-SI"/>
        </w:rPr>
      </w:pPr>
      <w:bookmarkStart w:id="28" w:name="_Toc479162946"/>
      <w:r w:rsidRPr="00C55C5A">
        <w:rPr>
          <w:rFonts w:ascii="Arial" w:hAnsi="Arial" w:cs="Arial"/>
          <w:b/>
          <w:sz w:val="32"/>
          <w:szCs w:val="32"/>
          <w:lang w:val="sl-SI"/>
        </w:rPr>
        <w:lastRenderedPageBreak/>
        <w:t>7. Način ponovne uporabe sredstev</w:t>
      </w:r>
      <w:bookmarkEnd w:id="28"/>
    </w:p>
    <w:p w14:paraId="2654E397"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21ABD36D"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Ponovna uporaba sredstev iz naložb je okvirno predvidena v Predhodni oceni FI. Skladno s 44. členom Uredbe EK 1303/2013 je možno ponovno uporabiti sredstva do konca obdobja upravičenosti, in sicer za:</w:t>
      </w:r>
    </w:p>
    <w:p w14:paraId="57DABF95"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nadaljnje naložbe z istimi ali drugimi FI, </w:t>
      </w:r>
    </w:p>
    <w:p w14:paraId="7DF49FCD"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preferenčno izplačilo zasebnih ali javnih vlagateljev in </w:t>
      </w:r>
    </w:p>
    <w:p w14:paraId="2CA37229"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povračilo nastalih stroškov upravljanja in plačilo provizij za upravljanje FI.</w:t>
      </w:r>
    </w:p>
    <w:p w14:paraId="155F5DF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06A3D89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hAnsi="Arial" w:cs="Arial"/>
          <w:sz w:val="22"/>
          <w:szCs w:val="22"/>
          <w:lang w:val="sl-SI"/>
        </w:rPr>
        <w:t xml:space="preserve">Ob sprostitvi sredstev (i) oblikovanih rezervacij za izdane garancije in kredite, ki nastopi ob celotnem poplačilu posameznega kredita s strani končnih prejemnikov ali (ii) vseh kreditov s strani končnih prejemnikov ali (iii) izstopa iz naložb lastniškega financiranja sredstva evropske kohezijske politike upravljavec sklada skladov zbira na ločenem podračunu računa pri finančni instituciji v državi članici EU.   </w:t>
      </w:r>
      <w:r w:rsidRPr="00C55C5A">
        <w:rPr>
          <w:rFonts w:ascii="Arial" w:eastAsia="Calibri" w:hAnsi="Arial" w:cs="Arial"/>
          <w:color w:val="000000"/>
          <w:sz w:val="22"/>
          <w:szCs w:val="22"/>
          <w:lang w:val="sl-SI"/>
        </w:rPr>
        <w:t>Na tem podračunu upravljavec sklada skladov zbira tudi dobičke ter druge dohodke ali donose, ustvarjene v obdobju najmanj osem let</w:t>
      </w:r>
      <w:r w:rsidRPr="00C55C5A">
        <w:rPr>
          <w:rFonts w:ascii="Arial" w:eastAsia="Calibri" w:hAnsi="Arial" w:cs="Arial"/>
          <w:color w:val="000000"/>
          <w:sz w:val="22"/>
          <w:szCs w:val="22"/>
          <w:vertAlign w:val="superscript"/>
          <w:lang w:val="sl-SI"/>
        </w:rPr>
        <w:footnoteReference w:id="24"/>
      </w:r>
      <w:r w:rsidRPr="00C55C5A">
        <w:rPr>
          <w:rFonts w:ascii="Arial" w:eastAsia="Calibri" w:hAnsi="Arial" w:cs="Arial"/>
          <w:color w:val="000000"/>
          <w:sz w:val="22"/>
          <w:szCs w:val="22"/>
          <w:lang w:val="sl-SI"/>
        </w:rPr>
        <w:t xml:space="preserve"> po koncu obdobja upravičenosti, ki se lahko pripišejo podpori FI iz sredstev ESIF. Upravljavec sklada skladov ta sredstva lahko začasno vloži v skladu z načeli dobrega finančnega poslovodenja, obresti in druge dobičke iz takšnega naložbenja prostih sredstev pa zbira na podračunu. Strategijo naložbenja takšnih sredstev upravljavec sklada skladov in PO dogovorita v sporazumu o financiranju </w:t>
      </w:r>
      <w:r w:rsidRPr="00C55C5A">
        <w:rPr>
          <w:rFonts w:ascii="Arial" w:hAnsi="Arial" w:cs="Arial"/>
          <w:sz w:val="22"/>
          <w:szCs w:val="22"/>
          <w:lang w:val="sl-SI"/>
        </w:rPr>
        <w:t>v skladu z načeli dobrega finančnega poslovodenja</w:t>
      </w:r>
      <w:r w:rsidRPr="00C55C5A">
        <w:rPr>
          <w:rFonts w:ascii="Arial" w:eastAsia="Calibri" w:hAnsi="Arial" w:cs="Arial"/>
          <w:color w:val="000000"/>
          <w:sz w:val="22"/>
          <w:szCs w:val="22"/>
          <w:lang w:val="sl-SI"/>
        </w:rPr>
        <w:t>. Eventualni negativni donosi, obresti in izgube so v okviru politike naložbenja in upravljanja prostih sredstev, ki jo dogovorita PO in upravljavec sklada skladov v sporazumu o financiranju, in so v breme sklada skladov.</w:t>
      </w:r>
    </w:p>
    <w:p w14:paraId="56B9043A" w14:textId="77777777" w:rsidR="00C55C5A" w:rsidRPr="00C55C5A" w:rsidRDefault="00C55C5A" w:rsidP="00C55C5A">
      <w:pPr>
        <w:suppressAutoHyphens/>
        <w:jc w:val="both"/>
        <w:rPr>
          <w:rFonts w:ascii="Arial" w:hAnsi="Arial" w:cs="Arial"/>
          <w:sz w:val="22"/>
          <w:szCs w:val="22"/>
          <w:lang w:val="sl-SI" w:eastAsia="ar-SA"/>
        </w:rPr>
      </w:pPr>
    </w:p>
    <w:p w14:paraId="12E40A14" w14:textId="77777777" w:rsidR="00C55C5A" w:rsidRPr="00C55C5A" w:rsidRDefault="00C55C5A" w:rsidP="00C55C5A">
      <w:pPr>
        <w:suppressAutoHyphens/>
        <w:jc w:val="both"/>
        <w:rPr>
          <w:rFonts w:ascii="Arial" w:hAnsi="Arial" w:cs="Arial"/>
          <w:sz w:val="22"/>
          <w:szCs w:val="22"/>
          <w:lang w:val="sl-SI" w:eastAsia="ar-SA"/>
        </w:rPr>
      </w:pPr>
      <w:r w:rsidRPr="00C55C5A">
        <w:rPr>
          <w:rFonts w:ascii="Arial" w:hAnsi="Arial" w:cs="Arial"/>
          <w:sz w:val="22"/>
          <w:szCs w:val="22"/>
          <w:lang w:val="sl-SI" w:eastAsia="ar-SA"/>
        </w:rPr>
        <w:t xml:space="preserve">Sredstva iz prejšnjega odstavka upravljavec sklada skladov ponovno uporabi skladno z namenom in cilji, ki jih bodo določila MGRT, MZI in MOP. </w:t>
      </w:r>
    </w:p>
    <w:p w14:paraId="51634F0C" w14:textId="77777777" w:rsidR="00C55C5A" w:rsidRPr="00C55C5A" w:rsidRDefault="00C55C5A" w:rsidP="00C55C5A">
      <w:pPr>
        <w:suppressAutoHyphens/>
        <w:jc w:val="both"/>
        <w:rPr>
          <w:rFonts w:ascii="Arial" w:hAnsi="Arial" w:cs="Arial"/>
          <w:sz w:val="22"/>
          <w:szCs w:val="22"/>
          <w:lang w:val="sl-SI" w:eastAsia="ar-SA"/>
        </w:rPr>
      </w:pPr>
    </w:p>
    <w:p w14:paraId="69DC588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Upravljavec sklada skladov bo spremljal ponovno porabo sredstev in o tem poročal PO. PO bo seznanil o tem Usmerjevalni odbor FI, ki bo podal mnenje. Ponovna uporaba sredstev se podrobneje opredeli v sporazumu o financiranju.</w:t>
      </w:r>
    </w:p>
    <w:p w14:paraId="453CEC5D"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4D4483E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 kolikor prva poraba sredstev ESIF ne bo dosegala plana prve porabe sredstev ESIF iz sporazuma o financiranju ali v primeru nedoseganja ciljev, bo upravljavec sklada skladov pripravil poročilo o razlogih za odstopanja od plana. PO in upravljavec sklada skladov lahko dogovorita spremembo naložbene strategije sklada skladov ali druge ukrepe, katerih okvir je opredeljen v sporazumu o financiranju (npr. posodobitev/revizija predhodne ocene, prerazporeditev med FI, prilagoditev produktov itn., v skrajnem primeru tudi sprememba upravljavca sklada skladov).</w:t>
      </w:r>
    </w:p>
    <w:p w14:paraId="5884FFC5"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01551405"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Sredstva uporablja upravljavec sklada skladov </w:t>
      </w:r>
      <w:r w:rsidRPr="00C55C5A">
        <w:rPr>
          <w:rFonts w:ascii="Arial" w:eastAsia="Calibri" w:hAnsi="Arial" w:cs="Arial"/>
          <w:b/>
          <w:color w:val="000000"/>
          <w:sz w:val="22"/>
          <w:szCs w:val="22"/>
          <w:lang w:val="sl-SI"/>
        </w:rPr>
        <w:t>najmanj 8 let</w:t>
      </w:r>
      <w:r w:rsidRPr="00C55C5A">
        <w:rPr>
          <w:rFonts w:ascii="Arial" w:eastAsia="Calibri" w:hAnsi="Arial" w:cs="Arial"/>
          <w:color w:val="000000"/>
          <w:sz w:val="22"/>
          <w:szCs w:val="22"/>
          <w:lang w:val="sl-SI"/>
        </w:rPr>
        <w:t xml:space="preserve"> po zaključku upravičenega obdobja za iste namene skladno s 44. in 45. členom Uredbe EK 1303/2013.</w:t>
      </w:r>
    </w:p>
    <w:p w14:paraId="37EDA310" w14:textId="77777777" w:rsidR="00C55C5A" w:rsidRPr="00C55C5A" w:rsidRDefault="00C55C5A" w:rsidP="00C55C5A">
      <w:pPr>
        <w:spacing w:after="160" w:line="259" w:lineRule="auto"/>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br w:type="page"/>
      </w:r>
    </w:p>
    <w:p w14:paraId="32956CD7"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297D32BF" w14:textId="77777777" w:rsidR="00C55C5A" w:rsidRPr="00C55C5A" w:rsidRDefault="00C55C5A" w:rsidP="00C55C5A">
      <w:pPr>
        <w:keepNext/>
        <w:shd w:val="clear" w:color="auto" w:fill="9CC2E5"/>
        <w:outlineLvl w:val="1"/>
        <w:rPr>
          <w:rFonts w:ascii="Arial" w:hAnsi="Arial" w:cs="Arial"/>
          <w:b/>
          <w:sz w:val="32"/>
          <w:szCs w:val="32"/>
          <w:lang w:val="sl-SI"/>
        </w:rPr>
      </w:pPr>
      <w:bookmarkStart w:id="29" w:name="_Toc479162947"/>
      <w:r w:rsidRPr="00C55C5A">
        <w:rPr>
          <w:rFonts w:ascii="Arial" w:hAnsi="Arial" w:cs="Arial"/>
          <w:b/>
          <w:sz w:val="32"/>
          <w:szCs w:val="32"/>
          <w:lang w:val="sl-SI"/>
        </w:rPr>
        <w:t>8. Obresti in drugi donosi od finančnih instrumentov</w:t>
      </w:r>
      <w:bookmarkEnd w:id="29"/>
      <w:r w:rsidRPr="00C55C5A">
        <w:rPr>
          <w:rFonts w:ascii="Arial" w:hAnsi="Arial" w:cs="Arial"/>
          <w:b/>
          <w:sz w:val="32"/>
          <w:szCs w:val="32"/>
          <w:lang w:val="sl-SI"/>
        </w:rPr>
        <w:t xml:space="preserve">  </w:t>
      </w:r>
    </w:p>
    <w:p w14:paraId="43109D88"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6F78439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Sredstva ESIF so nakazana upravljavcu sklada skladov se skladno z 43. členom Uredbe (EU) št. 1303/2013. V ta namen mora upravljavec sklada skladov zagotoviti ločen podračun računa pri finančni instituciji v državi članici EU. Upravljavec sklada skladov ta sredstva lahko začasno vloži v skladu z načeli dobrega finančnega poslovodenja.</w:t>
      </w:r>
    </w:p>
    <w:p w14:paraId="73C517B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6B2BEC65"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Strategijo naložbenja takšnih sredstev upravljavec sklada skladov in PO dogovorita v sporazumu o financiranju. Na tem podračunu upravljavec sklada skladov zbira obresti in druge dobičke iz takšnega naložbenja prostih sredstev. Upravljavec sklada skladov mora voditi evidenco o takšnih obrestih in drugih dobičkih. Takšne obresti in dobički povečujejo sredstva ESIF in jih mora upravljavec sklada skladov uporabiti za namene in vsebino, kot izhajata iz ciljev OP 2014 – 2020, vključno s plačilom provizij za upravljanje finančnega instrumenta, ter skladno s 44. in 45. členom Uredbe EU št. 1303/2013. Eventualni negativni donosi, obresti in izgube so v okviru politike naložbenja in upravljanja prostih sredstev, ki jo dogovorita PO in upravljavec sklada skladov v sporazumu o financiranju, in gredo v breme sklada skladov.</w:t>
      </w:r>
    </w:p>
    <w:p w14:paraId="0F18D6F4"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46FB16A6" w14:textId="77777777" w:rsidR="00C55C5A" w:rsidRPr="00C55C5A" w:rsidRDefault="00C55C5A" w:rsidP="00C55C5A">
      <w:pPr>
        <w:spacing w:after="160"/>
        <w:jc w:val="both"/>
        <w:rPr>
          <w:rFonts w:ascii="Arial" w:hAnsi="Arial" w:cs="Arial"/>
          <w:b/>
          <w:sz w:val="32"/>
          <w:szCs w:val="32"/>
          <w:lang w:val="sl-SI"/>
        </w:rPr>
      </w:pPr>
      <w:r w:rsidRPr="00C55C5A">
        <w:rPr>
          <w:rFonts w:ascii="Arial" w:hAnsi="Arial" w:cs="Arial"/>
          <w:bCs/>
          <w:iCs/>
          <w:sz w:val="32"/>
          <w:szCs w:val="32"/>
          <w:lang w:val="sl-SI"/>
        </w:rPr>
        <w:br w:type="page"/>
      </w:r>
    </w:p>
    <w:p w14:paraId="29A0A723" w14:textId="77777777" w:rsidR="00C55C5A" w:rsidRPr="00C55C5A" w:rsidRDefault="00C55C5A" w:rsidP="00C55C5A">
      <w:pPr>
        <w:keepNext/>
        <w:shd w:val="clear" w:color="auto" w:fill="9CC2E5"/>
        <w:outlineLvl w:val="1"/>
        <w:rPr>
          <w:rFonts w:ascii="Arial" w:hAnsi="Arial" w:cs="Arial"/>
          <w:b/>
          <w:sz w:val="32"/>
          <w:szCs w:val="32"/>
          <w:lang w:val="sl-SI"/>
        </w:rPr>
      </w:pPr>
      <w:bookmarkStart w:id="30" w:name="_Toc479162948"/>
      <w:r w:rsidRPr="00C55C5A">
        <w:rPr>
          <w:rFonts w:ascii="Arial" w:hAnsi="Arial" w:cs="Arial"/>
          <w:b/>
          <w:sz w:val="32"/>
          <w:szCs w:val="32"/>
          <w:lang w:val="sl-SI"/>
        </w:rPr>
        <w:lastRenderedPageBreak/>
        <w:t>9. Pogoji prispevka v finančne instrumente</w:t>
      </w:r>
      <w:bookmarkEnd w:id="30"/>
    </w:p>
    <w:p w14:paraId="1338B279"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01238DC0"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Sredstva vplačana iz sredstev kohezijske politike in drugih virov se uporabljajo skladno z opredeljenimi cilji, ki izhajajo iz OP 2014 - 2020 in ciljno skupino. FI se izvajajo na področju celotne Slovenije – sredstva so razdeljena na vzhodno in zahodno kohezijsko regijo.</w:t>
      </w:r>
    </w:p>
    <w:p w14:paraId="4C019E4B"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75228F24"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Upravičeni izdatki predstavljajo skladno z 42. členom Uredbe (EU) 1303/2013  skupni znesek, ki jih je finančni instrument dejansko izplačal ali, v primeru garancij, odobril v obdobju upravičenosti, kar ustreza:</w:t>
      </w:r>
    </w:p>
    <w:p w14:paraId="49DA52F6"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izplačilom končnim prejemnikom v primeru  </w:t>
      </w:r>
    </w:p>
    <w:p w14:paraId="57AD7D02"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virom, odobrenimi za pogodbe o garancijah, neporavnanim ali zapadlim,</w:t>
      </w:r>
    </w:p>
    <w:p w14:paraId="35A1A72B"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kapitaliziranim subvencioniranim obrestnim meram ali subvencioniranim provizijam za jamstvo,</w:t>
      </w:r>
    </w:p>
    <w:p w14:paraId="1596F69D"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povračilu nastalih stroškov upravljanja ali plačilu provizij za upravljanje FI. </w:t>
      </w:r>
    </w:p>
    <w:p w14:paraId="5B7F9E47"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49E8014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Upravljavec sklada skladov bo moral upoštevati pogoje na ravni posameznega FI skladno z naložbeno strategijo: učinek finančnega vzvoda, obrestna mera, vodenje posebnih evidenc, hranjenje dokumentacije, spremljanje državnih pomoči, informiranje in obveščanje in druge pogoje. Pogoji se podrobneje določijo v finančnem sporazumu med PO in skladom skladov.</w:t>
      </w:r>
    </w:p>
    <w:p w14:paraId="6486DC4F"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24BEADC6" w14:textId="77777777" w:rsidR="00C55C5A" w:rsidRPr="00C55C5A" w:rsidRDefault="00C55C5A" w:rsidP="00C55C5A">
      <w:pPr>
        <w:keepNext/>
        <w:keepLines/>
        <w:spacing w:before="40"/>
        <w:jc w:val="both"/>
        <w:outlineLvl w:val="2"/>
        <w:rPr>
          <w:rFonts w:ascii="Arial" w:eastAsia="Calibri" w:hAnsi="Arial" w:cs="Arial"/>
          <w:b/>
          <w:color w:val="1F4D78"/>
          <w:sz w:val="22"/>
          <w:lang w:val="sl-SI"/>
        </w:rPr>
      </w:pPr>
      <w:bookmarkStart w:id="31" w:name="_Toc479162949"/>
      <w:r w:rsidRPr="00C55C5A">
        <w:rPr>
          <w:rFonts w:ascii="Arial" w:eastAsia="Calibri" w:hAnsi="Arial" w:cs="Arial"/>
          <w:b/>
          <w:color w:val="1F4D78"/>
          <w:sz w:val="22"/>
          <w:lang w:val="sl-SI"/>
        </w:rPr>
        <w:t>9.1 Učinek finančnega vzvoda (»leverage effect«)</w:t>
      </w:r>
      <w:bookmarkEnd w:id="31"/>
    </w:p>
    <w:p w14:paraId="421D4E0F"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79487A13"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Učinek finančnega vzvoda pri FI pomeni multipliciranje sredstev vloženih v sklad skladov, finančnega posrednika in/ali neposredno v končnega prejemnika. Takšna sredstva lahko zagotavlja tudi upravljavec sklada skladov in/ali finančni posredniki. </w:t>
      </w:r>
    </w:p>
    <w:p w14:paraId="6C8028E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0BAF206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Minimalni finančni vzvod, ki ga je na posamezni prednostni osi potrebno zagotoviti, izhaja iz  razmerja med EU in SLO (nacionalno udeležbo) in sicer znaša na 1,2 na 1. prednostni osi, 1,25 (vzhodna kohezijska regija) in 1,3 (zahodna kohezijska regija) na 3. prednostni osi, 1,15 na 4. prednostni osi in 1,2 na 6. prednostni osi.  </w:t>
      </w:r>
    </w:p>
    <w:p w14:paraId="587A150F"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5E86C8E6" w14:textId="77777777" w:rsidR="00C55C5A" w:rsidRPr="00C55C5A" w:rsidRDefault="00C55C5A" w:rsidP="00C55C5A">
      <w:pPr>
        <w:spacing w:after="49"/>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FI omogoča dodatno podporo, usmerjeno h končnim prejemnikom s potencialno večjim finančnim učinkom kot ga imajo nepovratna sredstva zaradi sposobnosti, da privlačijo dodatna sredstva iz javnega ali zasebnega sektorja in tako večkratno povečajo učinke ESIF ter nacionalnih/regionalnih prispevkov (npr. vsak investiran evro s strani OP 2014 - 2020 ustvarja večkratni učinek, ki povečuje sredstva, ki so na voljo končnim prejemnikom). Na podlagi objavljenih raziskav</w:t>
      </w:r>
      <w:r w:rsidRPr="00C55C5A">
        <w:rPr>
          <w:rFonts w:ascii="Arial" w:eastAsia="Calibri" w:hAnsi="Arial" w:cs="Arial"/>
          <w:color w:val="000000"/>
          <w:sz w:val="22"/>
          <w:szCs w:val="22"/>
          <w:vertAlign w:val="superscript"/>
          <w:lang w:val="sl-SI"/>
        </w:rPr>
        <w:footnoteReference w:id="25"/>
      </w:r>
      <w:r w:rsidRPr="00C55C5A">
        <w:rPr>
          <w:rFonts w:ascii="Arial" w:eastAsia="Calibri" w:hAnsi="Arial" w:cs="Arial"/>
          <w:color w:val="000000"/>
          <w:sz w:val="22"/>
          <w:szCs w:val="22"/>
          <w:lang w:val="sl-SI"/>
        </w:rPr>
        <w:t xml:space="preserve"> je takšen učinek vzvoda še bolj pomemben za majhne države, kot je Slovenija, torej tradicionalno manj privlačne za mednarodne naložbe.  </w:t>
      </w:r>
    </w:p>
    <w:p w14:paraId="73D60155"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73FE1BA7"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Učinek vzvoda vsakega posameznega FI je odvisen od vrste instrumenta, področja in tudi drugih pogojev. </w:t>
      </w:r>
    </w:p>
    <w:p w14:paraId="7677C695"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6C0A3823"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Na podlagi Predhodne ocene FI so predvideni finančni vzvodi predstavljeni v spodnji tabeli.</w:t>
      </w:r>
    </w:p>
    <w:p w14:paraId="5F189A3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4DE1016D"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lastRenderedPageBreak/>
        <w:t xml:space="preserve">Tabela 13: Predvideni </w:t>
      </w:r>
      <w:r w:rsidRPr="00C55C5A">
        <w:rPr>
          <w:rFonts w:ascii="Arial" w:eastAsia="Calibri" w:hAnsi="Arial" w:cs="Arial"/>
          <w:b/>
          <w:color w:val="000000"/>
          <w:sz w:val="22"/>
          <w:szCs w:val="22"/>
          <w:lang w:val="sl-SI"/>
        </w:rPr>
        <w:t xml:space="preserve">finančni vzvod </w:t>
      </w:r>
    </w:p>
    <w:tbl>
      <w:tblPr>
        <w:tblStyle w:val="Tabelamrea"/>
        <w:tblW w:w="9634" w:type="dxa"/>
        <w:tblLook w:val="04A0" w:firstRow="1" w:lastRow="0" w:firstColumn="1" w:lastColumn="0" w:noHBand="0" w:noVBand="1"/>
      </w:tblPr>
      <w:tblGrid>
        <w:gridCol w:w="1667"/>
        <w:gridCol w:w="2949"/>
        <w:gridCol w:w="2750"/>
        <w:gridCol w:w="2268"/>
      </w:tblGrid>
      <w:tr w:rsidR="00C55C5A" w:rsidRPr="00C55C5A" w14:paraId="37CD8C74" w14:textId="77777777" w:rsidTr="00E6701A">
        <w:tc>
          <w:tcPr>
            <w:tcW w:w="1667" w:type="dxa"/>
            <w:shd w:val="clear" w:color="auto" w:fill="FFFFFF" w:themeFill="background1"/>
          </w:tcPr>
          <w:p w14:paraId="4C009D7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Področje</w:t>
            </w:r>
          </w:p>
        </w:tc>
        <w:tc>
          <w:tcPr>
            <w:tcW w:w="2949" w:type="dxa"/>
          </w:tcPr>
          <w:p w14:paraId="4EA4F900"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Finančni instrument</w:t>
            </w:r>
          </w:p>
        </w:tc>
        <w:tc>
          <w:tcPr>
            <w:tcW w:w="2750" w:type="dxa"/>
          </w:tcPr>
          <w:p w14:paraId="29F165F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Finančni vzvod glede na Predhodno oceno FI</w:t>
            </w:r>
          </w:p>
          <w:p w14:paraId="2CE297D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tc>
        <w:tc>
          <w:tcPr>
            <w:tcW w:w="2268" w:type="dxa"/>
            <w:shd w:val="clear" w:color="auto" w:fill="BDD6EE" w:themeFill="accent1" w:themeFillTint="66"/>
          </w:tcPr>
          <w:p w14:paraId="0BE6FEE7"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Pričakovani finančni vzvod</w:t>
            </w:r>
          </w:p>
        </w:tc>
      </w:tr>
      <w:tr w:rsidR="00C55C5A" w:rsidRPr="00C55C5A" w14:paraId="4338E0E9" w14:textId="77777777" w:rsidTr="00E6701A">
        <w:tc>
          <w:tcPr>
            <w:tcW w:w="1667" w:type="dxa"/>
          </w:tcPr>
          <w:p w14:paraId="6392223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MSP</w:t>
            </w:r>
          </w:p>
        </w:tc>
        <w:tc>
          <w:tcPr>
            <w:tcW w:w="2949" w:type="dxa"/>
          </w:tcPr>
          <w:p w14:paraId="7838982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Mikrokrediti</w:t>
            </w:r>
          </w:p>
        </w:tc>
        <w:tc>
          <w:tcPr>
            <w:tcW w:w="2750" w:type="dxa"/>
          </w:tcPr>
          <w:p w14:paraId="2E315AF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 – 2,5</w:t>
            </w:r>
          </w:p>
        </w:tc>
        <w:tc>
          <w:tcPr>
            <w:tcW w:w="2268" w:type="dxa"/>
            <w:shd w:val="clear" w:color="auto" w:fill="BDD6EE" w:themeFill="accent1" w:themeFillTint="66"/>
          </w:tcPr>
          <w:p w14:paraId="367BB76F"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w:t>
            </w:r>
          </w:p>
        </w:tc>
      </w:tr>
      <w:tr w:rsidR="00C55C5A" w:rsidRPr="00C55C5A" w14:paraId="1886DF8C" w14:textId="77777777" w:rsidTr="00E6701A">
        <w:tc>
          <w:tcPr>
            <w:tcW w:w="1667" w:type="dxa"/>
          </w:tcPr>
          <w:p w14:paraId="78191E5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tc>
        <w:tc>
          <w:tcPr>
            <w:tcW w:w="2949" w:type="dxa"/>
          </w:tcPr>
          <w:p w14:paraId="76ADC55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Portfeljske garancije</w:t>
            </w:r>
          </w:p>
        </w:tc>
        <w:tc>
          <w:tcPr>
            <w:tcW w:w="2750" w:type="dxa"/>
          </w:tcPr>
          <w:p w14:paraId="0377D334"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1,5 - 5</w:t>
            </w:r>
          </w:p>
        </w:tc>
        <w:tc>
          <w:tcPr>
            <w:tcW w:w="2268" w:type="dxa"/>
            <w:shd w:val="clear" w:color="auto" w:fill="BDD6EE" w:themeFill="accent1" w:themeFillTint="66"/>
          </w:tcPr>
          <w:p w14:paraId="26EE217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w:t>
            </w:r>
          </w:p>
        </w:tc>
      </w:tr>
      <w:tr w:rsidR="00C55C5A" w:rsidRPr="00C55C5A" w14:paraId="49100665" w14:textId="77777777" w:rsidTr="00E6701A">
        <w:tc>
          <w:tcPr>
            <w:tcW w:w="1667" w:type="dxa"/>
          </w:tcPr>
          <w:p w14:paraId="093AC75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tc>
        <w:tc>
          <w:tcPr>
            <w:tcW w:w="2949" w:type="dxa"/>
          </w:tcPr>
          <w:p w14:paraId="2EFF1BE5"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Lastniško financiranje</w:t>
            </w:r>
          </w:p>
        </w:tc>
        <w:tc>
          <w:tcPr>
            <w:tcW w:w="2750" w:type="dxa"/>
          </w:tcPr>
          <w:p w14:paraId="0BDDE34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Odvisno od stopnje razvitosti podjetja</w:t>
            </w:r>
          </w:p>
        </w:tc>
        <w:tc>
          <w:tcPr>
            <w:tcW w:w="2268" w:type="dxa"/>
            <w:shd w:val="clear" w:color="auto" w:fill="BDD6EE" w:themeFill="accent1" w:themeFillTint="66"/>
          </w:tcPr>
          <w:p w14:paraId="5A63FDE4"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Odvisno od stopnje razvitosti podjetja</w:t>
            </w:r>
          </w:p>
        </w:tc>
      </w:tr>
      <w:tr w:rsidR="00C55C5A" w:rsidRPr="00C55C5A" w14:paraId="7CB0CF6F" w14:textId="77777777" w:rsidTr="00E6701A">
        <w:tc>
          <w:tcPr>
            <w:tcW w:w="1667" w:type="dxa"/>
          </w:tcPr>
          <w:p w14:paraId="06D2201F"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RRI</w:t>
            </w:r>
          </w:p>
        </w:tc>
        <w:tc>
          <w:tcPr>
            <w:tcW w:w="2949" w:type="dxa"/>
          </w:tcPr>
          <w:p w14:paraId="4626E70E"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Posojila</w:t>
            </w:r>
          </w:p>
        </w:tc>
        <w:tc>
          <w:tcPr>
            <w:tcW w:w="2750" w:type="dxa"/>
          </w:tcPr>
          <w:p w14:paraId="5D7ADADA"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 – 2,5</w:t>
            </w:r>
          </w:p>
        </w:tc>
        <w:tc>
          <w:tcPr>
            <w:tcW w:w="2268" w:type="dxa"/>
            <w:shd w:val="clear" w:color="auto" w:fill="BDD6EE" w:themeFill="accent1" w:themeFillTint="66"/>
          </w:tcPr>
          <w:p w14:paraId="4D2AC41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w:t>
            </w:r>
          </w:p>
        </w:tc>
      </w:tr>
      <w:tr w:rsidR="00C55C5A" w:rsidRPr="00C55C5A" w14:paraId="58CA2334" w14:textId="77777777" w:rsidTr="00E6701A">
        <w:tc>
          <w:tcPr>
            <w:tcW w:w="1667" w:type="dxa"/>
          </w:tcPr>
          <w:p w14:paraId="2612E0EB"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tc>
        <w:tc>
          <w:tcPr>
            <w:tcW w:w="2949" w:type="dxa"/>
          </w:tcPr>
          <w:p w14:paraId="3D4B5A2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Portfeljske garancije</w:t>
            </w:r>
          </w:p>
        </w:tc>
        <w:tc>
          <w:tcPr>
            <w:tcW w:w="2750" w:type="dxa"/>
          </w:tcPr>
          <w:p w14:paraId="0ECD9E20"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w:t>
            </w:r>
          </w:p>
        </w:tc>
        <w:tc>
          <w:tcPr>
            <w:tcW w:w="2268" w:type="dxa"/>
            <w:shd w:val="clear" w:color="auto" w:fill="BDD6EE" w:themeFill="accent1" w:themeFillTint="66"/>
          </w:tcPr>
          <w:p w14:paraId="0137E7F4"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w:t>
            </w:r>
          </w:p>
        </w:tc>
      </w:tr>
      <w:tr w:rsidR="00C55C5A" w:rsidRPr="00C55C5A" w14:paraId="309FFCAE" w14:textId="77777777" w:rsidTr="00E6701A">
        <w:tc>
          <w:tcPr>
            <w:tcW w:w="1667" w:type="dxa"/>
          </w:tcPr>
          <w:p w14:paraId="5DB5582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Energetska učinkovitost</w:t>
            </w:r>
          </w:p>
        </w:tc>
        <w:tc>
          <w:tcPr>
            <w:tcW w:w="2949" w:type="dxa"/>
          </w:tcPr>
          <w:p w14:paraId="1102F84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Posojila, garancijske sheme, lastniško financiranje</w:t>
            </w:r>
            <w:r w:rsidRPr="00C55C5A">
              <w:rPr>
                <w:rFonts w:ascii="Arial" w:eastAsia="Calibri" w:hAnsi="Arial" w:cs="Arial"/>
                <w:color w:val="000000"/>
                <w:sz w:val="22"/>
                <w:szCs w:val="22"/>
                <w:vertAlign w:val="superscript"/>
                <w:lang w:val="sl-SI"/>
              </w:rPr>
              <w:footnoteReference w:id="26"/>
            </w:r>
          </w:p>
        </w:tc>
        <w:tc>
          <w:tcPr>
            <w:tcW w:w="2750" w:type="dxa"/>
          </w:tcPr>
          <w:p w14:paraId="39FB932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w:t>
            </w:r>
          </w:p>
        </w:tc>
        <w:tc>
          <w:tcPr>
            <w:tcW w:w="2268" w:type="dxa"/>
            <w:shd w:val="clear" w:color="auto" w:fill="BDD6EE" w:themeFill="accent1" w:themeFillTint="66"/>
          </w:tcPr>
          <w:p w14:paraId="03495DCC"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2,27</w:t>
            </w:r>
          </w:p>
        </w:tc>
      </w:tr>
      <w:tr w:rsidR="00C55C5A" w:rsidRPr="00C55C5A" w14:paraId="493F557B" w14:textId="77777777" w:rsidTr="00E6701A">
        <w:tc>
          <w:tcPr>
            <w:tcW w:w="1667" w:type="dxa"/>
          </w:tcPr>
          <w:p w14:paraId="04AD6114"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Urbani razvoj</w:t>
            </w:r>
          </w:p>
        </w:tc>
        <w:tc>
          <w:tcPr>
            <w:tcW w:w="2949" w:type="dxa"/>
          </w:tcPr>
          <w:p w14:paraId="0A71F9C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Posojila</w:t>
            </w:r>
          </w:p>
        </w:tc>
        <w:tc>
          <w:tcPr>
            <w:tcW w:w="2750" w:type="dxa"/>
          </w:tcPr>
          <w:p w14:paraId="51884C5D"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1,5-2,5</w:t>
            </w:r>
          </w:p>
        </w:tc>
        <w:tc>
          <w:tcPr>
            <w:tcW w:w="2268" w:type="dxa"/>
            <w:shd w:val="clear" w:color="auto" w:fill="BDD6EE" w:themeFill="accent1" w:themeFillTint="66"/>
          </w:tcPr>
          <w:p w14:paraId="74E67C6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1,5</w:t>
            </w:r>
          </w:p>
        </w:tc>
      </w:tr>
    </w:tbl>
    <w:p w14:paraId="1DBF366A" w14:textId="77777777" w:rsidR="00C55C5A" w:rsidRPr="00C55C5A" w:rsidRDefault="00C55C5A" w:rsidP="00C55C5A">
      <w:pPr>
        <w:ind w:left="-15" w:right="14"/>
        <w:jc w:val="both"/>
        <w:rPr>
          <w:rFonts w:ascii="Arial" w:hAnsi="Arial" w:cs="Arial"/>
          <w:sz w:val="22"/>
          <w:szCs w:val="22"/>
          <w:lang w:val="sl-SI"/>
        </w:rPr>
      </w:pPr>
    </w:p>
    <w:p w14:paraId="4B97351B" w14:textId="77777777" w:rsidR="00C55C5A" w:rsidRPr="00C55C5A" w:rsidRDefault="00C55C5A" w:rsidP="00C55C5A">
      <w:pPr>
        <w:ind w:right="14"/>
        <w:jc w:val="both"/>
        <w:rPr>
          <w:rFonts w:ascii="Arial" w:hAnsi="Arial" w:cs="Arial"/>
          <w:sz w:val="22"/>
          <w:szCs w:val="22"/>
          <w:lang w:val="sl-SI"/>
        </w:rPr>
      </w:pPr>
      <w:r w:rsidRPr="00C55C5A">
        <w:rPr>
          <w:rFonts w:ascii="Arial" w:hAnsi="Arial" w:cs="Arial"/>
          <w:sz w:val="22"/>
          <w:szCs w:val="22"/>
          <w:lang w:val="sl-SI"/>
        </w:rPr>
        <w:t xml:space="preserve">Spodnja slika prikazuje mehanizem, ki dovoljuje nastanek vzvoda.   </w:t>
      </w:r>
    </w:p>
    <w:p w14:paraId="02DD3A48" w14:textId="77777777" w:rsidR="00C55C5A" w:rsidRPr="00C55C5A" w:rsidRDefault="00C55C5A" w:rsidP="00C55C5A">
      <w:pPr>
        <w:jc w:val="both"/>
        <w:rPr>
          <w:rFonts w:ascii="Arial" w:hAnsi="Arial" w:cs="Arial"/>
          <w:sz w:val="22"/>
          <w:lang w:val="sl-SI"/>
        </w:rPr>
      </w:pPr>
    </w:p>
    <w:p w14:paraId="7C119E17" w14:textId="77777777" w:rsidR="00C55C5A" w:rsidRPr="00C55C5A" w:rsidRDefault="00C55C5A" w:rsidP="00C55C5A">
      <w:pPr>
        <w:ind w:left="-5" w:hanging="10"/>
        <w:jc w:val="both"/>
        <w:rPr>
          <w:rFonts w:ascii="Arial" w:hAnsi="Arial" w:cs="Arial"/>
          <w:sz w:val="22"/>
          <w:szCs w:val="22"/>
          <w:lang w:val="sl-SI"/>
        </w:rPr>
      </w:pPr>
      <w:r w:rsidRPr="00C55C5A">
        <w:rPr>
          <w:rFonts w:ascii="Arial" w:hAnsi="Arial" w:cs="Arial"/>
          <w:sz w:val="22"/>
          <w:szCs w:val="22"/>
          <w:lang w:val="sl-SI"/>
        </w:rPr>
        <w:t>Slika 4: Pretok sredstev in stopnja dodatnih javnih in zasebnih sredstev, ki zagotavljajo spodbudo za FI</w:t>
      </w:r>
    </w:p>
    <w:p w14:paraId="4AEAD291" w14:textId="77777777" w:rsidR="00C55C5A" w:rsidRPr="00C55C5A" w:rsidRDefault="00C55C5A" w:rsidP="00C55C5A">
      <w:pPr>
        <w:ind w:left="-5" w:hanging="10"/>
        <w:jc w:val="both"/>
        <w:rPr>
          <w:rFonts w:ascii="Arial" w:hAnsi="Arial" w:cs="Arial"/>
          <w:sz w:val="22"/>
          <w:szCs w:val="22"/>
          <w:lang w:val="sl-SI"/>
        </w:rPr>
      </w:pPr>
    </w:p>
    <w:p w14:paraId="2D9CD8F9" w14:textId="77777777" w:rsidR="00C55C5A" w:rsidRPr="00C55C5A" w:rsidRDefault="00C55C5A" w:rsidP="00C55C5A">
      <w:pPr>
        <w:spacing w:after="75"/>
        <w:ind w:right="891"/>
        <w:jc w:val="center"/>
        <w:rPr>
          <w:rFonts w:ascii="Arial" w:hAnsi="Arial" w:cs="Arial"/>
          <w:sz w:val="22"/>
          <w:szCs w:val="22"/>
          <w:lang w:val="sl-SI"/>
        </w:rPr>
      </w:pPr>
      <w:r w:rsidRPr="00C55C5A">
        <w:rPr>
          <w:rFonts w:ascii="Arial" w:hAnsi="Arial" w:cs="Arial"/>
          <w:noProof/>
          <w:sz w:val="22"/>
          <w:szCs w:val="22"/>
          <w:lang w:val="sl-SI" w:eastAsia="sl-SI"/>
        </w:rPr>
        <w:drawing>
          <wp:inline distT="0" distB="0" distL="0" distR="0" wp14:anchorId="488286CC" wp14:editId="527A135B">
            <wp:extent cx="3733800" cy="2276475"/>
            <wp:effectExtent l="0" t="0" r="0" b="9525"/>
            <wp:docPr id="6" name="Picture 24270"/>
            <wp:cNvGraphicFramePr/>
            <a:graphic xmlns:a="http://schemas.openxmlformats.org/drawingml/2006/main">
              <a:graphicData uri="http://schemas.openxmlformats.org/drawingml/2006/picture">
                <pic:pic xmlns:pic="http://schemas.openxmlformats.org/drawingml/2006/picture">
                  <pic:nvPicPr>
                    <pic:cNvPr id="24270" name="Picture 2427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33800" cy="2276475"/>
                    </a:xfrm>
                    <a:prstGeom prst="rect">
                      <a:avLst/>
                    </a:prstGeom>
                  </pic:spPr>
                </pic:pic>
              </a:graphicData>
            </a:graphic>
          </wp:inline>
        </w:drawing>
      </w:r>
      <w:r w:rsidRPr="00C55C5A">
        <w:rPr>
          <w:rFonts w:ascii="Arial" w:hAnsi="Arial" w:cs="Arial"/>
          <w:sz w:val="22"/>
          <w:szCs w:val="22"/>
          <w:lang w:val="sl-SI"/>
        </w:rPr>
        <w:t xml:space="preserve"> </w:t>
      </w:r>
    </w:p>
    <w:p w14:paraId="753C8931" w14:textId="77777777" w:rsidR="00C55C5A" w:rsidRPr="00C55C5A" w:rsidRDefault="00C55C5A" w:rsidP="00C55C5A">
      <w:pPr>
        <w:spacing w:after="154"/>
        <w:jc w:val="both"/>
        <w:rPr>
          <w:rFonts w:ascii="Arial" w:hAnsi="Arial" w:cs="Arial"/>
          <w:sz w:val="22"/>
          <w:szCs w:val="22"/>
          <w:lang w:val="sl-SI"/>
        </w:rPr>
      </w:pPr>
      <w:r w:rsidRPr="00C55C5A">
        <w:rPr>
          <w:rFonts w:ascii="Arial" w:hAnsi="Arial" w:cs="Arial"/>
          <w:sz w:val="22"/>
          <w:szCs w:val="22"/>
          <w:lang w:val="sl-SI"/>
        </w:rPr>
        <w:t>Vir: Predhodna ocena FI, 2015</w:t>
      </w:r>
    </w:p>
    <w:p w14:paraId="2E681A9B" w14:textId="77777777" w:rsidR="00C55C5A" w:rsidRPr="00C55C5A" w:rsidRDefault="00C55C5A" w:rsidP="00C55C5A">
      <w:pPr>
        <w:spacing w:after="154"/>
        <w:jc w:val="both"/>
        <w:rPr>
          <w:rFonts w:ascii="Arial" w:eastAsia="Calibri" w:hAnsi="Arial" w:cs="Arial"/>
          <w:color w:val="000000"/>
          <w:sz w:val="22"/>
          <w:lang w:val="sl-SI"/>
        </w:rPr>
      </w:pPr>
    </w:p>
    <w:p w14:paraId="6AD1853F" w14:textId="77777777" w:rsidR="00C55C5A" w:rsidRPr="00C55C5A" w:rsidRDefault="00C55C5A" w:rsidP="00C55C5A">
      <w:pPr>
        <w:spacing w:after="154"/>
        <w:jc w:val="both"/>
        <w:rPr>
          <w:rFonts w:ascii="Arial" w:eastAsia="Calibri" w:hAnsi="Arial" w:cs="Arial"/>
          <w:color w:val="000000"/>
          <w:sz w:val="22"/>
          <w:lang w:val="sl-SI"/>
        </w:rPr>
      </w:pPr>
    </w:p>
    <w:p w14:paraId="02F1B308" w14:textId="77777777" w:rsidR="00C55C5A" w:rsidRPr="00C55C5A" w:rsidRDefault="00C55C5A" w:rsidP="00C55C5A">
      <w:pPr>
        <w:spacing w:after="154"/>
        <w:jc w:val="both"/>
        <w:rPr>
          <w:rFonts w:ascii="Arial" w:eastAsia="Calibri" w:hAnsi="Arial" w:cs="Arial"/>
          <w:color w:val="000000"/>
          <w:sz w:val="22"/>
          <w:lang w:val="sl-SI"/>
        </w:rPr>
      </w:pPr>
    </w:p>
    <w:p w14:paraId="0D6DF82D" w14:textId="77777777" w:rsidR="00C55C5A" w:rsidRPr="00C55C5A" w:rsidRDefault="00C55C5A" w:rsidP="00C55C5A">
      <w:pPr>
        <w:spacing w:after="154"/>
        <w:jc w:val="both"/>
        <w:rPr>
          <w:rFonts w:ascii="Arial" w:eastAsia="Calibri" w:hAnsi="Arial" w:cs="Arial"/>
          <w:color w:val="000000"/>
          <w:sz w:val="22"/>
          <w:lang w:val="sl-SI"/>
        </w:rPr>
      </w:pPr>
    </w:p>
    <w:p w14:paraId="4ED687A7" w14:textId="77777777" w:rsidR="00C55C5A" w:rsidRPr="00C55C5A" w:rsidRDefault="00C55C5A" w:rsidP="00C55C5A">
      <w:pPr>
        <w:keepNext/>
        <w:keepLines/>
        <w:spacing w:before="40"/>
        <w:jc w:val="both"/>
        <w:outlineLvl w:val="2"/>
        <w:rPr>
          <w:rFonts w:ascii="Arial" w:eastAsia="Calibri" w:hAnsi="Arial" w:cs="Arial"/>
          <w:b/>
          <w:color w:val="1F4D78"/>
          <w:sz w:val="22"/>
          <w:lang w:val="sl-SI"/>
        </w:rPr>
      </w:pPr>
      <w:bookmarkStart w:id="32" w:name="_Toc479162950"/>
      <w:r w:rsidRPr="00C55C5A">
        <w:rPr>
          <w:rFonts w:ascii="Arial" w:eastAsia="Calibri" w:hAnsi="Arial" w:cs="Arial"/>
          <w:b/>
          <w:color w:val="1F4D78"/>
          <w:sz w:val="22"/>
          <w:lang w:val="sl-SI"/>
        </w:rPr>
        <w:lastRenderedPageBreak/>
        <w:t>9.2 Upravljavska provizija sklada skladov in finančnih posrednikov</w:t>
      </w:r>
      <w:bookmarkEnd w:id="32"/>
    </w:p>
    <w:p w14:paraId="171EF015"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18ED0403"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Upravljavcu sklada skladov od vključno dneva sklenitve sporazuma o financiranju s PO pripada </w:t>
      </w:r>
      <w:r w:rsidRPr="00C55C5A">
        <w:rPr>
          <w:rFonts w:ascii="Arial" w:eastAsia="Calibri" w:hAnsi="Arial" w:cs="Arial"/>
          <w:b/>
          <w:color w:val="000000"/>
          <w:sz w:val="22"/>
          <w:szCs w:val="22"/>
          <w:lang w:val="sl-SI"/>
        </w:rPr>
        <w:t>upravljavska provizija</w:t>
      </w:r>
      <w:r w:rsidRPr="00C55C5A">
        <w:rPr>
          <w:rFonts w:ascii="Arial" w:eastAsia="Calibri" w:hAnsi="Arial" w:cs="Arial"/>
          <w:color w:val="000000"/>
          <w:sz w:val="22"/>
          <w:szCs w:val="22"/>
          <w:lang w:val="sl-SI"/>
        </w:rPr>
        <w:t xml:space="preserve"> skladno s 13. členom Delegirane uredbo Komisije (EU) št. 480/2014 v določnem odstotku od zneskov v sporazumu o financiranju. </w:t>
      </w:r>
    </w:p>
    <w:p w14:paraId="57BFAB4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6F1A818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Upravljavska provizija se bo določila v sporazumu o financiranju skladno z 12., 13.  in 14. členom Delegirane uredbe (EU) št. 480/2014. </w:t>
      </w:r>
    </w:p>
    <w:p w14:paraId="66E73356" w14:textId="77777777" w:rsidR="00C55C5A" w:rsidRPr="00C55C5A" w:rsidRDefault="00C55C5A" w:rsidP="00C55C5A">
      <w:pPr>
        <w:jc w:val="both"/>
        <w:rPr>
          <w:rFonts w:ascii="Arial" w:hAnsi="Arial" w:cs="Arial"/>
          <w:sz w:val="22"/>
          <w:szCs w:val="22"/>
          <w:lang w:val="sl-SI" w:eastAsia="sl-SI"/>
        </w:rPr>
      </w:pPr>
    </w:p>
    <w:p w14:paraId="4EA965A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Upravljavska provizija krije organizacijske in infrastrukturne ter operativne stroške upravljavca sklada skladov, potrebne za izvajanje njegovih nalog v zvezi z izvajanjem sklada skladov.</w:t>
      </w:r>
    </w:p>
    <w:p w14:paraId="53AD715D"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3FE2D16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Do upravljavske provizije so upravičeni tudi finančni posredniki po Delegirani uredbi Komisije (EU) št. 480/2014.</w:t>
      </w:r>
      <w:r w:rsidRPr="00C55C5A" w:rsidDel="000154F0">
        <w:rPr>
          <w:rFonts w:ascii="Arial" w:eastAsia="Calibri" w:hAnsi="Arial" w:cs="Arial"/>
          <w:color w:val="000000"/>
          <w:sz w:val="22"/>
          <w:szCs w:val="22"/>
          <w:lang w:val="sl-SI"/>
        </w:rPr>
        <w:t xml:space="preserve"> </w:t>
      </w:r>
      <w:r w:rsidRPr="00C55C5A">
        <w:rPr>
          <w:rFonts w:ascii="Arial" w:eastAsia="Calibri" w:hAnsi="Arial" w:cs="Arial"/>
          <w:color w:val="000000"/>
          <w:sz w:val="22"/>
          <w:szCs w:val="22"/>
          <w:lang w:val="sl-SI"/>
        </w:rPr>
        <w:t>Takšno provizijo in nadomestilo dogovorita finančni posrednik in upravljavec sklada skladov v medsebojni pogodbi, pri čemer le-ta ne presega pragov iz 13. člena Delegirane uredbe EK 480/2014.</w:t>
      </w:r>
    </w:p>
    <w:p w14:paraId="7B8752D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1823C2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Sredstva ESIF dodeljena za operacijo Sklad skladov uporabljena za upravljavsko provizijo vplivajo na obseg sredstev ESIF za končne prejemnike.</w:t>
      </w:r>
    </w:p>
    <w:p w14:paraId="4C4A7E9B" w14:textId="77777777" w:rsidR="00C55C5A" w:rsidRPr="00C55C5A" w:rsidRDefault="00C55C5A" w:rsidP="00C55C5A">
      <w:pPr>
        <w:suppressAutoHyphens/>
        <w:jc w:val="both"/>
        <w:rPr>
          <w:rFonts w:ascii="Arial" w:eastAsia="Calibri" w:hAnsi="Arial" w:cs="Arial"/>
          <w:color w:val="000000"/>
          <w:lang w:val="sl-SI"/>
        </w:rPr>
      </w:pPr>
    </w:p>
    <w:p w14:paraId="60E7E35D" w14:textId="77777777" w:rsidR="00C55C5A" w:rsidRPr="00C55C5A" w:rsidRDefault="00C55C5A" w:rsidP="00C55C5A">
      <w:pPr>
        <w:keepNext/>
        <w:keepLines/>
        <w:spacing w:before="40"/>
        <w:jc w:val="both"/>
        <w:outlineLvl w:val="2"/>
        <w:rPr>
          <w:rFonts w:ascii="Arial" w:eastAsia="Calibri" w:hAnsi="Arial" w:cs="Arial"/>
          <w:b/>
          <w:color w:val="1F4D78"/>
          <w:sz w:val="22"/>
          <w:lang w:val="sl-SI"/>
        </w:rPr>
      </w:pPr>
      <w:bookmarkStart w:id="33" w:name="_Toc479162951"/>
      <w:r w:rsidRPr="00C55C5A">
        <w:rPr>
          <w:rFonts w:ascii="Arial" w:eastAsia="Calibri" w:hAnsi="Arial" w:cs="Arial"/>
          <w:b/>
          <w:color w:val="1F4D78"/>
          <w:sz w:val="22"/>
          <w:lang w:val="sl-SI"/>
        </w:rPr>
        <w:t>9.3 Hranjenje dokumentacije</w:t>
      </w:r>
      <w:bookmarkEnd w:id="33"/>
    </w:p>
    <w:p w14:paraId="3B0A4592" w14:textId="77777777" w:rsidR="00C55C5A" w:rsidRPr="00C55C5A" w:rsidRDefault="00C55C5A" w:rsidP="00C55C5A">
      <w:pPr>
        <w:suppressAutoHyphens/>
        <w:jc w:val="both"/>
        <w:rPr>
          <w:rFonts w:ascii="Arial" w:eastAsia="Calibri" w:hAnsi="Arial" w:cs="Arial"/>
          <w:color w:val="000000"/>
          <w:lang w:val="sl-SI"/>
        </w:rPr>
      </w:pPr>
    </w:p>
    <w:p w14:paraId="141BC344"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Upravljavec sklada skladov je dolžan </w:t>
      </w:r>
      <w:r w:rsidRPr="00C55C5A">
        <w:rPr>
          <w:rFonts w:ascii="Arial" w:eastAsia="Calibri" w:hAnsi="Arial" w:cs="Arial"/>
          <w:b/>
          <w:color w:val="000000"/>
          <w:sz w:val="22"/>
          <w:szCs w:val="22"/>
          <w:lang w:val="sl-SI"/>
        </w:rPr>
        <w:t>hraniti vse dokumente</w:t>
      </w:r>
      <w:r w:rsidRPr="00C55C5A">
        <w:rPr>
          <w:rFonts w:ascii="Arial" w:eastAsia="Calibri" w:hAnsi="Arial" w:cs="Arial"/>
          <w:color w:val="000000"/>
          <w:sz w:val="22"/>
          <w:szCs w:val="22"/>
          <w:lang w:val="sl-SI"/>
        </w:rPr>
        <w:t xml:space="preserve"> v zvezi z nalaganjem sredstev evropske kohezijske politike </w:t>
      </w:r>
      <w:r w:rsidRPr="00C55C5A">
        <w:rPr>
          <w:rFonts w:ascii="Arial" w:eastAsia="Calibri" w:hAnsi="Arial" w:cs="Arial"/>
          <w:b/>
          <w:color w:val="000000"/>
          <w:sz w:val="22"/>
          <w:szCs w:val="22"/>
          <w:lang w:val="sl-SI"/>
        </w:rPr>
        <w:t>najmanj 10 let</w:t>
      </w:r>
      <w:r w:rsidRPr="00C55C5A">
        <w:rPr>
          <w:rFonts w:ascii="Arial" w:eastAsia="Calibri" w:hAnsi="Arial" w:cs="Arial"/>
          <w:color w:val="000000"/>
          <w:sz w:val="22"/>
          <w:szCs w:val="22"/>
          <w:lang w:val="sl-SI"/>
        </w:rPr>
        <w:t xml:space="preserve"> po zaključku izvajanja FI. Podrobneje je določeno v sporazumu o financiranju.</w:t>
      </w:r>
    </w:p>
    <w:p w14:paraId="081EB749" w14:textId="77777777" w:rsidR="00C55C5A" w:rsidRPr="00C55C5A" w:rsidRDefault="00C55C5A" w:rsidP="00C55C5A">
      <w:pPr>
        <w:jc w:val="both"/>
        <w:rPr>
          <w:rFonts w:ascii="Arial" w:eastAsia="Calibri" w:hAnsi="Arial" w:cs="Arial"/>
          <w:color w:val="000000"/>
          <w:sz w:val="22"/>
          <w:szCs w:val="22"/>
          <w:lang w:val="sl-SI"/>
        </w:rPr>
      </w:pPr>
    </w:p>
    <w:p w14:paraId="1D6A2C1C"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Vsi deležniki vključeni v izvajanje FI (upravljavec sklada skladov, finančni posredniki, PO, sodelujoča ministrstva in drugi) hranijo vso dokumentacijo in omogočajo kontrolo izvajanja nadzora nad porabo sredstev ter vpogled v celotno dokumentacijo kontrolnim in revizijskim organom (Računskemu sodišču RS, Uradu RS za nadzor proračuna, OU, PO, Ministrstvu za finance, Organu za potrjevanje in predstavnikom Evropske komisije ter Evropskega računskega sodišča ter ostalim institucijam, vključenim v izvajanje evropske kohezijske politike), vsaj </w:t>
      </w:r>
      <w:r w:rsidRPr="00C55C5A">
        <w:rPr>
          <w:rFonts w:ascii="Arial" w:eastAsia="Calibri" w:hAnsi="Arial" w:cs="Arial"/>
          <w:b/>
          <w:color w:val="000000"/>
          <w:sz w:val="22"/>
          <w:szCs w:val="22"/>
          <w:lang w:val="sl-SI"/>
        </w:rPr>
        <w:t>do 31.12.2027</w:t>
      </w:r>
      <w:r w:rsidRPr="00C55C5A">
        <w:rPr>
          <w:rFonts w:ascii="Arial" w:eastAsia="Calibri" w:hAnsi="Arial" w:cs="Arial"/>
          <w:color w:val="000000"/>
          <w:sz w:val="22"/>
          <w:szCs w:val="22"/>
          <w:lang w:val="sl-SI"/>
        </w:rPr>
        <w:t xml:space="preserve"> oz. 10 let po zaključku FI.</w:t>
      </w:r>
    </w:p>
    <w:p w14:paraId="0D2AF7AE" w14:textId="77777777" w:rsidR="00C55C5A" w:rsidRPr="00C55C5A" w:rsidRDefault="00C55C5A" w:rsidP="00C55C5A">
      <w:pPr>
        <w:jc w:val="both"/>
        <w:rPr>
          <w:rFonts w:ascii="Arial" w:eastAsia="Calibri" w:hAnsi="Arial" w:cs="Arial"/>
          <w:color w:val="000000"/>
          <w:sz w:val="22"/>
          <w:szCs w:val="22"/>
          <w:lang w:val="sl-SI"/>
        </w:rPr>
      </w:pPr>
    </w:p>
    <w:p w14:paraId="446C88F4"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Upravljavec sklada skladov je dolžan hraniti vse dokumente v zvezi z izvajanjem FI. Natančnejši obseg dokumentacije se določi v okviru sporazuma o financiranju. </w:t>
      </w:r>
    </w:p>
    <w:p w14:paraId="12CEE211" w14:textId="77777777" w:rsidR="00C55C5A" w:rsidRPr="00C55C5A" w:rsidRDefault="00C55C5A" w:rsidP="00C55C5A">
      <w:pPr>
        <w:jc w:val="both"/>
        <w:rPr>
          <w:rFonts w:ascii="Arial" w:eastAsia="Calibri" w:hAnsi="Arial" w:cs="Arial"/>
          <w:color w:val="000000"/>
          <w:sz w:val="22"/>
          <w:szCs w:val="22"/>
          <w:lang w:val="sl-SI"/>
        </w:rPr>
      </w:pPr>
    </w:p>
    <w:p w14:paraId="25C36F75"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Prav tako so končni prejemniki dolžni hraniti vse dokumente v zvezi s sredstvi evropske kohezijske politike. Ti dokumenti lahko obsegajo:</w:t>
      </w:r>
    </w:p>
    <w:p w14:paraId="5597A7B4"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prijavne obrazce s spremljajočimi dokumenti, vključno s poslovnimi načrti in preteklimi letnimi izkazi,</w:t>
      </w:r>
    </w:p>
    <w:p w14:paraId="36099A2E"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letna poročila, poslovna poročila in morebitna druga poročila.</w:t>
      </w:r>
    </w:p>
    <w:p w14:paraId="296C9EDE" w14:textId="77777777" w:rsidR="00C55C5A" w:rsidRPr="00C55C5A" w:rsidRDefault="00C55C5A" w:rsidP="00C55C5A">
      <w:pPr>
        <w:jc w:val="both"/>
        <w:rPr>
          <w:rFonts w:ascii="Arial" w:eastAsia="Calibri" w:hAnsi="Arial" w:cs="Arial"/>
          <w:color w:val="000000"/>
          <w:sz w:val="22"/>
          <w:szCs w:val="22"/>
          <w:lang w:val="sl-SI"/>
        </w:rPr>
      </w:pPr>
    </w:p>
    <w:p w14:paraId="4717816A"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Končni prejemniki so dolžni predhodno navedeno dokumentacijo in evidence, na pisno zahtevo, posredovati pristojnim državnim organom in organom Evropske komisije.</w:t>
      </w:r>
    </w:p>
    <w:p w14:paraId="6BCCA662" w14:textId="77777777" w:rsidR="00C55C5A" w:rsidRPr="00C55C5A" w:rsidRDefault="00C55C5A" w:rsidP="00C55C5A">
      <w:pPr>
        <w:suppressAutoHyphens/>
        <w:jc w:val="both"/>
        <w:rPr>
          <w:rFonts w:ascii="Arial" w:eastAsia="Calibri" w:hAnsi="Arial" w:cs="Arial"/>
          <w:color w:val="000000"/>
          <w:sz w:val="22"/>
          <w:szCs w:val="22"/>
          <w:lang w:val="sl-SI"/>
        </w:rPr>
      </w:pPr>
    </w:p>
    <w:p w14:paraId="2517E681" w14:textId="77777777" w:rsidR="00C55C5A" w:rsidRPr="00C55C5A" w:rsidRDefault="00C55C5A" w:rsidP="00C55C5A">
      <w:pPr>
        <w:suppressAutoHyphens/>
        <w:jc w:val="both"/>
        <w:rPr>
          <w:rFonts w:ascii="Arial" w:eastAsia="Calibri" w:hAnsi="Arial" w:cs="Arial"/>
          <w:color w:val="000000"/>
          <w:sz w:val="22"/>
          <w:szCs w:val="22"/>
          <w:lang w:val="sl-SI"/>
        </w:rPr>
      </w:pPr>
    </w:p>
    <w:p w14:paraId="20F2A1BB" w14:textId="77777777" w:rsidR="00C55C5A" w:rsidRPr="00C55C5A" w:rsidRDefault="00C55C5A" w:rsidP="00C55C5A">
      <w:pPr>
        <w:keepNext/>
        <w:keepLines/>
        <w:spacing w:before="40"/>
        <w:jc w:val="both"/>
        <w:outlineLvl w:val="2"/>
        <w:rPr>
          <w:rFonts w:ascii="Arial" w:hAnsi="Arial" w:cs="Arial"/>
          <w:b/>
          <w:color w:val="1F4D78"/>
          <w:sz w:val="22"/>
          <w:lang w:val="sl-SI"/>
        </w:rPr>
      </w:pPr>
      <w:bookmarkStart w:id="34" w:name="_Toc479162952"/>
      <w:r w:rsidRPr="00C55C5A">
        <w:rPr>
          <w:rFonts w:ascii="Arial" w:hAnsi="Arial" w:cs="Arial"/>
          <w:b/>
          <w:color w:val="1F4D78"/>
          <w:sz w:val="22"/>
          <w:lang w:val="sl-SI"/>
        </w:rPr>
        <w:t>9.4 Spremljanje državnih pomoči</w:t>
      </w:r>
      <w:bookmarkEnd w:id="34"/>
    </w:p>
    <w:p w14:paraId="1733459F" w14:textId="77777777" w:rsidR="00C55C5A" w:rsidRPr="00C55C5A" w:rsidRDefault="00C55C5A" w:rsidP="00C55C5A">
      <w:pPr>
        <w:suppressAutoHyphens/>
        <w:jc w:val="both"/>
        <w:rPr>
          <w:rFonts w:ascii="Arial" w:eastAsia="Calibri" w:hAnsi="Arial" w:cs="Arial"/>
          <w:color w:val="000000"/>
          <w:lang w:val="sl-SI"/>
        </w:rPr>
      </w:pPr>
    </w:p>
    <w:p w14:paraId="2502B191"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lastRenderedPageBreak/>
        <w:t>Državne pomoči se pri izvajanju finančnih instrumentov lahko pojavijo na več ravneh: na ravni sklada skladov, finančnih posrednikov in zasebnih investitorjev ter končnih prejemnikov. Pri zasnovi sistema izvajanja FI v Republiki Sloveniji se zasleduje cilj, da se pogoji opredelijo na način, da do državne pomoči na ravni sklada skladov ter finančnih posrednikov in zasebnih investitorjev ne bi prišlo. Slednje bo opredeljeno v sporazumih o financiranju. Na ravni končnih upravičencev se bodo FI izvajali skladno s pravili državnih pomoči oz. de minimis pomoči. V tem primeru se bodo uporabile obstoječe sheme državnih oz. de minimis pomoči ali se bo priglasila nova državna oz. de minimis pomoč. Podrobneje bodo pogoji glede državnih pomoči opredeljeni v sporazumu o financiranju.</w:t>
      </w:r>
    </w:p>
    <w:p w14:paraId="7362C21E" w14:textId="77777777" w:rsidR="00C55C5A" w:rsidRPr="00C55C5A" w:rsidRDefault="00C55C5A" w:rsidP="00C55C5A">
      <w:pPr>
        <w:suppressAutoHyphens/>
        <w:jc w:val="both"/>
        <w:rPr>
          <w:rFonts w:ascii="Arial" w:eastAsia="Calibri" w:hAnsi="Arial" w:cs="Arial"/>
          <w:color w:val="000000"/>
          <w:sz w:val="22"/>
          <w:szCs w:val="22"/>
          <w:lang w:val="sl-SI"/>
        </w:rPr>
      </w:pPr>
    </w:p>
    <w:p w14:paraId="2EBDECD0" w14:textId="77777777" w:rsidR="00C55C5A" w:rsidRPr="00C55C5A" w:rsidRDefault="00C55C5A" w:rsidP="00C55C5A">
      <w:pPr>
        <w:suppressAutoHyphens/>
        <w:jc w:val="both"/>
        <w:rPr>
          <w:rFonts w:ascii="Arial" w:eastAsia="Calibri" w:hAnsi="Arial" w:cs="Arial"/>
          <w:color w:val="000000"/>
          <w:sz w:val="22"/>
          <w:szCs w:val="22"/>
          <w:lang w:val="sl-SI"/>
        </w:rPr>
      </w:pPr>
    </w:p>
    <w:p w14:paraId="4732C167"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Upravljavec sklada skladov </w:t>
      </w:r>
      <w:r w:rsidRPr="00C55C5A">
        <w:rPr>
          <w:rFonts w:ascii="Arial" w:eastAsia="Calibri" w:hAnsi="Arial" w:cs="Arial"/>
          <w:b/>
          <w:color w:val="000000"/>
          <w:sz w:val="22"/>
          <w:szCs w:val="22"/>
          <w:lang w:val="sl-SI"/>
        </w:rPr>
        <w:t>spremlja državne in de minimis pomoči</w:t>
      </w:r>
      <w:r w:rsidRPr="00C55C5A">
        <w:rPr>
          <w:rFonts w:ascii="Arial" w:eastAsia="Calibri" w:hAnsi="Arial" w:cs="Arial"/>
          <w:color w:val="000000"/>
          <w:sz w:val="22"/>
          <w:szCs w:val="22"/>
          <w:lang w:val="sl-SI"/>
        </w:rPr>
        <w:t xml:space="preserve"> na vseh nivojih (na nivoju finančnih posrednikov in zasebne investitorje ter končnih prejemnikov) ter o tem poroča Ministrstvu za finance skladno z Zakonom o spremljanju državnih pomoči (Uradni list RS, št. 37/04) .</w:t>
      </w:r>
    </w:p>
    <w:p w14:paraId="01325E18" w14:textId="77777777" w:rsidR="00C55C5A" w:rsidRPr="00C55C5A" w:rsidRDefault="00C55C5A" w:rsidP="00C55C5A">
      <w:pPr>
        <w:suppressAutoHyphens/>
        <w:jc w:val="both"/>
        <w:rPr>
          <w:rFonts w:ascii="Arial" w:eastAsia="Calibri" w:hAnsi="Arial" w:cs="Arial"/>
          <w:color w:val="000000"/>
          <w:sz w:val="22"/>
          <w:szCs w:val="22"/>
          <w:lang w:val="sl-SI"/>
        </w:rPr>
      </w:pPr>
    </w:p>
    <w:p w14:paraId="045071C0" w14:textId="77777777" w:rsidR="00C55C5A" w:rsidRPr="00C55C5A" w:rsidRDefault="00C55C5A" w:rsidP="00C55C5A">
      <w:pPr>
        <w:suppressAutoHyphens/>
        <w:jc w:val="both"/>
        <w:rPr>
          <w:rFonts w:ascii="Arial" w:eastAsia="Calibri" w:hAnsi="Arial" w:cs="Arial"/>
          <w:color w:val="000000"/>
          <w:lang w:val="sl-SI"/>
        </w:rPr>
      </w:pPr>
    </w:p>
    <w:p w14:paraId="1D287A9E" w14:textId="77777777" w:rsidR="00C55C5A" w:rsidRPr="00C55C5A" w:rsidRDefault="00C55C5A" w:rsidP="00C55C5A">
      <w:pPr>
        <w:keepNext/>
        <w:keepLines/>
        <w:spacing w:before="40"/>
        <w:jc w:val="both"/>
        <w:outlineLvl w:val="2"/>
        <w:rPr>
          <w:rFonts w:ascii="Arial" w:eastAsia="Calibri" w:hAnsi="Arial" w:cs="Arial"/>
          <w:b/>
          <w:color w:val="1F4D78"/>
          <w:sz w:val="22"/>
          <w:lang w:val="sl-SI"/>
        </w:rPr>
      </w:pPr>
      <w:bookmarkStart w:id="35" w:name="_Toc479162953"/>
      <w:r w:rsidRPr="00C55C5A">
        <w:rPr>
          <w:rFonts w:ascii="Arial" w:eastAsia="Calibri" w:hAnsi="Arial" w:cs="Arial"/>
          <w:b/>
          <w:color w:val="1F4D78"/>
          <w:sz w:val="22"/>
          <w:lang w:val="sl-SI"/>
        </w:rPr>
        <w:t>9.5 Spremljanje ciljev in kazalnikov</w:t>
      </w:r>
      <w:bookmarkEnd w:id="35"/>
    </w:p>
    <w:p w14:paraId="34F4B049" w14:textId="77777777" w:rsidR="00C55C5A" w:rsidRPr="00C55C5A" w:rsidRDefault="00C55C5A" w:rsidP="00C55C5A">
      <w:pPr>
        <w:suppressAutoHyphens/>
        <w:jc w:val="both"/>
        <w:rPr>
          <w:rFonts w:ascii="Arial" w:eastAsia="Calibri" w:hAnsi="Arial" w:cs="Arial"/>
          <w:color w:val="000000"/>
          <w:lang w:val="sl-SI"/>
        </w:rPr>
      </w:pPr>
    </w:p>
    <w:p w14:paraId="2A1BB381"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Upravljavec sklada skladov je dolžan tudi </w:t>
      </w:r>
      <w:r w:rsidRPr="00C55C5A">
        <w:rPr>
          <w:rFonts w:ascii="Arial" w:eastAsia="Calibri" w:hAnsi="Arial" w:cs="Arial"/>
          <w:b/>
          <w:color w:val="000000"/>
          <w:sz w:val="22"/>
          <w:szCs w:val="22"/>
          <w:lang w:val="sl-SI"/>
        </w:rPr>
        <w:t>spremljati izvajanje vsebin, slediti ciljem in spremljati izpolnjevanje kazalnikov  ter o njih poročati PO</w:t>
      </w:r>
      <w:r w:rsidRPr="00C55C5A">
        <w:rPr>
          <w:rFonts w:ascii="Arial" w:eastAsia="Calibri" w:hAnsi="Arial" w:cs="Arial"/>
          <w:color w:val="000000"/>
          <w:sz w:val="22"/>
          <w:szCs w:val="22"/>
          <w:lang w:val="sl-SI"/>
        </w:rPr>
        <w:t xml:space="preserve"> skladno s prednostnimi naložbami OP 2014 - 2020, ki ga potrdi OU.</w:t>
      </w:r>
    </w:p>
    <w:p w14:paraId="03C228EE" w14:textId="77777777" w:rsidR="00C55C5A" w:rsidRPr="00C55C5A" w:rsidRDefault="00C55C5A" w:rsidP="00C55C5A">
      <w:pPr>
        <w:suppressAutoHyphens/>
        <w:jc w:val="both"/>
        <w:rPr>
          <w:rFonts w:ascii="Arial" w:eastAsia="Calibri" w:hAnsi="Arial" w:cs="Arial"/>
          <w:color w:val="000000"/>
          <w:sz w:val="22"/>
          <w:szCs w:val="22"/>
          <w:lang w:val="sl-SI"/>
        </w:rPr>
      </w:pPr>
    </w:p>
    <w:p w14:paraId="4AA8F21D" w14:textId="77777777" w:rsidR="00C55C5A" w:rsidRPr="00C55C5A" w:rsidRDefault="00C55C5A" w:rsidP="00C55C5A">
      <w:pPr>
        <w:jc w:val="both"/>
        <w:rPr>
          <w:rFonts w:ascii="Arial" w:hAnsi="Arial" w:cs="Arial"/>
          <w:sz w:val="22"/>
          <w:szCs w:val="22"/>
          <w:lang w:val="sl-SI"/>
        </w:rPr>
      </w:pPr>
      <w:r w:rsidRPr="00C55C5A">
        <w:rPr>
          <w:rFonts w:ascii="Arial" w:eastAsia="Calibri" w:hAnsi="Arial" w:cs="Arial"/>
          <w:color w:val="000000"/>
          <w:sz w:val="22"/>
          <w:szCs w:val="22"/>
          <w:lang w:val="sl-SI"/>
        </w:rPr>
        <w:t xml:space="preserve">V spodnji tabeli so predstavljeni kazalniki po posameznih področjih iz OP 2014-2020: MSP, RRI, energetska učinkovitost in urbani razvoj. </w:t>
      </w:r>
      <w:r w:rsidRPr="00C55C5A">
        <w:rPr>
          <w:rFonts w:ascii="Arial" w:hAnsi="Arial" w:cs="Arial"/>
          <w:sz w:val="22"/>
          <w:szCs w:val="22"/>
          <w:lang w:val="sl-SI"/>
        </w:rPr>
        <w:t xml:space="preserve">Vrednosti kazalnikov so okvirne, v sporazumu o financiranju pa bodo podrobneje opredeljene, prav tako pa tudi vsebina, dinamika poročanja, način izračuna, način zajema, ipd. </w:t>
      </w:r>
    </w:p>
    <w:p w14:paraId="4E5D14D8" w14:textId="77777777" w:rsidR="00C55C5A" w:rsidRPr="00C55C5A" w:rsidRDefault="00C55C5A" w:rsidP="00C55C5A">
      <w:pPr>
        <w:jc w:val="both"/>
        <w:rPr>
          <w:rFonts w:ascii="Arial" w:hAnsi="Arial" w:cs="Arial"/>
          <w:sz w:val="22"/>
          <w:szCs w:val="22"/>
          <w:lang w:val="sl-SI"/>
        </w:rPr>
      </w:pPr>
    </w:p>
    <w:p w14:paraId="63F57D94"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sporazumu o financiranju se lahko opredelijo dodatni kazalniki, ki jih je potrebno spremljati (npr. dodana vrednost na zaposlenega v podprtih podjetjih, nova in ohranjena delovna mesta v podprtih podjetjih, ipd.).</w:t>
      </w:r>
    </w:p>
    <w:p w14:paraId="5BDF922C" w14:textId="77777777" w:rsidR="00C55C5A" w:rsidRPr="00C55C5A" w:rsidRDefault="00C55C5A" w:rsidP="00C55C5A">
      <w:pPr>
        <w:jc w:val="both"/>
        <w:rPr>
          <w:rFonts w:ascii="Arial" w:hAnsi="Arial"/>
          <w:sz w:val="22"/>
          <w:szCs w:val="22"/>
          <w:lang w:val="sl-SI"/>
        </w:rPr>
      </w:pPr>
    </w:p>
    <w:p w14:paraId="2AF7820B"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Tabela 14: Kvantitativni cilji po prednostnih naložbah in finančnih instrumentih*</w:t>
      </w:r>
    </w:p>
    <w:p w14:paraId="7444B496" w14:textId="77777777" w:rsidR="00C55C5A" w:rsidRPr="00C55C5A" w:rsidRDefault="00C55C5A" w:rsidP="00C55C5A">
      <w:pPr>
        <w:suppressAutoHyphens/>
        <w:jc w:val="both"/>
        <w:rPr>
          <w:rFonts w:ascii="Arial" w:eastAsia="Calibri" w:hAnsi="Arial" w:cs="Arial"/>
          <w:color w:val="000000"/>
          <w:sz w:val="22"/>
          <w:szCs w:val="22"/>
          <w:lang w:val="sl-SI"/>
        </w:rPr>
      </w:pPr>
    </w:p>
    <w:tbl>
      <w:tblPr>
        <w:tblStyle w:val="Tabelamrea"/>
        <w:tblW w:w="10598" w:type="dxa"/>
        <w:tblInd w:w="-113" w:type="dxa"/>
        <w:tblLook w:val="04A0" w:firstRow="1" w:lastRow="0" w:firstColumn="1" w:lastColumn="0" w:noHBand="0" w:noVBand="1"/>
      </w:tblPr>
      <w:tblGrid>
        <w:gridCol w:w="1372"/>
        <w:gridCol w:w="1384"/>
        <w:gridCol w:w="1198"/>
        <w:gridCol w:w="834"/>
        <w:gridCol w:w="2371"/>
        <w:gridCol w:w="1662"/>
        <w:gridCol w:w="1777"/>
      </w:tblGrid>
      <w:tr w:rsidR="00C55C5A" w:rsidRPr="00C55C5A" w14:paraId="660F5E29" w14:textId="77777777" w:rsidTr="00E6701A">
        <w:tc>
          <w:tcPr>
            <w:tcW w:w="1372" w:type="dxa"/>
          </w:tcPr>
          <w:p w14:paraId="0AD0E178"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Prednostna naložba</w:t>
            </w:r>
          </w:p>
        </w:tc>
        <w:tc>
          <w:tcPr>
            <w:tcW w:w="1384" w:type="dxa"/>
          </w:tcPr>
          <w:p w14:paraId="0A667F8E"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Finančni instrument</w:t>
            </w:r>
          </w:p>
        </w:tc>
        <w:tc>
          <w:tcPr>
            <w:tcW w:w="1198" w:type="dxa"/>
          </w:tcPr>
          <w:p w14:paraId="19381E9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 xml:space="preserve"> Vrsta kazalnika</w:t>
            </w:r>
          </w:p>
        </w:tc>
        <w:tc>
          <w:tcPr>
            <w:tcW w:w="834" w:type="dxa"/>
          </w:tcPr>
          <w:p w14:paraId="18FA3C95"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2371" w:type="dxa"/>
          </w:tcPr>
          <w:p w14:paraId="52F2DCAC"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 xml:space="preserve"> Kazalnik</w:t>
            </w:r>
          </w:p>
        </w:tc>
        <w:tc>
          <w:tcPr>
            <w:tcW w:w="1662" w:type="dxa"/>
          </w:tcPr>
          <w:p w14:paraId="4A088355"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Vrednost kazalnika</w:t>
            </w:r>
          </w:p>
        </w:tc>
        <w:tc>
          <w:tcPr>
            <w:tcW w:w="1777" w:type="dxa"/>
          </w:tcPr>
          <w:p w14:paraId="43A32D58"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Vrednost kazalnika – prispevek k OP 2014 - 2020</w:t>
            </w:r>
          </w:p>
        </w:tc>
      </w:tr>
      <w:tr w:rsidR="00C55C5A" w:rsidRPr="00C55C5A" w14:paraId="65F42C0C" w14:textId="77777777" w:rsidTr="00E6701A">
        <w:tc>
          <w:tcPr>
            <w:tcW w:w="1372" w:type="dxa"/>
            <w:vMerge w:val="restart"/>
          </w:tcPr>
          <w:p w14:paraId="769C38E3"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3.1 MSP</w:t>
            </w:r>
          </w:p>
        </w:tc>
        <w:tc>
          <w:tcPr>
            <w:tcW w:w="1384" w:type="dxa"/>
            <w:vMerge w:val="restart"/>
          </w:tcPr>
          <w:p w14:paraId="623F4F2E"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Mikrokrediti</w:t>
            </w:r>
          </w:p>
        </w:tc>
        <w:tc>
          <w:tcPr>
            <w:tcW w:w="1198" w:type="dxa"/>
          </w:tcPr>
          <w:p w14:paraId="31CD7526"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3213F9B0"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C001</w:t>
            </w:r>
          </w:p>
        </w:tc>
        <w:tc>
          <w:tcPr>
            <w:tcW w:w="2371" w:type="dxa"/>
          </w:tcPr>
          <w:p w14:paraId="435EA855"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Število podprtih podjetij</w:t>
            </w:r>
          </w:p>
        </w:tc>
        <w:tc>
          <w:tcPr>
            <w:tcW w:w="1662" w:type="dxa"/>
          </w:tcPr>
          <w:p w14:paraId="216CA51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40 podjetij/1 mio EUR</w:t>
            </w:r>
          </w:p>
        </w:tc>
        <w:tc>
          <w:tcPr>
            <w:tcW w:w="1777" w:type="dxa"/>
          </w:tcPr>
          <w:p w14:paraId="60061F85"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3.200 podjetij</w:t>
            </w:r>
          </w:p>
        </w:tc>
      </w:tr>
      <w:tr w:rsidR="00C55C5A" w:rsidRPr="00C55C5A" w14:paraId="762599D3" w14:textId="77777777" w:rsidTr="00E6701A">
        <w:tc>
          <w:tcPr>
            <w:tcW w:w="1372" w:type="dxa"/>
            <w:vMerge/>
          </w:tcPr>
          <w:p w14:paraId="634AB66D"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384" w:type="dxa"/>
            <w:vMerge/>
          </w:tcPr>
          <w:p w14:paraId="44456D48"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198" w:type="dxa"/>
          </w:tcPr>
          <w:p w14:paraId="367E3C66"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23DFD558"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C008</w:t>
            </w:r>
          </w:p>
        </w:tc>
        <w:tc>
          <w:tcPr>
            <w:tcW w:w="2371" w:type="dxa"/>
          </w:tcPr>
          <w:p w14:paraId="5D0864F6"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Število novih delovnih mest</w:t>
            </w:r>
          </w:p>
        </w:tc>
        <w:tc>
          <w:tcPr>
            <w:tcW w:w="1662" w:type="dxa"/>
          </w:tcPr>
          <w:p w14:paraId="261622F6"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1 delovno mesto/1 mio EUR</w:t>
            </w:r>
          </w:p>
        </w:tc>
        <w:tc>
          <w:tcPr>
            <w:tcW w:w="1777" w:type="dxa"/>
          </w:tcPr>
          <w:p w14:paraId="3A47F8EE"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80 delovnih mest</w:t>
            </w:r>
          </w:p>
        </w:tc>
      </w:tr>
      <w:tr w:rsidR="00C55C5A" w:rsidRPr="00C55C5A" w14:paraId="787329AC" w14:textId="77777777" w:rsidTr="00E6701A">
        <w:tc>
          <w:tcPr>
            <w:tcW w:w="1372" w:type="dxa"/>
            <w:vMerge/>
          </w:tcPr>
          <w:p w14:paraId="1B8B2BEA"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384" w:type="dxa"/>
            <w:vMerge w:val="restart"/>
          </w:tcPr>
          <w:p w14:paraId="45207804"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Portfeljske garancije</w:t>
            </w:r>
          </w:p>
        </w:tc>
        <w:tc>
          <w:tcPr>
            <w:tcW w:w="1198" w:type="dxa"/>
          </w:tcPr>
          <w:p w14:paraId="09A8FA49"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32968B4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C001</w:t>
            </w:r>
          </w:p>
        </w:tc>
        <w:tc>
          <w:tcPr>
            <w:tcW w:w="2371" w:type="dxa"/>
          </w:tcPr>
          <w:p w14:paraId="5469E494"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Število podprtih podjetij</w:t>
            </w:r>
          </w:p>
        </w:tc>
        <w:tc>
          <w:tcPr>
            <w:tcW w:w="1662" w:type="dxa"/>
          </w:tcPr>
          <w:p w14:paraId="7D72EE09"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6 MSP/1 mio EUR</w:t>
            </w:r>
          </w:p>
        </w:tc>
        <w:tc>
          <w:tcPr>
            <w:tcW w:w="1777" w:type="dxa"/>
          </w:tcPr>
          <w:p w14:paraId="3D22BB2B"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520 podjetij</w:t>
            </w:r>
          </w:p>
        </w:tc>
      </w:tr>
      <w:tr w:rsidR="00C55C5A" w:rsidRPr="00C55C5A" w14:paraId="60693307" w14:textId="77777777" w:rsidTr="00E6701A">
        <w:tc>
          <w:tcPr>
            <w:tcW w:w="1372" w:type="dxa"/>
            <w:vMerge/>
          </w:tcPr>
          <w:p w14:paraId="7512AF81"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384" w:type="dxa"/>
            <w:vMerge/>
          </w:tcPr>
          <w:p w14:paraId="68E3EA29"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198" w:type="dxa"/>
          </w:tcPr>
          <w:p w14:paraId="0A9B224E"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7C7FC40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C008</w:t>
            </w:r>
          </w:p>
        </w:tc>
        <w:tc>
          <w:tcPr>
            <w:tcW w:w="2371" w:type="dxa"/>
          </w:tcPr>
          <w:p w14:paraId="4C903B80"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Število novih delovnih mest</w:t>
            </w:r>
          </w:p>
        </w:tc>
        <w:tc>
          <w:tcPr>
            <w:tcW w:w="1662" w:type="dxa"/>
          </w:tcPr>
          <w:p w14:paraId="54477A2F"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1,5 delovnih mest/1 mio EUR</w:t>
            </w:r>
          </w:p>
        </w:tc>
        <w:tc>
          <w:tcPr>
            <w:tcW w:w="1777" w:type="dxa"/>
          </w:tcPr>
          <w:p w14:paraId="5527515D"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129 delovnih mest</w:t>
            </w:r>
          </w:p>
        </w:tc>
      </w:tr>
      <w:tr w:rsidR="00C55C5A" w:rsidRPr="00C55C5A" w14:paraId="228208C1" w14:textId="77777777" w:rsidTr="00E6701A">
        <w:trPr>
          <w:trHeight w:val="579"/>
        </w:trPr>
        <w:tc>
          <w:tcPr>
            <w:tcW w:w="1372" w:type="dxa"/>
            <w:vMerge/>
          </w:tcPr>
          <w:p w14:paraId="3ED77001"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384" w:type="dxa"/>
            <w:vMerge/>
          </w:tcPr>
          <w:p w14:paraId="69F0B5BF"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198" w:type="dxa"/>
          </w:tcPr>
          <w:p w14:paraId="527942FE"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110BE59D"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3.7</w:t>
            </w:r>
          </w:p>
        </w:tc>
        <w:tc>
          <w:tcPr>
            <w:tcW w:w="2371" w:type="dxa"/>
          </w:tcPr>
          <w:p w14:paraId="10747BA0"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 xml:space="preserve">Število podjetij, ki so uvedla ukrepe za učinkovito ravnanje z </w:t>
            </w:r>
            <w:r w:rsidRPr="00C55C5A">
              <w:rPr>
                <w:rFonts w:ascii="Arial" w:eastAsia="Calibri" w:hAnsi="Arial" w:cs="Arial"/>
                <w:color w:val="000000"/>
                <w:sz w:val="20"/>
                <w:szCs w:val="20"/>
                <w:lang w:val="sl-SI"/>
              </w:rPr>
              <w:lastRenderedPageBreak/>
              <w:t>viri</w:t>
            </w:r>
          </w:p>
        </w:tc>
        <w:tc>
          <w:tcPr>
            <w:tcW w:w="1662" w:type="dxa"/>
          </w:tcPr>
          <w:p w14:paraId="5FB75674"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lastRenderedPageBreak/>
              <w:t>6 MSP/1 mio EUR</w:t>
            </w:r>
          </w:p>
        </w:tc>
        <w:tc>
          <w:tcPr>
            <w:tcW w:w="1777" w:type="dxa"/>
          </w:tcPr>
          <w:p w14:paraId="177C9C3A"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520 podjetij</w:t>
            </w:r>
          </w:p>
        </w:tc>
      </w:tr>
      <w:tr w:rsidR="00C55C5A" w:rsidRPr="00C55C5A" w14:paraId="77223466" w14:textId="77777777" w:rsidTr="00E6701A">
        <w:tc>
          <w:tcPr>
            <w:tcW w:w="1372" w:type="dxa"/>
            <w:vMerge/>
          </w:tcPr>
          <w:p w14:paraId="7196A9FA"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384" w:type="dxa"/>
          </w:tcPr>
          <w:p w14:paraId="3C03E22B"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Lastniško financiranje</w:t>
            </w:r>
          </w:p>
        </w:tc>
        <w:tc>
          <w:tcPr>
            <w:tcW w:w="1198" w:type="dxa"/>
          </w:tcPr>
          <w:p w14:paraId="7C085952"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6757867D"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C001</w:t>
            </w:r>
          </w:p>
        </w:tc>
        <w:tc>
          <w:tcPr>
            <w:tcW w:w="2371" w:type="dxa"/>
          </w:tcPr>
          <w:p w14:paraId="23CF523D"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Število podprtih podjetij</w:t>
            </w:r>
          </w:p>
        </w:tc>
        <w:tc>
          <w:tcPr>
            <w:tcW w:w="1662" w:type="dxa"/>
          </w:tcPr>
          <w:p w14:paraId="6392A60E"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5 MSP/1 mio EUR</w:t>
            </w:r>
          </w:p>
        </w:tc>
        <w:tc>
          <w:tcPr>
            <w:tcW w:w="1777" w:type="dxa"/>
          </w:tcPr>
          <w:p w14:paraId="0BF95443"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66 podjetij</w:t>
            </w:r>
          </w:p>
        </w:tc>
      </w:tr>
      <w:tr w:rsidR="00C55C5A" w:rsidRPr="00C55C5A" w14:paraId="2D4DD61E" w14:textId="77777777" w:rsidTr="00E6701A">
        <w:tc>
          <w:tcPr>
            <w:tcW w:w="1372" w:type="dxa"/>
            <w:vMerge w:val="restart"/>
          </w:tcPr>
          <w:p w14:paraId="764137BE"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1.2 RRI</w:t>
            </w:r>
          </w:p>
        </w:tc>
        <w:tc>
          <w:tcPr>
            <w:tcW w:w="1384" w:type="dxa"/>
          </w:tcPr>
          <w:p w14:paraId="3F047C9E"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Posojila</w:t>
            </w:r>
          </w:p>
        </w:tc>
        <w:tc>
          <w:tcPr>
            <w:tcW w:w="1198" w:type="dxa"/>
          </w:tcPr>
          <w:p w14:paraId="2A2D9856"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3239D40A"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C001</w:t>
            </w:r>
          </w:p>
        </w:tc>
        <w:tc>
          <w:tcPr>
            <w:tcW w:w="2371" w:type="dxa"/>
          </w:tcPr>
          <w:p w14:paraId="6F885155"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Število podprtih podjetij</w:t>
            </w:r>
          </w:p>
        </w:tc>
        <w:tc>
          <w:tcPr>
            <w:tcW w:w="1662" w:type="dxa"/>
          </w:tcPr>
          <w:p w14:paraId="5BA51194"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5 MSP/1 mio EUR</w:t>
            </w:r>
          </w:p>
        </w:tc>
        <w:tc>
          <w:tcPr>
            <w:tcW w:w="1777" w:type="dxa"/>
          </w:tcPr>
          <w:p w14:paraId="66A0439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362</w:t>
            </w:r>
          </w:p>
        </w:tc>
      </w:tr>
      <w:tr w:rsidR="00C55C5A" w:rsidRPr="00C55C5A" w14:paraId="2DCD6BEC" w14:textId="77777777" w:rsidTr="00E6701A">
        <w:tc>
          <w:tcPr>
            <w:tcW w:w="1372" w:type="dxa"/>
            <w:vMerge/>
          </w:tcPr>
          <w:p w14:paraId="1E1C03B5"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384" w:type="dxa"/>
          </w:tcPr>
          <w:p w14:paraId="33C7032F"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Portfeljske garancije</w:t>
            </w:r>
          </w:p>
        </w:tc>
        <w:tc>
          <w:tcPr>
            <w:tcW w:w="1198" w:type="dxa"/>
          </w:tcPr>
          <w:p w14:paraId="74D1E009"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328CC1CA"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C001</w:t>
            </w:r>
          </w:p>
        </w:tc>
        <w:tc>
          <w:tcPr>
            <w:tcW w:w="2371" w:type="dxa"/>
          </w:tcPr>
          <w:p w14:paraId="5CF33A6C"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Število podprtih podjetij</w:t>
            </w:r>
          </w:p>
        </w:tc>
        <w:tc>
          <w:tcPr>
            <w:tcW w:w="1662" w:type="dxa"/>
          </w:tcPr>
          <w:p w14:paraId="7A152B7B"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5 MSP/1 mio EUR</w:t>
            </w:r>
          </w:p>
        </w:tc>
        <w:tc>
          <w:tcPr>
            <w:tcW w:w="1777" w:type="dxa"/>
          </w:tcPr>
          <w:p w14:paraId="1931FD41"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187</w:t>
            </w:r>
          </w:p>
        </w:tc>
      </w:tr>
      <w:tr w:rsidR="00C55C5A" w:rsidRPr="00C55C5A" w14:paraId="419358A5" w14:textId="77777777" w:rsidTr="00E6701A">
        <w:trPr>
          <w:trHeight w:val="635"/>
        </w:trPr>
        <w:tc>
          <w:tcPr>
            <w:tcW w:w="1372" w:type="dxa"/>
            <w:vMerge w:val="restart"/>
          </w:tcPr>
          <w:p w14:paraId="3CB21740"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4.1 Energetska učinkovitost</w:t>
            </w:r>
          </w:p>
        </w:tc>
        <w:tc>
          <w:tcPr>
            <w:tcW w:w="1384" w:type="dxa"/>
            <w:vMerge w:val="restart"/>
          </w:tcPr>
          <w:p w14:paraId="1732B5EA"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Posojila, garancijske sheme, lastniško financiranje</w:t>
            </w:r>
            <w:r w:rsidRPr="00C55C5A">
              <w:rPr>
                <w:rFonts w:ascii="Arial" w:eastAsia="Calibri" w:hAnsi="Arial" w:cs="Arial"/>
                <w:color w:val="000000"/>
                <w:sz w:val="20"/>
                <w:szCs w:val="20"/>
                <w:vertAlign w:val="superscript"/>
                <w:lang w:val="sl-SI"/>
              </w:rPr>
              <w:footnoteReference w:id="27"/>
            </w:r>
          </w:p>
        </w:tc>
        <w:tc>
          <w:tcPr>
            <w:tcW w:w="1198" w:type="dxa"/>
          </w:tcPr>
          <w:p w14:paraId="0F798650"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tc>
        <w:tc>
          <w:tcPr>
            <w:tcW w:w="834" w:type="dxa"/>
          </w:tcPr>
          <w:p w14:paraId="4422564C"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4.4</w:t>
            </w:r>
          </w:p>
        </w:tc>
        <w:tc>
          <w:tcPr>
            <w:tcW w:w="2371" w:type="dxa"/>
          </w:tcPr>
          <w:p w14:paraId="7455740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Uporabna površina energetsko obnovljenih stavb celotnega javnega sektorja (m2)</w:t>
            </w:r>
          </w:p>
        </w:tc>
        <w:tc>
          <w:tcPr>
            <w:tcW w:w="1662" w:type="dxa"/>
          </w:tcPr>
          <w:p w14:paraId="0D512942"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272.727 m2**</w:t>
            </w:r>
          </w:p>
        </w:tc>
        <w:tc>
          <w:tcPr>
            <w:tcW w:w="1777" w:type="dxa"/>
          </w:tcPr>
          <w:p w14:paraId="7DA86E10"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272.727m2**</w:t>
            </w:r>
          </w:p>
        </w:tc>
      </w:tr>
      <w:tr w:rsidR="00C55C5A" w:rsidRPr="00C55C5A" w14:paraId="1608B561" w14:textId="77777777" w:rsidTr="00E6701A">
        <w:trPr>
          <w:trHeight w:val="699"/>
        </w:trPr>
        <w:tc>
          <w:tcPr>
            <w:tcW w:w="1372" w:type="dxa"/>
            <w:vMerge/>
          </w:tcPr>
          <w:p w14:paraId="4CBC7D18"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384" w:type="dxa"/>
            <w:vMerge/>
          </w:tcPr>
          <w:p w14:paraId="7617E2AC"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1198" w:type="dxa"/>
          </w:tcPr>
          <w:p w14:paraId="0D5FE25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 xml:space="preserve"> </w:t>
            </w:r>
          </w:p>
          <w:p w14:paraId="327ACED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Kazalnik učinka</w:t>
            </w:r>
          </w:p>
          <w:p w14:paraId="2C5DE087" w14:textId="77777777" w:rsidR="00C55C5A" w:rsidRPr="00C55C5A" w:rsidRDefault="00C55C5A" w:rsidP="00C55C5A">
            <w:pPr>
              <w:suppressAutoHyphens/>
              <w:jc w:val="both"/>
              <w:rPr>
                <w:rFonts w:ascii="Arial" w:eastAsia="Calibri" w:hAnsi="Arial" w:cs="Arial"/>
                <w:color w:val="000000"/>
                <w:sz w:val="20"/>
                <w:szCs w:val="20"/>
                <w:lang w:val="sl-SI"/>
              </w:rPr>
            </w:pPr>
          </w:p>
        </w:tc>
        <w:tc>
          <w:tcPr>
            <w:tcW w:w="834" w:type="dxa"/>
          </w:tcPr>
          <w:p w14:paraId="287B6D64"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 xml:space="preserve"> </w:t>
            </w:r>
          </w:p>
          <w:p w14:paraId="222060B5"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C032</w:t>
            </w:r>
          </w:p>
          <w:p w14:paraId="4F2ACF41"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 xml:space="preserve"> </w:t>
            </w:r>
          </w:p>
        </w:tc>
        <w:tc>
          <w:tcPr>
            <w:tcW w:w="2371" w:type="dxa"/>
          </w:tcPr>
          <w:p w14:paraId="385DBFBD"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Zmanjšanje letne porabe primarne energije v javnih stavbah (kWh/a)</w:t>
            </w:r>
          </w:p>
        </w:tc>
        <w:tc>
          <w:tcPr>
            <w:tcW w:w="1662" w:type="dxa"/>
          </w:tcPr>
          <w:p w14:paraId="7F91884D"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3.500.000</w:t>
            </w:r>
          </w:p>
          <w:p w14:paraId="0D26FF97"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kWh/leto***</w:t>
            </w:r>
          </w:p>
        </w:tc>
        <w:tc>
          <w:tcPr>
            <w:tcW w:w="1777" w:type="dxa"/>
          </w:tcPr>
          <w:p w14:paraId="2C280306"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0"/>
                <w:szCs w:val="20"/>
                <w:lang w:val="sl-SI"/>
              </w:rPr>
              <w:t>3.500.000 kWh/leto***</w:t>
            </w:r>
          </w:p>
        </w:tc>
      </w:tr>
      <w:tr w:rsidR="00C55C5A" w:rsidRPr="00C55C5A" w14:paraId="47461F21" w14:textId="77777777" w:rsidTr="00E6701A">
        <w:tc>
          <w:tcPr>
            <w:tcW w:w="1372" w:type="dxa"/>
            <w:vMerge w:val="restart"/>
          </w:tcPr>
          <w:p w14:paraId="6723068E"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 xml:space="preserve">6.3  Urbani razvoj </w:t>
            </w:r>
          </w:p>
        </w:tc>
        <w:tc>
          <w:tcPr>
            <w:tcW w:w="1384" w:type="dxa"/>
            <w:vMerge w:val="restart"/>
          </w:tcPr>
          <w:p w14:paraId="45BF57E4"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Posojila****</w:t>
            </w:r>
          </w:p>
        </w:tc>
        <w:tc>
          <w:tcPr>
            <w:tcW w:w="1198" w:type="dxa"/>
          </w:tcPr>
          <w:p w14:paraId="589BABA8"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Kazalnik učinka</w:t>
            </w:r>
          </w:p>
        </w:tc>
        <w:tc>
          <w:tcPr>
            <w:tcW w:w="834" w:type="dxa"/>
          </w:tcPr>
          <w:p w14:paraId="67152019"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hAnsi="Arial" w:cs="Arial"/>
                <w:sz w:val="20"/>
                <w:szCs w:val="20"/>
                <w:lang w:val="sl-SI" w:eastAsia="ar-SA"/>
              </w:rPr>
              <w:t>CO39</w:t>
            </w:r>
          </w:p>
        </w:tc>
        <w:tc>
          <w:tcPr>
            <w:tcW w:w="2371" w:type="dxa"/>
          </w:tcPr>
          <w:p w14:paraId="307D57A5"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hAnsi="Arial"/>
                <w:sz w:val="20"/>
                <w:szCs w:val="20"/>
                <w:lang w:val="sl-SI" w:eastAsia="ar-SA"/>
              </w:rPr>
              <w:t>Javne ali poslovne stavbe, zgrajene ali prenovljene na urbanih območjih</w:t>
            </w:r>
          </w:p>
        </w:tc>
        <w:tc>
          <w:tcPr>
            <w:tcW w:w="1662" w:type="dxa"/>
          </w:tcPr>
          <w:p w14:paraId="53981262"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Okvirno 1200 EUR/ m2</w:t>
            </w:r>
          </w:p>
          <w:p w14:paraId="0C061159"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(za izvedbo z upoštevanjem minimalnega fin. vzvoda namenjeno 3 mio EUR)</w:t>
            </w:r>
          </w:p>
        </w:tc>
        <w:tc>
          <w:tcPr>
            <w:tcW w:w="1777" w:type="dxa"/>
          </w:tcPr>
          <w:p w14:paraId="5FD42B58"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 xml:space="preserve">2.500m2 </w:t>
            </w:r>
          </w:p>
          <w:p w14:paraId="698FA8A8" w14:textId="77777777" w:rsidR="00C55C5A" w:rsidRPr="00C55C5A" w:rsidRDefault="00C55C5A" w:rsidP="00C55C5A">
            <w:pPr>
              <w:suppressAutoHyphens/>
              <w:jc w:val="both"/>
              <w:rPr>
                <w:rFonts w:ascii="Arial" w:eastAsia="Calibri" w:hAnsi="Arial" w:cs="Arial"/>
                <w:sz w:val="20"/>
                <w:szCs w:val="20"/>
                <w:lang w:val="sl-SI"/>
              </w:rPr>
            </w:pPr>
          </w:p>
        </w:tc>
      </w:tr>
      <w:tr w:rsidR="00C55C5A" w:rsidRPr="00C55C5A" w14:paraId="3A546D01" w14:textId="77777777" w:rsidTr="00E6701A">
        <w:tc>
          <w:tcPr>
            <w:tcW w:w="1372" w:type="dxa"/>
            <w:vMerge/>
          </w:tcPr>
          <w:p w14:paraId="6825169E" w14:textId="77777777" w:rsidR="00C55C5A" w:rsidRPr="00C55C5A" w:rsidRDefault="00C55C5A" w:rsidP="00C55C5A">
            <w:pPr>
              <w:suppressAutoHyphens/>
              <w:jc w:val="both"/>
              <w:rPr>
                <w:rFonts w:ascii="Arial" w:eastAsia="Calibri" w:hAnsi="Arial" w:cs="Arial"/>
                <w:sz w:val="20"/>
                <w:szCs w:val="20"/>
                <w:lang w:val="sl-SI"/>
              </w:rPr>
            </w:pPr>
          </w:p>
        </w:tc>
        <w:tc>
          <w:tcPr>
            <w:tcW w:w="1384" w:type="dxa"/>
            <w:vMerge/>
          </w:tcPr>
          <w:p w14:paraId="71E19F3C" w14:textId="77777777" w:rsidR="00C55C5A" w:rsidRPr="00C55C5A" w:rsidRDefault="00C55C5A" w:rsidP="00C55C5A">
            <w:pPr>
              <w:suppressAutoHyphens/>
              <w:jc w:val="both"/>
              <w:rPr>
                <w:rFonts w:ascii="Arial" w:eastAsia="Calibri" w:hAnsi="Arial" w:cs="Arial"/>
                <w:sz w:val="20"/>
                <w:szCs w:val="20"/>
                <w:lang w:val="sl-SI"/>
              </w:rPr>
            </w:pPr>
          </w:p>
        </w:tc>
        <w:tc>
          <w:tcPr>
            <w:tcW w:w="1198" w:type="dxa"/>
          </w:tcPr>
          <w:p w14:paraId="77A6B9F4"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Kazalnik učinka</w:t>
            </w:r>
          </w:p>
        </w:tc>
        <w:tc>
          <w:tcPr>
            <w:tcW w:w="834" w:type="dxa"/>
          </w:tcPr>
          <w:p w14:paraId="5238BAE7"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hAnsi="Arial" w:cs="Arial"/>
                <w:sz w:val="20"/>
                <w:szCs w:val="20"/>
                <w:lang w:val="sl-SI" w:eastAsia="ar-SA"/>
              </w:rPr>
              <w:t>CO40</w:t>
            </w:r>
          </w:p>
        </w:tc>
        <w:tc>
          <w:tcPr>
            <w:tcW w:w="2371" w:type="dxa"/>
          </w:tcPr>
          <w:p w14:paraId="65671418"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hAnsi="Arial"/>
                <w:sz w:val="20"/>
                <w:szCs w:val="20"/>
                <w:lang w:val="sl-SI" w:eastAsia="ar-SA"/>
              </w:rPr>
              <w:t>Sanirane stanovanjske površine na urbanih  območjih</w:t>
            </w:r>
          </w:p>
        </w:tc>
        <w:tc>
          <w:tcPr>
            <w:tcW w:w="1662" w:type="dxa"/>
          </w:tcPr>
          <w:p w14:paraId="3E7AD74D"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Okvirno 100.000 EUR/stanovanje</w:t>
            </w:r>
          </w:p>
          <w:p w14:paraId="09A2851C"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(za izvedbo z upoštevanjem minimalnega fin. vzvoda namenjeno 4,5 mio EUR)</w:t>
            </w:r>
          </w:p>
        </w:tc>
        <w:tc>
          <w:tcPr>
            <w:tcW w:w="1777" w:type="dxa"/>
          </w:tcPr>
          <w:p w14:paraId="3AD9385F" w14:textId="77777777" w:rsidR="00C55C5A" w:rsidRPr="00C55C5A" w:rsidRDefault="00C55C5A" w:rsidP="00C55C5A">
            <w:pPr>
              <w:suppressAutoHyphens/>
              <w:jc w:val="both"/>
              <w:rPr>
                <w:rFonts w:ascii="Arial" w:eastAsia="Calibri" w:hAnsi="Arial" w:cs="Arial"/>
                <w:sz w:val="20"/>
                <w:szCs w:val="20"/>
                <w:lang w:val="sl-SI"/>
              </w:rPr>
            </w:pPr>
            <w:r w:rsidRPr="00C55C5A">
              <w:rPr>
                <w:rFonts w:ascii="Arial" w:eastAsia="Calibri" w:hAnsi="Arial" w:cs="Arial"/>
                <w:sz w:val="20"/>
                <w:szCs w:val="20"/>
                <w:lang w:val="sl-SI"/>
              </w:rPr>
              <w:t>45 stanovanj</w:t>
            </w:r>
          </w:p>
        </w:tc>
      </w:tr>
    </w:tbl>
    <w:p w14:paraId="53E686B2" w14:textId="77777777" w:rsidR="00C55C5A" w:rsidRPr="00C55C5A" w:rsidRDefault="00C55C5A" w:rsidP="00C55C5A">
      <w:pPr>
        <w:suppressAutoHyphens/>
        <w:jc w:val="both"/>
        <w:rPr>
          <w:rFonts w:ascii="Arial" w:eastAsia="Calibri" w:hAnsi="Arial" w:cs="Arial"/>
          <w:color w:val="000000"/>
          <w:sz w:val="22"/>
          <w:szCs w:val="22"/>
          <w:lang w:val="sl-SI"/>
        </w:rPr>
      </w:pPr>
    </w:p>
    <w:p w14:paraId="4DCA3181"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*Kazalnike spremlja sklad skladov za </w:t>
      </w:r>
      <w:r w:rsidRPr="00C55C5A">
        <w:rPr>
          <w:rFonts w:ascii="Arial" w:eastAsia="Calibri" w:hAnsi="Arial" w:cs="Arial"/>
          <w:color w:val="000000"/>
          <w:sz w:val="22"/>
          <w:szCs w:val="22"/>
          <w:u w:val="single"/>
          <w:lang w:val="sl-SI"/>
        </w:rPr>
        <w:t>podprte</w:t>
      </w:r>
      <w:r w:rsidRPr="00C55C5A">
        <w:rPr>
          <w:rFonts w:ascii="Arial" w:eastAsia="Calibri" w:hAnsi="Arial" w:cs="Arial"/>
          <w:color w:val="000000"/>
          <w:sz w:val="22"/>
          <w:szCs w:val="22"/>
          <w:lang w:val="sl-SI"/>
        </w:rPr>
        <w:t xml:space="preserve"> končne prejemnike (ciljne skupine).</w:t>
      </w:r>
    </w:p>
    <w:p w14:paraId="60DA0FB5" w14:textId="77777777" w:rsidR="00C55C5A" w:rsidRPr="00C55C5A" w:rsidRDefault="00C55C5A" w:rsidP="00C55C5A">
      <w:pPr>
        <w:suppressAutoHyphens/>
        <w:jc w:val="both"/>
        <w:rPr>
          <w:rFonts w:ascii="Arial" w:eastAsia="Calibri" w:hAnsi="Arial" w:cs="Arial"/>
          <w:color w:val="000000"/>
          <w:sz w:val="20"/>
          <w:szCs w:val="20"/>
          <w:lang w:val="sl-SI"/>
        </w:rPr>
      </w:pPr>
      <w:r w:rsidRPr="00C55C5A">
        <w:rPr>
          <w:rFonts w:ascii="Arial" w:eastAsia="Calibri" w:hAnsi="Arial" w:cs="Arial"/>
          <w:color w:val="000000"/>
          <w:sz w:val="22"/>
          <w:szCs w:val="22"/>
          <w:lang w:val="sl-SI"/>
        </w:rPr>
        <w:t xml:space="preserve">** Vrednost se nanaša samo na s FI podprte operacije </w:t>
      </w:r>
      <w:r w:rsidRPr="00C55C5A">
        <w:rPr>
          <w:rFonts w:ascii="Tahoma" w:hAnsi="Tahoma" w:cs="Arial"/>
          <w:sz w:val="22"/>
          <w:szCs w:val="20"/>
          <w:lang w:val="sl-SI" w:eastAsia="ar-SA"/>
        </w:rPr>
        <w:t xml:space="preserve">celovite energetske prenove </w:t>
      </w:r>
      <w:r w:rsidRPr="00C55C5A">
        <w:rPr>
          <w:rFonts w:ascii="Arial" w:eastAsia="Calibri" w:hAnsi="Arial" w:cs="Arial"/>
          <w:color w:val="000000"/>
          <w:sz w:val="22"/>
          <w:szCs w:val="22"/>
          <w:lang w:val="sl-SI"/>
        </w:rPr>
        <w:t>stavb javnega sektorja.</w:t>
      </w:r>
    </w:p>
    <w:p w14:paraId="28997789"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 Vrednost se nanaša samo na s FI podprte operacije </w:t>
      </w:r>
      <w:r w:rsidRPr="00C55C5A">
        <w:rPr>
          <w:rFonts w:ascii="Tahoma" w:hAnsi="Tahoma" w:cs="Arial"/>
          <w:sz w:val="22"/>
          <w:szCs w:val="20"/>
          <w:lang w:val="sl-SI" w:eastAsia="ar-SA"/>
        </w:rPr>
        <w:t xml:space="preserve">celovite energetske prenove </w:t>
      </w:r>
      <w:r w:rsidRPr="00C55C5A">
        <w:rPr>
          <w:rFonts w:ascii="Arial" w:eastAsia="Calibri" w:hAnsi="Arial" w:cs="Arial"/>
          <w:color w:val="000000"/>
          <w:sz w:val="22"/>
          <w:szCs w:val="22"/>
          <w:lang w:val="sl-SI"/>
        </w:rPr>
        <w:t>stavb javnega sektorja.</w:t>
      </w:r>
    </w:p>
    <w:p w14:paraId="228B8203"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****Sredstva se po opravljenem market testu lahko smiselno prerazporeja na vsebine, kjer se izkazujejo večje potrebe po financiranju s FI za projekte, ki so pripravljeni za izvedbo. </w:t>
      </w:r>
    </w:p>
    <w:p w14:paraId="5D076C41" w14:textId="77777777" w:rsidR="00C55C5A" w:rsidRPr="00C55C5A" w:rsidRDefault="00C55C5A" w:rsidP="00C55C5A">
      <w:pPr>
        <w:suppressAutoHyphens/>
        <w:jc w:val="both"/>
        <w:rPr>
          <w:rFonts w:ascii="Arial" w:eastAsia="Calibri" w:hAnsi="Arial" w:cs="Arial"/>
          <w:color w:val="000000"/>
          <w:sz w:val="22"/>
          <w:szCs w:val="22"/>
          <w:lang w:val="sl-SI"/>
        </w:rPr>
      </w:pPr>
    </w:p>
    <w:p w14:paraId="00D0D82D"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Izvajalec </w:t>
      </w:r>
    </w:p>
    <w:p w14:paraId="6701F2AA" w14:textId="77777777" w:rsidR="00C55C5A" w:rsidRPr="00C55C5A" w:rsidRDefault="00C55C5A" w:rsidP="00C55C5A">
      <w:pPr>
        <w:suppressAutoHyphens/>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 </w:t>
      </w:r>
    </w:p>
    <w:p w14:paraId="50C74610" w14:textId="77777777" w:rsidR="00C55C5A" w:rsidRPr="00C55C5A" w:rsidRDefault="00C55C5A" w:rsidP="00C55C5A">
      <w:pPr>
        <w:suppressAutoHyphens/>
        <w:jc w:val="both"/>
        <w:rPr>
          <w:rFonts w:ascii="Arial" w:eastAsia="Calibri" w:hAnsi="Arial" w:cs="Arial"/>
          <w:color w:val="000000"/>
          <w:sz w:val="22"/>
          <w:szCs w:val="22"/>
          <w:lang w:val="sl-SI"/>
        </w:rPr>
      </w:pPr>
    </w:p>
    <w:p w14:paraId="07D7C51C" w14:textId="77777777" w:rsidR="00C55C5A" w:rsidRPr="00C55C5A" w:rsidRDefault="00C55C5A" w:rsidP="00C55C5A">
      <w:pPr>
        <w:keepNext/>
        <w:keepLines/>
        <w:spacing w:before="40"/>
        <w:jc w:val="both"/>
        <w:outlineLvl w:val="2"/>
        <w:rPr>
          <w:rFonts w:ascii="Arial" w:eastAsia="Calibri" w:hAnsi="Arial" w:cs="Arial"/>
          <w:b/>
          <w:color w:val="1F4D78"/>
          <w:sz w:val="22"/>
          <w:lang w:val="sl-SI"/>
        </w:rPr>
      </w:pPr>
      <w:bookmarkStart w:id="36" w:name="_Toc479162954"/>
      <w:r w:rsidRPr="00C55C5A">
        <w:rPr>
          <w:rFonts w:ascii="Arial" w:eastAsia="Calibri" w:hAnsi="Arial" w:cs="Arial"/>
          <w:b/>
          <w:color w:val="1F4D78"/>
          <w:sz w:val="22"/>
          <w:lang w:val="sl-SI"/>
        </w:rPr>
        <w:t>9.6 Informiranje in obveščanje</w:t>
      </w:r>
      <w:bookmarkEnd w:id="36"/>
    </w:p>
    <w:p w14:paraId="7BB168DC" w14:textId="77777777" w:rsidR="00C55C5A" w:rsidRPr="00C55C5A" w:rsidRDefault="00C55C5A" w:rsidP="00C55C5A">
      <w:pPr>
        <w:suppressAutoHyphens/>
        <w:jc w:val="both"/>
        <w:rPr>
          <w:rFonts w:ascii="Arial" w:eastAsia="Calibri" w:hAnsi="Arial" w:cs="Arial"/>
          <w:color w:val="000000"/>
          <w:lang w:val="sl-SI"/>
        </w:rPr>
      </w:pPr>
    </w:p>
    <w:p w14:paraId="6010A7C5"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Upravljavec sklada skladov je dolžan upoštevati tudi določbe glede </w:t>
      </w:r>
      <w:r w:rsidRPr="00C55C5A">
        <w:rPr>
          <w:rFonts w:ascii="Arial" w:eastAsia="Calibri" w:hAnsi="Arial" w:cs="Arial"/>
          <w:b/>
          <w:color w:val="000000"/>
          <w:sz w:val="22"/>
          <w:szCs w:val="22"/>
          <w:lang w:val="sl-SI"/>
        </w:rPr>
        <w:t>informiranja in obveščanja</w:t>
      </w:r>
      <w:r w:rsidRPr="00C55C5A">
        <w:rPr>
          <w:rFonts w:ascii="Arial" w:eastAsia="Calibri" w:hAnsi="Arial" w:cs="Arial"/>
          <w:color w:val="000000"/>
          <w:sz w:val="22"/>
          <w:szCs w:val="22"/>
          <w:lang w:val="sl-SI"/>
        </w:rPr>
        <w:t xml:space="preserve"> javnosti ter zagotoviti, da se te določbe upoštevajo tudi na ravni finančnih posrednikov. Podrobneje bodo določbe navedene v sporazumu o financiranju.</w:t>
      </w:r>
    </w:p>
    <w:p w14:paraId="7A01277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9545747"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Upravljavec sklada skladov na javen in transparenten način seznani zainteresirane ciljne skupine o možnostih financiranja s FI.</w:t>
      </w:r>
    </w:p>
    <w:p w14:paraId="53A4FE42" w14:textId="77777777" w:rsidR="00C55C5A" w:rsidRPr="00C55C5A" w:rsidRDefault="00C55C5A" w:rsidP="00C55C5A">
      <w:pPr>
        <w:jc w:val="both"/>
        <w:rPr>
          <w:rFonts w:ascii="Arial" w:eastAsia="Calibri" w:hAnsi="Arial" w:cs="Arial"/>
          <w:color w:val="000000"/>
          <w:sz w:val="22"/>
          <w:szCs w:val="22"/>
          <w:lang w:val="sl-SI"/>
        </w:rPr>
      </w:pPr>
    </w:p>
    <w:p w14:paraId="7BBAFE0B" w14:textId="77777777" w:rsidR="00C55C5A" w:rsidRPr="00C55C5A" w:rsidRDefault="00C55C5A" w:rsidP="00C55C5A">
      <w:pPr>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Upravljavec sklada skladov mora izpolnjevati zahteve glede označevanja, obveščanja in informiranja javnosti o operaciji sklad skladov v skladu z Uredbe (EU) št. 1303/2013 o ukrepih informiranja in obveščanja javnosti o pomoči strukturnih skladov, ki jih izvajajo države članice. Prav tako mora smiselno upoštevati zahteve glede informiranja in obveščanja javnosti, ki jih določajo Navodila OU o komuniciranju vsebin evropske kohezijske politike v programskem obdobju 2014 - 2020.</w:t>
      </w:r>
    </w:p>
    <w:p w14:paraId="4FB0E48E" w14:textId="77777777" w:rsidR="00C55C5A" w:rsidRPr="00C55C5A" w:rsidRDefault="00C55C5A" w:rsidP="00C55C5A">
      <w:pPr>
        <w:jc w:val="both"/>
        <w:rPr>
          <w:rFonts w:ascii="Arial" w:eastAsia="Calibri" w:hAnsi="Arial" w:cs="Arial"/>
          <w:color w:val="000000"/>
          <w:sz w:val="22"/>
          <w:lang w:val="sl-SI"/>
        </w:rPr>
      </w:pPr>
    </w:p>
    <w:p w14:paraId="503CFF77" w14:textId="77777777" w:rsidR="00C55C5A" w:rsidRPr="00C55C5A" w:rsidRDefault="00C55C5A" w:rsidP="00C55C5A">
      <w:pPr>
        <w:keepNext/>
        <w:keepLines/>
        <w:spacing w:before="40"/>
        <w:jc w:val="both"/>
        <w:outlineLvl w:val="2"/>
        <w:rPr>
          <w:rFonts w:ascii="Arial" w:eastAsia="Calibri" w:hAnsi="Arial" w:cs="Arial"/>
          <w:b/>
          <w:color w:val="1F4D78"/>
          <w:sz w:val="22"/>
          <w:lang w:val="sl-SI"/>
        </w:rPr>
      </w:pPr>
      <w:bookmarkStart w:id="37" w:name="_Toc479162955"/>
      <w:r w:rsidRPr="00C55C5A">
        <w:rPr>
          <w:rFonts w:ascii="Arial" w:eastAsia="Calibri" w:hAnsi="Arial" w:cs="Arial"/>
          <w:b/>
          <w:color w:val="1F4D78"/>
          <w:sz w:val="22"/>
          <w:lang w:val="sl-SI"/>
        </w:rPr>
        <w:t>9.7 Obvladovanje tveganj</w:t>
      </w:r>
      <w:bookmarkEnd w:id="37"/>
    </w:p>
    <w:p w14:paraId="4F2156F0" w14:textId="77777777" w:rsidR="00C55C5A" w:rsidRPr="00C55C5A" w:rsidRDefault="00C55C5A" w:rsidP="00C55C5A">
      <w:pPr>
        <w:jc w:val="both"/>
        <w:rPr>
          <w:rFonts w:ascii="Arial" w:hAnsi="Arial" w:cs="Arial"/>
          <w:sz w:val="22"/>
          <w:lang w:val="sl-SI"/>
        </w:rPr>
      </w:pPr>
      <w:r w:rsidRPr="00C55C5A">
        <w:rPr>
          <w:rFonts w:ascii="Arial" w:hAnsi="Arial" w:cs="Arial"/>
          <w:sz w:val="22"/>
          <w:lang w:val="sl-SI"/>
        </w:rPr>
        <w:t xml:space="preserve"> </w:t>
      </w:r>
    </w:p>
    <w:p w14:paraId="4D1125C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Sklad skladov je izpostavljen različnim tveganjem. Zato je pomembno, da upravljavec sklada skladov skrbi za zmanjšanje in obvladovanje teh tveganj.</w:t>
      </w:r>
    </w:p>
    <w:p w14:paraId="25E429E7" w14:textId="77777777" w:rsidR="00C55C5A" w:rsidRPr="00C55C5A" w:rsidRDefault="00C55C5A" w:rsidP="00C55C5A">
      <w:pPr>
        <w:jc w:val="both"/>
        <w:rPr>
          <w:rFonts w:ascii="Arial" w:hAnsi="Arial" w:cs="Arial"/>
          <w:sz w:val="22"/>
          <w:szCs w:val="22"/>
          <w:lang w:val="sl-SI"/>
        </w:rPr>
      </w:pPr>
    </w:p>
    <w:p w14:paraId="3D284322"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Upravljavec sklada skladov pripravi (ali uporabi obstoječi)</w:t>
      </w:r>
      <w:r w:rsidRPr="00C55C5A">
        <w:rPr>
          <w:rFonts w:ascii="Arial" w:hAnsi="Arial" w:cs="Arial"/>
          <w:b/>
          <w:sz w:val="22"/>
          <w:szCs w:val="22"/>
          <w:lang w:val="sl-SI"/>
        </w:rPr>
        <w:t xml:space="preserve"> interni akt o upravljanju s tveganji</w:t>
      </w:r>
      <w:r w:rsidRPr="00C55C5A">
        <w:rPr>
          <w:rFonts w:ascii="Arial" w:hAnsi="Arial" w:cs="Arial"/>
          <w:sz w:val="22"/>
          <w:szCs w:val="22"/>
          <w:lang w:val="sl-SI"/>
        </w:rPr>
        <w:t xml:space="preserve">, ki podrobno določa aktivnosti delovnega procesa upravljanja s tveganji sklada skladov tako, da le-ta: </w:t>
      </w:r>
    </w:p>
    <w:p w14:paraId="4CA43C61"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spremlja in ocenjuje potencialna tveganja zaradi izvajanja posameznih FI, </w:t>
      </w:r>
    </w:p>
    <w:p w14:paraId="53AD2496"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spremlja in ocenjuje sposobnost finančnih posrednikov, da izpolnijo finančne obveznosti do sklada skladov,</w:t>
      </w:r>
    </w:p>
    <w:p w14:paraId="3461760B"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spremlja in ocenjuje kreditno tveganje finančnih posrednikov. </w:t>
      </w:r>
    </w:p>
    <w:p w14:paraId="19FA5EE3"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 </w:t>
      </w:r>
    </w:p>
    <w:p w14:paraId="3516EA9B"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Upravljavec sklada skladov opravi oceno tveganj skupaj z naložbeno strategijo, kar je kasneje podlaga za izdelavo poslovnega in finančnega načrta sklada skladov. </w:t>
      </w:r>
    </w:p>
    <w:p w14:paraId="4B33025E" w14:textId="77777777" w:rsidR="00C55C5A" w:rsidRPr="00C55C5A" w:rsidRDefault="00C55C5A" w:rsidP="00C55C5A">
      <w:pPr>
        <w:jc w:val="both"/>
        <w:rPr>
          <w:rFonts w:ascii="Arial" w:hAnsi="Arial" w:cs="Arial"/>
          <w:sz w:val="22"/>
          <w:szCs w:val="22"/>
          <w:lang w:val="sl-SI"/>
        </w:rPr>
      </w:pPr>
    </w:p>
    <w:p w14:paraId="7EEEA39D"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Vzporedno z obvladovanjem kreditnega tveganja namenja sklad skladov enako pozornost obvladovanju ostalih tveganj kot je tržno tveganje, upravljavsko tveganje, likvidnostno tveganje in operativno tveganje s ciljem zagotavljanja nemotenega učinkovitega delovanja. V ta namen upravljavec sklada skladov nadgradi obstoječ </w:t>
      </w:r>
      <w:r w:rsidRPr="00C55C5A">
        <w:rPr>
          <w:rFonts w:ascii="Arial" w:hAnsi="Arial" w:cs="Arial"/>
          <w:b/>
          <w:sz w:val="22"/>
          <w:szCs w:val="22"/>
          <w:lang w:val="sl-SI"/>
        </w:rPr>
        <w:t>interni akt o upravljanju s tveganji</w:t>
      </w:r>
      <w:r w:rsidRPr="00C55C5A" w:rsidDel="001C372C">
        <w:rPr>
          <w:rFonts w:ascii="Arial" w:hAnsi="Arial" w:cs="Arial"/>
          <w:sz w:val="22"/>
          <w:szCs w:val="22"/>
          <w:lang w:val="sl-SI"/>
        </w:rPr>
        <w:t xml:space="preserve"> </w:t>
      </w:r>
      <w:r w:rsidRPr="00C55C5A">
        <w:rPr>
          <w:rFonts w:ascii="Arial" w:hAnsi="Arial" w:cs="Arial"/>
          <w:sz w:val="22"/>
          <w:szCs w:val="22"/>
          <w:lang w:val="sl-SI"/>
        </w:rPr>
        <w:t>ali izdela novega, ki na enem mestu združuje vse potrebne korake za doseganje učinkovitega procesa obvladovanja tveganj.</w:t>
      </w:r>
    </w:p>
    <w:p w14:paraId="2407CB94" w14:textId="77777777" w:rsidR="00C55C5A" w:rsidRPr="00C55C5A" w:rsidRDefault="00C55C5A" w:rsidP="00C55C5A">
      <w:pPr>
        <w:jc w:val="both"/>
        <w:rPr>
          <w:rFonts w:ascii="Arial" w:hAnsi="Arial" w:cs="Arial"/>
          <w:sz w:val="22"/>
          <w:szCs w:val="22"/>
          <w:lang w:val="sl-SI"/>
        </w:rPr>
      </w:pPr>
    </w:p>
    <w:p w14:paraId="5A19A4E3" w14:textId="77777777" w:rsidR="00C55C5A" w:rsidRPr="00C55C5A" w:rsidRDefault="00C55C5A" w:rsidP="00C55C5A">
      <w:pPr>
        <w:keepNext/>
        <w:keepLines/>
        <w:spacing w:before="40"/>
        <w:jc w:val="both"/>
        <w:outlineLvl w:val="2"/>
        <w:rPr>
          <w:rFonts w:ascii="Arial" w:eastAsia="Calibri" w:hAnsi="Arial" w:cs="Arial"/>
          <w:b/>
          <w:color w:val="1F4D78"/>
          <w:sz w:val="22"/>
          <w:lang w:val="sl-SI"/>
        </w:rPr>
      </w:pPr>
      <w:bookmarkStart w:id="38" w:name="_Toc479162956"/>
      <w:r w:rsidRPr="00C55C5A">
        <w:rPr>
          <w:rFonts w:ascii="Arial" w:eastAsia="Calibri" w:hAnsi="Arial" w:cs="Arial"/>
          <w:b/>
          <w:color w:val="1F4D78"/>
          <w:sz w:val="22"/>
          <w:lang w:val="sl-SI"/>
        </w:rPr>
        <w:t>9.8 Strategija izstopa</w:t>
      </w:r>
      <w:bookmarkEnd w:id="38"/>
    </w:p>
    <w:p w14:paraId="24D7742E"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7890C8C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Strategija izstopa se opredeli v sporazumu o financiranju, kjer pa je potrebno predvideti fleksibilni in indikativni čas izstopa ter način izstopa. V finančnem sporazumu se določi tudi obveznost finančnih posrednikov, da pripravijo ustrezne strategije izstopa. Finančni posredniki opredelijo v poslovnem načrtu politiko izstopa iz investicij pri različnih projektih. </w:t>
      </w:r>
    </w:p>
    <w:p w14:paraId="6573396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06D3C5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Strategija izstopa na ravni FI je odvisna od vrste finančnega produkta. Za posojila in garancije je potrebno določiti minimalno in maksimalno pričakovano dobo vračila sredstev, ki je odvisna od </w:t>
      </w:r>
      <w:r w:rsidRPr="00C55C5A">
        <w:rPr>
          <w:rFonts w:ascii="Arial" w:eastAsia="Calibri" w:hAnsi="Arial" w:cs="Arial"/>
          <w:color w:val="000000"/>
          <w:sz w:val="22"/>
          <w:szCs w:val="22"/>
          <w:lang w:val="sl-SI"/>
        </w:rPr>
        <w:lastRenderedPageBreak/>
        <w:t>trajanja kreditov. Za lastniško financiranje pa mora strategija izstopa vsebovati čas (ki se razlikuje od primera do primera) in način izstopa.</w:t>
      </w:r>
    </w:p>
    <w:p w14:paraId="49B0CA58"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1E4F6BA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Možni scenariji izstopa iz sklada skladov so:</w:t>
      </w:r>
    </w:p>
    <w:p w14:paraId="67E1F621" w14:textId="77777777" w:rsidR="00C55C5A" w:rsidRPr="00C55C5A" w:rsidRDefault="00C55C5A" w:rsidP="00C55C5A">
      <w:pPr>
        <w:numPr>
          <w:ilvl w:val="0"/>
          <w:numId w:val="4"/>
        </w:num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ponovno vzpostaviti sklad skladov z istim ali drugim upravljavcem sklada skladov, kar se uredi z dodatkom k sporazumu o financiranju ali</w:t>
      </w:r>
    </w:p>
    <w:p w14:paraId="62AC319E" w14:textId="77777777" w:rsidR="00C55C5A" w:rsidRPr="00C55C5A" w:rsidRDefault="00C55C5A" w:rsidP="00C55C5A">
      <w:pPr>
        <w:numPr>
          <w:ilvl w:val="0"/>
          <w:numId w:val="4"/>
        </w:numPr>
        <w:autoSpaceDE w:val="0"/>
        <w:autoSpaceDN w:val="0"/>
        <w:adjustRightInd w:val="0"/>
        <w:jc w:val="both"/>
        <w:rPr>
          <w:rFonts w:ascii="Calibri" w:eastAsia="Calibri" w:hAnsi="Calibri" w:cs="Calibri"/>
          <w:sz w:val="22"/>
          <w:szCs w:val="22"/>
          <w:lang w:val="sl-SI"/>
        </w:rPr>
      </w:pPr>
      <w:r w:rsidRPr="00C55C5A">
        <w:rPr>
          <w:rFonts w:ascii="Arial" w:eastAsia="Calibri" w:hAnsi="Arial" w:cs="Arial"/>
          <w:color w:val="000000"/>
          <w:sz w:val="22"/>
          <w:szCs w:val="22"/>
          <w:lang w:val="sl-SI"/>
        </w:rPr>
        <w:t>prenos sredstev v proračun RS ali na finančne posrednike.</w:t>
      </w:r>
    </w:p>
    <w:p w14:paraId="02F86E3E" w14:textId="77777777" w:rsidR="00C55C5A" w:rsidRPr="00C55C5A" w:rsidRDefault="00C55C5A" w:rsidP="00C55C5A">
      <w:pPr>
        <w:spacing w:after="160" w:line="259" w:lineRule="auto"/>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br w:type="page"/>
      </w:r>
    </w:p>
    <w:p w14:paraId="0FA9ECF6" w14:textId="77777777" w:rsidR="00C55C5A" w:rsidRPr="00C55C5A" w:rsidRDefault="00C55C5A" w:rsidP="00C55C5A">
      <w:pPr>
        <w:autoSpaceDE w:val="0"/>
        <w:autoSpaceDN w:val="0"/>
        <w:adjustRightInd w:val="0"/>
        <w:ind w:left="720"/>
        <w:jc w:val="both"/>
        <w:rPr>
          <w:rFonts w:ascii="Calibri" w:eastAsia="Calibri" w:hAnsi="Calibri" w:cs="Calibri"/>
          <w:sz w:val="22"/>
          <w:szCs w:val="22"/>
          <w:lang w:val="sl-SI"/>
        </w:rPr>
      </w:pPr>
    </w:p>
    <w:p w14:paraId="04F441D6" w14:textId="77777777" w:rsidR="00C55C5A" w:rsidRPr="00C55C5A" w:rsidRDefault="00C55C5A" w:rsidP="00C55C5A">
      <w:pPr>
        <w:keepNext/>
        <w:shd w:val="clear" w:color="auto" w:fill="9CC2E5"/>
        <w:outlineLvl w:val="1"/>
        <w:rPr>
          <w:rFonts w:ascii="Arial" w:hAnsi="Arial" w:cs="Arial"/>
          <w:b/>
          <w:sz w:val="32"/>
          <w:szCs w:val="32"/>
          <w:lang w:val="sl-SI"/>
        </w:rPr>
      </w:pPr>
      <w:bookmarkStart w:id="39" w:name="_Toc479162957"/>
      <w:r w:rsidRPr="00C55C5A">
        <w:rPr>
          <w:rFonts w:ascii="Arial" w:hAnsi="Arial" w:cs="Arial"/>
          <w:b/>
          <w:sz w:val="32"/>
          <w:szCs w:val="32"/>
          <w:lang w:val="sl-SI"/>
        </w:rPr>
        <w:t>10. Politika prekinitve finančnega instrumenta</w:t>
      </w:r>
      <w:bookmarkEnd w:id="39"/>
      <w:r w:rsidRPr="00C55C5A">
        <w:rPr>
          <w:rFonts w:ascii="Arial" w:hAnsi="Arial" w:cs="Arial"/>
          <w:b/>
          <w:sz w:val="32"/>
          <w:szCs w:val="32"/>
          <w:lang w:val="sl-SI"/>
        </w:rPr>
        <w:t xml:space="preserve">  </w:t>
      </w:r>
    </w:p>
    <w:p w14:paraId="298E5628" w14:textId="77777777" w:rsidR="00C55C5A" w:rsidRPr="00C55C5A" w:rsidRDefault="00C55C5A" w:rsidP="00C55C5A">
      <w:pPr>
        <w:autoSpaceDE w:val="0"/>
        <w:autoSpaceDN w:val="0"/>
        <w:adjustRightInd w:val="0"/>
        <w:jc w:val="both"/>
        <w:rPr>
          <w:rFonts w:ascii="Arial" w:eastAsia="Calibri" w:hAnsi="Arial" w:cs="Arial"/>
          <w:color w:val="000000"/>
          <w:sz w:val="22"/>
          <w:lang w:val="sl-SI"/>
        </w:rPr>
      </w:pPr>
    </w:p>
    <w:p w14:paraId="548C04D6"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V skladu s 25. členom Uredbe o postopkih, merilih in načinih dodeljevanja sredstev za spodbujanje razvojnih programov in prednostnih nalog bo PO odgovoren za FI lahko zahteval (delno ali celotno) vračilo sredstev, v kolikor se le-ta ne bodo dodeljevala skladno z določbami v sporazumu o financiranju med PO in upravljavcem sklada skladov v obdobju izvajanja FI. Okoliščine in način vračila sredstev, prenehanje in likvidacijo sklada skladov PO in upravljavec sklada skladov dogovorita v sporazumu o financiranju.</w:t>
      </w:r>
    </w:p>
    <w:p w14:paraId="1AA26A73"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63DA760C"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 xml:space="preserve">V sporazumu o financiranju se določijo tudi (i) okoliščine in način rednega ali izrednega prenehanja in likvidacije sklada skladov ter (ii) okoliščine in način zamenjave upravljavca sklada skladov. </w:t>
      </w:r>
    </w:p>
    <w:p w14:paraId="4EEF940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580DEEE9"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eastAsia="Calibri" w:hAnsi="Arial" w:cs="Arial"/>
          <w:color w:val="000000"/>
          <w:sz w:val="22"/>
          <w:szCs w:val="22"/>
          <w:lang w:val="sl-SI"/>
        </w:rPr>
        <w:t>Način umika (delni ali celotni) in razlogi ter odgovornost za morebitne nepravilnosti za to se opredelijo v sporazumu o financiranju.</w:t>
      </w:r>
    </w:p>
    <w:p w14:paraId="299346D9" w14:textId="77777777" w:rsidR="00C55C5A" w:rsidRPr="00C55C5A" w:rsidRDefault="00C55C5A" w:rsidP="00C55C5A">
      <w:pPr>
        <w:suppressAutoHyphens/>
        <w:jc w:val="both"/>
        <w:rPr>
          <w:rFonts w:ascii="Arial" w:hAnsi="Arial" w:cs="Arial"/>
          <w:sz w:val="22"/>
          <w:szCs w:val="22"/>
          <w:lang w:val="sl-SI" w:eastAsia="ar-SA"/>
        </w:rPr>
      </w:pPr>
    </w:p>
    <w:p w14:paraId="1211C362"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r w:rsidRPr="00C55C5A">
        <w:rPr>
          <w:rFonts w:ascii="Arial" w:hAnsi="Arial" w:cs="Arial"/>
          <w:sz w:val="22"/>
          <w:szCs w:val="22"/>
          <w:lang w:val="sl-SI"/>
        </w:rPr>
        <w:t>V primeru, da sredstva niso porabljena, to je plasirana končnim prejemnikom, v okviru sklada skladov do 31.12.2023 oz. kasneje v primeru podaljšanja rokov s strani Evropske komisije, se vrnejo v proračun EK, kar se podrobneje določi s sporazumom o financiranju. Rok se lahko zaradi zaključevanja na predlog revizijskega organa oziroma OU tudi skrajša, pri čemer se za tak primer pogoji in posledice dogovorijo v sporazumu o financiranju.</w:t>
      </w:r>
    </w:p>
    <w:p w14:paraId="4E814431" w14:textId="77777777" w:rsidR="00C55C5A" w:rsidRPr="00C55C5A" w:rsidRDefault="00C55C5A" w:rsidP="00C55C5A">
      <w:pPr>
        <w:autoSpaceDE w:val="0"/>
        <w:autoSpaceDN w:val="0"/>
        <w:adjustRightInd w:val="0"/>
        <w:jc w:val="both"/>
        <w:rPr>
          <w:rFonts w:ascii="Arial" w:eastAsia="Calibri" w:hAnsi="Arial" w:cs="Arial"/>
          <w:color w:val="000000"/>
          <w:sz w:val="22"/>
          <w:szCs w:val="22"/>
          <w:lang w:val="sl-SI"/>
        </w:rPr>
      </w:pPr>
    </w:p>
    <w:p w14:paraId="5021F17A" w14:textId="77777777" w:rsidR="00C55C5A" w:rsidRPr="00C55C5A" w:rsidRDefault="00C55C5A" w:rsidP="00C55C5A">
      <w:pPr>
        <w:spacing w:after="160"/>
        <w:jc w:val="both"/>
        <w:rPr>
          <w:rFonts w:ascii="Arial" w:eastAsia="Calibri" w:hAnsi="Arial" w:cs="Arial"/>
          <w:b/>
          <w:bCs/>
          <w:iCs/>
          <w:color w:val="000000"/>
          <w:sz w:val="22"/>
          <w:szCs w:val="22"/>
          <w:lang w:val="sl-SI"/>
        </w:rPr>
      </w:pPr>
      <w:r w:rsidRPr="00C55C5A">
        <w:rPr>
          <w:rFonts w:ascii="Arial" w:eastAsia="Calibri" w:hAnsi="Arial" w:cs="Arial"/>
          <w:color w:val="000000"/>
          <w:sz w:val="22"/>
          <w:szCs w:val="22"/>
          <w:lang w:val="sl-SI"/>
        </w:rPr>
        <w:br w:type="page"/>
      </w:r>
    </w:p>
    <w:p w14:paraId="4139C1D1" w14:textId="77777777" w:rsidR="00C55C5A" w:rsidRPr="00C55C5A" w:rsidRDefault="00C55C5A" w:rsidP="00C55C5A">
      <w:pPr>
        <w:keepNext/>
        <w:shd w:val="clear" w:color="auto" w:fill="9CC2E5"/>
        <w:outlineLvl w:val="1"/>
        <w:rPr>
          <w:rFonts w:ascii="Arial" w:hAnsi="Arial" w:cs="Arial"/>
          <w:b/>
          <w:sz w:val="32"/>
          <w:szCs w:val="32"/>
          <w:lang w:val="sl-SI"/>
        </w:rPr>
      </w:pPr>
      <w:bookmarkStart w:id="40" w:name="_Toc479162958"/>
      <w:r w:rsidRPr="00C55C5A">
        <w:rPr>
          <w:rFonts w:ascii="Arial" w:hAnsi="Arial" w:cs="Arial"/>
          <w:b/>
          <w:sz w:val="32"/>
          <w:szCs w:val="32"/>
          <w:lang w:val="sl-SI"/>
        </w:rPr>
        <w:lastRenderedPageBreak/>
        <w:t>11. Podlaga za izvajanje nadzora</w:t>
      </w:r>
      <w:bookmarkEnd w:id="40"/>
    </w:p>
    <w:p w14:paraId="5FCD495D" w14:textId="77777777" w:rsidR="00C55C5A" w:rsidRPr="00C55C5A" w:rsidRDefault="00C55C5A" w:rsidP="00C55C5A">
      <w:pPr>
        <w:jc w:val="both"/>
        <w:rPr>
          <w:rFonts w:ascii="Arial" w:hAnsi="Arial" w:cs="Arial"/>
          <w:sz w:val="22"/>
          <w:lang w:val="sl-SI"/>
        </w:rPr>
      </w:pPr>
    </w:p>
    <w:p w14:paraId="618457D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Sporazum o financiranju med PO in upravljavcem sklada skladov bo vseboval določbe, ki bodo omogočale PO, OU ter pristojnim državnim in revizijskim organom dostop do podatkov in dokumentacije, ki bo potrebna za nadzor nad izvajanjem aktivnosti sklada skladov in nad namensko porabo sredstev.</w:t>
      </w:r>
    </w:p>
    <w:p w14:paraId="2D2AB1E4" w14:textId="77777777" w:rsidR="00C55C5A" w:rsidRPr="00C55C5A" w:rsidRDefault="00C55C5A" w:rsidP="00C55C5A">
      <w:pPr>
        <w:jc w:val="both"/>
        <w:rPr>
          <w:rFonts w:ascii="Arial" w:hAnsi="Arial" w:cs="Arial"/>
          <w:sz w:val="22"/>
          <w:szCs w:val="22"/>
          <w:lang w:val="sl-SI"/>
        </w:rPr>
      </w:pPr>
    </w:p>
    <w:p w14:paraId="59F7490D"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Upravljavec sklada skladov mora pri vodenju evidenc zagotoviti ločeno vodenje evidenc in s tem razlikovanje med novimi sredstvi, vloženimi v FI, vključno s sredstvi, ki jih prispeva evropska kohezijska politika in ostalimi sredstvi.</w:t>
      </w:r>
    </w:p>
    <w:p w14:paraId="7EBA4DA9" w14:textId="77777777" w:rsidR="00C55C5A" w:rsidRPr="00C55C5A" w:rsidRDefault="00C55C5A" w:rsidP="00C55C5A">
      <w:pPr>
        <w:jc w:val="both"/>
        <w:rPr>
          <w:rFonts w:ascii="Arial" w:hAnsi="Arial" w:cs="Arial"/>
          <w:sz w:val="22"/>
          <w:szCs w:val="22"/>
          <w:lang w:val="sl-SI"/>
        </w:rPr>
      </w:pPr>
    </w:p>
    <w:p w14:paraId="4C4259B5"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Upravljavec sklada skladov ima za namen upravljanja in izvajanja sklada skladov vzpostavljeno ustrezno organizacijsko, odločevalsko in nadzorno strukturo.</w:t>
      </w:r>
    </w:p>
    <w:p w14:paraId="287864C6" w14:textId="77777777" w:rsidR="00C55C5A" w:rsidRPr="00C55C5A" w:rsidRDefault="00C55C5A" w:rsidP="00C55C5A">
      <w:pPr>
        <w:jc w:val="both"/>
        <w:rPr>
          <w:rFonts w:ascii="Arial" w:hAnsi="Arial" w:cs="Arial"/>
          <w:sz w:val="22"/>
          <w:szCs w:val="22"/>
          <w:lang w:val="sl-SI"/>
        </w:rPr>
      </w:pPr>
    </w:p>
    <w:p w14:paraId="2DBEC89D"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Upravljavec sklada skladov posluje v skladu s svojimi internimi akti.</w:t>
      </w:r>
    </w:p>
    <w:p w14:paraId="0B22E9DB" w14:textId="77777777" w:rsidR="00C55C5A" w:rsidRPr="00C55C5A" w:rsidRDefault="00C55C5A" w:rsidP="00C55C5A">
      <w:pPr>
        <w:jc w:val="both"/>
        <w:rPr>
          <w:rFonts w:ascii="Arial" w:hAnsi="Arial" w:cs="Arial"/>
          <w:sz w:val="22"/>
          <w:szCs w:val="22"/>
          <w:lang w:val="sl-SI"/>
        </w:rPr>
      </w:pPr>
    </w:p>
    <w:p w14:paraId="55724096"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Upravljavec sklada skladov ima organizirano službo notranje revizije, v okviru katere se preverja vzpostavitev in delovanje notranjih kontrol za izvajanje operacije sklad skladov. </w:t>
      </w:r>
    </w:p>
    <w:p w14:paraId="1B24A604" w14:textId="77777777" w:rsidR="00C55C5A" w:rsidRPr="00C55C5A" w:rsidRDefault="00C55C5A" w:rsidP="00C55C5A">
      <w:pPr>
        <w:jc w:val="both"/>
        <w:rPr>
          <w:rFonts w:ascii="Arial" w:hAnsi="Arial" w:cs="Arial"/>
          <w:sz w:val="22"/>
          <w:szCs w:val="22"/>
          <w:lang w:val="sl-SI"/>
        </w:rPr>
      </w:pPr>
    </w:p>
    <w:p w14:paraId="6801B40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Upravljavec sklada skladov podrobneje opredeli nadzor in spremljanje tudi v pogodbah s finančnimi posredniki, ki mora biti vsaj enakovreden nadzoru, ki ga izvaja PO.</w:t>
      </w:r>
    </w:p>
    <w:p w14:paraId="246462D0" w14:textId="77777777" w:rsidR="00C55C5A" w:rsidRPr="00C55C5A" w:rsidRDefault="00C55C5A" w:rsidP="00C55C5A">
      <w:pPr>
        <w:jc w:val="both"/>
        <w:rPr>
          <w:rFonts w:ascii="Arial" w:hAnsi="Arial" w:cs="Arial"/>
          <w:sz w:val="22"/>
          <w:szCs w:val="22"/>
          <w:lang w:val="sl-SI"/>
        </w:rPr>
      </w:pPr>
    </w:p>
    <w:p w14:paraId="3A2F791D" w14:textId="77777777" w:rsidR="00C55C5A" w:rsidRPr="00C55C5A" w:rsidRDefault="00C55C5A" w:rsidP="00C55C5A">
      <w:pPr>
        <w:spacing w:after="160"/>
        <w:jc w:val="both"/>
        <w:rPr>
          <w:rFonts w:ascii="Arial" w:hAnsi="Arial" w:cs="Arial"/>
          <w:b/>
          <w:sz w:val="32"/>
          <w:szCs w:val="32"/>
          <w:lang w:val="sl-SI"/>
        </w:rPr>
      </w:pPr>
      <w:r w:rsidRPr="00C55C5A">
        <w:rPr>
          <w:rFonts w:ascii="Arial" w:hAnsi="Arial" w:cs="Arial"/>
          <w:bCs/>
          <w:iCs/>
          <w:sz w:val="32"/>
          <w:szCs w:val="32"/>
          <w:lang w:val="sl-SI"/>
        </w:rPr>
        <w:br w:type="page"/>
      </w:r>
    </w:p>
    <w:p w14:paraId="4A46262D" w14:textId="77777777" w:rsidR="00C55C5A" w:rsidRPr="00C55C5A" w:rsidRDefault="00C55C5A" w:rsidP="00C55C5A">
      <w:pPr>
        <w:keepNext/>
        <w:jc w:val="both"/>
        <w:outlineLvl w:val="1"/>
        <w:rPr>
          <w:rFonts w:ascii="Arial" w:hAnsi="Arial" w:cs="Arial"/>
          <w:b/>
          <w:sz w:val="32"/>
          <w:szCs w:val="32"/>
          <w:lang w:val="sl-SI"/>
        </w:rPr>
      </w:pPr>
      <w:bookmarkStart w:id="41" w:name="_Toc479162959"/>
      <w:r w:rsidRPr="00C55C5A">
        <w:rPr>
          <w:rFonts w:ascii="Arial" w:hAnsi="Arial" w:cs="Arial"/>
          <w:b/>
          <w:sz w:val="32"/>
          <w:szCs w:val="32"/>
          <w:lang w:val="sl-SI"/>
        </w:rPr>
        <w:lastRenderedPageBreak/>
        <w:t>Priloga 1: Preverjanje izpolnjevanja pogojev po 28. členu ZJN-3 SID banke za izvajalca sklada skladov ter evidentiranje sredstev za finančne instrumente</w:t>
      </w:r>
      <w:bookmarkEnd w:id="41"/>
    </w:p>
    <w:p w14:paraId="0033619F" w14:textId="77777777" w:rsidR="00C55C5A" w:rsidRPr="00C55C5A" w:rsidRDefault="00C55C5A" w:rsidP="00C55C5A">
      <w:pPr>
        <w:jc w:val="both"/>
        <w:rPr>
          <w:rFonts w:ascii="Arial" w:hAnsi="Arial" w:cs="Arial"/>
          <w:sz w:val="22"/>
          <w:szCs w:val="22"/>
          <w:lang w:val="sl-SI"/>
        </w:rPr>
      </w:pPr>
    </w:p>
    <w:p w14:paraId="4E34B8FF"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Evropska komisija  enači izbiro izvajalca sklada skladov z naročilom finančnih storitev, zato je potrebno upoštevati postopke Zakona o javnem naročanju. V primeru izpolnjevanja pogojev je mogoče oddati naročilo po preprostem postopku, med osebami javnega prava. </w:t>
      </w:r>
    </w:p>
    <w:p w14:paraId="57A9FD3B" w14:textId="77777777" w:rsidR="00C55C5A" w:rsidRPr="00C55C5A" w:rsidRDefault="00C55C5A" w:rsidP="00C55C5A">
      <w:pPr>
        <w:jc w:val="both"/>
        <w:rPr>
          <w:rFonts w:ascii="Arial" w:hAnsi="Arial" w:cs="Arial"/>
          <w:sz w:val="22"/>
          <w:szCs w:val="22"/>
          <w:lang w:val="sl-SI"/>
        </w:rPr>
      </w:pPr>
    </w:p>
    <w:p w14:paraId="2F64AC8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Evropska komisija se na podlagi pripomb držav članic zaveda, da trenutno status promocijskih bank in ostalih javnih finančnih institucij v okviru sprejete zakonodaje za izvajanje ESIF ni nikjer posebej izpostavljen (kot npr. je EIB) in jih ni mogoče neposredno nominirati za izvajalca. Izbor takšne institucije je zato podvržen pravilom izbora na področju javnega naročanja. Na podlagi tega je pripravljen predlog sprememb Finančne  uredbe in Uredbe o skupnih določbah, kjer se uvaja možnost, da lahko država članica izvajanje neposredno zaupa banki ali druga finančni instituciji v javni lasti in je ustanovljena zato, da izvaja finančne posle na strokovni ravni, ki izpolnjuje naslednje pogoje</w:t>
      </w:r>
      <w:r w:rsidRPr="00C55C5A">
        <w:rPr>
          <w:rFonts w:ascii="Arial" w:hAnsi="Arial" w:cs="Arial"/>
          <w:sz w:val="22"/>
          <w:szCs w:val="22"/>
          <w:vertAlign w:val="superscript"/>
          <w:lang w:val="sl-SI"/>
        </w:rPr>
        <w:footnoteReference w:id="28"/>
      </w:r>
      <w:r w:rsidRPr="00C55C5A">
        <w:rPr>
          <w:rFonts w:ascii="Arial" w:hAnsi="Arial" w:cs="Arial"/>
          <w:sz w:val="22"/>
          <w:szCs w:val="22"/>
          <w:lang w:val="sl-SI"/>
        </w:rPr>
        <w:t>:</w:t>
      </w:r>
    </w:p>
    <w:p w14:paraId="443CA18C" w14:textId="77777777" w:rsidR="00C55C5A" w:rsidRPr="00C55C5A" w:rsidRDefault="00C55C5A" w:rsidP="00C55C5A">
      <w:pPr>
        <w:numPr>
          <w:ilvl w:val="0"/>
          <w:numId w:val="33"/>
        </w:numPr>
        <w:shd w:val="clear" w:color="auto" w:fill="FFFFFF"/>
        <w:contextualSpacing/>
        <w:jc w:val="both"/>
        <w:rPr>
          <w:rFonts w:ascii="Arial" w:hAnsi="Arial" w:cs="Arial"/>
          <w:sz w:val="22"/>
          <w:szCs w:val="22"/>
          <w:lang w:val="sl-SI"/>
        </w:rPr>
      </w:pPr>
      <w:r w:rsidRPr="00C55C5A">
        <w:rPr>
          <w:rFonts w:ascii="Arial" w:hAnsi="Arial" w:cs="Arial"/>
          <w:sz w:val="22"/>
          <w:szCs w:val="22"/>
          <w:lang w:val="sl-SI"/>
        </w:rPr>
        <w:t xml:space="preserve">v kapitalu institucije ni neposredno udeležen zasebni kapital, razen v primeru ko gre za kontrolno ali »non-blocking« obliko, kar je zahtevano z nacionalno zakonodajo, v skladu s Pogodbo o EU, ki ne omogoča odločilnega vpliva na institucijo </w:t>
      </w:r>
    </w:p>
    <w:p w14:paraId="650E4928" w14:textId="77777777" w:rsidR="00C55C5A" w:rsidRPr="00C55C5A" w:rsidRDefault="00C55C5A" w:rsidP="00C55C5A">
      <w:pPr>
        <w:numPr>
          <w:ilvl w:val="0"/>
          <w:numId w:val="33"/>
        </w:numPr>
        <w:shd w:val="clear" w:color="auto" w:fill="FFFFFF"/>
        <w:contextualSpacing/>
        <w:jc w:val="both"/>
        <w:rPr>
          <w:rFonts w:ascii="Arial" w:hAnsi="Arial" w:cs="Arial"/>
          <w:sz w:val="22"/>
          <w:szCs w:val="22"/>
          <w:lang w:val="sl-SI"/>
        </w:rPr>
      </w:pPr>
      <w:r w:rsidRPr="00C55C5A">
        <w:rPr>
          <w:rFonts w:ascii="Arial" w:hAnsi="Arial" w:cs="Arial"/>
          <w:sz w:val="22"/>
          <w:szCs w:val="22"/>
          <w:lang w:val="sl-SI"/>
        </w:rPr>
        <w:t xml:space="preserve">deluje na podlagi javnih pooblastil, ki mu jih je podelila pristojna institucija države članice na nacionalni ali regionalni ravni, da izvaja razvojne naloge, ki so v skladu s cilji ESIF </w:t>
      </w:r>
    </w:p>
    <w:p w14:paraId="70196071" w14:textId="77777777" w:rsidR="00C55C5A" w:rsidRPr="00C55C5A" w:rsidRDefault="00C55C5A" w:rsidP="00C55C5A">
      <w:pPr>
        <w:numPr>
          <w:ilvl w:val="0"/>
          <w:numId w:val="33"/>
        </w:numPr>
        <w:shd w:val="clear" w:color="auto" w:fill="FFFFFF"/>
        <w:contextualSpacing/>
        <w:jc w:val="both"/>
        <w:rPr>
          <w:rFonts w:ascii="Arial" w:hAnsi="Arial" w:cs="Arial"/>
          <w:sz w:val="22"/>
          <w:szCs w:val="22"/>
          <w:lang w:val="sl-SI"/>
        </w:rPr>
      </w:pPr>
      <w:r w:rsidRPr="00C55C5A">
        <w:rPr>
          <w:rFonts w:ascii="Arial" w:hAnsi="Arial" w:cs="Arial"/>
          <w:sz w:val="22"/>
          <w:szCs w:val="22"/>
          <w:lang w:val="sl-SI"/>
        </w:rPr>
        <w:t xml:space="preserve">svoje razvojne naloge izvaja v regija politikah in sektorjih, za katere je značilno, da financiranje na trgu ni na voljo ali ni na voljo v zadostnem obsegu, torej v vrzelih, </w:t>
      </w:r>
    </w:p>
    <w:p w14:paraId="1895B1E2" w14:textId="77777777" w:rsidR="00C55C5A" w:rsidRPr="00C55C5A" w:rsidRDefault="00C55C5A" w:rsidP="00C55C5A">
      <w:pPr>
        <w:numPr>
          <w:ilvl w:val="0"/>
          <w:numId w:val="33"/>
        </w:numPr>
        <w:shd w:val="clear" w:color="auto" w:fill="FFFFFF"/>
        <w:contextualSpacing/>
        <w:jc w:val="both"/>
        <w:rPr>
          <w:rFonts w:ascii="Arial" w:hAnsi="Arial" w:cs="Arial"/>
          <w:sz w:val="22"/>
          <w:szCs w:val="22"/>
          <w:lang w:val="sl-SI"/>
        </w:rPr>
      </w:pPr>
      <w:r w:rsidRPr="00C55C5A">
        <w:rPr>
          <w:rFonts w:ascii="Arial" w:hAnsi="Arial" w:cs="Arial"/>
          <w:sz w:val="22"/>
          <w:szCs w:val="22"/>
          <w:lang w:val="sl-SI"/>
        </w:rPr>
        <w:t>njen primarni cilj ni maksimiranje dobička temveč trajnostna naravnanost,</w:t>
      </w:r>
    </w:p>
    <w:p w14:paraId="41D5F50E" w14:textId="77777777" w:rsidR="00C55C5A" w:rsidRPr="00C55C5A" w:rsidRDefault="00C55C5A" w:rsidP="00C55C5A">
      <w:pPr>
        <w:numPr>
          <w:ilvl w:val="0"/>
          <w:numId w:val="33"/>
        </w:numPr>
        <w:shd w:val="clear" w:color="auto" w:fill="FFFFFF"/>
        <w:contextualSpacing/>
        <w:jc w:val="both"/>
        <w:rPr>
          <w:rFonts w:ascii="Arial" w:hAnsi="Arial" w:cs="Arial"/>
          <w:sz w:val="22"/>
          <w:szCs w:val="22"/>
          <w:lang w:val="sl-SI"/>
        </w:rPr>
      </w:pPr>
      <w:r w:rsidRPr="00C55C5A">
        <w:rPr>
          <w:rFonts w:ascii="Arial" w:hAnsi="Arial" w:cs="Arial"/>
          <w:sz w:val="22"/>
          <w:szCs w:val="22"/>
          <w:lang w:val="sl-SI"/>
        </w:rPr>
        <w:t>pooblastila ne zagotavljajo neposredne ali posredne koristi za tržne aktivnosti v skladu z zadevno zakonodajo,</w:t>
      </w:r>
    </w:p>
    <w:p w14:paraId="4826FEA4" w14:textId="77777777" w:rsidR="00C55C5A" w:rsidRPr="00C55C5A" w:rsidRDefault="00C55C5A" w:rsidP="00C55C5A">
      <w:pPr>
        <w:numPr>
          <w:ilvl w:val="0"/>
          <w:numId w:val="33"/>
        </w:numPr>
        <w:shd w:val="clear" w:color="auto" w:fill="FFFFFF"/>
        <w:contextualSpacing/>
        <w:jc w:val="both"/>
        <w:rPr>
          <w:rFonts w:ascii="Arial" w:hAnsi="Arial" w:cs="Arial"/>
          <w:sz w:val="22"/>
          <w:szCs w:val="22"/>
          <w:lang w:val="sl-SI"/>
        </w:rPr>
      </w:pPr>
      <w:r w:rsidRPr="00C55C5A">
        <w:rPr>
          <w:rFonts w:ascii="Arial" w:hAnsi="Arial" w:cs="Arial"/>
          <w:sz w:val="22"/>
          <w:szCs w:val="22"/>
          <w:lang w:val="sl-SI"/>
        </w:rPr>
        <w:t>je podvržena nadzoru neodvisnega organa v skladu z nacionalno zakonodajo.</w:t>
      </w:r>
    </w:p>
    <w:p w14:paraId="1B03AA47" w14:textId="77777777" w:rsidR="00C55C5A" w:rsidRPr="00C55C5A" w:rsidRDefault="00C55C5A" w:rsidP="00C55C5A">
      <w:pPr>
        <w:jc w:val="both"/>
        <w:rPr>
          <w:rFonts w:ascii="Arial" w:hAnsi="Arial" w:cs="Arial"/>
          <w:sz w:val="22"/>
          <w:szCs w:val="22"/>
          <w:lang w:val="sl-SI"/>
        </w:rPr>
      </w:pPr>
    </w:p>
    <w:p w14:paraId="76A83151"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Aktualen predlog spremembe torej nedvoumno izraža namero in interes Evropske komisije, da se z vidika zaupanja nalog izvajanja sklada skladov ali posameznih FI imenuje (neposredno) razvojne banke.</w:t>
      </w:r>
    </w:p>
    <w:p w14:paraId="2D78F43A" w14:textId="77777777" w:rsidR="00C55C5A" w:rsidRPr="00C55C5A" w:rsidRDefault="00C55C5A" w:rsidP="00C55C5A">
      <w:pPr>
        <w:jc w:val="both"/>
        <w:rPr>
          <w:rFonts w:ascii="Arial" w:hAnsi="Arial" w:cs="Arial"/>
          <w:sz w:val="22"/>
          <w:szCs w:val="22"/>
          <w:lang w:val="sl-SI"/>
        </w:rPr>
      </w:pPr>
    </w:p>
    <w:p w14:paraId="143E1C08"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Do sprejetja opisanih normativnih sprememb pa velja, da podpis finančnega sporazuma z izvajalcem sklada skladov z vidika pravil javnega naročanja pomeni naročilo finančnih storitev. Zato je pri izboru izvajalca sklada skladov, v kolikor evropska zakonodaja za izvajanje ESIF za posamezen subjekt (kot na primer za EIB) ne določa drugače, potrebno upoštevati postopke javnega naročanja. </w:t>
      </w:r>
    </w:p>
    <w:p w14:paraId="2DC612E8"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br/>
        <w:t>V nacionalni zakonodaji so ti postopki urejeni z Zakonom o javnem naročanju (ZJN-3), ki v nacionalni pravni red med drugim vnaša tudi izjemo od uporabe pravil javnega naročanja. Gre za izjemo t.i. notranjega izvajalca, razvito na podlagi prakse Sodišča EU.</w:t>
      </w:r>
    </w:p>
    <w:p w14:paraId="22D02A5F" w14:textId="77777777" w:rsidR="00C55C5A" w:rsidRPr="00C55C5A" w:rsidRDefault="00C55C5A" w:rsidP="00C55C5A">
      <w:pPr>
        <w:shd w:val="clear" w:color="auto" w:fill="FFFFFF"/>
        <w:jc w:val="both"/>
        <w:rPr>
          <w:rFonts w:ascii="Arial" w:hAnsi="Arial" w:cs="Arial"/>
          <w:sz w:val="22"/>
          <w:szCs w:val="22"/>
          <w:lang w:val="sl-SI"/>
        </w:rPr>
      </w:pPr>
    </w:p>
    <w:p w14:paraId="26F63B0E" w14:textId="77777777" w:rsidR="00C55C5A" w:rsidRPr="00C55C5A" w:rsidRDefault="00C55C5A" w:rsidP="00C55C5A">
      <w:pPr>
        <w:shd w:val="clear" w:color="auto" w:fill="FFFFFF"/>
        <w:jc w:val="both"/>
        <w:rPr>
          <w:rFonts w:ascii="Arial" w:hAnsi="Arial" w:cs="Arial"/>
          <w:sz w:val="22"/>
          <w:szCs w:val="22"/>
          <w:lang w:val="sl-SI"/>
        </w:rPr>
      </w:pPr>
    </w:p>
    <w:p w14:paraId="4F4458EF" w14:textId="77777777" w:rsidR="00C55C5A" w:rsidRPr="00C55C5A" w:rsidRDefault="00C55C5A" w:rsidP="00C55C5A">
      <w:pPr>
        <w:shd w:val="clear" w:color="auto" w:fill="FFFFFF"/>
        <w:jc w:val="both"/>
        <w:rPr>
          <w:rFonts w:ascii="Arial" w:hAnsi="Arial" w:cs="Arial"/>
          <w:sz w:val="22"/>
          <w:szCs w:val="22"/>
          <w:lang w:val="sl-SI"/>
        </w:rPr>
      </w:pPr>
    </w:p>
    <w:p w14:paraId="0C14A24B" w14:textId="77777777" w:rsidR="00C55C5A" w:rsidRPr="00C55C5A" w:rsidRDefault="00C55C5A" w:rsidP="00C55C5A">
      <w:pPr>
        <w:shd w:val="clear" w:color="auto" w:fill="FFFFFF"/>
        <w:jc w:val="both"/>
        <w:rPr>
          <w:rFonts w:ascii="Arial" w:hAnsi="Arial" w:cs="Arial"/>
          <w:b/>
          <w:sz w:val="22"/>
          <w:szCs w:val="22"/>
          <w:lang w:val="sl-SI"/>
        </w:rPr>
      </w:pPr>
      <w:r w:rsidRPr="00C55C5A">
        <w:rPr>
          <w:rFonts w:ascii="Arial" w:hAnsi="Arial" w:cs="Arial"/>
          <w:b/>
          <w:sz w:val="22"/>
          <w:szCs w:val="22"/>
          <w:lang w:val="sl-SI"/>
        </w:rPr>
        <w:lastRenderedPageBreak/>
        <w:t>Prvi odstavek 28. člena Zakona o javnem naročanju (ZJN-3) določa:</w:t>
      </w:r>
    </w:p>
    <w:p w14:paraId="0EA2C614" w14:textId="77777777" w:rsidR="00C55C5A" w:rsidRPr="00C55C5A" w:rsidRDefault="00C55C5A" w:rsidP="00C55C5A">
      <w:pPr>
        <w:shd w:val="clear" w:color="auto" w:fill="FFFFFF"/>
        <w:jc w:val="both"/>
        <w:rPr>
          <w:rFonts w:ascii="Arial" w:hAnsi="Arial" w:cs="Arial"/>
          <w:sz w:val="22"/>
          <w:szCs w:val="22"/>
          <w:lang w:val="sl-SI"/>
        </w:rPr>
      </w:pPr>
    </w:p>
    <w:p w14:paraId="1595B4E6"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(1) Ta zakon se ne uporablja za javno naročilo, ki ga naročnik iz a), b) ali c) točke prvega odstavka 9. člena tega zakona odda pravni osebi javnega ali zasebnega prava, če so izpolnjeni naslednji pogoji:</w:t>
      </w:r>
    </w:p>
    <w:p w14:paraId="2B49A7E9"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a)     ta naročnik obvladuje določeno pravno osebo podobno kot svoje službe;</w:t>
      </w:r>
    </w:p>
    <w:p w14:paraId="43BB4CA4"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b)     odvisna pravna oseba izvaja več kot 80 odstotkov svojih dejavnosti za izpolnitev nalog, ki ji jih je dal ta naročnik, ki jo obvladuje, ali ki so ji jih dale druge pravne osebe, ki jih obvladuje ta naročnik;</w:t>
      </w:r>
    </w:p>
    <w:p w14:paraId="037815DC"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c)     v odvisni pravni osebi neposreden zasebni kapital ni udeležen in</w:t>
      </w:r>
    </w:p>
    <w:p w14:paraId="30EB4A13"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č)    vrednost predmeta naročanja je enaka ali nižja od cen za ta predmet na trgu.</w:t>
      </w:r>
    </w:p>
    <w:p w14:paraId="4D859ABC" w14:textId="77777777" w:rsidR="00C55C5A" w:rsidRPr="00C55C5A" w:rsidRDefault="00C55C5A" w:rsidP="00C55C5A">
      <w:pPr>
        <w:shd w:val="clear" w:color="auto" w:fill="FFFFFF"/>
        <w:jc w:val="both"/>
        <w:rPr>
          <w:rFonts w:ascii="Arial" w:hAnsi="Arial" w:cs="Arial"/>
          <w:b/>
          <w:sz w:val="22"/>
          <w:szCs w:val="22"/>
          <w:lang w:val="sl-SI"/>
        </w:rPr>
      </w:pPr>
    </w:p>
    <w:p w14:paraId="198E045A"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1. Izpolnjevanje pogoja iz točke a) ta naročnik obvladuje določeno pravno osebo podobno kot svoje službe se v skladu z zahtevami prava EU nanaša na pravni položaj, ko javni naročnik obvladuje zadevno pravno osebo zasebnega ali javnega prava podobno kot svoje službe (t.i. pogoj organizacijske odvisnosti), pri čemer se šteje, da javni naročnik obvladuje pravno osebo podobno kot svoje službe, če odločilno vpliva na strateške cilje in pomembne odločitve odvisne pravne osebe . Ta pogoj je izpolnjen tako v primeru, če imata oseba javni naročnik in odvisna družba isti organ odločanja ali, če je oseba javni naročnik (oziroma nekateri izmed njegovih organov) pristojen za imenovanje in razreševanje organa odločanja v gospodarski družbi ali pa, če bi organ vodenja odvisne družbe za sprejem strateških ciljev oziroma pomembnih odločitev potreboval soglasje osebe javnega naročnika (oziroma katerega od njegovih organov).Tako obvladovanje lahko izvaja tudi druga pravna oseba, ki jo na enak način obvladuje ta naročnik.</w:t>
      </w:r>
    </w:p>
    <w:p w14:paraId="7849B34E" w14:textId="77777777" w:rsidR="00C55C5A" w:rsidRPr="00C55C5A" w:rsidRDefault="00C55C5A" w:rsidP="00C55C5A">
      <w:pPr>
        <w:shd w:val="clear" w:color="auto" w:fill="FFFFFF"/>
        <w:jc w:val="both"/>
        <w:rPr>
          <w:rFonts w:ascii="Arial" w:hAnsi="Arial" w:cs="Arial"/>
          <w:sz w:val="22"/>
          <w:szCs w:val="22"/>
          <w:lang w:val="sl-SI"/>
        </w:rPr>
      </w:pPr>
    </w:p>
    <w:tbl>
      <w:tblPr>
        <w:tblStyle w:val="Tabelamrea"/>
        <w:tblW w:w="9776" w:type="dxa"/>
        <w:shd w:val="clear" w:color="auto" w:fill="FFFFFF" w:themeFill="background1"/>
        <w:tblLook w:val="04A0" w:firstRow="1" w:lastRow="0" w:firstColumn="1" w:lastColumn="0" w:noHBand="0" w:noVBand="1"/>
      </w:tblPr>
      <w:tblGrid>
        <w:gridCol w:w="9776"/>
      </w:tblGrid>
      <w:tr w:rsidR="00C55C5A" w:rsidRPr="00C55C5A" w14:paraId="4901304F" w14:textId="77777777" w:rsidTr="00E6701A">
        <w:tc>
          <w:tcPr>
            <w:tcW w:w="9776" w:type="dxa"/>
            <w:shd w:val="clear" w:color="auto" w:fill="FFFFFF" w:themeFill="background1"/>
          </w:tcPr>
          <w:p w14:paraId="3E70A388"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V primeru SID banke je zakonsko določeno, da je zaradi zagotavljanja izvajanja zakonsko določenih nalog in uresničevanja ciljev po tem zakonu Republika Slovenija edini delničar SID banke (4. člen Zakona o Slovenski izvozni in razvojni banki</w:t>
            </w:r>
            <w:r w:rsidRPr="00C55C5A">
              <w:rPr>
                <w:rFonts w:ascii="Arial" w:hAnsi="Arial" w:cs="Arial"/>
                <w:sz w:val="22"/>
                <w:szCs w:val="22"/>
                <w:vertAlign w:val="superscript"/>
                <w:lang w:val="sl-SI"/>
              </w:rPr>
              <w:footnoteReference w:id="29"/>
            </w:r>
            <w:r w:rsidRPr="00C55C5A">
              <w:rPr>
                <w:rFonts w:ascii="Arial" w:hAnsi="Arial" w:cs="Arial"/>
                <w:sz w:val="22"/>
                <w:szCs w:val="22"/>
                <w:lang w:val="sl-SI"/>
              </w:rPr>
              <w:t xml:space="preserve"> (v nadaljevanju: ZSIRB), kar kaže na to, da je lahko pogoj izpolnjen. SID banka mora o izvrševanju pooblastil po ZSIRB enkrat letno poročati Vladi, ta pa nadalje Državnemu zboru (ZSIRB, 17. člen). Nadalje člane nadzornega sveta SID banke imenuje Vlada Republike Slovenije, in sicer pet članov kot predstavnike strokovne javnosti na predlog ministra, pristojnega za razvoj in evropske zadeve, enega člana kot predstavnika ministrstva, pristojnega za finance, na predlog ministra, pristojnega za finance in enega člana kot predstavnika ministrstva, pristojnega za gospodarstvo, na predlog ministra, pristojnega za gospodarstvo (četrti odstavek 18. člena ZSIRB). V tem delu je odločilno to, da vse člane nadzornega sveta imenuje in razrešuje ustanovitelj (t.j. Vlada RS v imenu Republike Slovenije) na predlog ministra, kot člana vlade. Člane uprave SID banke pa imenuje nadzorni svet. Gre za klasičen dvotirni sistem upravljanja, ki sicer izhaja že iz samega ZSIRB, podobno kot ga ureja Zakon o bančništvu in kot velja za gospodarske družbe na splošno po ZGD-1.</w:t>
            </w:r>
          </w:p>
          <w:p w14:paraId="023E7D57" w14:textId="77777777" w:rsidR="00C55C5A" w:rsidRPr="00C55C5A" w:rsidRDefault="00C55C5A" w:rsidP="00C55C5A">
            <w:pPr>
              <w:shd w:val="clear" w:color="auto" w:fill="FFFFFF"/>
              <w:jc w:val="both"/>
              <w:rPr>
                <w:rFonts w:ascii="Arial" w:hAnsi="Arial" w:cs="Arial"/>
                <w:sz w:val="22"/>
                <w:szCs w:val="22"/>
                <w:lang w:val="sl-SI"/>
              </w:rPr>
            </w:pPr>
          </w:p>
          <w:p w14:paraId="325B196B"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Zaradi tega je bistvenega pomena, kolikšen je dejanski obseg pristojnosti nadzornega sveta SID banke v razmerju do njene uprave. Ta je opredeljen v Statutu SID banke</w:t>
            </w:r>
            <w:r w:rsidRPr="00C55C5A">
              <w:rPr>
                <w:rFonts w:ascii="Arial" w:hAnsi="Arial" w:cs="Arial"/>
                <w:sz w:val="22"/>
                <w:szCs w:val="22"/>
                <w:vertAlign w:val="superscript"/>
                <w:lang w:val="sl-SI"/>
              </w:rPr>
              <w:footnoteReference w:id="30"/>
            </w:r>
            <w:r w:rsidRPr="00C55C5A">
              <w:rPr>
                <w:rFonts w:ascii="Arial" w:hAnsi="Arial" w:cs="Arial"/>
                <w:sz w:val="22"/>
                <w:szCs w:val="22"/>
                <w:lang w:val="sl-SI"/>
              </w:rPr>
              <w:t xml:space="preserve"> (15. člen), ki med drugim določa, da brez soglasja nadzornega sveta SID banke ni možno sprejeti strategije, letnega poslovnega in finančnega načrta ali skleniti večjih poslov, s čimer je izkazan vpliv nadzornega sveta ter da so določene meje samostojnemu operativnemu odločanju uprave SID banke. Dodatno je pomembno, da ima, kljub temu da je SID banka organizirana kot delniška družba in da je način imenovanja članov uprave s strani nadzornega sveta, Republika Slovenija že na podlagi </w:t>
            </w:r>
            <w:r w:rsidRPr="00C55C5A">
              <w:rPr>
                <w:rFonts w:ascii="Arial" w:hAnsi="Arial" w:cs="Arial"/>
                <w:sz w:val="22"/>
                <w:szCs w:val="22"/>
                <w:lang w:val="sl-SI"/>
              </w:rPr>
              <w:lastRenderedPageBreak/>
              <w:t>posameznih zakonsko dodeljenih pooblastil SID banki, s pogodbeno ureditvijo razmerij s SID banko možnost odločilno vplivati na strateške cilje. Tako v okviru SID banke deluje tudi Komisija za pospeševanje mednarodne menjave, katere pristojnosti so omejene na posle po Zakonu o zavarovanju in financiranju mednarodnih gospodarskih poslov</w:t>
            </w:r>
            <w:r w:rsidRPr="00C55C5A">
              <w:rPr>
                <w:rFonts w:ascii="Arial" w:hAnsi="Arial" w:cs="Arial"/>
                <w:sz w:val="22"/>
                <w:szCs w:val="22"/>
                <w:vertAlign w:val="superscript"/>
                <w:lang w:val="sl-SI"/>
              </w:rPr>
              <w:footnoteReference w:id="31"/>
            </w:r>
            <w:r w:rsidRPr="00C55C5A">
              <w:rPr>
                <w:rFonts w:ascii="Arial" w:hAnsi="Arial" w:cs="Arial"/>
                <w:sz w:val="22"/>
                <w:szCs w:val="22"/>
                <w:lang w:val="sl-SI"/>
              </w:rPr>
              <w:t xml:space="preserve">. </w:t>
            </w:r>
          </w:p>
          <w:p w14:paraId="6BEAFB28" w14:textId="77777777" w:rsidR="00C55C5A" w:rsidRPr="00C55C5A" w:rsidRDefault="00C55C5A" w:rsidP="00C55C5A">
            <w:pPr>
              <w:shd w:val="clear" w:color="auto" w:fill="FFFFFF"/>
              <w:jc w:val="both"/>
              <w:rPr>
                <w:rFonts w:ascii="Arial" w:hAnsi="Arial" w:cs="Arial"/>
                <w:sz w:val="22"/>
                <w:szCs w:val="22"/>
                <w:lang w:val="sl-SI"/>
              </w:rPr>
            </w:pPr>
          </w:p>
          <w:p w14:paraId="30B223D8"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Ob tem, da se v konkretnem primeru z vidika doktrine notranjega izvajalca (in-house) presoja povezanost določenih pravnih oseb z državo, velja tudi omeniti, da z vidika te doktrine ni relevanten organizacijski ustroj ministrstev in je torej nepomembno, katero ministrstvo v imenu Republike Slovenije sklepa pogodbo s subjektom, ki se mu odda naročilo.</w:t>
            </w:r>
          </w:p>
          <w:p w14:paraId="3D15E81D"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 </w:t>
            </w:r>
          </w:p>
          <w:p w14:paraId="0C7687CA" w14:textId="77777777" w:rsidR="00C55C5A" w:rsidRPr="00C55C5A" w:rsidRDefault="00C55C5A" w:rsidP="00C55C5A">
            <w:pPr>
              <w:shd w:val="clear" w:color="auto" w:fill="FFFFFF"/>
              <w:jc w:val="both"/>
              <w:rPr>
                <w:rFonts w:ascii="Arial" w:hAnsi="Arial" w:cs="Arial"/>
                <w:sz w:val="22"/>
                <w:szCs w:val="22"/>
                <w:lang w:val="sl-SI"/>
              </w:rPr>
            </w:pPr>
          </w:p>
          <w:p w14:paraId="3A440F66"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Z »Uredbo o porabi sredstev evropske kohezijske politike v Republiki Sloveniji v programskem obdobju 2014–2020 za cilj naložbe za rast in delovna mesta« je namreč določeno, da MGRT sklene finančni sporazum s skladom skladov. RS je pravna oseba, ki jo zastopa Vlada RS, katere del so ministrstva (skladno z Zakonom o Vladi Republike Slovenije</w:t>
            </w:r>
            <w:r w:rsidRPr="00C55C5A">
              <w:rPr>
                <w:rFonts w:ascii="Arial" w:hAnsi="Arial" w:cs="Arial"/>
                <w:sz w:val="22"/>
                <w:szCs w:val="22"/>
                <w:vertAlign w:val="superscript"/>
                <w:lang w:val="sl-SI"/>
              </w:rPr>
              <w:footnoteReference w:id="32"/>
            </w:r>
            <w:r w:rsidRPr="00C55C5A">
              <w:rPr>
                <w:rFonts w:ascii="Arial" w:hAnsi="Arial" w:cs="Arial"/>
                <w:sz w:val="22"/>
                <w:szCs w:val="22"/>
                <w:lang w:val="sl-SI"/>
              </w:rPr>
              <w:t>). Zakon o državni upravi pa določa področja dela posameznega ministrstva</w:t>
            </w:r>
            <w:r w:rsidRPr="00C55C5A">
              <w:rPr>
                <w:rFonts w:ascii="Arial" w:hAnsi="Arial" w:cs="Arial"/>
                <w:sz w:val="22"/>
                <w:szCs w:val="22"/>
                <w:vertAlign w:val="superscript"/>
                <w:lang w:val="sl-SI"/>
              </w:rPr>
              <w:footnoteReference w:id="33"/>
            </w:r>
            <w:r w:rsidRPr="00C55C5A">
              <w:rPr>
                <w:rFonts w:ascii="Arial" w:hAnsi="Arial" w:cs="Arial"/>
                <w:sz w:val="22"/>
                <w:szCs w:val="22"/>
                <w:lang w:val="sl-SI"/>
              </w:rPr>
              <w:t xml:space="preserve">.  </w:t>
            </w:r>
          </w:p>
          <w:p w14:paraId="600F8CAD" w14:textId="77777777" w:rsidR="00C55C5A" w:rsidRPr="00C55C5A" w:rsidRDefault="00C55C5A" w:rsidP="00C55C5A">
            <w:pPr>
              <w:shd w:val="clear" w:color="auto" w:fill="FFFFFF"/>
              <w:jc w:val="both"/>
              <w:rPr>
                <w:rFonts w:ascii="Arial" w:hAnsi="Arial" w:cs="Arial"/>
                <w:sz w:val="22"/>
                <w:szCs w:val="22"/>
                <w:lang w:val="sl-SI"/>
              </w:rPr>
            </w:pPr>
          </w:p>
          <w:p w14:paraId="4F94B3C5"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Vlada RS je z Uredbo o porabi sredstev evropske kohezijske politike v Republiki Sloveniji v programskem obdobju 2014–2020 za cilj naložbe za rast in delovna mesta naloge na MGRT. </w:t>
            </w:r>
          </w:p>
          <w:p w14:paraId="16C16E20" w14:textId="77777777" w:rsidR="00C55C5A" w:rsidRPr="00C55C5A" w:rsidRDefault="00C55C5A" w:rsidP="00C55C5A">
            <w:pPr>
              <w:shd w:val="clear" w:color="auto" w:fill="FFFFFF"/>
              <w:jc w:val="both"/>
              <w:rPr>
                <w:rFonts w:ascii="Arial" w:hAnsi="Arial" w:cs="Arial"/>
                <w:sz w:val="22"/>
                <w:szCs w:val="22"/>
                <w:lang w:val="sl-SI"/>
              </w:rPr>
            </w:pPr>
          </w:p>
          <w:p w14:paraId="15AA8823"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Dodatno je pomembno, da ima, kljub temu da je SID banka organizirana kot delniška družba in da je način imenovanja članov uprave s strani nadzornega sveta, Republika Slovenija že na podlagi posameznih zakonsko dodeljenih pooblastil SID banki, pogodbene ureditve razmerij s SID banko in določb Statuta SID banke možnost odločilno vplivati na strateške cilje in na bistvene odločitve. </w:t>
            </w:r>
          </w:p>
          <w:p w14:paraId="4A355745" w14:textId="77777777" w:rsidR="00C55C5A" w:rsidRPr="00C55C5A" w:rsidRDefault="00C55C5A" w:rsidP="00C55C5A">
            <w:pPr>
              <w:shd w:val="clear" w:color="auto" w:fill="FFFFFF"/>
              <w:jc w:val="both"/>
              <w:rPr>
                <w:rFonts w:ascii="Arial" w:hAnsi="Arial" w:cs="Arial"/>
                <w:sz w:val="22"/>
                <w:szCs w:val="22"/>
                <w:lang w:val="sl-SI"/>
              </w:rPr>
            </w:pPr>
          </w:p>
          <w:p w14:paraId="7B61C083"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Prav tako nadzor nad poslovanjem SID banke v okviru svojih pristojnosti izvajajo Banka Slovenije, Agencija za zavarovalni nadzor in ministrstvo, pristojno za finance.</w:t>
            </w:r>
          </w:p>
          <w:p w14:paraId="7023689C" w14:textId="77777777" w:rsidR="00C55C5A" w:rsidRPr="00C55C5A" w:rsidRDefault="00C55C5A" w:rsidP="00C55C5A">
            <w:pPr>
              <w:shd w:val="clear" w:color="auto" w:fill="FFFFFF"/>
              <w:jc w:val="both"/>
              <w:rPr>
                <w:rFonts w:ascii="Arial" w:hAnsi="Arial" w:cs="Arial"/>
                <w:sz w:val="22"/>
                <w:szCs w:val="22"/>
                <w:lang w:val="sl-SI"/>
              </w:rPr>
            </w:pPr>
          </w:p>
          <w:p w14:paraId="19710ECD" w14:textId="77777777" w:rsidR="00C55C5A" w:rsidRPr="00C55C5A" w:rsidRDefault="00C55C5A" w:rsidP="00C55C5A">
            <w:pPr>
              <w:shd w:val="clear" w:color="auto" w:fill="FFFFFF"/>
              <w:jc w:val="both"/>
              <w:rPr>
                <w:rFonts w:ascii="Arial" w:hAnsi="Arial" w:cs="Arial"/>
                <w:sz w:val="22"/>
                <w:szCs w:val="22"/>
                <w:lang w:val="sl-SI"/>
              </w:rPr>
            </w:pPr>
          </w:p>
          <w:p w14:paraId="21519821"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Vlada RS preko Slovenskega državnega holdinga potrjuje letni načrt, letno poročilo, delitev dobička, razrešuje in imenuje nadzorni svet (192,. 193. člen ZGD). Glasovalne in druge pravice edinega delničarja na skupščini v skladu s 4. členom ZSRIP uresničuje Republika Slovenija.  </w:t>
            </w:r>
          </w:p>
          <w:p w14:paraId="5245F2AB" w14:textId="77777777" w:rsidR="00C55C5A" w:rsidRPr="00C55C5A" w:rsidRDefault="00C55C5A" w:rsidP="00C55C5A">
            <w:pPr>
              <w:shd w:val="clear" w:color="auto" w:fill="FFFFFF"/>
              <w:jc w:val="both"/>
              <w:rPr>
                <w:rFonts w:ascii="Arial" w:hAnsi="Arial" w:cs="Arial"/>
                <w:sz w:val="22"/>
                <w:szCs w:val="22"/>
                <w:lang w:val="sl-SI"/>
              </w:rPr>
            </w:pPr>
          </w:p>
          <w:p w14:paraId="607B6B4D"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Statut namreč določa, da brez soglasja nadzornega sveta SID banke ni možno sprejeti strategije, letnega poslovnega in finančnega načrta ali skleniti večjih poslov. Poleg tega je v 16. členu Statuta SID banke določeno, da ima nadzorni svet tudi druge pomembnejše pristojnosti, s čimer je izkazan vpliv na dejavnost SID banke ter da so določeni meje samostojnemu operativnemu </w:t>
            </w:r>
            <w:r w:rsidRPr="00C55C5A">
              <w:rPr>
                <w:rFonts w:ascii="Arial" w:hAnsi="Arial" w:cs="Arial"/>
                <w:sz w:val="22"/>
                <w:szCs w:val="22"/>
                <w:lang w:val="sl-SI"/>
              </w:rPr>
              <w:lastRenderedPageBreak/>
              <w:t>odločanju uprave SID banke.</w:t>
            </w:r>
          </w:p>
          <w:p w14:paraId="79D0595D" w14:textId="77777777" w:rsidR="00C55C5A" w:rsidRPr="00C55C5A" w:rsidRDefault="00C55C5A" w:rsidP="00C55C5A">
            <w:pPr>
              <w:shd w:val="clear" w:color="auto" w:fill="FFFFFF"/>
              <w:jc w:val="both"/>
              <w:rPr>
                <w:rFonts w:ascii="Arial" w:hAnsi="Arial" w:cs="Arial"/>
                <w:sz w:val="22"/>
                <w:szCs w:val="22"/>
                <w:lang w:val="sl-SI"/>
              </w:rPr>
            </w:pPr>
          </w:p>
        </w:tc>
      </w:tr>
    </w:tbl>
    <w:p w14:paraId="4DA7135A" w14:textId="77777777" w:rsidR="00C55C5A" w:rsidRPr="00C55C5A" w:rsidRDefault="00C55C5A" w:rsidP="00C55C5A">
      <w:pPr>
        <w:shd w:val="clear" w:color="auto" w:fill="FFFFFF"/>
        <w:jc w:val="both"/>
        <w:rPr>
          <w:rFonts w:ascii="Arial" w:hAnsi="Arial" w:cs="Arial"/>
          <w:sz w:val="22"/>
          <w:szCs w:val="22"/>
          <w:lang w:val="sl-SI"/>
        </w:rPr>
      </w:pPr>
    </w:p>
    <w:p w14:paraId="1D9E3692"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2. Izpolnjevanje pogoje iz točke b) odvisna pravna oseba izvaja več kot 80 odstotkov svojih dejavnosti za izpolnitev nalog, ki ji jih je dal ta naročnik, ki jo obvladuje, ali ki so ji jih dale druge pravne osebe, ki jih obvladuje ta naročnik. Pretežni del dejavnosti notranjega subjekta torej morajo biti naloge, ki mu jih dodelijo nadzorni subjekti. Za oceno tega so po mnenju EK pomembne vse dejavnosti, pri čemer pa niso zajeta samo javna naročila, sploh pa ne samo javne službe/naloge, ki jih notranji subjekt izvaja kot del naročila, ki mu ga je dodelil naročnik in sicer ne glede na identiteto prejemnika (ali je to naročnik sam ali uporabnik storitev), subjekt, ki plačuje naročnika (ali je to nadzorni organ ali tretja oseba kot uporabnik storitev), ali ozemlje izvajanja storitev.</w:t>
      </w:r>
    </w:p>
    <w:p w14:paraId="59A02E78"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Pri določanju odstotka dejavnosti se upošteva skupni povprečni promet ali drug ustrezen dejavnik, ki temelji na dejavnosti, kot so stroški pravne osebe ali naročnika v zvezi s storitvami, blagom in gradnjami v treh letih pred oddajo javnega naročila.</w:t>
      </w:r>
    </w:p>
    <w:p w14:paraId="71238A9B" w14:textId="77777777" w:rsidR="00C55C5A" w:rsidRPr="00C55C5A" w:rsidRDefault="00C55C5A" w:rsidP="00C55C5A">
      <w:pPr>
        <w:shd w:val="clear" w:color="auto" w:fill="FFFFFF"/>
        <w:jc w:val="both"/>
        <w:rPr>
          <w:rFonts w:ascii="Arial" w:hAnsi="Arial" w:cs="Arial"/>
          <w:sz w:val="22"/>
          <w:szCs w:val="22"/>
          <w:lang w:val="sl-SI"/>
        </w:rPr>
      </w:pPr>
    </w:p>
    <w:tbl>
      <w:tblPr>
        <w:tblStyle w:val="Tabelamrea"/>
        <w:tblW w:w="9776" w:type="dxa"/>
        <w:shd w:val="clear" w:color="auto" w:fill="DEEAF6" w:themeFill="accent1" w:themeFillTint="33"/>
        <w:tblLook w:val="04A0" w:firstRow="1" w:lastRow="0" w:firstColumn="1" w:lastColumn="0" w:noHBand="0" w:noVBand="1"/>
      </w:tblPr>
      <w:tblGrid>
        <w:gridCol w:w="9776"/>
      </w:tblGrid>
      <w:tr w:rsidR="00C55C5A" w:rsidRPr="00C55C5A" w14:paraId="629EBF96" w14:textId="77777777" w:rsidTr="00E6701A">
        <w:tc>
          <w:tcPr>
            <w:tcW w:w="9776" w:type="dxa"/>
            <w:shd w:val="clear" w:color="auto" w:fill="FFFFFF" w:themeFill="background1"/>
          </w:tcPr>
          <w:p w14:paraId="7B89546A"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Edini delničar SID banke d.d. je Republika Slovenija in sicer zaradi zagotavljanja izvajanja nalog in uresničevanja ciljev po ZSIRB (4. člen). Na podlagi 2. člena  ZSIRB  SID banka vse svoje posle opravlja po pooblastilu države. Podrobneje so ti posli opredeljeni v  11. členu tega zakona.</w:t>
            </w:r>
          </w:p>
          <w:p w14:paraId="5E786D4D" w14:textId="77777777" w:rsidR="00C55C5A" w:rsidRPr="00C55C5A" w:rsidRDefault="00C55C5A" w:rsidP="00C55C5A">
            <w:pPr>
              <w:shd w:val="clear" w:color="auto" w:fill="FFFFFF"/>
              <w:jc w:val="both"/>
              <w:rPr>
                <w:rFonts w:ascii="Arial" w:hAnsi="Arial" w:cs="Arial"/>
                <w:sz w:val="22"/>
                <w:szCs w:val="22"/>
                <w:lang w:val="sl-SI"/>
              </w:rPr>
            </w:pPr>
          </w:p>
          <w:p w14:paraId="4D061A7C"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Skladno z vlogo SID banke, kot je predvidena v ZSIRB, je vsa dejavnost SID banke namenjena uresničevanju nalog v javnem interesu, neodvisno od tega, ali je za opravljene storitve SID banka plačana neposredno iz proračuna RS, ko gre za poslovanje v imenu in za račun RS, ali s strani drugih neposrednih uporabnikov njenih storitev, ko gre za poslovanje v lastnem imenu in za lasten račun.</w:t>
            </w:r>
          </w:p>
          <w:p w14:paraId="7E32D605" w14:textId="77777777" w:rsidR="00C55C5A" w:rsidRPr="00C55C5A" w:rsidRDefault="00C55C5A" w:rsidP="00C55C5A">
            <w:pPr>
              <w:shd w:val="clear" w:color="auto" w:fill="FFFFFF"/>
              <w:jc w:val="both"/>
              <w:rPr>
                <w:rFonts w:ascii="Arial" w:hAnsi="Arial" w:cs="Arial"/>
                <w:sz w:val="22"/>
                <w:szCs w:val="22"/>
                <w:lang w:val="sl-SI"/>
              </w:rPr>
            </w:pPr>
          </w:p>
          <w:p w14:paraId="7F4968E3"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Prihodki iz naslova poslov po pooblastilu Republike Slovenije so prejeta nadomestila za izvajanje poslov po pooblastilu (zavarovanje in financiranje mednarodnih gospodarskih poslov v imenu in za račun RS, jamstvene sheme, izvajanje dražb emisijskih kuponov) in jih SID banka zaračunava neposredno pristojnemu ministrstvu. Ti prihodki v povprečju predstavljajo 4,1% povprečnih skupnih finančnih poslovnih prihodkov in odhodkov SID banke v obdobju 2014-2016. </w:t>
            </w:r>
          </w:p>
          <w:p w14:paraId="3E49BC09" w14:textId="77777777" w:rsidR="00C55C5A" w:rsidRPr="00C55C5A" w:rsidRDefault="00C55C5A" w:rsidP="00C55C5A">
            <w:pPr>
              <w:shd w:val="clear" w:color="auto" w:fill="FFFFFF"/>
              <w:jc w:val="both"/>
              <w:rPr>
                <w:rFonts w:ascii="Arial" w:hAnsi="Arial" w:cs="Arial"/>
                <w:sz w:val="22"/>
                <w:szCs w:val="22"/>
                <w:lang w:val="sl-SI"/>
              </w:rPr>
            </w:pPr>
          </w:p>
          <w:p w14:paraId="2DBF6A94"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Republika Slovenija kot edini delničar nepreklicno in neomejeno odgovarja za obveznosti SID banke iz poslov, sklenjenih pri izvajanju vseh temeljnih dejavnosti banke, ki jih opravlja, skladno z 11. in 12. členom ZSIRB:</w:t>
            </w:r>
          </w:p>
          <w:p w14:paraId="23688A48" w14:textId="77777777" w:rsidR="00C55C5A" w:rsidRPr="00C55C5A" w:rsidRDefault="00C55C5A" w:rsidP="00C55C5A">
            <w:pPr>
              <w:numPr>
                <w:ilvl w:val="0"/>
                <w:numId w:val="35"/>
              </w:numPr>
              <w:shd w:val="clear" w:color="auto" w:fill="FFFFFF"/>
              <w:contextualSpacing/>
              <w:jc w:val="both"/>
              <w:rPr>
                <w:rFonts w:ascii="Arial" w:eastAsia="Calibri" w:hAnsi="Arial" w:cs="Arial"/>
                <w:sz w:val="22"/>
                <w:szCs w:val="22"/>
                <w:lang w:val="sl-SI"/>
              </w:rPr>
            </w:pPr>
            <w:r w:rsidRPr="00C55C5A">
              <w:rPr>
                <w:rFonts w:ascii="Arial" w:eastAsia="Calibri" w:hAnsi="Arial" w:cs="Arial"/>
                <w:sz w:val="22"/>
                <w:szCs w:val="22"/>
                <w:lang w:val="sl-SI"/>
              </w:rPr>
              <w:t>Podpira ekonomske, strukturne, socialne in druge politike tako, da opravlja finančne storitve na segmentih, kjer nastajajo oz. so ugotovljene tržne vrzeli,</w:t>
            </w:r>
          </w:p>
          <w:p w14:paraId="7C8DAFD0" w14:textId="77777777" w:rsidR="00C55C5A" w:rsidRPr="00C55C5A" w:rsidRDefault="00C55C5A" w:rsidP="00C55C5A">
            <w:pPr>
              <w:numPr>
                <w:ilvl w:val="0"/>
                <w:numId w:val="35"/>
              </w:numPr>
              <w:spacing w:after="200"/>
              <w:jc w:val="both"/>
              <w:rPr>
                <w:rFonts w:ascii="Arial" w:eastAsia="Calibri" w:hAnsi="Arial" w:cs="Arial"/>
                <w:sz w:val="22"/>
                <w:szCs w:val="22"/>
                <w:lang w:val="sl-SI"/>
              </w:rPr>
            </w:pPr>
            <w:r w:rsidRPr="00C55C5A">
              <w:rPr>
                <w:rFonts w:ascii="Arial" w:eastAsia="Calibri" w:hAnsi="Arial" w:cs="Arial"/>
                <w:sz w:val="22"/>
                <w:szCs w:val="22"/>
                <w:lang w:val="sl-SI"/>
              </w:rPr>
              <w:t>za izvajanje dejavnosti iz prejšnje alineje lahko SID banka opravlja vse storitve, ki se lahko opravljajo po zakonu, ki ureja bančništvo in tudi druge storitve (svetovanje, izobraževanje in druge), če so le-te namenjene za podporo storitvam iz prejšnje alineje.</w:t>
            </w:r>
          </w:p>
        </w:tc>
      </w:tr>
    </w:tbl>
    <w:p w14:paraId="7F28D599" w14:textId="77777777" w:rsidR="00C55C5A" w:rsidRPr="00C55C5A" w:rsidRDefault="00C55C5A" w:rsidP="00C55C5A">
      <w:pPr>
        <w:shd w:val="clear" w:color="auto" w:fill="FFFFFF"/>
        <w:jc w:val="both"/>
        <w:rPr>
          <w:rFonts w:ascii="Arial" w:hAnsi="Arial" w:cs="Arial"/>
          <w:sz w:val="22"/>
          <w:szCs w:val="22"/>
          <w:lang w:val="sl-SI"/>
        </w:rPr>
      </w:pPr>
    </w:p>
    <w:p w14:paraId="5C97554D"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3. v odvisni pravni osebi neposreden zasebni kapital ni udeležen</w:t>
      </w:r>
    </w:p>
    <w:p w14:paraId="34B05B97" w14:textId="77777777" w:rsidR="00C55C5A" w:rsidRPr="00C55C5A" w:rsidRDefault="00C55C5A" w:rsidP="00C55C5A">
      <w:pPr>
        <w:shd w:val="clear" w:color="auto" w:fill="FFFFFF"/>
        <w:jc w:val="both"/>
        <w:rPr>
          <w:rFonts w:ascii="Arial" w:hAnsi="Arial" w:cs="Arial"/>
          <w:sz w:val="22"/>
          <w:szCs w:val="22"/>
          <w:lang w:val="sl-SI"/>
        </w:rPr>
      </w:pPr>
    </w:p>
    <w:tbl>
      <w:tblPr>
        <w:tblStyle w:val="Tabelamrea"/>
        <w:tblW w:w="0" w:type="auto"/>
        <w:shd w:val="clear" w:color="auto" w:fill="DEEAF6" w:themeFill="accent1" w:themeFillTint="33"/>
        <w:tblLook w:val="04A0" w:firstRow="1" w:lastRow="0" w:firstColumn="1" w:lastColumn="0" w:noHBand="0" w:noVBand="1"/>
      </w:tblPr>
      <w:tblGrid>
        <w:gridCol w:w="9776"/>
      </w:tblGrid>
      <w:tr w:rsidR="00C55C5A" w:rsidRPr="00C55C5A" w14:paraId="31D5E2F3" w14:textId="77777777" w:rsidTr="00E6701A">
        <w:tc>
          <w:tcPr>
            <w:tcW w:w="9776" w:type="dxa"/>
            <w:shd w:val="clear" w:color="auto" w:fill="FFFFFF" w:themeFill="background1"/>
          </w:tcPr>
          <w:p w14:paraId="6CB689EB"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V SID banki zasebni kapital ni udeležen. Lastnik SID banke je Republika Slovenija (99,41). Poleg tega ima SID  banka d.d., Ljubljana, katere ustanovitelj je Republika Slovenija, v lasti nekaj lastnih delnic, ki jih še ni odsvojila (0,59%).</w:t>
            </w:r>
          </w:p>
        </w:tc>
      </w:tr>
    </w:tbl>
    <w:p w14:paraId="75705160" w14:textId="77777777" w:rsidR="00C55C5A" w:rsidRPr="00C55C5A" w:rsidRDefault="00C55C5A" w:rsidP="00C55C5A">
      <w:pPr>
        <w:shd w:val="clear" w:color="auto" w:fill="FFFFFF"/>
        <w:jc w:val="both"/>
        <w:rPr>
          <w:rFonts w:ascii="Arial" w:hAnsi="Arial" w:cs="Arial"/>
          <w:sz w:val="22"/>
          <w:szCs w:val="22"/>
          <w:lang w:val="sl-SI"/>
        </w:rPr>
      </w:pPr>
    </w:p>
    <w:p w14:paraId="70EECC8E" w14:textId="77777777" w:rsidR="00C55C5A" w:rsidRPr="00C55C5A" w:rsidRDefault="00C55C5A" w:rsidP="00C55C5A">
      <w:pPr>
        <w:shd w:val="clear" w:color="auto" w:fill="FFFFFF"/>
        <w:jc w:val="both"/>
        <w:rPr>
          <w:rFonts w:ascii="Arial" w:hAnsi="Arial" w:cs="Arial"/>
          <w:sz w:val="22"/>
          <w:szCs w:val="22"/>
          <w:lang w:val="sl-SI"/>
        </w:rPr>
      </w:pPr>
    </w:p>
    <w:p w14:paraId="142A4705" w14:textId="77777777" w:rsidR="00C55C5A" w:rsidRPr="00C55C5A" w:rsidRDefault="00C55C5A" w:rsidP="00C55C5A">
      <w:pPr>
        <w:shd w:val="clear" w:color="auto" w:fill="FFFFFF"/>
        <w:jc w:val="both"/>
        <w:rPr>
          <w:rFonts w:ascii="Arial" w:hAnsi="Arial" w:cs="Arial"/>
          <w:sz w:val="22"/>
          <w:szCs w:val="22"/>
          <w:lang w:val="sl-SI"/>
        </w:rPr>
      </w:pPr>
    </w:p>
    <w:p w14:paraId="34F33FCB" w14:textId="77777777" w:rsidR="00C55C5A" w:rsidRPr="00C55C5A" w:rsidRDefault="00C55C5A" w:rsidP="00C55C5A">
      <w:pPr>
        <w:shd w:val="clear" w:color="auto" w:fill="FFFFFF"/>
        <w:jc w:val="both"/>
        <w:rPr>
          <w:rFonts w:ascii="Arial" w:hAnsi="Arial" w:cs="Arial"/>
          <w:sz w:val="22"/>
          <w:szCs w:val="22"/>
          <w:lang w:val="sl-SI"/>
        </w:rPr>
      </w:pPr>
    </w:p>
    <w:p w14:paraId="72E31254" w14:textId="77777777" w:rsidR="00C55C5A" w:rsidRPr="00C55C5A" w:rsidRDefault="00C55C5A" w:rsidP="00C55C5A">
      <w:pPr>
        <w:shd w:val="clear" w:color="auto" w:fill="FFFFFF"/>
        <w:jc w:val="both"/>
        <w:rPr>
          <w:rFonts w:ascii="Arial" w:hAnsi="Arial" w:cs="Arial"/>
          <w:sz w:val="22"/>
          <w:szCs w:val="22"/>
          <w:lang w:val="sl-SI"/>
        </w:rPr>
      </w:pPr>
    </w:p>
    <w:p w14:paraId="0C431A94"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4. vrednost predmeta naročanja je enaka ali nižja od cen za ta predmet na trgu</w:t>
      </w:r>
    </w:p>
    <w:p w14:paraId="055F4F33" w14:textId="77777777" w:rsidR="00C55C5A" w:rsidRPr="00C55C5A" w:rsidRDefault="00C55C5A" w:rsidP="00C55C5A">
      <w:pPr>
        <w:shd w:val="clear" w:color="auto" w:fill="FFFFFF"/>
        <w:jc w:val="both"/>
        <w:rPr>
          <w:rFonts w:ascii="Arial" w:hAnsi="Arial" w:cs="Arial"/>
          <w:sz w:val="22"/>
          <w:szCs w:val="22"/>
          <w:lang w:val="sl-SI"/>
        </w:rPr>
      </w:pPr>
    </w:p>
    <w:tbl>
      <w:tblPr>
        <w:tblStyle w:val="Tabelamrea"/>
        <w:tblW w:w="0" w:type="auto"/>
        <w:shd w:val="clear" w:color="auto" w:fill="FFFFFF" w:themeFill="background1"/>
        <w:tblLook w:val="04A0" w:firstRow="1" w:lastRow="0" w:firstColumn="1" w:lastColumn="0" w:noHBand="0" w:noVBand="1"/>
      </w:tblPr>
      <w:tblGrid>
        <w:gridCol w:w="9776"/>
      </w:tblGrid>
      <w:tr w:rsidR="00C55C5A" w:rsidRPr="00C55C5A" w14:paraId="4E77C88A" w14:textId="77777777" w:rsidTr="00E6701A">
        <w:tc>
          <w:tcPr>
            <w:tcW w:w="9776" w:type="dxa"/>
            <w:shd w:val="clear" w:color="auto" w:fill="FFFFFF" w:themeFill="background1"/>
          </w:tcPr>
          <w:p w14:paraId="346E0A2E"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Najvišje možne cene in način izračuna vrednosti storitve  upravljavec sklad skladov ,  so določne z EU zakonodajo (Delegirana uredba 480/2014, 13. člen) in so enake, ne glede na to, koga bi Republika Slovenija izbrala kot upravljavca sklada skladov. Pragovi so lahko preseženi samo, če bi potreba po višjih cenah bila izkazana v okviru konkurenčnega postopka izbora upravljala sklada skladov.  Ob isti dinamiki vplačil v sklad skladov in izplačil finančnim posrednikom se izračuni upravljavskih provizij glede na Uredbo EK 480/2014 ne razlikujejo.</w:t>
            </w:r>
          </w:p>
          <w:p w14:paraId="7C895874" w14:textId="77777777" w:rsidR="00C55C5A" w:rsidRPr="00C55C5A" w:rsidRDefault="00C55C5A" w:rsidP="00C55C5A">
            <w:pPr>
              <w:shd w:val="clear" w:color="auto" w:fill="FFFFFF"/>
              <w:jc w:val="both"/>
              <w:rPr>
                <w:rFonts w:ascii="Arial" w:hAnsi="Arial" w:cs="Arial"/>
                <w:sz w:val="22"/>
                <w:szCs w:val="22"/>
                <w:lang w:val="sl-SI"/>
              </w:rPr>
            </w:pPr>
          </w:p>
          <w:p w14:paraId="3C1360DD"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Za preveritev dejanskih stroškov je Ministrstvo za gospodarski razvoj in tehnologijo pripravilo izračun predvidenih dejanskih stroškov, ki bi jih upravljavec sklada skladov lahko imel za izvajanje upravljanja, v kolikor bi izračun temeljil na dejanskih stroških. Dodatno k temu je Ministrstvo za gospodarski razvoj in tehnologijo dne 14.11.2016 poslalo na Banko Slovenije dopis z namenom preveritve realne določitve upravljavske provizije, vendar ni prejelo odgovora. SID banka bo v nadaljevanju predložila vlogo in investicijsko strategijo ter predlog za upravljavsko provizijo. Predlog države bo skladen z izračunom navedenim v Uredbi EK 480/2014 ob predpostavki štirih vplačil v sklad skladov (vsako 25%) v letih 2017, 2019, 2021 in 2022 ter predpostavki, da sklad skladov izplača finančnim posrednikom pred drugo tranšo 60% sredstev prve tranše, ter v nadaljevanju 85% predhodnih vplačil v sklad skladov (skladno z Uredbo EK 1303/2013).  Glede na preverjanje na trgu (posredovan dopis na Banko Slovenija), ugotavljamo, da primerjava cen ni možna.  </w:t>
            </w:r>
          </w:p>
        </w:tc>
      </w:tr>
    </w:tbl>
    <w:p w14:paraId="64553032" w14:textId="77777777" w:rsidR="00C55C5A" w:rsidRPr="00C55C5A" w:rsidRDefault="00C55C5A" w:rsidP="00C55C5A">
      <w:pPr>
        <w:shd w:val="clear" w:color="auto" w:fill="FFFFFF"/>
        <w:jc w:val="both"/>
        <w:rPr>
          <w:rFonts w:ascii="Arial" w:hAnsi="Arial" w:cs="Arial"/>
          <w:sz w:val="22"/>
          <w:szCs w:val="22"/>
          <w:lang w:val="sl-SI"/>
        </w:rPr>
      </w:pPr>
    </w:p>
    <w:p w14:paraId="3326D4BE" w14:textId="77777777" w:rsidR="00C55C5A" w:rsidRPr="00C55C5A" w:rsidRDefault="00C55C5A" w:rsidP="00C55C5A">
      <w:pPr>
        <w:shd w:val="clear" w:color="auto" w:fill="FFFFFF"/>
        <w:jc w:val="both"/>
        <w:rPr>
          <w:rFonts w:ascii="Arial" w:hAnsi="Arial" w:cs="Arial"/>
          <w:b/>
          <w:sz w:val="22"/>
          <w:szCs w:val="22"/>
          <w:lang w:val="sl-SI"/>
        </w:rPr>
      </w:pPr>
      <w:r w:rsidRPr="00C55C5A">
        <w:rPr>
          <w:rFonts w:ascii="Arial" w:hAnsi="Arial" w:cs="Arial"/>
          <w:b/>
          <w:sz w:val="22"/>
          <w:szCs w:val="22"/>
          <w:lang w:val="sl-SI"/>
        </w:rPr>
        <w:t>Vsebinska obrazložitev:</w:t>
      </w:r>
    </w:p>
    <w:p w14:paraId="73BC4A0C"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Predhodna analiza vrzeli finančnih instrumentov 2014 – 2020 in dodatna EIB analiza potrjujeta, da je izvedba FI prek sklada skladov najbolj optimalna opcija. Iz prej omenjenih analiz izhaja, da obstajajo vrzeli financiranja na področju:</w:t>
      </w:r>
    </w:p>
    <w:p w14:paraId="1971A413" w14:textId="77777777" w:rsidR="00C55C5A" w:rsidRPr="00C55C5A" w:rsidRDefault="00C55C5A" w:rsidP="00C55C5A">
      <w:pPr>
        <w:numPr>
          <w:ilvl w:val="0"/>
          <w:numId w:val="37"/>
        </w:numPr>
        <w:shd w:val="clear" w:color="auto" w:fill="FFFFFF"/>
        <w:spacing w:after="160" w:line="259" w:lineRule="auto"/>
        <w:contextualSpacing/>
        <w:jc w:val="both"/>
        <w:rPr>
          <w:rFonts w:ascii="Arial" w:eastAsia="Calibri" w:hAnsi="Arial" w:cs="Arial"/>
          <w:sz w:val="22"/>
          <w:szCs w:val="22"/>
          <w:lang w:val="sl-SI"/>
        </w:rPr>
      </w:pPr>
      <w:r w:rsidRPr="00C55C5A">
        <w:rPr>
          <w:rFonts w:ascii="Arial" w:eastAsia="Calibri" w:hAnsi="Arial" w:cs="Arial"/>
          <w:sz w:val="22"/>
          <w:szCs w:val="22"/>
          <w:lang w:val="sl-SI"/>
        </w:rPr>
        <w:t>raziskav, razvoja in inovacij;</w:t>
      </w:r>
    </w:p>
    <w:p w14:paraId="37B02E2A" w14:textId="77777777" w:rsidR="00C55C5A" w:rsidRPr="00C55C5A" w:rsidRDefault="00C55C5A" w:rsidP="00C55C5A">
      <w:pPr>
        <w:numPr>
          <w:ilvl w:val="0"/>
          <w:numId w:val="37"/>
        </w:numPr>
        <w:shd w:val="clear" w:color="auto" w:fill="FFFFFF"/>
        <w:spacing w:after="160" w:line="259" w:lineRule="auto"/>
        <w:contextualSpacing/>
        <w:jc w:val="both"/>
        <w:rPr>
          <w:rFonts w:ascii="Arial" w:eastAsia="Calibri" w:hAnsi="Arial" w:cs="Arial"/>
          <w:sz w:val="22"/>
          <w:szCs w:val="22"/>
          <w:lang w:val="sl-SI"/>
        </w:rPr>
      </w:pPr>
      <w:r w:rsidRPr="00C55C5A">
        <w:rPr>
          <w:rFonts w:ascii="Arial" w:eastAsia="Calibri" w:hAnsi="Arial" w:cs="Arial"/>
          <w:sz w:val="22"/>
          <w:szCs w:val="22"/>
          <w:lang w:val="sl-SI"/>
        </w:rPr>
        <w:t>malih in srednje velikih podjetij,</w:t>
      </w:r>
    </w:p>
    <w:p w14:paraId="7CE7E31C" w14:textId="77777777" w:rsidR="00C55C5A" w:rsidRPr="00C55C5A" w:rsidRDefault="00C55C5A" w:rsidP="00C55C5A">
      <w:pPr>
        <w:numPr>
          <w:ilvl w:val="0"/>
          <w:numId w:val="37"/>
        </w:numPr>
        <w:shd w:val="clear" w:color="auto" w:fill="FFFFFF"/>
        <w:spacing w:after="160" w:line="259" w:lineRule="auto"/>
        <w:contextualSpacing/>
        <w:jc w:val="both"/>
        <w:rPr>
          <w:rFonts w:ascii="Arial" w:eastAsia="Calibri" w:hAnsi="Arial" w:cs="Arial"/>
          <w:sz w:val="22"/>
          <w:szCs w:val="22"/>
          <w:lang w:val="sl-SI"/>
        </w:rPr>
      </w:pPr>
      <w:r w:rsidRPr="00C55C5A">
        <w:rPr>
          <w:rFonts w:ascii="Arial" w:eastAsia="Calibri" w:hAnsi="Arial" w:cs="Arial"/>
          <w:sz w:val="22"/>
          <w:szCs w:val="22"/>
          <w:lang w:val="sl-SI"/>
        </w:rPr>
        <w:t xml:space="preserve">energetske učinkovitosti in </w:t>
      </w:r>
    </w:p>
    <w:p w14:paraId="6700B1EA" w14:textId="77777777" w:rsidR="00C55C5A" w:rsidRPr="00C55C5A" w:rsidRDefault="00C55C5A" w:rsidP="00C55C5A">
      <w:pPr>
        <w:numPr>
          <w:ilvl w:val="0"/>
          <w:numId w:val="37"/>
        </w:numPr>
        <w:shd w:val="clear" w:color="auto" w:fill="FFFFFF"/>
        <w:spacing w:after="160" w:line="259" w:lineRule="auto"/>
        <w:contextualSpacing/>
        <w:jc w:val="both"/>
        <w:rPr>
          <w:rFonts w:ascii="Arial" w:eastAsia="Calibri" w:hAnsi="Arial" w:cs="Arial"/>
          <w:sz w:val="22"/>
          <w:szCs w:val="22"/>
          <w:lang w:val="sl-SI"/>
        </w:rPr>
      </w:pPr>
      <w:r w:rsidRPr="00C55C5A">
        <w:rPr>
          <w:rFonts w:ascii="Arial" w:eastAsia="Calibri" w:hAnsi="Arial" w:cs="Arial"/>
          <w:sz w:val="22"/>
          <w:szCs w:val="22"/>
          <w:lang w:val="sl-SI"/>
        </w:rPr>
        <w:t>urbanega razvoja.</w:t>
      </w:r>
    </w:p>
    <w:p w14:paraId="20B64AE1"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SID banka je edina institucija, ki že izvaja storitve – neposredno in posredno - na vseh navedenih štirih področjih.</w:t>
      </w:r>
    </w:p>
    <w:p w14:paraId="0C6370A9" w14:textId="77777777" w:rsidR="00C55C5A" w:rsidRPr="00C55C5A" w:rsidRDefault="00C55C5A" w:rsidP="00C55C5A">
      <w:pPr>
        <w:shd w:val="clear" w:color="auto" w:fill="FFFFFF"/>
        <w:jc w:val="both"/>
        <w:rPr>
          <w:rFonts w:ascii="Arial" w:hAnsi="Arial" w:cs="Arial"/>
          <w:sz w:val="22"/>
          <w:szCs w:val="22"/>
          <w:lang w:val="sl-SI"/>
        </w:rPr>
      </w:pPr>
    </w:p>
    <w:p w14:paraId="5DE5AB7B"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V Zakonu o slovenski izvozni in razvojni banki (ZSIRB) so v 11. členu navedena področja izvajanja dejavnosti SID banke. V 12. členu ZSIRB pa so navedene storitve in instrumenti za opravljanje njene dejavnosti.</w:t>
      </w:r>
    </w:p>
    <w:p w14:paraId="4EF06E57"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Ostale državne institucije (Slovenski podjetniški sklad, Slovenski regionalni razvojni sklad, Eko sklad) so specializirane na določena področja:</w:t>
      </w:r>
    </w:p>
    <w:p w14:paraId="78C5E594" w14:textId="77777777" w:rsidR="00C55C5A" w:rsidRPr="00C55C5A" w:rsidRDefault="00C55C5A" w:rsidP="00C55C5A">
      <w:pPr>
        <w:numPr>
          <w:ilvl w:val="0"/>
          <w:numId w:val="36"/>
        </w:numPr>
        <w:shd w:val="clear" w:color="auto" w:fill="FFFFFF"/>
        <w:spacing w:after="160" w:line="259" w:lineRule="auto"/>
        <w:contextualSpacing/>
        <w:jc w:val="both"/>
        <w:rPr>
          <w:rFonts w:ascii="Arial" w:eastAsia="Calibri" w:hAnsi="Arial" w:cs="Arial"/>
          <w:sz w:val="22"/>
          <w:szCs w:val="22"/>
          <w:lang w:val="sl-SI"/>
        </w:rPr>
      </w:pPr>
      <w:r w:rsidRPr="00C55C5A">
        <w:rPr>
          <w:rFonts w:ascii="Arial" w:eastAsia="Calibri" w:hAnsi="Arial" w:cs="Arial"/>
          <w:sz w:val="22"/>
          <w:szCs w:val="22"/>
          <w:lang w:val="sl-SI"/>
        </w:rPr>
        <w:t>Slovenski regionalno razvojni sklad ima svoje področje delovanja opredeljenega v Zakonu o skladnem regionalnem razvoju,</w:t>
      </w:r>
    </w:p>
    <w:p w14:paraId="5B056722" w14:textId="77777777" w:rsidR="00C55C5A" w:rsidRPr="00C55C5A" w:rsidRDefault="00C55C5A" w:rsidP="00C55C5A">
      <w:pPr>
        <w:numPr>
          <w:ilvl w:val="0"/>
          <w:numId w:val="36"/>
        </w:numPr>
        <w:shd w:val="clear" w:color="auto" w:fill="FFFFFF"/>
        <w:spacing w:after="160" w:line="259" w:lineRule="auto"/>
        <w:contextualSpacing/>
        <w:jc w:val="both"/>
        <w:rPr>
          <w:rFonts w:ascii="Arial" w:eastAsia="Calibri" w:hAnsi="Arial" w:cs="Arial"/>
          <w:sz w:val="22"/>
          <w:szCs w:val="22"/>
          <w:lang w:val="sl-SI"/>
        </w:rPr>
      </w:pPr>
      <w:r w:rsidRPr="00C55C5A">
        <w:rPr>
          <w:rFonts w:ascii="Arial" w:eastAsia="Calibri" w:hAnsi="Arial" w:cs="Arial"/>
          <w:sz w:val="22"/>
          <w:szCs w:val="22"/>
          <w:lang w:val="sl-SI"/>
        </w:rPr>
        <w:t>Javni sklad RS za podjetništvo v Zakonu o podpornem okolju za podjetništvo ter</w:t>
      </w:r>
    </w:p>
    <w:p w14:paraId="795273AA" w14:textId="77777777" w:rsidR="00C55C5A" w:rsidRPr="00C55C5A" w:rsidRDefault="00C55C5A" w:rsidP="00C55C5A">
      <w:pPr>
        <w:numPr>
          <w:ilvl w:val="0"/>
          <w:numId w:val="36"/>
        </w:numPr>
        <w:shd w:val="clear" w:color="auto" w:fill="FFFFFF"/>
        <w:spacing w:after="160" w:line="259" w:lineRule="auto"/>
        <w:contextualSpacing/>
        <w:jc w:val="both"/>
        <w:rPr>
          <w:rFonts w:ascii="Arial" w:eastAsia="Calibri" w:hAnsi="Arial" w:cs="Arial"/>
          <w:sz w:val="22"/>
          <w:szCs w:val="22"/>
          <w:lang w:val="sl-SI"/>
        </w:rPr>
      </w:pPr>
      <w:r w:rsidRPr="00C55C5A">
        <w:rPr>
          <w:rFonts w:ascii="Arial" w:eastAsia="Calibri" w:hAnsi="Arial" w:cs="Arial"/>
          <w:sz w:val="22"/>
          <w:szCs w:val="22"/>
          <w:lang w:val="sl-SI"/>
        </w:rPr>
        <w:t xml:space="preserve">Slovenski okoljski javni sklad v Zakonu o varstvu okolja.   </w:t>
      </w:r>
    </w:p>
    <w:p w14:paraId="6B2C4BAC"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Ministrstvo za gospodarski razvoj in tehnologijo bo skladno z Uredbo o porabi sredstev evropske kohezijske politike v Republiki Sloveniji v programskem obdobju 2014–2020 za cilj naložbe za rast in </w:t>
      </w:r>
      <w:r w:rsidRPr="00C55C5A">
        <w:rPr>
          <w:rFonts w:ascii="Arial" w:hAnsi="Arial" w:cs="Arial"/>
          <w:sz w:val="22"/>
          <w:szCs w:val="22"/>
          <w:lang w:val="sl-SI"/>
        </w:rPr>
        <w:lastRenderedPageBreak/>
        <w:t>delovna mesta  pozvalo SID banko k predložitvi vloge, ki bo vsebovala tudi investicijo strategijo. SID banka bo v vlogi predložila tudi dokazila glede izpolnjevanja minimalnih zahtev in meril za izbor iz 7. člena Uredbe EK 480/2014.</w:t>
      </w:r>
    </w:p>
    <w:p w14:paraId="1D5FFCB3" w14:textId="77777777" w:rsidR="00C55C5A" w:rsidRPr="00C55C5A" w:rsidRDefault="00C55C5A" w:rsidP="00C55C5A">
      <w:pPr>
        <w:shd w:val="clear" w:color="auto" w:fill="FFFFFF"/>
        <w:ind w:left="360"/>
        <w:jc w:val="both"/>
        <w:rPr>
          <w:rFonts w:ascii="Arial" w:hAnsi="Arial" w:cs="Arial"/>
          <w:sz w:val="22"/>
          <w:szCs w:val="22"/>
          <w:lang w:val="sl-SI"/>
        </w:rPr>
      </w:pPr>
    </w:p>
    <w:p w14:paraId="066E1235" w14:textId="77777777" w:rsidR="00C55C5A" w:rsidRPr="00C55C5A" w:rsidRDefault="00C55C5A" w:rsidP="00C55C5A">
      <w:pPr>
        <w:shd w:val="clear" w:color="auto" w:fill="FFFFFF"/>
        <w:jc w:val="both"/>
        <w:rPr>
          <w:rFonts w:ascii="Arial" w:hAnsi="Arial" w:cs="Arial"/>
          <w:sz w:val="22"/>
          <w:szCs w:val="22"/>
          <w:lang w:val="sl-SI"/>
        </w:rPr>
      </w:pPr>
      <w:r w:rsidRPr="00C55C5A">
        <w:rPr>
          <w:rFonts w:ascii="Arial" w:hAnsi="Arial" w:cs="Arial"/>
          <w:sz w:val="22"/>
          <w:szCs w:val="22"/>
          <w:lang w:val="sl-SI"/>
        </w:rPr>
        <w:t xml:space="preserve"> V Sloveniji deluje kot razvojna banka SID banka. Zato je potrebno izvesti postopek izbora   SID banke kot sklada skladov ter preveriti izpolnjevanje pogojev za oddajo naročila med osebami javnega prava. SID banka je institucija, kjer glede na rezultate Predhodne ocene FI, status izpolnjevanja pogojev za tako imenovanje, ni vprašljiv, je pa le-to lahko povezano s tveganjem prerazvrstitve SID banke iz sektorja finančne družbe v sektor država.</w:t>
      </w:r>
    </w:p>
    <w:p w14:paraId="47BD310D" w14:textId="77777777" w:rsidR="00C55C5A" w:rsidRPr="00C55C5A" w:rsidRDefault="00C55C5A" w:rsidP="00C55C5A">
      <w:pPr>
        <w:spacing w:before="240"/>
        <w:jc w:val="both"/>
        <w:rPr>
          <w:rFonts w:ascii="Arial" w:hAnsi="Arial" w:cs="Arial"/>
          <w:sz w:val="22"/>
          <w:szCs w:val="22"/>
          <w:lang w:val="sl-SI"/>
        </w:rPr>
      </w:pPr>
      <w:r w:rsidRPr="00C55C5A">
        <w:rPr>
          <w:rFonts w:ascii="Arial" w:hAnsi="Arial" w:cs="Arial"/>
          <w:sz w:val="22"/>
          <w:szCs w:val="22"/>
          <w:lang w:val="sl-SI"/>
        </w:rPr>
        <w:t>Po mnenju Eurostata iz leta 2015 SID banka v delu aktivnosti, ki jih SID banka izvaja v svojem imenu, ni bila uvrščena v sektor država, in je njena dejavnost z vidika izračuna višine javnega dolga nevtralna. Status SID banke izven sektorja država je z vidika Eurostata tako odvisen od (ne)izpolnjevanja določenih pogojev, pri čemer nekateri kriteriji za (ne)uvrstitev niso nedvoumni. Zato je toliko bolj pomembno pri imenovanju SID banke za upravljavca sklada skladov strukturo izvajanja opredeliti ter umestitev v njen organizacijski in korporacijski ustroj urediti tako, da bo ohranila trenutni status (tj. izven sektorja država).</w:t>
      </w:r>
    </w:p>
    <w:p w14:paraId="400FA999" w14:textId="77777777" w:rsidR="00C55C5A" w:rsidRPr="00C55C5A" w:rsidRDefault="00C55C5A" w:rsidP="00C55C5A">
      <w:pPr>
        <w:spacing w:before="240"/>
        <w:jc w:val="both"/>
        <w:rPr>
          <w:rFonts w:ascii="Arial" w:hAnsi="Arial" w:cs="Arial"/>
          <w:sz w:val="22"/>
          <w:szCs w:val="22"/>
          <w:lang w:val="sl-SI"/>
        </w:rPr>
      </w:pPr>
      <w:r w:rsidRPr="00C55C5A">
        <w:rPr>
          <w:rFonts w:ascii="Arial" w:hAnsi="Arial" w:cs="Arial"/>
          <w:sz w:val="22"/>
          <w:szCs w:val="22"/>
          <w:lang w:val="sl-SI"/>
        </w:rPr>
        <w:t xml:space="preserve">Vpliv sredstev ESIF na proračun RS in javni dolg je nevtralen, saj se za ta namene uporabijo le EU sredstva, brez slovenske udeležbe, vsi stroški, provizije in slabitve pa bremenijo le EU sredstva.  </w:t>
      </w:r>
    </w:p>
    <w:p w14:paraId="33EA1F4F" w14:textId="77777777" w:rsidR="00C55C5A" w:rsidRPr="00C55C5A" w:rsidRDefault="00C55C5A" w:rsidP="00C55C5A">
      <w:pPr>
        <w:spacing w:before="240"/>
        <w:jc w:val="both"/>
        <w:rPr>
          <w:rFonts w:ascii="Arial" w:hAnsi="Arial" w:cs="Arial"/>
          <w:sz w:val="22"/>
          <w:szCs w:val="22"/>
          <w:lang w:val="sl-SI"/>
        </w:rPr>
      </w:pPr>
      <w:r w:rsidRPr="00C55C5A">
        <w:rPr>
          <w:rFonts w:ascii="Arial" w:hAnsi="Arial" w:cs="Arial"/>
          <w:sz w:val="22"/>
          <w:szCs w:val="22"/>
          <w:lang w:val="sl-SI"/>
        </w:rPr>
        <w:t>S tega vidika je pomembno, da se (1) zagotovi ustrezen način evidentiranja/knjiženja sredstev (do ravni končnega prejemnika) in da (2) se pri izvajanju novega pooblastila države za upravljanje sklada skladov v ustroj SID banke intenzivnost obvladovanja ne bo povečala oziroma spremenila, in torej v tem delu odločanje SID banke ostane avtonomno in neodvisno.</w:t>
      </w:r>
    </w:p>
    <w:p w14:paraId="37BFF38A" w14:textId="77777777" w:rsidR="00C55C5A" w:rsidRPr="00C55C5A" w:rsidRDefault="00C55C5A" w:rsidP="00C55C5A">
      <w:pPr>
        <w:jc w:val="both"/>
        <w:rPr>
          <w:rFonts w:ascii="Arial" w:hAnsi="Arial" w:cs="Arial"/>
          <w:sz w:val="22"/>
          <w:szCs w:val="22"/>
          <w:lang w:val="sl-SI"/>
        </w:rPr>
      </w:pPr>
    </w:p>
    <w:p w14:paraId="59EEC6CE" w14:textId="77777777" w:rsidR="00C55C5A" w:rsidRPr="00C55C5A" w:rsidRDefault="00C55C5A" w:rsidP="00C55C5A">
      <w:pPr>
        <w:jc w:val="both"/>
        <w:rPr>
          <w:rFonts w:ascii="Arial" w:hAnsi="Arial" w:cs="Arial"/>
          <w:b/>
          <w:sz w:val="22"/>
          <w:szCs w:val="22"/>
          <w:lang w:val="sl-SI"/>
        </w:rPr>
      </w:pPr>
      <w:r w:rsidRPr="00C55C5A">
        <w:rPr>
          <w:rFonts w:ascii="Arial" w:hAnsi="Arial" w:cs="Arial"/>
          <w:b/>
          <w:sz w:val="22"/>
          <w:szCs w:val="22"/>
          <w:lang w:val="sl-SI"/>
        </w:rPr>
        <w:t>Ukrepi za obvladovanje tveganj povezanih z izborom SID banke</w:t>
      </w:r>
    </w:p>
    <w:p w14:paraId="384DA63A"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Na podlagi podatkov, ki so na voljo so v smislu zmanjševanja tveganj ob izboru SID banke na podlagi postopka javnega naročila med osebami v javnem sektorju, so predvidene naslednje rešitve.</w:t>
      </w:r>
    </w:p>
    <w:p w14:paraId="15EECD4C" w14:textId="77777777" w:rsidR="00C55C5A" w:rsidRPr="00C55C5A" w:rsidRDefault="00C55C5A" w:rsidP="00C55C5A">
      <w:pPr>
        <w:jc w:val="both"/>
        <w:rPr>
          <w:rFonts w:ascii="Arial" w:hAnsi="Arial" w:cs="Arial"/>
          <w:sz w:val="22"/>
          <w:szCs w:val="22"/>
          <w:lang w:val="sl-SI"/>
        </w:rPr>
      </w:pPr>
    </w:p>
    <w:p w14:paraId="0546A85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SID banka bo upravljanje sklada skladov izvajala v svojem imenu in za račun države. V sporazumu o financiranju se podrobneje dogovorijo medsebojna razmerja glede načina evidentiranja in knjiženja sredstev med različnimi deležniki ter avtonomnost in neodvisnost SID banke pri izvajanju sklada skladov.</w:t>
      </w:r>
    </w:p>
    <w:p w14:paraId="02B5C3C4" w14:textId="77777777" w:rsidR="00C55C5A" w:rsidRPr="00C55C5A" w:rsidRDefault="00C55C5A" w:rsidP="00C55C5A">
      <w:pPr>
        <w:jc w:val="both"/>
        <w:rPr>
          <w:rFonts w:ascii="Arial" w:hAnsi="Arial" w:cs="Arial"/>
          <w:sz w:val="22"/>
          <w:szCs w:val="22"/>
          <w:lang w:val="sl-SI"/>
        </w:rPr>
      </w:pPr>
    </w:p>
    <w:p w14:paraId="1223F0BA"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V skladu s tem je tudi predviden način knjiženja ESIF sredstev, ki bodo nakazana v sklad skladov, ki se bodo prikazovala v poslovnih knjigah države v okviru bilance stanja.</w:t>
      </w:r>
    </w:p>
    <w:p w14:paraId="07D6BDBB" w14:textId="77777777" w:rsidR="00C55C5A" w:rsidRPr="00C55C5A" w:rsidRDefault="00C55C5A" w:rsidP="00C55C5A">
      <w:pPr>
        <w:jc w:val="both"/>
        <w:rPr>
          <w:rFonts w:ascii="Arial" w:hAnsi="Arial" w:cs="Arial"/>
          <w:sz w:val="22"/>
          <w:szCs w:val="22"/>
          <w:lang w:val="sl-SI"/>
        </w:rPr>
      </w:pPr>
    </w:p>
    <w:p w14:paraId="54397537"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SID banka bo finančne posrednike izbirala v skladu z ZJN-3, h katerem je zavezana.</w:t>
      </w:r>
    </w:p>
    <w:p w14:paraId="3B52A75B" w14:textId="77777777" w:rsidR="00C55C5A" w:rsidRPr="00C55C5A" w:rsidRDefault="00C55C5A" w:rsidP="00C55C5A">
      <w:pPr>
        <w:jc w:val="both"/>
        <w:rPr>
          <w:rFonts w:ascii="Arial" w:hAnsi="Arial" w:cs="Arial"/>
          <w:sz w:val="22"/>
          <w:szCs w:val="22"/>
          <w:lang w:val="sl-SI"/>
        </w:rPr>
      </w:pPr>
    </w:p>
    <w:p w14:paraId="6CEB28DF" w14:textId="77777777" w:rsidR="00C55C5A" w:rsidRPr="00C55C5A" w:rsidRDefault="00C55C5A" w:rsidP="00C55C5A">
      <w:pPr>
        <w:jc w:val="both"/>
        <w:rPr>
          <w:rFonts w:ascii="Arial" w:hAnsi="Arial" w:cs="Arial"/>
          <w:b/>
          <w:sz w:val="22"/>
          <w:szCs w:val="22"/>
          <w:lang w:val="sl-SI"/>
        </w:rPr>
      </w:pPr>
      <w:r w:rsidRPr="00C55C5A">
        <w:rPr>
          <w:rFonts w:ascii="Arial" w:hAnsi="Arial" w:cs="Arial"/>
          <w:b/>
          <w:sz w:val="22"/>
          <w:szCs w:val="22"/>
          <w:lang w:val="sl-SI"/>
        </w:rPr>
        <w:t>Način evidentiranja EU sredstev</w:t>
      </w:r>
    </w:p>
    <w:p w14:paraId="148BD28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Načini evidentiranja sredstev ESIF za finančne instrumente, ki bodo nakazana v sklad skladov so v skladu s statističnimi navodili Eurostata in zagotavljajo nevtralnost z vidika vpliva na saldo sektorja država ter ločeno problematiko odnosa med državo in skladom skladov.</w:t>
      </w:r>
    </w:p>
    <w:p w14:paraId="53190F1D" w14:textId="77777777" w:rsidR="00C55C5A" w:rsidRPr="00C55C5A" w:rsidRDefault="00C55C5A" w:rsidP="00C55C5A">
      <w:pPr>
        <w:jc w:val="both"/>
        <w:rPr>
          <w:rFonts w:ascii="Arial" w:hAnsi="Arial" w:cs="Arial"/>
          <w:sz w:val="22"/>
          <w:szCs w:val="22"/>
          <w:lang w:val="sl-SI"/>
        </w:rPr>
      </w:pPr>
    </w:p>
    <w:p w14:paraId="0365A59A"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Evidentiranje poslovnih dogodkov bo potekalo samo preko bilance stanja države. </w:t>
      </w:r>
    </w:p>
    <w:p w14:paraId="6D8EC528" w14:textId="77777777" w:rsidR="00C55C5A" w:rsidRPr="00C55C5A" w:rsidRDefault="00C55C5A" w:rsidP="00C55C5A">
      <w:pPr>
        <w:jc w:val="both"/>
        <w:rPr>
          <w:rFonts w:ascii="Arial" w:hAnsi="Arial" w:cs="Arial"/>
          <w:sz w:val="22"/>
          <w:szCs w:val="22"/>
          <w:lang w:val="sl-SI"/>
        </w:rPr>
      </w:pPr>
    </w:p>
    <w:p w14:paraId="192E82EC"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lastRenderedPageBreak/>
        <w:t xml:space="preserve">Predlagan način temelji na predpostavki, da je država posrednik oziroma "agent" pri dodeljevanju sredstev EU (ESIF) za namene FI. V vlogi agenta država kohezijska sredstva samo dodeljuje koristnikom pod ustreznimi pogoji. To pa dela za račun EU in sredstva niso last države (so dodeljena z namenom in z v naprej dogovorjenimi cilji, temelječimi na analizi vrzeli in postavljenimi cilji). Zato so predvidene knjižbe samo na kontih stanja (dolgoročne terjatve do koristnikov ter na drugi strani dolgoročna obveznost do EU) pravilne. Šele z odločitvijo EU, da postanejo sredstva last države članice, se sme evidentirati v poslovne knjige države tudi prihodke (A bilanca, skupina kontov 78). </w:t>
      </w:r>
    </w:p>
    <w:p w14:paraId="28616716" w14:textId="77777777" w:rsidR="00C55C5A" w:rsidRPr="00C55C5A" w:rsidRDefault="00C55C5A" w:rsidP="00C55C5A">
      <w:pPr>
        <w:jc w:val="both"/>
        <w:rPr>
          <w:rFonts w:ascii="Arial" w:hAnsi="Arial" w:cs="Arial"/>
          <w:sz w:val="22"/>
          <w:szCs w:val="22"/>
          <w:lang w:val="sl-SI"/>
        </w:rPr>
      </w:pPr>
    </w:p>
    <w:p w14:paraId="3BBC782E"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Odločitev o načinu uporabe revolving sredstev pričakujemo od EU (v gradivu je predvidena odločitev EU o načinu porabe sredstev na koncu obdobja po zaključenih dveh obratih (takrat so lahko prikazana sredstva kot prihodek A bilance). Tudi višina sredstev (253 mio) ni nujno enaka na koncu, lahko je večja (obresti), lahko pa tudi bistveno manjša (odpisi in dogovorjena politika tveganj). Koristnik sredstev (finančni posrednik ali SID banka, če sama </w:t>
      </w:r>
      <w:r w:rsidRPr="00C55C5A">
        <w:rPr>
          <w:rFonts w:ascii="Arial" w:eastAsia="Calibri" w:hAnsi="Arial" w:cs="Arial"/>
          <w:color w:val="000000"/>
          <w:sz w:val="22"/>
          <w:szCs w:val="22"/>
          <w:lang w:val="sl-SI"/>
        </w:rPr>
        <w:t>izvaja FI)</w:t>
      </w:r>
      <w:r w:rsidRPr="00C55C5A">
        <w:rPr>
          <w:rFonts w:ascii="Arial" w:hAnsi="Arial" w:cs="Arial"/>
          <w:sz w:val="22"/>
          <w:szCs w:val="22"/>
          <w:lang w:val="sl-SI"/>
        </w:rPr>
        <w:t xml:space="preserve"> ima tudi v svojih poslovnih knjigah vzpostavljeno obveznost do RS (namesto direktno do EU), kar z našega vidika dodatno pripomore k nadzoru nad temi sredstvi: država ima s tem vpeljan sistem kontrole nad sredstvi za FI. Sprotno evidentiranje sredstev, bodisi v bilanci A ali B, torej preko proračunskih evidenc, ne bi izkazovalo pravilnega stanja, saj v primeru, da država članica ni »lastnica » sredstev in da dela za račun drugega (EU), ne sme prikazovati prihodkov, ker to še niso. Prav tako se krši nevtralnost vpliva na proračun (ne glede na to, da se sedaj vse nevtralizira).</w:t>
      </w:r>
    </w:p>
    <w:p w14:paraId="485B5799" w14:textId="77777777" w:rsidR="00C55C5A" w:rsidRPr="00C55C5A" w:rsidRDefault="00C55C5A" w:rsidP="00C55C5A">
      <w:pPr>
        <w:jc w:val="both"/>
        <w:rPr>
          <w:rFonts w:ascii="Arial" w:hAnsi="Arial" w:cs="Arial"/>
          <w:sz w:val="22"/>
          <w:szCs w:val="22"/>
          <w:lang w:val="sl-SI"/>
        </w:rPr>
      </w:pPr>
    </w:p>
    <w:p w14:paraId="733C6F15" w14:textId="77777777" w:rsidR="00C55C5A" w:rsidRPr="00C55C5A" w:rsidRDefault="00C55C5A" w:rsidP="00C55C5A">
      <w:pPr>
        <w:jc w:val="both"/>
        <w:rPr>
          <w:rFonts w:ascii="Arial" w:hAnsi="Arial" w:cs="Arial"/>
          <w:sz w:val="22"/>
          <w:szCs w:val="22"/>
          <w:lang w:val="sl-SI"/>
        </w:rPr>
      </w:pPr>
      <w:r w:rsidRPr="00C55C5A">
        <w:rPr>
          <w:rFonts w:ascii="Arial" w:hAnsi="Arial" w:cs="Arial"/>
          <w:sz w:val="22"/>
          <w:szCs w:val="22"/>
          <w:lang w:val="sl-SI"/>
        </w:rPr>
        <w:t xml:space="preserve">V Državni zbor RS se bo ob vsakokratni obravnavi predloga proračuna, predložilo poročilo, v katerem bi se navedla višina dodeljenih/počrpanih sredstev, namen porabe, prejemniki in s tem dodatno opredelilo razvojno politiko spodbujanja konkurenčnosti, katere temeljni program je tudi zagotavljanje dostopa do financiranja. Poročilo bi moralo vsebovati vse potrebne podatke, da bi jih Državni zbor RS lahko sprejel skupaj s sprejetim proračunom. Z vidika kasnejšega poročanja pa je zadeva urejena: zbirna bilanca stanja je sestavni del zaključnega računa proračuna in gre torej v sprejem Državni zbor RS. </w:t>
      </w:r>
    </w:p>
    <w:p w14:paraId="658E76FE" w14:textId="77777777" w:rsidR="00C55C5A" w:rsidRPr="002F036A" w:rsidRDefault="00C55C5A">
      <w:pPr>
        <w:rPr>
          <w:rFonts w:ascii="Arial" w:hAnsi="Arial" w:cs="Arial"/>
          <w:sz w:val="22"/>
          <w:szCs w:val="22"/>
          <w:lang w:val="sl-SI"/>
        </w:rPr>
      </w:pPr>
    </w:p>
    <w:sectPr w:rsidR="00C55C5A" w:rsidRPr="002F036A" w:rsidSect="003A105D">
      <w:headerReference w:type="even" r:id="rId16"/>
      <w:headerReference w:type="default" r:id="rId17"/>
      <w:footerReference w:type="even" r:id="rId18"/>
      <w:footerReference w:type="default" r:id="rId19"/>
      <w:headerReference w:type="first" r:id="rId20"/>
      <w:footerReference w:type="first" r:id="rId21"/>
      <w:pgSz w:w="11909" w:h="16834" w:code="9"/>
      <w:pgMar w:top="568" w:right="1022" w:bottom="2160" w:left="792" w:header="2074" w:footer="720" w:gutter="23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B8A8B" w16cid:durableId="1D499F5B"/>
  <w16cid:commentId w16cid:paraId="26F1092E" w16cid:durableId="1D499F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F88B" w14:textId="77777777" w:rsidR="004B79AC" w:rsidRDefault="004B79AC" w:rsidP="00E44171">
      <w:r>
        <w:separator/>
      </w:r>
    </w:p>
  </w:endnote>
  <w:endnote w:type="continuationSeparator" w:id="0">
    <w:p w14:paraId="36592BC4" w14:textId="77777777" w:rsidR="004B79AC" w:rsidRDefault="004B79AC" w:rsidP="00E44171">
      <w:r>
        <w:continuationSeparator/>
      </w:r>
    </w:p>
  </w:endnote>
  <w:endnote w:type="continuationNotice" w:id="1">
    <w:p w14:paraId="523E3F72" w14:textId="77777777" w:rsidR="004B79AC" w:rsidRDefault="004B7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7B81" w14:textId="77777777" w:rsidR="00667A63" w:rsidRDefault="00667A6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6197"/>
      <w:docPartObj>
        <w:docPartGallery w:val="Page Numbers (Bottom of Page)"/>
        <w:docPartUnique/>
      </w:docPartObj>
    </w:sdtPr>
    <w:sdtEndPr>
      <w:rPr>
        <w:rFonts w:ascii="Arial" w:hAnsi="Arial" w:cs="Arial"/>
        <w:sz w:val="20"/>
        <w:szCs w:val="20"/>
      </w:rPr>
    </w:sdtEndPr>
    <w:sdtContent>
      <w:p w14:paraId="4C14BF87" w14:textId="115D8340" w:rsidR="00667A63" w:rsidRPr="00306359" w:rsidRDefault="00667A63">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5B72C1" w:rsidRPr="005B72C1">
          <w:rPr>
            <w:rFonts w:ascii="Arial" w:hAnsi="Arial" w:cs="Arial"/>
            <w:noProof/>
            <w:sz w:val="20"/>
            <w:szCs w:val="20"/>
            <w:lang w:val="sl-SI"/>
          </w:rPr>
          <w:t>67</w:t>
        </w:r>
        <w:r w:rsidRPr="00306359">
          <w:rPr>
            <w:rFonts w:ascii="Arial" w:hAnsi="Arial" w:cs="Arial"/>
            <w:sz w:val="20"/>
            <w:szCs w:val="20"/>
          </w:rPr>
          <w:fldChar w:fldCharType="end"/>
        </w:r>
      </w:p>
    </w:sdtContent>
  </w:sdt>
  <w:p w14:paraId="53048AFD" w14:textId="77777777" w:rsidR="00667A63" w:rsidRDefault="00667A6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850F" w14:textId="77777777" w:rsidR="00667A63" w:rsidRDefault="00667A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D03BA" w14:textId="77777777" w:rsidR="004B79AC" w:rsidRDefault="004B79AC" w:rsidP="00E44171">
      <w:r>
        <w:separator/>
      </w:r>
    </w:p>
  </w:footnote>
  <w:footnote w:type="continuationSeparator" w:id="0">
    <w:p w14:paraId="7E024521" w14:textId="77777777" w:rsidR="004B79AC" w:rsidRDefault="004B79AC" w:rsidP="00E44171">
      <w:r>
        <w:continuationSeparator/>
      </w:r>
    </w:p>
  </w:footnote>
  <w:footnote w:type="continuationNotice" w:id="1">
    <w:p w14:paraId="30331816" w14:textId="77777777" w:rsidR="004B79AC" w:rsidRDefault="004B79AC"/>
  </w:footnote>
  <w:footnote w:id="2">
    <w:p w14:paraId="30455C55" w14:textId="77777777" w:rsidR="00667A63" w:rsidRPr="003A7CC4" w:rsidRDefault="00667A63" w:rsidP="00C55C5A">
      <w:pPr>
        <w:pStyle w:val="Sprotnaopomba-besedilo"/>
        <w:rPr>
          <w:lang w:val="sl-SI"/>
        </w:rPr>
      </w:pPr>
      <w:r>
        <w:rPr>
          <w:rStyle w:val="Sprotnaopomba-sklic"/>
        </w:rPr>
        <w:footnoteRef/>
      </w:r>
      <w:r>
        <w:t xml:space="preserve"> </w:t>
      </w:r>
      <w:r w:rsidRPr="002C0740">
        <w:rPr>
          <w:rFonts w:cs="Arial"/>
          <w:lang w:val="sl-SI"/>
        </w:rPr>
        <w:t>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3">
    <w:p w14:paraId="6FF3ED49" w14:textId="77777777" w:rsidR="00667A63" w:rsidRPr="00670B8F" w:rsidRDefault="00667A63" w:rsidP="00C55C5A">
      <w:pPr>
        <w:pStyle w:val="Sprotnaopomba-besedilo"/>
        <w:rPr>
          <w:lang w:val="sl-SI"/>
        </w:rPr>
      </w:pPr>
      <w:r>
        <w:rPr>
          <w:rStyle w:val="Sprotnaopomba-sklic"/>
        </w:rPr>
        <w:footnoteRef/>
      </w:r>
      <w:r>
        <w:t xml:space="preserve"> </w:t>
      </w:r>
      <w:r w:rsidRPr="00D72120">
        <w:rPr>
          <w:rFonts w:cs="Arial"/>
          <w:lang w:val="sl-SI"/>
        </w:rPr>
        <w:t>Uporablja se za potrebe določitve velikosti podjetja.</w:t>
      </w:r>
    </w:p>
  </w:footnote>
  <w:footnote w:id="4">
    <w:p w14:paraId="7BE30380" w14:textId="77777777" w:rsidR="00667A63" w:rsidRPr="004F705D" w:rsidRDefault="00667A63" w:rsidP="00C55C5A">
      <w:pPr>
        <w:pStyle w:val="Pripombabesedilo"/>
      </w:pPr>
      <w:r>
        <w:rPr>
          <w:rStyle w:val="Sprotnaopomba-sklic"/>
        </w:rPr>
        <w:footnoteRef/>
      </w:r>
      <w:r>
        <w:t xml:space="preserve"> </w:t>
      </w:r>
      <w:r w:rsidRPr="002C0740">
        <w:rPr>
          <w:rFonts w:ascii="Arial" w:hAnsi="Arial" w:cs="Arial"/>
          <w:b/>
        </w:rPr>
        <w:t>Prvi stolpec</w:t>
      </w:r>
      <w:r w:rsidRPr="002C0740">
        <w:rPr>
          <w:rFonts w:ascii="Arial" w:hAnsi="Arial" w:cs="Arial"/>
        </w:rPr>
        <w:t xml:space="preserve"> predstavlja finančno vrzel, ki temelji na morebitnem povpraševanju po mikrofinančnih produktih obstoječih mikro podjetij v Sloveniji. </w:t>
      </w:r>
      <w:r w:rsidRPr="002C0740">
        <w:rPr>
          <w:rFonts w:ascii="Arial" w:hAnsi="Arial" w:cs="Arial"/>
          <w:b/>
        </w:rPr>
        <w:t>Drugi stolpec</w:t>
      </w:r>
      <w:r w:rsidRPr="002C0740">
        <w:rPr>
          <w:rFonts w:ascii="Arial" w:hAnsi="Arial" w:cs="Arial"/>
        </w:rPr>
        <w:t xml:space="preserve"> predstavlja finančno vrzel, vključno s povpraševanjem po finančni vključenosti. Rast ustreza znesku mikrofinanciranja, ki bi ga potrebovali novi ustanovitelji podjetij, ki se trenutno soočajo s socialno izključenostjo, in ki bi morda želeli ustanoviti podjetje, če bi pri dostopu do financiranja imeli boljšo podporo, še posebej pri mikrofinanciranju. </w:t>
      </w:r>
      <w:r w:rsidRPr="002C0740">
        <w:rPr>
          <w:rFonts w:ascii="Arial" w:hAnsi="Arial" w:cs="Arial"/>
          <w:b/>
        </w:rPr>
        <w:t>Zadnji stolpec</w:t>
      </w:r>
      <w:r w:rsidRPr="002C0740">
        <w:rPr>
          <w:rFonts w:ascii="Arial" w:hAnsi="Arial" w:cs="Arial"/>
        </w:rPr>
        <w:t xml:space="preserve"> vključuje tudi vrzel obstoječih socialnih podjetij, ki bi želela pridobiti mikrofinanciranje za nadaljnje poslovanje.</w:t>
      </w:r>
    </w:p>
  </w:footnote>
  <w:footnote w:id="5">
    <w:p w14:paraId="4F0A3A9D" w14:textId="77777777" w:rsidR="00667A63" w:rsidRPr="00655C68" w:rsidRDefault="00667A63" w:rsidP="00C55C5A">
      <w:pPr>
        <w:rPr>
          <w:rFonts w:cs="Arial"/>
          <w:lang w:val="sl-SI"/>
        </w:rPr>
      </w:pPr>
      <w:r>
        <w:rPr>
          <w:rStyle w:val="Sprotnaopomba-sklic"/>
        </w:rPr>
        <w:footnoteRef/>
      </w:r>
      <w:r>
        <w:t xml:space="preserve"> </w:t>
      </w:r>
      <w:r w:rsidRPr="006D7DE9">
        <w:rPr>
          <w:rFonts w:cs="Arial"/>
          <w:sz w:val="20"/>
          <w:szCs w:val="20"/>
          <w:lang w:val="sl-SI"/>
        </w:rPr>
        <w:t>Vrzel je pri projektih, ki se začnejo v letih 2015 in 2016 veliko večja, saj vsebuje tudi projekte mestne občine Ljubljana, ki seznama projektov za obdobje 2017—2020 ni posredovala.</w:t>
      </w:r>
      <w:r w:rsidRPr="00655C68">
        <w:rPr>
          <w:rFonts w:cs="Arial"/>
          <w:lang w:val="sl-SI"/>
        </w:rPr>
        <w:t xml:space="preserve"> </w:t>
      </w:r>
    </w:p>
    <w:p w14:paraId="56776F47" w14:textId="77777777" w:rsidR="00667A63" w:rsidRPr="006D7DE9" w:rsidRDefault="00667A63" w:rsidP="00C55C5A">
      <w:pPr>
        <w:pStyle w:val="Sprotnaopomba-besedilo"/>
        <w:rPr>
          <w:lang w:val="sl-SI"/>
        </w:rPr>
      </w:pPr>
    </w:p>
  </w:footnote>
  <w:footnote w:id="6">
    <w:p w14:paraId="3EF4D341" w14:textId="77777777" w:rsidR="00667A63" w:rsidRPr="00B17C48" w:rsidRDefault="00667A63" w:rsidP="00C55C5A">
      <w:pPr>
        <w:pStyle w:val="Sprotnaopomba-besedilo"/>
        <w:rPr>
          <w:lang w:val="sl-SI"/>
        </w:rPr>
      </w:pPr>
      <w:r>
        <w:rPr>
          <w:rStyle w:val="Sprotnaopomba-sklic"/>
          <w:rFonts w:eastAsiaTheme="majorEastAsia"/>
        </w:rPr>
        <w:footnoteRef/>
      </w:r>
      <w:r w:rsidRPr="006D7927">
        <w:t xml:space="preserve"> </w:t>
      </w:r>
      <w:r w:rsidRPr="00BE2FBE">
        <w:rPr>
          <w:rFonts w:cs="Arial"/>
          <w:lang w:val="sl-SI"/>
        </w:rPr>
        <w:t>Finančni instrumenti so izraz, ki izhaja iz opredelitev Evropske komisije, in se razlikuje od finančnih produktov (krediti, garancije, itd.), ki jih je izvajala večina slovenskih finančnih institucij. EU definicija finančnega instrumenta je, da gre za EU ukrep finančne podpore, ki je komplementaren proračunu in naslavlja eno ali več političnih ciljev EU. Takšen instrument se lahko izvaja v obliki lastniških ali kvazi-lastniških naložb, kreditov ali garancij ali drugih instrumentov delitve tveganja. Kjer je primerno</w:t>
      </w:r>
      <w:r>
        <w:rPr>
          <w:rFonts w:cs="Arial"/>
          <w:lang w:val="sl-SI"/>
        </w:rPr>
        <w:t>,</w:t>
      </w:r>
      <w:r w:rsidRPr="00BE2FBE">
        <w:rPr>
          <w:rFonts w:cs="Arial"/>
          <w:lang w:val="sl-SI"/>
        </w:rPr>
        <w:t xml:space="preserve"> se lahko kombinirajo z nepovratnimi sredstvi.</w:t>
      </w:r>
    </w:p>
  </w:footnote>
  <w:footnote w:id="7">
    <w:p w14:paraId="515943FF" w14:textId="77777777" w:rsidR="00667A63" w:rsidRPr="002842DA" w:rsidRDefault="00667A63" w:rsidP="00C55C5A">
      <w:pPr>
        <w:pStyle w:val="Sprotnaopomba-besedilo"/>
        <w:rPr>
          <w:rFonts w:cs="Arial"/>
          <w:lang w:val="sl-SI"/>
        </w:rPr>
      </w:pPr>
      <w:r w:rsidRPr="00CE7032">
        <w:rPr>
          <w:rStyle w:val="Sprotnaopomba-sklic"/>
          <w:rFonts w:eastAsiaTheme="majorEastAsia" w:cs="Arial"/>
        </w:rPr>
        <w:footnoteRef/>
      </w:r>
      <w:r w:rsidRPr="00CB4655">
        <w:t xml:space="preserve"> </w:t>
      </w:r>
      <w:r w:rsidRPr="00CE7032">
        <w:rPr>
          <w:rFonts w:cs="Arial"/>
          <w:lang w:val="sl-SI"/>
        </w:rPr>
        <w:t>Naložbena strategija zajema naslednje elemente: (i) strateški okvir , ki vključuje ugotovljene tržne vrzeli, usklajenost s cilji OP 2014 - 2020 ter drugimi strateškimi dokumenti, (ii) predlog naložbene strategije (cilji, deležniki, struktura, produkti, postopek dopolnjevanja naložbene strategije), (iii) slovenski sklad skladov (cilji po posameznih področjih – pogoji za ciljne skupine/projekte), (iv) naložbena struktura sklada skladov, (v) izbor finančnih posrednikov, (vi) tehnična pomoč, (vii) ponovna uporaba sredstev, (viii) strategija izstopa.</w:t>
      </w:r>
    </w:p>
  </w:footnote>
  <w:footnote w:id="8">
    <w:p w14:paraId="6892703D" w14:textId="77777777" w:rsidR="00667A63" w:rsidRPr="00EC6E48" w:rsidRDefault="00667A63" w:rsidP="00C55C5A">
      <w:pPr>
        <w:pStyle w:val="Sprotnaopomba-besedilo"/>
        <w:rPr>
          <w:rFonts w:cs="Arial"/>
          <w:lang w:val="sl-SI"/>
        </w:rPr>
      </w:pPr>
      <w:r w:rsidRPr="0094317A">
        <w:rPr>
          <w:rFonts w:cs="Arial"/>
          <w:vertAlign w:val="superscript"/>
          <w:lang w:val="sl-SI"/>
        </w:rPr>
        <w:footnoteRef/>
      </w:r>
      <w:r w:rsidRPr="00EC6E48">
        <w:rPr>
          <w:rFonts w:cs="Arial"/>
          <w:lang w:val="sl-SI"/>
        </w:rPr>
        <w:t xml:space="preserve"> Vsebina sporazuma o financiranju je določena v Uredbi EK 1303/2013, Priloga IV.</w:t>
      </w:r>
    </w:p>
  </w:footnote>
  <w:footnote w:id="9">
    <w:p w14:paraId="54E8D5DC" w14:textId="77777777" w:rsidR="00667A63" w:rsidRPr="009E560E" w:rsidRDefault="00667A63" w:rsidP="00C55C5A">
      <w:pPr>
        <w:autoSpaceDE w:val="0"/>
        <w:autoSpaceDN w:val="0"/>
        <w:adjustRightInd w:val="0"/>
        <w:rPr>
          <w:rFonts w:eastAsiaTheme="minorHAnsi" w:cs="Arial"/>
          <w:color w:val="000000"/>
          <w:sz w:val="20"/>
          <w:szCs w:val="20"/>
          <w:lang w:val="sl-SI"/>
        </w:rPr>
      </w:pPr>
      <w:r w:rsidRPr="009E560E">
        <w:rPr>
          <w:rStyle w:val="Sprotnaopomba-sklic"/>
          <w:rFonts w:cs="Arial"/>
          <w:sz w:val="20"/>
          <w:szCs w:val="20"/>
        </w:rPr>
        <w:footnoteRef/>
      </w:r>
      <w:r w:rsidRPr="009E560E">
        <w:rPr>
          <w:rFonts w:cs="Arial"/>
          <w:sz w:val="20"/>
          <w:szCs w:val="20"/>
        </w:rPr>
        <w:t xml:space="preserve"> Kot npr.:</w:t>
      </w:r>
    </w:p>
    <w:p w14:paraId="036142E0" w14:textId="77777777" w:rsidR="00667A63" w:rsidRPr="009E560E" w:rsidRDefault="00667A63" w:rsidP="00C55C5A">
      <w:pPr>
        <w:pStyle w:val="Odstavekseznama"/>
        <w:numPr>
          <w:ilvl w:val="0"/>
          <w:numId w:val="4"/>
        </w:numPr>
        <w:autoSpaceDE w:val="0"/>
        <w:autoSpaceDN w:val="0"/>
        <w:adjustRightInd w:val="0"/>
        <w:jc w:val="both"/>
        <w:rPr>
          <w:rFonts w:ascii="Arial" w:eastAsiaTheme="minorHAnsi" w:hAnsi="Arial" w:cs="Arial"/>
          <w:color w:val="000000"/>
          <w:sz w:val="20"/>
          <w:szCs w:val="20"/>
          <w:lang w:val="sl-SI"/>
        </w:rPr>
      </w:pPr>
      <w:r w:rsidRPr="009E560E">
        <w:rPr>
          <w:rFonts w:ascii="Arial" w:eastAsiaTheme="minorHAnsi" w:hAnsi="Arial" w:cs="Arial"/>
          <w:color w:val="000000"/>
          <w:sz w:val="20"/>
          <w:szCs w:val="20"/>
          <w:lang w:val="sl-SI"/>
        </w:rPr>
        <w:t>posojila za izvedbo projektov prenove ali novogradnje stanovanj, ki so rezultat urbane prenove s ciljem povečanja javnega stanovanjskega fonda, skladno z izkazanimi potrebami po posameznih mestnih občinah;</w:t>
      </w:r>
    </w:p>
    <w:p w14:paraId="454F38B5" w14:textId="77777777" w:rsidR="00667A63" w:rsidRPr="009E560E" w:rsidRDefault="00667A63" w:rsidP="00C55C5A">
      <w:pPr>
        <w:pStyle w:val="Odstavekseznama"/>
        <w:numPr>
          <w:ilvl w:val="0"/>
          <w:numId w:val="4"/>
        </w:numPr>
        <w:autoSpaceDE w:val="0"/>
        <w:autoSpaceDN w:val="0"/>
        <w:adjustRightInd w:val="0"/>
        <w:jc w:val="both"/>
        <w:rPr>
          <w:rFonts w:ascii="Arial" w:eastAsiaTheme="minorHAnsi" w:hAnsi="Arial" w:cs="Arial"/>
          <w:color w:val="000000"/>
          <w:sz w:val="20"/>
          <w:szCs w:val="20"/>
          <w:lang w:val="sl-SI"/>
        </w:rPr>
      </w:pPr>
      <w:r w:rsidRPr="009E560E">
        <w:rPr>
          <w:rFonts w:ascii="Arial" w:eastAsiaTheme="minorHAnsi" w:hAnsi="Arial" w:cs="Arial"/>
          <w:color w:val="000000"/>
          <w:sz w:val="20"/>
          <w:szCs w:val="20"/>
          <w:lang w:val="sl-SI"/>
        </w:rPr>
        <w:t xml:space="preserve">posojila za izvedbo drugih operacij, katerih namen bo izvajanje posegov fizične prenove urbanih območij, ki so skladni s cilji trajnostnih urbanih strategij v 11 mestnih občinah. </w:t>
      </w:r>
    </w:p>
    <w:p w14:paraId="0B3F4D7A" w14:textId="77777777" w:rsidR="00667A63" w:rsidRPr="009E560E" w:rsidRDefault="00667A63" w:rsidP="00C55C5A">
      <w:pPr>
        <w:pStyle w:val="Sprotnaopomba-besedilo"/>
        <w:rPr>
          <w:rFonts w:cs="Arial"/>
          <w:lang w:val="sl-SI"/>
        </w:rPr>
      </w:pPr>
    </w:p>
  </w:footnote>
  <w:footnote w:id="10">
    <w:p w14:paraId="168BED02" w14:textId="77777777" w:rsidR="00667A63" w:rsidRPr="009E560E" w:rsidRDefault="00667A63" w:rsidP="00C55C5A">
      <w:pPr>
        <w:pStyle w:val="Sprotnaopomba-besedilo"/>
        <w:rPr>
          <w:rFonts w:eastAsiaTheme="minorHAnsi" w:cs="Arial"/>
          <w:color w:val="000000"/>
          <w:lang w:val="sl-SI"/>
        </w:rPr>
      </w:pPr>
      <w:r w:rsidRPr="009E560E">
        <w:rPr>
          <w:rStyle w:val="Sprotnaopomba-sklic"/>
          <w:rFonts w:cs="Arial"/>
        </w:rPr>
        <w:footnoteRef/>
      </w:r>
      <w:r w:rsidRPr="009E560E">
        <w:rPr>
          <w:rFonts w:cs="Arial"/>
        </w:rPr>
        <w:t xml:space="preserve"> </w:t>
      </w:r>
      <w:r w:rsidRPr="009E560E">
        <w:rPr>
          <w:rFonts w:eastAsiaTheme="minorHAnsi" w:cs="Arial"/>
          <w:color w:val="000000"/>
          <w:lang w:val="sl-SI"/>
        </w:rPr>
        <w:t>Zneski vključujejo plasmaje končnim prejemnikom in pripadajoče rezervacije in/ali oslabitve, upravljavske in druge provizije ter nepovratna sredstva.</w:t>
      </w:r>
    </w:p>
    <w:p w14:paraId="1110153C" w14:textId="77777777" w:rsidR="00667A63" w:rsidRPr="00A04EBA" w:rsidRDefault="00667A63" w:rsidP="00C55C5A">
      <w:pPr>
        <w:pStyle w:val="Sprotnaopomba-besedilo"/>
        <w:rPr>
          <w:rFonts w:cs="Arial"/>
          <w:lang w:val="sl-SI"/>
        </w:rPr>
      </w:pPr>
      <w:r w:rsidRPr="009E560E">
        <w:rPr>
          <w:rFonts w:eastAsiaTheme="minorHAnsi" w:cs="Arial"/>
          <w:color w:val="000000"/>
          <w:lang w:val="sl-SI"/>
        </w:rPr>
        <w:t>Predlagana višina sredstev po posameznem finančnem produktu je okvirna in se lahko spremeni glede na izsledke market testa.</w:t>
      </w:r>
    </w:p>
  </w:footnote>
  <w:footnote w:id="11">
    <w:p w14:paraId="310B586B" w14:textId="77777777" w:rsidR="00667A63" w:rsidRPr="009C1E93" w:rsidRDefault="00667A63" w:rsidP="00C55C5A">
      <w:pPr>
        <w:pStyle w:val="Sprotnaopomba-besedilo"/>
        <w:rPr>
          <w:rFonts w:cs="Arial"/>
          <w:lang w:val="sl-SI"/>
        </w:rPr>
      </w:pPr>
      <w:r>
        <w:rPr>
          <w:rStyle w:val="Sprotnaopomba-sklic"/>
        </w:rPr>
        <w:footnoteRef/>
      </w:r>
      <w:r>
        <w:t xml:space="preserve"> </w:t>
      </w:r>
      <w:r w:rsidRPr="009C1E93">
        <w:rPr>
          <w:rFonts w:cs="Arial"/>
          <w:lang w:val="sl-SI"/>
        </w:rPr>
        <w:t>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12">
    <w:p w14:paraId="1B4BCE80" w14:textId="77777777" w:rsidR="00667A63" w:rsidRPr="00D72120" w:rsidRDefault="00667A63" w:rsidP="00C55C5A">
      <w:pPr>
        <w:pStyle w:val="Sprotnaopomba-besedilo"/>
        <w:rPr>
          <w:lang w:val="sl-SI"/>
        </w:rPr>
      </w:pPr>
      <w:r w:rsidRPr="009C1E93">
        <w:rPr>
          <w:rStyle w:val="Sprotnaopomba-sklic"/>
          <w:rFonts w:cs="Arial"/>
        </w:rPr>
        <w:footnoteRef/>
      </w:r>
      <w:r w:rsidRPr="009C1E93">
        <w:rPr>
          <w:rFonts w:cs="Arial"/>
        </w:rPr>
        <w:t xml:space="preserve"> </w:t>
      </w:r>
      <w:r w:rsidRPr="009C1E93">
        <w:rPr>
          <w:rFonts w:cs="Arial"/>
          <w:lang w:val="sl-SI"/>
        </w:rPr>
        <w:t>Predstavljeni zneski temeljijo na trenutno sprejetem Operativnem programu 2014-2020 in se bodo uskladili ob spremembi Operativnega programa 2014-2020.</w:t>
      </w:r>
    </w:p>
  </w:footnote>
  <w:footnote w:id="13">
    <w:p w14:paraId="463DBEDE" w14:textId="77777777" w:rsidR="00667A63" w:rsidRPr="00D72120" w:rsidRDefault="00667A63" w:rsidP="00C55C5A">
      <w:pPr>
        <w:pStyle w:val="Sprotnaopomba-besedilo"/>
        <w:rPr>
          <w:lang w:val="sl-SI"/>
        </w:rPr>
      </w:pPr>
      <w:r>
        <w:rPr>
          <w:rStyle w:val="Sprotnaopomba-sklic"/>
        </w:rPr>
        <w:footnoteRef/>
      </w:r>
      <w:r w:rsidRPr="006F0193">
        <w:t xml:space="preserve"> </w:t>
      </w:r>
      <w:r>
        <w:rPr>
          <w:lang w:val="sl-SI"/>
        </w:rPr>
        <w:t>Predstavljeni zneski temeljijo na trenutno sprejetem Operativnem programu 2014-2020 in se bodo uskladili ob spremembi Operativnega programa 2014-2020.</w:t>
      </w:r>
    </w:p>
  </w:footnote>
  <w:footnote w:id="14">
    <w:p w14:paraId="49D03798" w14:textId="77777777" w:rsidR="00667A63" w:rsidRPr="000F5BC7" w:rsidRDefault="00667A63" w:rsidP="00C55C5A">
      <w:pPr>
        <w:pStyle w:val="Sprotnaopomba-besedilo"/>
        <w:rPr>
          <w:rFonts w:cs="Arial"/>
          <w:lang w:val="sl-SI"/>
        </w:rPr>
      </w:pPr>
      <w:r w:rsidRPr="000F5BC7">
        <w:rPr>
          <w:rStyle w:val="Sprotnaopomba-sklic"/>
          <w:rFonts w:cs="Arial"/>
        </w:rPr>
        <w:footnoteRef/>
      </w:r>
      <w:r w:rsidRPr="00235A1B">
        <w:t xml:space="preserve"> </w:t>
      </w:r>
      <w:r w:rsidRPr="000F5BC7">
        <w:rPr>
          <w:rFonts w:cs="Arial"/>
          <w:lang w:val="sl-SI"/>
        </w:rPr>
        <w:t>Kreditodajalec (upnik) je pravna oseba, ki sklene kreditno pogodbo s kreditojemalcem (dolžnikom) za določeno ceno (obresti).</w:t>
      </w:r>
    </w:p>
  </w:footnote>
  <w:footnote w:id="15">
    <w:p w14:paraId="53F1A01A" w14:textId="77777777" w:rsidR="00667A63" w:rsidRPr="000443B2" w:rsidRDefault="00667A63" w:rsidP="00C55C5A">
      <w:pPr>
        <w:pStyle w:val="Sprotnaopomba-besedilo"/>
        <w:tabs>
          <w:tab w:val="left" w:pos="810"/>
        </w:tabs>
        <w:rPr>
          <w:lang w:val="sl-SI"/>
        </w:rPr>
      </w:pPr>
      <w:r>
        <w:rPr>
          <w:rStyle w:val="Sprotnaopomba-sklic"/>
        </w:rPr>
        <w:footnoteRef/>
      </w:r>
      <w:r>
        <w:t xml:space="preserve"> </w:t>
      </w:r>
      <w:r>
        <w:tab/>
      </w:r>
      <w:r w:rsidRPr="00A04EBA">
        <w:rPr>
          <w:rFonts w:cs="Arial"/>
          <w:lang w:val="sl-SI"/>
        </w:rPr>
        <w:t>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16">
    <w:p w14:paraId="7797F622" w14:textId="77777777" w:rsidR="00667A63" w:rsidRPr="005E3506" w:rsidRDefault="00667A63" w:rsidP="00C55C5A">
      <w:pPr>
        <w:pStyle w:val="footnotedescription"/>
        <w:spacing w:line="243" w:lineRule="auto"/>
        <w:ind w:left="228" w:hanging="228"/>
        <w:rPr>
          <w:rFonts w:ascii="Arial" w:hAnsi="Arial" w:cs="Arial"/>
          <w:sz w:val="20"/>
          <w:szCs w:val="20"/>
        </w:rPr>
      </w:pPr>
      <w:r w:rsidRPr="005E3506">
        <w:rPr>
          <w:rStyle w:val="footnotemark"/>
          <w:rFonts w:ascii="Arial" w:hAnsi="Arial" w:cs="Arial"/>
          <w:sz w:val="20"/>
          <w:szCs w:val="20"/>
        </w:rPr>
        <w:footnoteRef/>
      </w:r>
      <w:r w:rsidRPr="005E3506">
        <w:rPr>
          <w:rFonts w:ascii="Arial" w:hAnsi="Arial" w:cs="Arial"/>
          <w:sz w:val="20"/>
          <w:szCs w:val="20"/>
        </w:rPr>
        <w:t xml:space="preserve"> Znesek, ki bi obravnaval vrzeli v financiranju projektov urbanega razvoja v vseh slovenskih mestnih občinah je ocenjen med 50 – 100 mi</w:t>
      </w:r>
      <w:r>
        <w:rPr>
          <w:rFonts w:ascii="Arial" w:hAnsi="Arial" w:cs="Arial"/>
          <w:sz w:val="20"/>
          <w:szCs w:val="20"/>
        </w:rPr>
        <w:t>o</w:t>
      </w:r>
      <w:r w:rsidRPr="005E3506">
        <w:rPr>
          <w:rFonts w:ascii="Arial" w:hAnsi="Arial" w:cs="Arial"/>
          <w:sz w:val="20"/>
          <w:szCs w:val="20"/>
        </w:rPr>
        <w:t xml:space="preserve"> EUR.    </w:t>
      </w:r>
    </w:p>
  </w:footnote>
  <w:footnote w:id="17">
    <w:p w14:paraId="1BCA7DC0" w14:textId="77777777" w:rsidR="00667A63" w:rsidRPr="00A04EBA" w:rsidRDefault="00667A63" w:rsidP="00C55C5A">
      <w:pPr>
        <w:pStyle w:val="footnotedescription"/>
        <w:spacing w:line="248" w:lineRule="auto"/>
        <w:ind w:left="228" w:right="244" w:hanging="228"/>
        <w:rPr>
          <w:rFonts w:ascii="Arial" w:hAnsi="Arial" w:cs="Arial"/>
          <w:sz w:val="20"/>
          <w:szCs w:val="20"/>
        </w:rPr>
      </w:pPr>
      <w:r>
        <w:rPr>
          <w:rStyle w:val="footnotemark"/>
        </w:rPr>
        <w:footnoteRef/>
      </w:r>
      <w:r>
        <w:t xml:space="preserve"> </w:t>
      </w:r>
      <w:r w:rsidRPr="00A04EBA">
        <w:rPr>
          <w:rFonts w:ascii="Arial" w:hAnsi="Arial" w:cs="Arial"/>
          <w:sz w:val="20"/>
          <w:szCs w:val="20"/>
        </w:rPr>
        <w:t xml:space="preserve">European Structural and Investment Funds Guidance for Member States and Programme Authorities: CPR_37_7_8_9 Combination of support from a financial instrument with other support, 2015 </w:t>
      </w:r>
    </w:p>
  </w:footnote>
  <w:footnote w:id="18">
    <w:p w14:paraId="4246EAEB" w14:textId="77777777" w:rsidR="00667A63" w:rsidRPr="00051D89" w:rsidRDefault="00667A63" w:rsidP="00C55C5A">
      <w:pPr>
        <w:tabs>
          <w:tab w:val="left" w:pos="3261"/>
        </w:tabs>
        <w:ind w:right="256"/>
        <w:rPr>
          <w:rFonts w:eastAsia="Georgia" w:cs="Arial"/>
          <w:color w:val="000000"/>
          <w:sz w:val="20"/>
          <w:szCs w:val="20"/>
          <w:lang w:val="sl-SI" w:eastAsia="sl-SI"/>
        </w:rPr>
      </w:pPr>
      <w:r w:rsidRPr="00A04EBA">
        <w:rPr>
          <w:rStyle w:val="Sprotnaopomba-sklic"/>
          <w:rFonts w:eastAsiaTheme="majorEastAsia" w:cs="Arial"/>
          <w:sz w:val="20"/>
          <w:szCs w:val="20"/>
        </w:rPr>
        <w:footnoteRef/>
      </w:r>
      <w:r w:rsidRPr="00A04EBA">
        <w:rPr>
          <w:rFonts w:cs="Arial"/>
          <w:sz w:val="20"/>
          <w:szCs w:val="20"/>
        </w:rPr>
        <w:t xml:space="preserve"> </w:t>
      </w:r>
      <w:r w:rsidRPr="00A04EBA">
        <w:rPr>
          <w:rFonts w:eastAsia="Georgia" w:cs="Arial"/>
          <w:color w:val="000000"/>
          <w:sz w:val="20"/>
          <w:szCs w:val="20"/>
          <w:lang w:val="sl-SI" w:eastAsia="sl-SI"/>
        </w:rPr>
        <w:t>Tehnična pomoč predstavlja nepovratna sredstva za svetovanje in mentorstvo za spodbujanje ter predajanje znanja glede uporabe FI in produktov iz naložbene strategije finančnim posrednikom in končnim prejemniko</w:t>
      </w:r>
      <w:r w:rsidRPr="00051D89">
        <w:rPr>
          <w:rFonts w:eastAsia="Georgia" w:cs="Arial"/>
          <w:color w:val="000000"/>
          <w:sz w:val="20"/>
          <w:szCs w:val="20"/>
          <w:lang w:val="sl-SI" w:eastAsia="sl-SI"/>
        </w:rPr>
        <w:t>m, če izpolnjuje pogoje za kombinacijo v okviru ene operacije..</w:t>
      </w:r>
    </w:p>
  </w:footnote>
  <w:footnote w:id="19">
    <w:p w14:paraId="35AF0DBE" w14:textId="77777777" w:rsidR="00667A63" w:rsidRPr="00A04EBA" w:rsidRDefault="00667A63" w:rsidP="00C55C5A">
      <w:pPr>
        <w:pStyle w:val="footnotedescription"/>
        <w:spacing w:line="254" w:lineRule="auto"/>
        <w:ind w:left="228" w:hanging="228"/>
        <w:rPr>
          <w:rFonts w:ascii="Arial" w:hAnsi="Arial" w:cs="Arial"/>
          <w:sz w:val="20"/>
          <w:szCs w:val="20"/>
        </w:rPr>
      </w:pPr>
      <w:r w:rsidRPr="00A04EBA">
        <w:rPr>
          <w:rStyle w:val="footnotemark"/>
          <w:rFonts w:ascii="Arial" w:hAnsi="Arial" w:cs="Arial"/>
          <w:sz w:val="20"/>
          <w:szCs w:val="20"/>
        </w:rPr>
        <w:footnoteRef/>
      </w:r>
      <w:r w:rsidRPr="00A04EBA">
        <w:rPr>
          <w:rFonts w:ascii="Arial" w:hAnsi="Arial" w:cs="Arial"/>
          <w:sz w:val="20"/>
          <w:szCs w:val="20"/>
        </w:rPr>
        <w:t xml:space="preserve"> European Structural and Investment Funds Guidance for Member States and Programme Authorities: CPR_37_7_8_9 Combination of support from a financial instrument with other support, 2015 </w:t>
      </w:r>
    </w:p>
  </w:footnote>
  <w:footnote w:id="20">
    <w:p w14:paraId="17AEF9BC" w14:textId="77777777" w:rsidR="00667A63" w:rsidRDefault="00667A63" w:rsidP="00C55C5A">
      <w:pPr>
        <w:pStyle w:val="footnotedescription"/>
        <w:spacing w:line="254" w:lineRule="auto"/>
        <w:ind w:left="228" w:right="164" w:hanging="228"/>
      </w:pPr>
      <w:r w:rsidRPr="00A04EBA">
        <w:rPr>
          <w:rStyle w:val="footnotemark"/>
          <w:rFonts w:ascii="Arial" w:hAnsi="Arial" w:cs="Arial"/>
          <w:sz w:val="20"/>
          <w:szCs w:val="20"/>
        </w:rPr>
        <w:footnoteRef/>
      </w:r>
      <w:r w:rsidRPr="00A04EBA">
        <w:rPr>
          <w:rFonts w:ascii="Arial" w:hAnsi="Arial" w:cs="Arial"/>
          <w:sz w:val="20"/>
          <w:szCs w:val="20"/>
        </w:rPr>
        <w:t xml:space="preserve"> Official Journal of the European Union: COMMISSION DELEGATED REGULATION (EU) No 480/2014 f 3 March 2014</w:t>
      </w:r>
      <w:r>
        <w:t xml:space="preserve"> </w:t>
      </w:r>
    </w:p>
  </w:footnote>
  <w:footnote w:id="21">
    <w:p w14:paraId="2EAF4E41" w14:textId="77777777" w:rsidR="00667A63" w:rsidRPr="00397C7E" w:rsidRDefault="00667A63" w:rsidP="00C55C5A">
      <w:pPr>
        <w:pStyle w:val="Sprotnaopomba-besedilo"/>
        <w:rPr>
          <w:lang w:val="sl-SI"/>
        </w:rPr>
      </w:pPr>
      <w:r>
        <w:rPr>
          <w:rStyle w:val="Sprotnaopomba-sklic"/>
        </w:rPr>
        <w:footnoteRef/>
      </w:r>
      <w:r w:rsidRPr="0079271F">
        <w:t xml:space="preserve"> </w:t>
      </w:r>
      <w:r w:rsidRPr="00397C7E">
        <w:rPr>
          <w:rFonts w:cs="Arial"/>
          <w:lang w:val="sl-SI"/>
        </w:rPr>
        <w:t>Redne varnostne kopije celotne vsebine elektronskega repozatorija</w:t>
      </w:r>
      <w:r>
        <w:rPr>
          <w:rFonts w:cs="Arial"/>
          <w:lang w:val="sl-SI"/>
        </w:rPr>
        <w:t xml:space="preserve"> se hranijo vsaj</w:t>
      </w:r>
      <w:r w:rsidRPr="00120325">
        <w:rPr>
          <w:rFonts w:cs="Arial"/>
          <w:lang w:val="sl-SI"/>
        </w:rPr>
        <w:t xml:space="preserve"> 10 let po</w:t>
      </w:r>
      <w:r>
        <w:rPr>
          <w:rFonts w:cs="Arial"/>
          <w:lang w:val="sl-SI"/>
        </w:rPr>
        <w:t xml:space="preserve"> zaključku i</w:t>
      </w:r>
      <w:r w:rsidRPr="00120325">
        <w:rPr>
          <w:rFonts w:cs="Arial"/>
          <w:lang w:val="sl-SI"/>
        </w:rPr>
        <w:t>zvajanja FI</w:t>
      </w:r>
      <w:r>
        <w:rPr>
          <w:rFonts w:cs="Arial"/>
          <w:lang w:val="sl-SI"/>
        </w:rPr>
        <w:t xml:space="preserve"> in so fizično in elektronsko zaščiteni pred izgubo in spreminjanjem, ki bi ogrozil njihovo integriteto oz. celovitost. </w:t>
      </w:r>
    </w:p>
  </w:footnote>
  <w:footnote w:id="22">
    <w:p w14:paraId="1659ECDB" w14:textId="77777777" w:rsidR="00667A63" w:rsidRPr="00435839" w:rsidRDefault="00667A63" w:rsidP="00C55C5A">
      <w:pPr>
        <w:pStyle w:val="Sprotnaopomba-besedilo"/>
        <w:rPr>
          <w:lang w:val="sl-SI"/>
        </w:rPr>
      </w:pPr>
      <w:r>
        <w:rPr>
          <w:rStyle w:val="Sprotnaopomba-sklic"/>
        </w:rPr>
        <w:footnoteRef/>
      </w:r>
      <w:r>
        <w:t xml:space="preserve"> </w:t>
      </w:r>
      <w:r w:rsidRPr="00506E95">
        <w:rPr>
          <w:rFonts w:eastAsiaTheme="minorHAnsi" w:cs="Arial"/>
          <w:color w:val="000000"/>
          <w:lang w:val="sl-SI"/>
        </w:rPr>
        <w:t>MF-CA zagotoviti likvidnostna sredstva na podračunu MF-CA.  V kolikor MF-CA v tem obdobju ne more zagotoviti likvidnostnih sredstev za nakazilo sredstev ESI skladov upravljavcu sklada skladov v višini napovedi, se nakazilo izvede do višine, ki jo omogoča stanje sredstev na podračunu MF-CA, preostanek  pa se nakaže takoj, ko bo stanje na podračunu MF-CA to omogočilo.</w:t>
      </w:r>
    </w:p>
  </w:footnote>
  <w:footnote w:id="23">
    <w:p w14:paraId="12E04DDA" w14:textId="77777777" w:rsidR="00667A63" w:rsidRPr="00D00260" w:rsidRDefault="00667A63" w:rsidP="00C55C5A">
      <w:pPr>
        <w:pStyle w:val="Sprotnaopomba-besedilo"/>
        <w:rPr>
          <w:rFonts w:cs="Arial"/>
          <w:lang w:val="sl-SI"/>
        </w:rPr>
      </w:pPr>
      <w:r w:rsidRPr="00D00260">
        <w:rPr>
          <w:rStyle w:val="Sprotnaopomba-sklic"/>
          <w:rFonts w:cs="Arial"/>
        </w:rPr>
        <w:footnoteRef/>
      </w:r>
      <w:r w:rsidRPr="00D00260">
        <w:rPr>
          <w:rFonts w:cs="Arial"/>
        </w:rPr>
        <w:t xml:space="preserve"> </w:t>
      </w:r>
      <w:r w:rsidRPr="00D00260">
        <w:rPr>
          <w:rFonts w:cs="Arial"/>
          <w:lang w:val="sl-SI"/>
        </w:rPr>
        <w:t>Nacionalno udeležbo pri FI zagotavljamo na nivoju sklada skladov in/ali finančnih posrednikov</w:t>
      </w:r>
      <w:r>
        <w:rPr>
          <w:rFonts w:cs="Arial"/>
          <w:lang w:val="sl-SI"/>
        </w:rPr>
        <w:t>, minimalna višina je opredeljena pri učinku finančnega vzvoda.</w:t>
      </w:r>
    </w:p>
  </w:footnote>
  <w:footnote w:id="24">
    <w:p w14:paraId="421751D4" w14:textId="77777777" w:rsidR="00667A63" w:rsidRPr="0065762C" w:rsidRDefault="00667A63" w:rsidP="00C55C5A">
      <w:pPr>
        <w:pStyle w:val="Sprotnaopomba-besedilo"/>
        <w:rPr>
          <w:rFonts w:cs="Arial"/>
          <w:lang w:val="sl-SI"/>
        </w:rPr>
      </w:pPr>
      <w:r w:rsidRPr="0065762C">
        <w:rPr>
          <w:rStyle w:val="Sprotnaopomba-sklic"/>
          <w:rFonts w:cs="Arial"/>
        </w:rPr>
        <w:footnoteRef/>
      </w:r>
      <w:r w:rsidRPr="00FB62C5">
        <w:t xml:space="preserve"> Npr. r</w:t>
      </w:r>
      <w:r w:rsidRPr="00FB62C5">
        <w:rPr>
          <w:rFonts w:eastAsiaTheme="minorHAnsi"/>
          <w:color w:val="000000"/>
        </w:rPr>
        <w:t>očnost kreditov za financir</w:t>
      </w:r>
      <w:r>
        <w:rPr>
          <w:rFonts w:eastAsiaTheme="minorHAnsi"/>
          <w:color w:val="000000"/>
        </w:rPr>
        <w:t>anje</w:t>
      </w:r>
      <w:r w:rsidRPr="00FB62C5">
        <w:rPr>
          <w:rFonts w:eastAsiaTheme="minorHAnsi"/>
          <w:color w:val="000000"/>
        </w:rPr>
        <w:t xml:space="preserve"> v energetsko učinkovitost ne sme biti krajša od 10 let in ne daljša od 25 let.</w:t>
      </w:r>
    </w:p>
  </w:footnote>
  <w:footnote w:id="25">
    <w:p w14:paraId="13AAFD3F" w14:textId="77777777" w:rsidR="00667A63" w:rsidRPr="00C34605" w:rsidRDefault="00667A63" w:rsidP="00C55C5A">
      <w:pPr>
        <w:pStyle w:val="Sprotnaopomba-besedilo"/>
        <w:rPr>
          <w:rFonts w:cs="Arial"/>
          <w:lang w:val="sl-SI"/>
        </w:rPr>
      </w:pPr>
      <w:r w:rsidRPr="00C34605">
        <w:rPr>
          <w:rStyle w:val="Sprotnaopomba-sklic"/>
          <w:rFonts w:eastAsiaTheme="majorEastAsia" w:cs="Arial"/>
        </w:rPr>
        <w:footnoteRef/>
      </w:r>
      <w:r w:rsidRPr="009A0244">
        <w:rPr>
          <w:rFonts w:cs="Arial"/>
          <w:lang w:val="de-DE"/>
        </w:rPr>
        <w:t xml:space="preserve"> Evropski parlament (2013) Instrumenti Finančnega Inženiringa v kohezijski politiki.  </w:t>
      </w:r>
    </w:p>
  </w:footnote>
  <w:footnote w:id="26">
    <w:p w14:paraId="21C21B73" w14:textId="77777777" w:rsidR="00667A63" w:rsidRPr="000443B2" w:rsidRDefault="00667A63" w:rsidP="00C55C5A">
      <w:pPr>
        <w:pStyle w:val="Sprotnaopomba-besedilo"/>
        <w:rPr>
          <w:lang w:val="sl-SI"/>
        </w:rPr>
      </w:pPr>
      <w:r>
        <w:rPr>
          <w:rStyle w:val="Sprotnaopomba-sklic"/>
        </w:rPr>
        <w:footnoteRef/>
      </w:r>
      <w:r>
        <w:t xml:space="preserve"> </w:t>
      </w:r>
      <w:r w:rsidRPr="005A0BEE">
        <w:rPr>
          <w:lang w:val="sl-SI"/>
        </w:rPr>
        <w:t xml:space="preserve">Po Predhodni oceni finančnih instrumentov v Sloveniji, </w:t>
      </w:r>
      <w:r>
        <w:rPr>
          <w:lang w:val="sl-SI"/>
        </w:rPr>
        <w:t xml:space="preserve">PwC </w:t>
      </w:r>
      <w:r w:rsidRPr="005A0BEE">
        <w:rPr>
          <w:lang w:val="sl-SI"/>
        </w:rPr>
        <w:t xml:space="preserve">2015, so za področje energetske učinkovitosti predvideni vsi našteti finančni produkti. Za samo izvajanje energetskih prenov javnih stavb po EPC modelu (energy performance contracting) </w:t>
      </w:r>
      <w:r>
        <w:rPr>
          <w:lang w:val="sl-SI"/>
        </w:rPr>
        <w:t>se</w:t>
      </w:r>
      <w:r w:rsidRPr="005A0BEE">
        <w:rPr>
          <w:lang w:val="sl-SI"/>
        </w:rPr>
        <w:t xml:space="preserve"> </w:t>
      </w:r>
      <w:r>
        <w:rPr>
          <w:lang w:val="sl-SI"/>
        </w:rPr>
        <w:t>primarno predvideva uporaba finančnega produkta posojil, uporaba ostalih</w:t>
      </w:r>
      <w:r w:rsidRPr="005A0BEE">
        <w:rPr>
          <w:lang w:val="sl-SI"/>
        </w:rPr>
        <w:t xml:space="preserve"> </w:t>
      </w:r>
      <w:r>
        <w:rPr>
          <w:lang w:val="sl-SI"/>
        </w:rPr>
        <w:t xml:space="preserve">dveh </w:t>
      </w:r>
      <w:r w:rsidRPr="005A0BEE">
        <w:rPr>
          <w:lang w:val="sl-SI"/>
        </w:rPr>
        <w:t>finančni</w:t>
      </w:r>
      <w:r>
        <w:rPr>
          <w:lang w:val="sl-SI"/>
        </w:rPr>
        <w:t>h</w:t>
      </w:r>
      <w:r w:rsidRPr="005A0BEE">
        <w:rPr>
          <w:lang w:val="sl-SI"/>
        </w:rPr>
        <w:t xml:space="preserve"> produkt</w:t>
      </w:r>
      <w:r>
        <w:rPr>
          <w:lang w:val="sl-SI"/>
        </w:rPr>
        <w:t>ov</w:t>
      </w:r>
      <w:r w:rsidRPr="005A0BEE">
        <w:rPr>
          <w:lang w:val="sl-SI"/>
        </w:rPr>
        <w:t xml:space="preserve"> </w:t>
      </w:r>
      <w:r>
        <w:rPr>
          <w:lang w:val="sl-SI"/>
        </w:rPr>
        <w:t xml:space="preserve">pa </w:t>
      </w:r>
      <w:r w:rsidRPr="00DE5E3B">
        <w:rPr>
          <w:lang w:val="sl-SI"/>
        </w:rPr>
        <w:t>ob upoštevanju omejitev glede javnofinančne stabilnosti.</w:t>
      </w:r>
    </w:p>
  </w:footnote>
  <w:footnote w:id="27">
    <w:p w14:paraId="2EA3E225" w14:textId="77777777" w:rsidR="00667A63" w:rsidRPr="000443B2" w:rsidRDefault="00667A63" w:rsidP="00C55C5A">
      <w:pPr>
        <w:pStyle w:val="Sprotnaopomba-besedilo"/>
        <w:rPr>
          <w:lang w:val="sl-SI"/>
        </w:rPr>
      </w:pPr>
      <w:r>
        <w:rPr>
          <w:rStyle w:val="Sprotnaopomba-sklic"/>
        </w:rPr>
        <w:footnoteRef/>
      </w:r>
      <w:r>
        <w:t xml:space="preserve"> </w:t>
      </w:r>
      <w:r w:rsidRPr="00BD5937">
        <w:rPr>
          <w:rFonts w:cs="Arial"/>
          <w:lang w:val="sl-SI"/>
        </w:rPr>
        <w:t>Po Predhodni oceni finančnih instrumentov v Sloveniji, PwC 2015, so za področje energetske učinkovitosti predvideni vsi našteti finančni produkti. Za samo izvajanje energetskih prenov javnih stavb po EPC modelu (energy performance contracting) se primarno predvideva uporaba finančnega produkta posojil, uporaba ostalih dveh finančnih produktov pa ob upoštevanju omejitev glede javnofinančne stabilnosti.</w:t>
      </w:r>
    </w:p>
  </w:footnote>
  <w:footnote w:id="28">
    <w:p w14:paraId="60277756" w14:textId="77777777" w:rsidR="00667A63" w:rsidRPr="00633148" w:rsidRDefault="00667A63" w:rsidP="00C55C5A">
      <w:pPr>
        <w:pStyle w:val="Sprotnaopomba-besedilo"/>
        <w:rPr>
          <w:lang w:val="sl-SI"/>
        </w:rPr>
      </w:pPr>
      <w:r>
        <w:rPr>
          <w:rStyle w:val="Sprotnaopomba-sklic"/>
        </w:rPr>
        <w:footnoteRef/>
      </w:r>
      <w:r>
        <w:t xml:space="preserve"> </w:t>
      </w:r>
      <w:r w:rsidRPr="00E45C07">
        <w:rPr>
          <w:rFonts w:cs="Arial"/>
          <w:lang w:val="sl-SI"/>
        </w:rPr>
        <w:t>WK 2122/2017 INIT Working paper</w:t>
      </w:r>
    </w:p>
  </w:footnote>
  <w:footnote w:id="29">
    <w:p w14:paraId="651A0C89" w14:textId="77777777" w:rsidR="00667A63" w:rsidRPr="00E90F84" w:rsidRDefault="00667A63" w:rsidP="00C55C5A">
      <w:pPr>
        <w:pStyle w:val="Sprotnaopomba-besedilo"/>
        <w:rPr>
          <w:lang w:val="sl-SI"/>
        </w:rPr>
      </w:pPr>
      <w:r>
        <w:rPr>
          <w:rStyle w:val="Sprotnaopomba-sklic"/>
        </w:rPr>
        <w:footnoteRef/>
      </w:r>
      <w:r>
        <w:t xml:space="preserve"> </w:t>
      </w:r>
      <w:r w:rsidRPr="00E90F84">
        <w:rPr>
          <w:rFonts w:cs="Arial"/>
          <w:lang w:val="sl-SI"/>
        </w:rPr>
        <w:t>Zakon o Slovenski izvozni in razvojni banki, Uradni list RS, št. 56/08, 20/09, 25/15 – ZBan-2</w:t>
      </w:r>
    </w:p>
  </w:footnote>
  <w:footnote w:id="30">
    <w:p w14:paraId="335FCBFF" w14:textId="77777777" w:rsidR="00667A63" w:rsidRPr="002A1EE6" w:rsidRDefault="00667A63" w:rsidP="00C55C5A">
      <w:pPr>
        <w:pStyle w:val="Sprotnaopomba-besedilo"/>
        <w:rPr>
          <w:lang w:val="sl-SI"/>
        </w:rPr>
      </w:pPr>
      <w:r>
        <w:rPr>
          <w:rStyle w:val="Sprotnaopomba-sklic"/>
        </w:rPr>
        <w:footnoteRef/>
      </w:r>
      <w:r>
        <w:t xml:space="preserve"> </w:t>
      </w:r>
      <w:r w:rsidRPr="002A1EE6">
        <w:rPr>
          <w:rFonts w:cs="Arial"/>
          <w:lang w:val="sl-SI"/>
        </w:rPr>
        <w:t>Statut SID – Slovenske izvozne in razvojne banke, d.d., Ljubljana, Ljubljana, 6.7.2016</w:t>
      </w:r>
    </w:p>
  </w:footnote>
  <w:footnote w:id="31">
    <w:p w14:paraId="7D21C282" w14:textId="77777777" w:rsidR="00667A63" w:rsidRPr="00BF11B3" w:rsidRDefault="00667A63" w:rsidP="00C55C5A">
      <w:pPr>
        <w:pStyle w:val="Sprotnaopomba-besedilo"/>
        <w:rPr>
          <w:lang w:val="sl-SI"/>
        </w:rPr>
      </w:pPr>
      <w:r>
        <w:rPr>
          <w:rStyle w:val="Sprotnaopomba-sklic"/>
        </w:rPr>
        <w:footnoteRef/>
      </w:r>
      <w:r>
        <w:t xml:space="preserve"> </w:t>
      </w:r>
      <w:r w:rsidRPr="00BF11B3">
        <w:rPr>
          <w:rFonts w:cs="Arial"/>
          <w:lang w:val="sl-SI"/>
        </w:rPr>
        <w:t>Zakon o zavarovanju in financiranju mednarodnih gospodarskih poslov (Uradni list RS, št. 2/04, 56/08 – ZSIRB in 82/15)</w:t>
      </w:r>
    </w:p>
  </w:footnote>
  <w:footnote w:id="32">
    <w:p w14:paraId="1330035E" w14:textId="77777777" w:rsidR="00667A63" w:rsidRPr="00E45C07" w:rsidRDefault="00667A63" w:rsidP="00C55C5A">
      <w:pPr>
        <w:pStyle w:val="Sprotnaopomba-besedilo"/>
        <w:rPr>
          <w:rFonts w:cs="Arial"/>
          <w:lang w:eastAsia="sl-SI"/>
        </w:rPr>
      </w:pPr>
      <w:r w:rsidRPr="00E45C07">
        <w:rPr>
          <w:rFonts w:cs="Arial"/>
          <w:lang w:eastAsia="sl-SI"/>
        </w:rPr>
        <w:footnoteRef/>
      </w:r>
      <w:r w:rsidRPr="00E45C07">
        <w:rPr>
          <w:rFonts w:cs="Arial"/>
          <w:lang w:eastAsia="sl-SI"/>
        </w:rPr>
        <w:t xml:space="preserve"> Zakon o Vladi Republike Slovenije v 8. členu določa, katera so resorna ministrstva.</w:t>
      </w:r>
    </w:p>
  </w:footnote>
  <w:footnote w:id="33">
    <w:p w14:paraId="33FDF6A7" w14:textId="77777777" w:rsidR="00667A63" w:rsidRPr="00E45C07" w:rsidRDefault="00667A63" w:rsidP="00C55C5A">
      <w:pPr>
        <w:pStyle w:val="odstavek1"/>
        <w:spacing w:before="0"/>
        <w:ind w:firstLine="0"/>
        <w:rPr>
          <w:sz w:val="20"/>
          <w:szCs w:val="20"/>
        </w:rPr>
      </w:pPr>
      <w:r w:rsidRPr="00E45C07">
        <w:rPr>
          <w:rStyle w:val="Sprotnaopomba-sklic"/>
          <w:sz w:val="20"/>
          <w:szCs w:val="20"/>
        </w:rPr>
        <w:footnoteRef/>
      </w:r>
      <w:r w:rsidRPr="00E45C07">
        <w:rPr>
          <w:sz w:val="20"/>
          <w:szCs w:val="20"/>
        </w:rPr>
        <w:t xml:space="preserve"> V 30. členu Zakona o državni upravi so določene naloge MGRT: »Ministrstvo za gospodarski razvoj in tehnologijo opravlja naloge na področjih ekonomskega sistema in razvoja, notranjega trga, tehnične zakonodaje in meril, varstva potrošnikov, varstva konkurence, ekonomskih odnosov s tujino, razvoja podjetniškega sektorja in konkurenčnosti, socialnega podjetništva, intelektualne lastnine, drobnega gospodarstva in turizma, industrijskih projektov, pokopališke in pogrebne dejavnosti, naloge na področju regionalnega razvoja ter naloge na področju tehnologije, meroslovja in pošte.«</w:t>
      </w:r>
    </w:p>
    <w:p w14:paraId="30EC45C7" w14:textId="77777777" w:rsidR="00667A63" w:rsidRPr="00573ABF" w:rsidRDefault="00667A63" w:rsidP="00C55C5A">
      <w:pPr>
        <w:pStyle w:val="Sprotnaopomba-besedilo"/>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5179" w14:textId="77777777" w:rsidR="00667A63" w:rsidRDefault="00667A6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85B5" w14:textId="77777777" w:rsidR="00667A63" w:rsidRPr="004D434D" w:rsidRDefault="00667A63" w:rsidP="004D434D">
    <w:pPr>
      <w:pStyle w:val="Glava"/>
    </w:pPr>
    <w:r w:rsidRPr="004D434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0171" w14:textId="77777777" w:rsidR="00667A63" w:rsidRPr="002F63AC" w:rsidRDefault="00667A63" w:rsidP="004D434D">
    <w:pPr>
      <w:autoSpaceDE w:val="0"/>
      <w:autoSpaceDN w:val="0"/>
      <w:adjustRightInd w:val="0"/>
      <w:rPr>
        <w:rFonts w:ascii="Republika" w:hAnsi="Republika"/>
        <w:sz w:val="20"/>
      </w:rPr>
    </w:pPr>
    <w:r>
      <w:rPr>
        <w:noProof/>
        <w:lang w:val="sl-SI" w:eastAsia="sl-SI"/>
      </w:rPr>
      <w:drawing>
        <wp:anchor distT="0" distB="0" distL="114300" distR="114300" simplePos="0" relativeHeight="251659264" behindDoc="0" locked="0" layoutInCell="1" allowOverlap="1" wp14:anchorId="174C4F75" wp14:editId="6591012F">
          <wp:simplePos x="0" y="0"/>
          <wp:positionH relativeFrom="leftMargin">
            <wp:align>right</wp:align>
          </wp:positionH>
          <wp:positionV relativeFrom="page">
            <wp:posOffset>842010</wp:posOffset>
          </wp:positionV>
          <wp:extent cx="381635" cy="393700"/>
          <wp:effectExtent l="0" t="0" r="0" b="6350"/>
          <wp:wrapThrough wrapText="bothSides">
            <wp:wrapPolygon edited="0">
              <wp:start x="0" y="0"/>
              <wp:lineTo x="0" y="20903"/>
              <wp:lineTo x="20486" y="20903"/>
              <wp:lineTo x="20486" y="0"/>
              <wp:lineTo x="0" y="0"/>
            </wp:wrapPolygon>
          </wp:wrapThrough>
          <wp:docPr id="5" name="Slika 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anchor>
      </w:drawing>
    </w:r>
    <w:r w:rsidRPr="002F63AC">
      <w:rPr>
        <w:rFonts w:ascii="Republika" w:hAnsi="Republika"/>
        <w:sz w:val="20"/>
      </w:rPr>
      <w:t>REPUBLIKA SLOVENIJA</w:t>
    </w:r>
  </w:p>
  <w:p w14:paraId="233606B9" w14:textId="77777777" w:rsidR="00667A63" w:rsidRPr="002F63AC" w:rsidRDefault="00667A63" w:rsidP="004D434D">
    <w:pPr>
      <w:pStyle w:val="Glava"/>
      <w:tabs>
        <w:tab w:val="left" w:pos="5112"/>
      </w:tabs>
      <w:spacing w:after="120" w:line="240" w:lineRule="exact"/>
      <w:rPr>
        <w:rFonts w:ascii="Republika" w:hAnsi="Republika"/>
        <w:b/>
        <w:caps/>
      </w:rPr>
    </w:pPr>
    <w:r w:rsidRPr="002F63AC">
      <w:rPr>
        <w:rFonts w:ascii="Republika" w:hAnsi="Republika"/>
        <w:b/>
        <w:caps/>
      </w:rPr>
      <w:t>Ministrstvo za GOSPODARSKI RAZVOJ IN TEHNOLOGIJO</w:t>
    </w:r>
  </w:p>
  <w:p w14:paraId="6AACA34C" w14:textId="24DCA9F3" w:rsidR="00667A63" w:rsidRPr="002F63AC" w:rsidRDefault="00667A63" w:rsidP="004D434D">
    <w:pPr>
      <w:pStyle w:val="Glava"/>
      <w:tabs>
        <w:tab w:val="left" w:pos="5112"/>
      </w:tabs>
      <w:spacing w:after="120" w:line="240" w:lineRule="exact"/>
      <w:rPr>
        <w:rFonts w:ascii="Republika" w:hAnsi="Republika"/>
        <w:b/>
        <w:caps/>
      </w:rPr>
    </w:pPr>
    <w:r>
      <w:rPr>
        <w:rFonts w:ascii="Republika" w:hAnsi="Republika"/>
      </w:rPr>
      <w:t xml:space="preserve"> </w:t>
    </w:r>
  </w:p>
  <w:p w14:paraId="7C018E5F" w14:textId="77777777" w:rsidR="00667A63" w:rsidRPr="002F63AC" w:rsidRDefault="00667A63" w:rsidP="004D434D">
    <w:pPr>
      <w:pStyle w:val="Glava"/>
      <w:tabs>
        <w:tab w:val="left" w:pos="5112"/>
      </w:tabs>
      <w:spacing w:before="240" w:line="240" w:lineRule="exact"/>
      <w:rPr>
        <w:rFonts w:ascii="Arial" w:hAnsi="Arial"/>
        <w:sz w:val="16"/>
        <w:lang w:val="de-DE"/>
      </w:rPr>
    </w:pPr>
    <w:r w:rsidRPr="002F63AC">
      <w:rPr>
        <w:rFonts w:ascii="Arial" w:hAnsi="Arial"/>
        <w:sz w:val="16"/>
        <w:lang w:val="de-DE"/>
      </w:rPr>
      <w:t>Kotnikova 5, 1000 Ljubljana</w:t>
    </w:r>
    <w:r w:rsidRPr="002F63AC">
      <w:rPr>
        <w:rFonts w:ascii="Arial" w:hAnsi="Arial"/>
        <w:sz w:val="16"/>
        <w:lang w:val="de-DE"/>
      </w:rPr>
      <w:tab/>
      <w:t xml:space="preserve">  </w:t>
    </w:r>
    <w:r w:rsidRPr="002F63AC">
      <w:rPr>
        <w:rFonts w:ascii="Arial" w:hAnsi="Arial"/>
        <w:sz w:val="16"/>
        <w:lang w:val="de-DE"/>
      </w:rPr>
      <w:tab/>
      <w:t>T: 01 400 36 00, 400 36 21</w:t>
    </w:r>
  </w:p>
  <w:p w14:paraId="62BFC4B3" w14:textId="77777777" w:rsidR="00667A63" w:rsidRPr="002F63AC" w:rsidRDefault="00667A63" w:rsidP="004D434D">
    <w:pPr>
      <w:pStyle w:val="Glava"/>
      <w:tabs>
        <w:tab w:val="left" w:pos="5112"/>
      </w:tabs>
      <w:spacing w:line="240" w:lineRule="exact"/>
      <w:rPr>
        <w:rFonts w:ascii="Arial" w:hAnsi="Arial"/>
        <w:sz w:val="16"/>
        <w:lang w:val="de-DE"/>
      </w:rPr>
    </w:pPr>
    <w:r w:rsidRPr="002F63AC">
      <w:rPr>
        <w:rFonts w:ascii="Arial" w:hAnsi="Arial"/>
        <w:sz w:val="16"/>
        <w:lang w:val="de-DE"/>
      </w:rPr>
      <w:tab/>
    </w:r>
    <w:r w:rsidRPr="002F63AC">
      <w:rPr>
        <w:rFonts w:ascii="Arial" w:hAnsi="Arial"/>
        <w:sz w:val="16"/>
        <w:lang w:val="de-DE"/>
      </w:rPr>
      <w:tab/>
      <w:t xml:space="preserve">F: 01 400 35 22 </w:t>
    </w:r>
  </w:p>
  <w:p w14:paraId="71EA0055" w14:textId="77777777" w:rsidR="00667A63" w:rsidRPr="002F63AC" w:rsidRDefault="00667A63" w:rsidP="004D434D">
    <w:pPr>
      <w:pStyle w:val="Glava"/>
      <w:tabs>
        <w:tab w:val="left" w:pos="5112"/>
      </w:tabs>
      <w:spacing w:line="240" w:lineRule="exact"/>
      <w:rPr>
        <w:rFonts w:ascii="Arial" w:hAnsi="Arial"/>
        <w:sz w:val="16"/>
        <w:lang w:val="de-DE"/>
      </w:rPr>
    </w:pPr>
    <w:r w:rsidRPr="002F63AC">
      <w:rPr>
        <w:rFonts w:ascii="Arial" w:hAnsi="Arial"/>
        <w:sz w:val="16"/>
        <w:lang w:val="de-DE"/>
      </w:rPr>
      <w:tab/>
    </w:r>
    <w:r w:rsidRPr="002F63AC">
      <w:rPr>
        <w:rFonts w:ascii="Arial" w:hAnsi="Arial"/>
        <w:sz w:val="16"/>
        <w:lang w:val="de-DE"/>
      </w:rPr>
      <w:tab/>
      <w:t xml:space="preserve">E: </w:t>
    </w:r>
    <w:hyperlink r:id="rId2" w:history="1">
      <w:r w:rsidRPr="002F63AC">
        <w:rPr>
          <w:rStyle w:val="Hiperpovezava"/>
          <w:rFonts w:ascii="Arial" w:hAnsi="Arial"/>
          <w:sz w:val="16"/>
          <w:lang w:val="de-DE"/>
        </w:rPr>
        <w:t>gp.mgrt@gov.si</w:t>
      </w:r>
    </w:hyperlink>
    <w:r w:rsidRPr="002F63AC">
      <w:rPr>
        <w:rFonts w:ascii="Arial" w:hAnsi="Arial"/>
        <w:sz w:val="16"/>
        <w:lang w:val="de-DE"/>
      </w:rPr>
      <w:t xml:space="preserve"> </w:t>
    </w:r>
  </w:p>
  <w:p w14:paraId="391BC001" w14:textId="77777777" w:rsidR="00667A63" w:rsidRPr="00252A91" w:rsidRDefault="00667A63" w:rsidP="004D434D">
    <w:pPr>
      <w:pStyle w:val="Glava"/>
      <w:tabs>
        <w:tab w:val="left" w:pos="5112"/>
      </w:tabs>
      <w:spacing w:line="240" w:lineRule="exact"/>
      <w:rPr>
        <w:rFonts w:ascii="Arial" w:hAnsi="Arial" w:cs="Arial"/>
        <w:sz w:val="16"/>
      </w:rPr>
    </w:pPr>
    <w:r w:rsidRPr="002F63AC">
      <w:rPr>
        <w:rFonts w:ascii="Arial" w:hAnsi="Arial"/>
        <w:sz w:val="16"/>
        <w:lang w:val="de-DE"/>
      </w:rPr>
      <w:tab/>
    </w:r>
    <w:r w:rsidRPr="002F63AC">
      <w:rPr>
        <w:rFonts w:ascii="Arial" w:hAnsi="Arial"/>
        <w:sz w:val="16"/>
        <w:lang w:val="de-DE"/>
      </w:rPr>
      <w:tab/>
    </w:r>
    <w:hyperlink r:id="rId3" w:history="1">
      <w:r w:rsidRPr="00252A91">
        <w:rPr>
          <w:rStyle w:val="Hiperpovezava"/>
          <w:rFonts w:ascii="Arial" w:hAnsi="Arial" w:cs="Arial"/>
          <w:sz w:val="16"/>
        </w:rPr>
        <w:t>www.mgrt.gov.si</w:t>
      </w:r>
    </w:hyperlink>
    <w:r w:rsidRPr="00252A91">
      <w:rPr>
        <w:rFonts w:ascii="Arial" w:hAnsi="Arial" w:cs="Arial"/>
        <w:sz w:val="16"/>
      </w:rPr>
      <w:t xml:space="preserve"> </w:t>
    </w:r>
  </w:p>
  <w:p w14:paraId="78A1BB67" w14:textId="77777777" w:rsidR="00667A63" w:rsidRDefault="00667A63" w:rsidP="004D434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nsid w:val="019A23C8"/>
    <w:multiLevelType w:val="hybridMultilevel"/>
    <w:tmpl w:val="C11025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2A7F36"/>
    <w:multiLevelType w:val="hybridMultilevel"/>
    <w:tmpl w:val="D92CE884"/>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105752"/>
    <w:multiLevelType w:val="hybridMultilevel"/>
    <w:tmpl w:val="6008B0F2"/>
    <w:lvl w:ilvl="0" w:tplc="FFFFFFFF">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B934A4B"/>
    <w:multiLevelType w:val="hybridMultilevel"/>
    <w:tmpl w:val="AB9E4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FA49E1"/>
    <w:multiLevelType w:val="hybridMultilevel"/>
    <w:tmpl w:val="03D0C5AC"/>
    <w:lvl w:ilvl="0" w:tplc="121883AC">
      <w:start w:val="25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ED1FE4"/>
    <w:multiLevelType w:val="hybridMultilevel"/>
    <w:tmpl w:val="6868D7F2"/>
    <w:lvl w:ilvl="0" w:tplc="BFBE5F08">
      <w:start w:val="1"/>
      <w:numFmt w:val="bullet"/>
      <w:lvlText w:val=""/>
      <w:lvlJc w:val="left"/>
      <w:pPr>
        <w:ind w:left="398"/>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C74C459C">
      <w:start w:val="1"/>
      <w:numFmt w:val="bullet"/>
      <w:lvlText w:val="o"/>
      <w:lvlJc w:val="left"/>
      <w:pPr>
        <w:ind w:left="11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2" w:tplc="0324B50E">
      <w:start w:val="1"/>
      <w:numFmt w:val="bullet"/>
      <w:lvlText w:val="▪"/>
      <w:lvlJc w:val="left"/>
      <w:pPr>
        <w:ind w:left="19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3" w:tplc="8F5EA5B4">
      <w:start w:val="1"/>
      <w:numFmt w:val="bullet"/>
      <w:lvlText w:val="•"/>
      <w:lvlJc w:val="left"/>
      <w:pPr>
        <w:ind w:left="26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4" w:tplc="806408F6">
      <w:start w:val="1"/>
      <w:numFmt w:val="bullet"/>
      <w:lvlText w:val="o"/>
      <w:lvlJc w:val="left"/>
      <w:pPr>
        <w:ind w:left="334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5" w:tplc="277C25FC">
      <w:start w:val="1"/>
      <w:numFmt w:val="bullet"/>
      <w:lvlText w:val="▪"/>
      <w:lvlJc w:val="left"/>
      <w:pPr>
        <w:ind w:left="406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6" w:tplc="933CFF0A">
      <w:start w:val="1"/>
      <w:numFmt w:val="bullet"/>
      <w:lvlText w:val="•"/>
      <w:lvlJc w:val="left"/>
      <w:pPr>
        <w:ind w:left="478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7" w:tplc="E3EC6E78">
      <w:start w:val="1"/>
      <w:numFmt w:val="bullet"/>
      <w:lvlText w:val="o"/>
      <w:lvlJc w:val="left"/>
      <w:pPr>
        <w:ind w:left="550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lvl w:ilvl="8" w:tplc="643E185A">
      <w:start w:val="1"/>
      <w:numFmt w:val="bullet"/>
      <w:lvlText w:val="▪"/>
      <w:lvlJc w:val="left"/>
      <w:pPr>
        <w:ind w:left="6228"/>
      </w:pPr>
      <w:rPr>
        <w:rFonts w:ascii="Georgia" w:eastAsia="Georgia" w:hAnsi="Georgia" w:cs="Georgia"/>
        <w:b w:val="0"/>
        <w:i w:val="0"/>
        <w:strike w:val="0"/>
        <w:dstrike w:val="0"/>
        <w:color w:val="000000"/>
        <w:sz w:val="18"/>
        <w:szCs w:val="18"/>
        <w:u w:val="none" w:color="000000"/>
        <w:bdr w:val="none" w:sz="0" w:space="0" w:color="auto"/>
        <w:shd w:val="clear" w:color="auto" w:fill="auto"/>
        <w:vertAlign w:val="baseline"/>
      </w:rPr>
    </w:lvl>
  </w:abstractNum>
  <w:abstractNum w:abstractNumId="13">
    <w:nsid w:val="300E3300"/>
    <w:multiLevelType w:val="hybridMultilevel"/>
    <w:tmpl w:val="415E20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20544E"/>
    <w:multiLevelType w:val="hybridMultilevel"/>
    <w:tmpl w:val="D366A7CE"/>
    <w:lvl w:ilvl="0" w:tplc="344EE580">
      <w:start w:val="1"/>
      <w:numFmt w:val="bullet"/>
      <w:lvlText w:val="•"/>
      <w:lvlJc w:val="left"/>
      <w:pPr>
        <w:tabs>
          <w:tab w:val="num" w:pos="720"/>
        </w:tabs>
        <w:ind w:left="720" w:hanging="360"/>
      </w:pPr>
      <w:rPr>
        <w:rFonts w:ascii="Arial" w:hAnsi="Arial" w:hint="default"/>
      </w:rPr>
    </w:lvl>
    <w:lvl w:ilvl="1" w:tplc="F006D110" w:tentative="1">
      <w:start w:val="1"/>
      <w:numFmt w:val="bullet"/>
      <w:lvlText w:val="•"/>
      <w:lvlJc w:val="left"/>
      <w:pPr>
        <w:tabs>
          <w:tab w:val="num" w:pos="1440"/>
        </w:tabs>
        <w:ind w:left="1440" w:hanging="360"/>
      </w:pPr>
      <w:rPr>
        <w:rFonts w:ascii="Arial" w:hAnsi="Arial" w:hint="default"/>
      </w:rPr>
    </w:lvl>
    <w:lvl w:ilvl="2" w:tplc="0240A384" w:tentative="1">
      <w:start w:val="1"/>
      <w:numFmt w:val="bullet"/>
      <w:lvlText w:val="•"/>
      <w:lvlJc w:val="left"/>
      <w:pPr>
        <w:tabs>
          <w:tab w:val="num" w:pos="2160"/>
        </w:tabs>
        <w:ind w:left="2160" w:hanging="360"/>
      </w:pPr>
      <w:rPr>
        <w:rFonts w:ascii="Arial" w:hAnsi="Arial" w:hint="default"/>
      </w:rPr>
    </w:lvl>
    <w:lvl w:ilvl="3" w:tplc="ABA69D7E" w:tentative="1">
      <w:start w:val="1"/>
      <w:numFmt w:val="bullet"/>
      <w:lvlText w:val="•"/>
      <w:lvlJc w:val="left"/>
      <w:pPr>
        <w:tabs>
          <w:tab w:val="num" w:pos="2880"/>
        </w:tabs>
        <w:ind w:left="2880" w:hanging="360"/>
      </w:pPr>
      <w:rPr>
        <w:rFonts w:ascii="Arial" w:hAnsi="Arial" w:hint="default"/>
      </w:rPr>
    </w:lvl>
    <w:lvl w:ilvl="4" w:tplc="90AA45DC" w:tentative="1">
      <w:start w:val="1"/>
      <w:numFmt w:val="bullet"/>
      <w:lvlText w:val="•"/>
      <w:lvlJc w:val="left"/>
      <w:pPr>
        <w:tabs>
          <w:tab w:val="num" w:pos="3600"/>
        </w:tabs>
        <w:ind w:left="3600" w:hanging="360"/>
      </w:pPr>
      <w:rPr>
        <w:rFonts w:ascii="Arial" w:hAnsi="Arial" w:hint="default"/>
      </w:rPr>
    </w:lvl>
    <w:lvl w:ilvl="5" w:tplc="7098D9C8" w:tentative="1">
      <w:start w:val="1"/>
      <w:numFmt w:val="bullet"/>
      <w:lvlText w:val="•"/>
      <w:lvlJc w:val="left"/>
      <w:pPr>
        <w:tabs>
          <w:tab w:val="num" w:pos="4320"/>
        </w:tabs>
        <w:ind w:left="4320" w:hanging="360"/>
      </w:pPr>
      <w:rPr>
        <w:rFonts w:ascii="Arial" w:hAnsi="Arial" w:hint="default"/>
      </w:rPr>
    </w:lvl>
    <w:lvl w:ilvl="6" w:tplc="8DA43260" w:tentative="1">
      <w:start w:val="1"/>
      <w:numFmt w:val="bullet"/>
      <w:lvlText w:val="•"/>
      <w:lvlJc w:val="left"/>
      <w:pPr>
        <w:tabs>
          <w:tab w:val="num" w:pos="5040"/>
        </w:tabs>
        <w:ind w:left="5040" w:hanging="360"/>
      </w:pPr>
      <w:rPr>
        <w:rFonts w:ascii="Arial" w:hAnsi="Arial" w:hint="default"/>
      </w:rPr>
    </w:lvl>
    <w:lvl w:ilvl="7" w:tplc="0228143C" w:tentative="1">
      <w:start w:val="1"/>
      <w:numFmt w:val="bullet"/>
      <w:lvlText w:val="•"/>
      <w:lvlJc w:val="left"/>
      <w:pPr>
        <w:tabs>
          <w:tab w:val="num" w:pos="5760"/>
        </w:tabs>
        <w:ind w:left="5760" w:hanging="360"/>
      </w:pPr>
      <w:rPr>
        <w:rFonts w:ascii="Arial" w:hAnsi="Arial" w:hint="default"/>
      </w:rPr>
    </w:lvl>
    <w:lvl w:ilvl="8" w:tplc="B2CCD7A8" w:tentative="1">
      <w:start w:val="1"/>
      <w:numFmt w:val="bullet"/>
      <w:lvlText w:val="•"/>
      <w:lvlJc w:val="left"/>
      <w:pPr>
        <w:tabs>
          <w:tab w:val="num" w:pos="6480"/>
        </w:tabs>
        <w:ind w:left="6480" w:hanging="360"/>
      </w:pPr>
      <w:rPr>
        <w:rFonts w:ascii="Arial" w:hAnsi="Arial"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B446037"/>
    <w:multiLevelType w:val="hybridMultilevel"/>
    <w:tmpl w:val="4138557E"/>
    <w:lvl w:ilvl="0" w:tplc="9AB8FC5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941046"/>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9354B8D"/>
    <w:multiLevelType w:val="hybridMultilevel"/>
    <w:tmpl w:val="F864E15A"/>
    <w:lvl w:ilvl="0" w:tplc="3614084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A1E2DA4"/>
    <w:multiLevelType w:val="hybridMultilevel"/>
    <w:tmpl w:val="51E062B8"/>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5">
    <w:nsid w:val="529C73AB"/>
    <w:multiLevelType w:val="multilevel"/>
    <w:tmpl w:val="5A32C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7">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CD229FA"/>
    <w:multiLevelType w:val="hybridMultilevel"/>
    <w:tmpl w:val="DC5AED6A"/>
    <w:lvl w:ilvl="0" w:tplc="976A35A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EB7F70"/>
    <w:multiLevelType w:val="hybridMultilevel"/>
    <w:tmpl w:val="729650EE"/>
    <w:lvl w:ilvl="0" w:tplc="52482E4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1A5C75"/>
    <w:multiLevelType w:val="hybridMultilevel"/>
    <w:tmpl w:val="4A004134"/>
    <w:lvl w:ilvl="0" w:tplc="B5DEBA36">
      <w:start w:val="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3E6FB8"/>
    <w:multiLevelType w:val="hybridMultilevel"/>
    <w:tmpl w:val="3EF6F85A"/>
    <w:lvl w:ilvl="0" w:tplc="6EC03AC6">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3">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4">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5">
    <w:nsid w:val="73FA7F3D"/>
    <w:multiLevelType w:val="hybridMultilevel"/>
    <w:tmpl w:val="CF6AC5A4"/>
    <w:lvl w:ilvl="0" w:tplc="33B61B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5854648"/>
    <w:multiLevelType w:val="hybridMultilevel"/>
    <w:tmpl w:val="D92CE884"/>
    <w:lvl w:ilvl="0" w:tplc="BFBE5F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8">
    <w:nsid w:val="7BD16224"/>
    <w:multiLevelType w:val="hybridMultilevel"/>
    <w:tmpl w:val="A75E5C9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FEE170B"/>
    <w:multiLevelType w:val="hybridMultilevel"/>
    <w:tmpl w:val="924272FC"/>
    <w:lvl w:ilvl="0" w:tplc="B5DEBA36">
      <w:start w:val="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2"/>
  </w:num>
  <w:num w:numId="4">
    <w:abstractNumId w:val="28"/>
  </w:num>
  <w:num w:numId="5">
    <w:abstractNumId w:val="23"/>
  </w:num>
  <w:num w:numId="6">
    <w:abstractNumId w:val="6"/>
  </w:num>
  <w:num w:numId="7">
    <w:abstractNumId w:val="15"/>
  </w:num>
  <w:num w:numId="8">
    <w:abstractNumId w:val="16"/>
    <w:lvlOverride w:ilvl="0">
      <w:startOverride w:val="1"/>
    </w:lvlOverride>
  </w:num>
  <w:num w:numId="9">
    <w:abstractNumId w:val="20"/>
  </w:num>
  <w:num w:numId="10">
    <w:abstractNumId w:val="35"/>
  </w:num>
  <w:num w:numId="11">
    <w:abstractNumId w:val="36"/>
  </w:num>
  <w:num w:numId="12">
    <w:abstractNumId w:val="1"/>
  </w:num>
  <w:num w:numId="13">
    <w:abstractNumId w:val="33"/>
  </w:num>
  <w:num w:numId="14">
    <w:abstractNumId w:val="10"/>
  </w:num>
  <w:num w:numId="15">
    <w:abstractNumId w:val="0"/>
  </w:num>
  <w:num w:numId="16">
    <w:abstractNumId w:val="26"/>
  </w:num>
  <w:num w:numId="17">
    <w:abstractNumId w:val="24"/>
  </w:num>
  <w:num w:numId="18">
    <w:abstractNumId w:val="37"/>
  </w:num>
  <w:num w:numId="19">
    <w:abstractNumId w:val="11"/>
  </w:num>
  <w:num w:numId="20">
    <w:abstractNumId w:val="18"/>
  </w:num>
  <w:num w:numId="21">
    <w:abstractNumId w:val="7"/>
  </w:num>
  <w:num w:numId="22">
    <w:abstractNumId w:val="4"/>
  </w:num>
  <w:num w:numId="23">
    <w:abstractNumId w:val="34"/>
  </w:num>
  <w:num w:numId="24">
    <w:abstractNumId w:val="30"/>
  </w:num>
  <w:num w:numId="25">
    <w:abstractNumId w:val="27"/>
  </w:num>
  <w:num w:numId="26">
    <w:abstractNumId w:val="3"/>
  </w:num>
  <w:num w:numId="27">
    <w:abstractNumId w:val="17"/>
  </w:num>
  <w:num w:numId="28">
    <w:abstractNumId w:val="5"/>
  </w:num>
  <w:num w:numId="29">
    <w:abstractNumId w:val="38"/>
  </w:num>
  <w:num w:numId="30">
    <w:abstractNumId w:val="2"/>
  </w:num>
  <w:num w:numId="31">
    <w:abstractNumId w:val="12"/>
  </w:num>
  <w:num w:numId="32">
    <w:abstractNumId w:val="14"/>
  </w:num>
  <w:num w:numId="33">
    <w:abstractNumId w:val="13"/>
  </w:num>
  <w:num w:numId="34">
    <w:abstractNumId w:val="39"/>
  </w:num>
  <w:num w:numId="35">
    <w:abstractNumId w:val="31"/>
  </w:num>
  <w:num w:numId="36">
    <w:abstractNumId w:val="21"/>
  </w:num>
  <w:num w:numId="37">
    <w:abstractNumId w:val="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9"/>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ic Korun">
    <w15:presenceInfo w15:providerId="None" w15:userId="Matic Kor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4458"/>
    <w:rsid w:val="00006039"/>
    <w:rsid w:val="000063CE"/>
    <w:rsid w:val="00010810"/>
    <w:rsid w:val="00013698"/>
    <w:rsid w:val="00014393"/>
    <w:rsid w:val="00014A3A"/>
    <w:rsid w:val="000154F0"/>
    <w:rsid w:val="00015CBA"/>
    <w:rsid w:val="00016CCE"/>
    <w:rsid w:val="00017E51"/>
    <w:rsid w:val="00022146"/>
    <w:rsid w:val="0002248B"/>
    <w:rsid w:val="00023D44"/>
    <w:rsid w:val="00024D26"/>
    <w:rsid w:val="0002501D"/>
    <w:rsid w:val="00025CB3"/>
    <w:rsid w:val="00025F0F"/>
    <w:rsid w:val="00026E66"/>
    <w:rsid w:val="00030830"/>
    <w:rsid w:val="00030A39"/>
    <w:rsid w:val="000313C8"/>
    <w:rsid w:val="00035C58"/>
    <w:rsid w:val="00035D43"/>
    <w:rsid w:val="00036A16"/>
    <w:rsid w:val="00036FE6"/>
    <w:rsid w:val="0004022C"/>
    <w:rsid w:val="00041189"/>
    <w:rsid w:val="00041997"/>
    <w:rsid w:val="00042ECE"/>
    <w:rsid w:val="00043FF3"/>
    <w:rsid w:val="00044D4A"/>
    <w:rsid w:val="0004791C"/>
    <w:rsid w:val="00050709"/>
    <w:rsid w:val="00051D89"/>
    <w:rsid w:val="00051F4A"/>
    <w:rsid w:val="000541D6"/>
    <w:rsid w:val="00055E6E"/>
    <w:rsid w:val="0005654B"/>
    <w:rsid w:val="00056B2C"/>
    <w:rsid w:val="00056BE6"/>
    <w:rsid w:val="00057058"/>
    <w:rsid w:val="000615E6"/>
    <w:rsid w:val="00061A0A"/>
    <w:rsid w:val="00062CC0"/>
    <w:rsid w:val="00063B7F"/>
    <w:rsid w:val="00063D57"/>
    <w:rsid w:val="0006499A"/>
    <w:rsid w:val="00065806"/>
    <w:rsid w:val="000673D4"/>
    <w:rsid w:val="00067434"/>
    <w:rsid w:val="00067E56"/>
    <w:rsid w:val="00070E13"/>
    <w:rsid w:val="00071C6D"/>
    <w:rsid w:val="0007219E"/>
    <w:rsid w:val="000744E8"/>
    <w:rsid w:val="00074B38"/>
    <w:rsid w:val="0007644E"/>
    <w:rsid w:val="00083BF9"/>
    <w:rsid w:val="00084682"/>
    <w:rsid w:val="0008486E"/>
    <w:rsid w:val="00091BDF"/>
    <w:rsid w:val="00092F77"/>
    <w:rsid w:val="000935C1"/>
    <w:rsid w:val="000945A9"/>
    <w:rsid w:val="00096D49"/>
    <w:rsid w:val="000A69C9"/>
    <w:rsid w:val="000A7CA0"/>
    <w:rsid w:val="000B3426"/>
    <w:rsid w:val="000B4AFB"/>
    <w:rsid w:val="000B4B72"/>
    <w:rsid w:val="000B6D74"/>
    <w:rsid w:val="000B79AC"/>
    <w:rsid w:val="000C1160"/>
    <w:rsid w:val="000C228B"/>
    <w:rsid w:val="000C2A96"/>
    <w:rsid w:val="000C42E7"/>
    <w:rsid w:val="000C5ED4"/>
    <w:rsid w:val="000C7069"/>
    <w:rsid w:val="000C7322"/>
    <w:rsid w:val="000C75BE"/>
    <w:rsid w:val="000D4A90"/>
    <w:rsid w:val="000D67D8"/>
    <w:rsid w:val="000E1A39"/>
    <w:rsid w:val="000E24C8"/>
    <w:rsid w:val="000E255B"/>
    <w:rsid w:val="000E3857"/>
    <w:rsid w:val="000E405F"/>
    <w:rsid w:val="000E44B9"/>
    <w:rsid w:val="000E4515"/>
    <w:rsid w:val="000F04AE"/>
    <w:rsid w:val="00104BED"/>
    <w:rsid w:val="00106AB7"/>
    <w:rsid w:val="00107C2A"/>
    <w:rsid w:val="001100DB"/>
    <w:rsid w:val="0011370A"/>
    <w:rsid w:val="001143F0"/>
    <w:rsid w:val="00117206"/>
    <w:rsid w:val="001179A0"/>
    <w:rsid w:val="00120325"/>
    <w:rsid w:val="001254A3"/>
    <w:rsid w:val="001263F8"/>
    <w:rsid w:val="00137E41"/>
    <w:rsid w:val="00140560"/>
    <w:rsid w:val="0014111A"/>
    <w:rsid w:val="0014118A"/>
    <w:rsid w:val="00141DCB"/>
    <w:rsid w:val="00142290"/>
    <w:rsid w:val="0014326E"/>
    <w:rsid w:val="00144697"/>
    <w:rsid w:val="00146D09"/>
    <w:rsid w:val="0015094C"/>
    <w:rsid w:val="001525F2"/>
    <w:rsid w:val="001549C4"/>
    <w:rsid w:val="00154A9B"/>
    <w:rsid w:val="001559DE"/>
    <w:rsid w:val="001576D4"/>
    <w:rsid w:val="00157C6A"/>
    <w:rsid w:val="00160AEF"/>
    <w:rsid w:val="00162090"/>
    <w:rsid w:val="0016234A"/>
    <w:rsid w:val="0016282F"/>
    <w:rsid w:val="00165185"/>
    <w:rsid w:val="0017158B"/>
    <w:rsid w:val="00171E0D"/>
    <w:rsid w:val="00172A87"/>
    <w:rsid w:val="00176B1D"/>
    <w:rsid w:val="00177198"/>
    <w:rsid w:val="0017753B"/>
    <w:rsid w:val="00177E92"/>
    <w:rsid w:val="001809B3"/>
    <w:rsid w:val="00190FBD"/>
    <w:rsid w:val="00191D60"/>
    <w:rsid w:val="001926A3"/>
    <w:rsid w:val="00192A7D"/>
    <w:rsid w:val="00197496"/>
    <w:rsid w:val="00197705"/>
    <w:rsid w:val="001A0C27"/>
    <w:rsid w:val="001A2BED"/>
    <w:rsid w:val="001A5C61"/>
    <w:rsid w:val="001A6F69"/>
    <w:rsid w:val="001B0E34"/>
    <w:rsid w:val="001B14B7"/>
    <w:rsid w:val="001B639E"/>
    <w:rsid w:val="001C1341"/>
    <w:rsid w:val="001C20BB"/>
    <w:rsid w:val="001C24E4"/>
    <w:rsid w:val="001C2A17"/>
    <w:rsid w:val="001C2C2D"/>
    <w:rsid w:val="001C357A"/>
    <w:rsid w:val="001C3FE5"/>
    <w:rsid w:val="001C5CCF"/>
    <w:rsid w:val="001C7BF6"/>
    <w:rsid w:val="001D11BA"/>
    <w:rsid w:val="001D5E7E"/>
    <w:rsid w:val="001D75C4"/>
    <w:rsid w:val="001E32C0"/>
    <w:rsid w:val="001E5345"/>
    <w:rsid w:val="001F3C10"/>
    <w:rsid w:val="001F4379"/>
    <w:rsid w:val="001F49D7"/>
    <w:rsid w:val="001F608E"/>
    <w:rsid w:val="001F6528"/>
    <w:rsid w:val="001F6BCE"/>
    <w:rsid w:val="001F712D"/>
    <w:rsid w:val="001F7C40"/>
    <w:rsid w:val="002031DB"/>
    <w:rsid w:val="00205460"/>
    <w:rsid w:val="002057F9"/>
    <w:rsid w:val="00206B3F"/>
    <w:rsid w:val="00206C6A"/>
    <w:rsid w:val="0021047C"/>
    <w:rsid w:val="00215459"/>
    <w:rsid w:val="00215D27"/>
    <w:rsid w:val="002204B7"/>
    <w:rsid w:val="0022100E"/>
    <w:rsid w:val="00222173"/>
    <w:rsid w:val="00222D7A"/>
    <w:rsid w:val="00224B22"/>
    <w:rsid w:val="00224F55"/>
    <w:rsid w:val="002274BA"/>
    <w:rsid w:val="002319DE"/>
    <w:rsid w:val="002335B4"/>
    <w:rsid w:val="0023410F"/>
    <w:rsid w:val="00235A1B"/>
    <w:rsid w:val="00237AF7"/>
    <w:rsid w:val="002406B0"/>
    <w:rsid w:val="002423C1"/>
    <w:rsid w:val="00242612"/>
    <w:rsid w:val="00245BAA"/>
    <w:rsid w:val="00245F0E"/>
    <w:rsid w:val="0024723C"/>
    <w:rsid w:val="002507F9"/>
    <w:rsid w:val="00252A91"/>
    <w:rsid w:val="00252E60"/>
    <w:rsid w:val="0025434A"/>
    <w:rsid w:val="00254C41"/>
    <w:rsid w:val="0025614A"/>
    <w:rsid w:val="0025624B"/>
    <w:rsid w:val="002627E8"/>
    <w:rsid w:val="00265B45"/>
    <w:rsid w:val="00266FC5"/>
    <w:rsid w:val="0026775D"/>
    <w:rsid w:val="00267F18"/>
    <w:rsid w:val="00271A03"/>
    <w:rsid w:val="00272443"/>
    <w:rsid w:val="00272FFA"/>
    <w:rsid w:val="00276AB8"/>
    <w:rsid w:val="0027707C"/>
    <w:rsid w:val="0028215C"/>
    <w:rsid w:val="002831EE"/>
    <w:rsid w:val="00284063"/>
    <w:rsid w:val="002842DA"/>
    <w:rsid w:val="002863FD"/>
    <w:rsid w:val="00286A5D"/>
    <w:rsid w:val="0029262B"/>
    <w:rsid w:val="00292FA7"/>
    <w:rsid w:val="00293B27"/>
    <w:rsid w:val="00294B4C"/>
    <w:rsid w:val="002A00E2"/>
    <w:rsid w:val="002A1EE6"/>
    <w:rsid w:val="002A3131"/>
    <w:rsid w:val="002A4D73"/>
    <w:rsid w:val="002A59F2"/>
    <w:rsid w:val="002A6BE8"/>
    <w:rsid w:val="002A77F1"/>
    <w:rsid w:val="002A7DE3"/>
    <w:rsid w:val="002B15C0"/>
    <w:rsid w:val="002B17C7"/>
    <w:rsid w:val="002B18FA"/>
    <w:rsid w:val="002B1FC1"/>
    <w:rsid w:val="002B4293"/>
    <w:rsid w:val="002B7358"/>
    <w:rsid w:val="002C0740"/>
    <w:rsid w:val="002C18A5"/>
    <w:rsid w:val="002C464D"/>
    <w:rsid w:val="002C5BBA"/>
    <w:rsid w:val="002C6486"/>
    <w:rsid w:val="002D0024"/>
    <w:rsid w:val="002D0370"/>
    <w:rsid w:val="002D06A4"/>
    <w:rsid w:val="002D15D8"/>
    <w:rsid w:val="002D2FC6"/>
    <w:rsid w:val="002D4E40"/>
    <w:rsid w:val="002E0A78"/>
    <w:rsid w:val="002E17B4"/>
    <w:rsid w:val="002E28D3"/>
    <w:rsid w:val="002E5329"/>
    <w:rsid w:val="002E5375"/>
    <w:rsid w:val="002E6CA6"/>
    <w:rsid w:val="002E71A2"/>
    <w:rsid w:val="002E797B"/>
    <w:rsid w:val="002F02AF"/>
    <w:rsid w:val="002F036A"/>
    <w:rsid w:val="002F1E76"/>
    <w:rsid w:val="002F2341"/>
    <w:rsid w:val="002F29D9"/>
    <w:rsid w:val="002F3038"/>
    <w:rsid w:val="002F50B9"/>
    <w:rsid w:val="002F50BD"/>
    <w:rsid w:val="002F63AC"/>
    <w:rsid w:val="002F6740"/>
    <w:rsid w:val="002F6D4C"/>
    <w:rsid w:val="002F6D8C"/>
    <w:rsid w:val="0030006A"/>
    <w:rsid w:val="00300588"/>
    <w:rsid w:val="00300C5E"/>
    <w:rsid w:val="003039B2"/>
    <w:rsid w:val="00306359"/>
    <w:rsid w:val="00310F4B"/>
    <w:rsid w:val="00314637"/>
    <w:rsid w:val="0031491C"/>
    <w:rsid w:val="00320D98"/>
    <w:rsid w:val="00321CF3"/>
    <w:rsid w:val="00323BD4"/>
    <w:rsid w:val="0032488E"/>
    <w:rsid w:val="003278D0"/>
    <w:rsid w:val="003279B2"/>
    <w:rsid w:val="00332382"/>
    <w:rsid w:val="00332CF0"/>
    <w:rsid w:val="00333026"/>
    <w:rsid w:val="00334E86"/>
    <w:rsid w:val="00342FF1"/>
    <w:rsid w:val="003431D2"/>
    <w:rsid w:val="00343376"/>
    <w:rsid w:val="00343D00"/>
    <w:rsid w:val="0034703A"/>
    <w:rsid w:val="003471C8"/>
    <w:rsid w:val="0034720E"/>
    <w:rsid w:val="0034761F"/>
    <w:rsid w:val="00350777"/>
    <w:rsid w:val="00350CBD"/>
    <w:rsid w:val="00351C0D"/>
    <w:rsid w:val="0035218F"/>
    <w:rsid w:val="00354C0C"/>
    <w:rsid w:val="0035585A"/>
    <w:rsid w:val="00355AB4"/>
    <w:rsid w:val="0036030A"/>
    <w:rsid w:val="00360B46"/>
    <w:rsid w:val="003611A9"/>
    <w:rsid w:val="0036125B"/>
    <w:rsid w:val="00363D87"/>
    <w:rsid w:val="0036439C"/>
    <w:rsid w:val="0036468F"/>
    <w:rsid w:val="003707AC"/>
    <w:rsid w:val="003724C5"/>
    <w:rsid w:val="0037513B"/>
    <w:rsid w:val="00375201"/>
    <w:rsid w:val="003758C4"/>
    <w:rsid w:val="003771FA"/>
    <w:rsid w:val="00381D3A"/>
    <w:rsid w:val="003835C7"/>
    <w:rsid w:val="00383D89"/>
    <w:rsid w:val="003844C7"/>
    <w:rsid w:val="00391370"/>
    <w:rsid w:val="003918C2"/>
    <w:rsid w:val="003925CB"/>
    <w:rsid w:val="0039288D"/>
    <w:rsid w:val="00395807"/>
    <w:rsid w:val="00395E87"/>
    <w:rsid w:val="00397C7E"/>
    <w:rsid w:val="003A1021"/>
    <w:rsid w:val="003A105D"/>
    <w:rsid w:val="003A4F2E"/>
    <w:rsid w:val="003A69EE"/>
    <w:rsid w:val="003B115C"/>
    <w:rsid w:val="003B1754"/>
    <w:rsid w:val="003C0D12"/>
    <w:rsid w:val="003C1177"/>
    <w:rsid w:val="003C4A2B"/>
    <w:rsid w:val="003C4FFE"/>
    <w:rsid w:val="003C6E68"/>
    <w:rsid w:val="003C75FA"/>
    <w:rsid w:val="003D0C7B"/>
    <w:rsid w:val="003D186F"/>
    <w:rsid w:val="003D2241"/>
    <w:rsid w:val="003D2917"/>
    <w:rsid w:val="003D42CB"/>
    <w:rsid w:val="003D47B7"/>
    <w:rsid w:val="003D48D5"/>
    <w:rsid w:val="003D59D1"/>
    <w:rsid w:val="003D7347"/>
    <w:rsid w:val="003D79F3"/>
    <w:rsid w:val="003D7A03"/>
    <w:rsid w:val="003D7C53"/>
    <w:rsid w:val="003E1F2B"/>
    <w:rsid w:val="003E2417"/>
    <w:rsid w:val="003E2798"/>
    <w:rsid w:val="003E3A22"/>
    <w:rsid w:val="003E3D1D"/>
    <w:rsid w:val="003E3FE4"/>
    <w:rsid w:val="003E5785"/>
    <w:rsid w:val="003E614D"/>
    <w:rsid w:val="003E6357"/>
    <w:rsid w:val="003F18C2"/>
    <w:rsid w:val="003F69D9"/>
    <w:rsid w:val="003F7145"/>
    <w:rsid w:val="00401268"/>
    <w:rsid w:val="00403A3C"/>
    <w:rsid w:val="00403D17"/>
    <w:rsid w:val="00405674"/>
    <w:rsid w:val="00406A76"/>
    <w:rsid w:val="00413F67"/>
    <w:rsid w:val="00414FA0"/>
    <w:rsid w:val="00415ECA"/>
    <w:rsid w:val="0041691F"/>
    <w:rsid w:val="00422096"/>
    <w:rsid w:val="004236B8"/>
    <w:rsid w:val="0043114C"/>
    <w:rsid w:val="00433D65"/>
    <w:rsid w:val="00435EAF"/>
    <w:rsid w:val="00440D5E"/>
    <w:rsid w:val="004415F8"/>
    <w:rsid w:val="0044262A"/>
    <w:rsid w:val="004427BA"/>
    <w:rsid w:val="004428C1"/>
    <w:rsid w:val="004428C5"/>
    <w:rsid w:val="00454C9F"/>
    <w:rsid w:val="004564A3"/>
    <w:rsid w:val="00456EAF"/>
    <w:rsid w:val="0045785B"/>
    <w:rsid w:val="004579BC"/>
    <w:rsid w:val="004579D9"/>
    <w:rsid w:val="00460B1B"/>
    <w:rsid w:val="00465866"/>
    <w:rsid w:val="0046603C"/>
    <w:rsid w:val="00467F4C"/>
    <w:rsid w:val="004740EB"/>
    <w:rsid w:val="004772F4"/>
    <w:rsid w:val="00480279"/>
    <w:rsid w:val="00484FC6"/>
    <w:rsid w:val="00490B86"/>
    <w:rsid w:val="0049205A"/>
    <w:rsid w:val="004944F7"/>
    <w:rsid w:val="00497030"/>
    <w:rsid w:val="004A00DD"/>
    <w:rsid w:val="004A0B66"/>
    <w:rsid w:val="004A3132"/>
    <w:rsid w:val="004A45EC"/>
    <w:rsid w:val="004A4DC0"/>
    <w:rsid w:val="004B058F"/>
    <w:rsid w:val="004B1240"/>
    <w:rsid w:val="004B17B8"/>
    <w:rsid w:val="004B2FD9"/>
    <w:rsid w:val="004B30F4"/>
    <w:rsid w:val="004B4084"/>
    <w:rsid w:val="004B6544"/>
    <w:rsid w:val="004B79AC"/>
    <w:rsid w:val="004C0129"/>
    <w:rsid w:val="004C0C27"/>
    <w:rsid w:val="004C0C68"/>
    <w:rsid w:val="004C0FD3"/>
    <w:rsid w:val="004C109A"/>
    <w:rsid w:val="004C34D1"/>
    <w:rsid w:val="004C38A1"/>
    <w:rsid w:val="004C6BDE"/>
    <w:rsid w:val="004D20BC"/>
    <w:rsid w:val="004D3771"/>
    <w:rsid w:val="004D3BA6"/>
    <w:rsid w:val="004D434D"/>
    <w:rsid w:val="004D65E0"/>
    <w:rsid w:val="004E0AB9"/>
    <w:rsid w:val="004E2063"/>
    <w:rsid w:val="004E5841"/>
    <w:rsid w:val="004E6652"/>
    <w:rsid w:val="004E7577"/>
    <w:rsid w:val="004E7ECB"/>
    <w:rsid w:val="004F001F"/>
    <w:rsid w:val="004F0B1D"/>
    <w:rsid w:val="004F10E9"/>
    <w:rsid w:val="004F1F56"/>
    <w:rsid w:val="004F2073"/>
    <w:rsid w:val="004F28B5"/>
    <w:rsid w:val="004F6369"/>
    <w:rsid w:val="004F65B3"/>
    <w:rsid w:val="004F705D"/>
    <w:rsid w:val="004F7348"/>
    <w:rsid w:val="00500C93"/>
    <w:rsid w:val="005012E5"/>
    <w:rsid w:val="005013FC"/>
    <w:rsid w:val="005028A4"/>
    <w:rsid w:val="0050414A"/>
    <w:rsid w:val="0050594F"/>
    <w:rsid w:val="0050649E"/>
    <w:rsid w:val="00510408"/>
    <w:rsid w:val="005126D9"/>
    <w:rsid w:val="00513F96"/>
    <w:rsid w:val="005159B1"/>
    <w:rsid w:val="0051656D"/>
    <w:rsid w:val="00516623"/>
    <w:rsid w:val="00516693"/>
    <w:rsid w:val="005168CF"/>
    <w:rsid w:val="00516D39"/>
    <w:rsid w:val="005171A3"/>
    <w:rsid w:val="005205BB"/>
    <w:rsid w:val="005217FA"/>
    <w:rsid w:val="0052223B"/>
    <w:rsid w:val="005234C0"/>
    <w:rsid w:val="0052387C"/>
    <w:rsid w:val="00523BC2"/>
    <w:rsid w:val="0052409B"/>
    <w:rsid w:val="00524AD2"/>
    <w:rsid w:val="005257D9"/>
    <w:rsid w:val="00525B51"/>
    <w:rsid w:val="00526383"/>
    <w:rsid w:val="00527BBF"/>
    <w:rsid w:val="0053106C"/>
    <w:rsid w:val="005341BC"/>
    <w:rsid w:val="005342EB"/>
    <w:rsid w:val="0053440E"/>
    <w:rsid w:val="00534F2D"/>
    <w:rsid w:val="00537AB0"/>
    <w:rsid w:val="0054020A"/>
    <w:rsid w:val="00542297"/>
    <w:rsid w:val="005425D5"/>
    <w:rsid w:val="00542778"/>
    <w:rsid w:val="00542D6F"/>
    <w:rsid w:val="00544156"/>
    <w:rsid w:val="005459DC"/>
    <w:rsid w:val="005470B1"/>
    <w:rsid w:val="0055109B"/>
    <w:rsid w:val="00551D04"/>
    <w:rsid w:val="00553EC2"/>
    <w:rsid w:val="00555B66"/>
    <w:rsid w:val="0055619F"/>
    <w:rsid w:val="00561DD6"/>
    <w:rsid w:val="005626FC"/>
    <w:rsid w:val="00567927"/>
    <w:rsid w:val="005709F7"/>
    <w:rsid w:val="005710A4"/>
    <w:rsid w:val="0057515C"/>
    <w:rsid w:val="0057522A"/>
    <w:rsid w:val="00577180"/>
    <w:rsid w:val="00577281"/>
    <w:rsid w:val="00577CA7"/>
    <w:rsid w:val="00580BEF"/>
    <w:rsid w:val="00581824"/>
    <w:rsid w:val="00582996"/>
    <w:rsid w:val="00583AB7"/>
    <w:rsid w:val="00585613"/>
    <w:rsid w:val="005869E6"/>
    <w:rsid w:val="00587CC9"/>
    <w:rsid w:val="0059203F"/>
    <w:rsid w:val="005A4316"/>
    <w:rsid w:val="005A4768"/>
    <w:rsid w:val="005A798B"/>
    <w:rsid w:val="005B0589"/>
    <w:rsid w:val="005B2E11"/>
    <w:rsid w:val="005B31F2"/>
    <w:rsid w:val="005B49C4"/>
    <w:rsid w:val="005B4A1F"/>
    <w:rsid w:val="005B5636"/>
    <w:rsid w:val="005B5E0C"/>
    <w:rsid w:val="005B6DB0"/>
    <w:rsid w:val="005B72C1"/>
    <w:rsid w:val="005B79E3"/>
    <w:rsid w:val="005B7F73"/>
    <w:rsid w:val="005C0788"/>
    <w:rsid w:val="005C17C6"/>
    <w:rsid w:val="005C1A00"/>
    <w:rsid w:val="005C1D12"/>
    <w:rsid w:val="005D1302"/>
    <w:rsid w:val="005D28F7"/>
    <w:rsid w:val="005D6C53"/>
    <w:rsid w:val="005D739B"/>
    <w:rsid w:val="005E3506"/>
    <w:rsid w:val="005E557F"/>
    <w:rsid w:val="005E7324"/>
    <w:rsid w:val="005E7A06"/>
    <w:rsid w:val="005F011D"/>
    <w:rsid w:val="005F0BA0"/>
    <w:rsid w:val="005F17FF"/>
    <w:rsid w:val="005F20EF"/>
    <w:rsid w:val="005F2809"/>
    <w:rsid w:val="005F2BE4"/>
    <w:rsid w:val="005F2C44"/>
    <w:rsid w:val="005F39FE"/>
    <w:rsid w:val="005F759F"/>
    <w:rsid w:val="005F79CE"/>
    <w:rsid w:val="0060010F"/>
    <w:rsid w:val="00600735"/>
    <w:rsid w:val="00600B99"/>
    <w:rsid w:val="00600ED7"/>
    <w:rsid w:val="00602001"/>
    <w:rsid w:val="00602E4B"/>
    <w:rsid w:val="00603351"/>
    <w:rsid w:val="00604AAC"/>
    <w:rsid w:val="00604CA4"/>
    <w:rsid w:val="006065AB"/>
    <w:rsid w:val="00607E0F"/>
    <w:rsid w:val="00607E78"/>
    <w:rsid w:val="00612AAC"/>
    <w:rsid w:val="00614E1F"/>
    <w:rsid w:val="00615C9D"/>
    <w:rsid w:val="006179A9"/>
    <w:rsid w:val="006242B1"/>
    <w:rsid w:val="0062466C"/>
    <w:rsid w:val="00632B86"/>
    <w:rsid w:val="006332C0"/>
    <w:rsid w:val="006352CA"/>
    <w:rsid w:val="00637CA6"/>
    <w:rsid w:val="00642BEA"/>
    <w:rsid w:val="00643308"/>
    <w:rsid w:val="00644F75"/>
    <w:rsid w:val="006467B3"/>
    <w:rsid w:val="0065054A"/>
    <w:rsid w:val="0065228A"/>
    <w:rsid w:val="006526E9"/>
    <w:rsid w:val="00652BE2"/>
    <w:rsid w:val="00653251"/>
    <w:rsid w:val="0065499D"/>
    <w:rsid w:val="00655176"/>
    <w:rsid w:val="00655B93"/>
    <w:rsid w:val="00655C68"/>
    <w:rsid w:val="00656EF2"/>
    <w:rsid w:val="0065701D"/>
    <w:rsid w:val="0065769E"/>
    <w:rsid w:val="00657AFD"/>
    <w:rsid w:val="00660287"/>
    <w:rsid w:val="00660B53"/>
    <w:rsid w:val="00662F1E"/>
    <w:rsid w:val="00663828"/>
    <w:rsid w:val="006639AA"/>
    <w:rsid w:val="00663CC9"/>
    <w:rsid w:val="00667A63"/>
    <w:rsid w:val="00670B8F"/>
    <w:rsid w:val="00671B66"/>
    <w:rsid w:val="00676794"/>
    <w:rsid w:val="006820A2"/>
    <w:rsid w:val="006825FB"/>
    <w:rsid w:val="00682CC1"/>
    <w:rsid w:val="00684346"/>
    <w:rsid w:val="00690B01"/>
    <w:rsid w:val="00692236"/>
    <w:rsid w:val="00692C2F"/>
    <w:rsid w:val="00693A3A"/>
    <w:rsid w:val="00696B17"/>
    <w:rsid w:val="00696EB5"/>
    <w:rsid w:val="0069796A"/>
    <w:rsid w:val="006A391B"/>
    <w:rsid w:val="006A542F"/>
    <w:rsid w:val="006A56BF"/>
    <w:rsid w:val="006A6403"/>
    <w:rsid w:val="006A6773"/>
    <w:rsid w:val="006A6F92"/>
    <w:rsid w:val="006B011C"/>
    <w:rsid w:val="006B1188"/>
    <w:rsid w:val="006C5180"/>
    <w:rsid w:val="006C52EF"/>
    <w:rsid w:val="006C5641"/>
    <w:rsid w:val="006C6623"/>
    <w:rsid w:val="006C71E0"/>
    <w:rsid w:val="006D3188"/>
    <w:rsid w:val="006D3C10"/>
    <w:rsid w:val="006D4D97"/>
    <w:rsid w:val="006D56EA"/>
    <w:rsid w:val="006D5975"/>
    <w:rsid w:val="006D7927"/>
    <w:rsid w:val="006D7B01"/>
    <w:rsid w:val="006E03B9"/>
    <w:rsid w:val="006E5938"/>
    <w:rsid w:val="006E59A5"/>
    <w:rsid w:val="006E60A5"/>
    <w:rsid w:val="006E68B4"/>
    <w:rsid w:val="006F0193"/>
    <w:rsid w:val="006F0AB7"/>
    <w:rsid w:val="006F2BB5"/>
    <w:rsid w:val="006F320A"/>
    <w:rsid w:val="006F32F4"/>
    <w:rsid w:val="006F3A97"/>
    <w:rsid w:val="006F4195"/>
    <w:rsid w:val="006F5F58"/>
    <w:rsid w:val="00700FDA"/>
    <w:rsid w:val="007014E4"/>
    <w:rsid w:val="00703AF8"/>
    <w:rsid w:val="0071099E"/>
    <w:rsid w:val="007113C9"/>
    <w:rsid w:val="00712364"/>
    <w:rsid w:val="00712D42"/>
    <w:rsid w:val="00713890"/>
    <w:rsid w:val="007139CC"/>
    <w:rsid w:val="00714B1E"/>
    <w:rsid w:val="00714F80"/>
    <w:rsid w:val="0071624D"/>
    <w:rsid w:val="00716E49"/>
    <w:rsid w:val="0072027F"/>
    <w:rsid w:val="00720745"/>
    <w:rsid w:val="00721091"/>
    <w:rsid w:val="007216F1"/>
    <w:rsid w:val="00721C35"/>
    <w:rsid w:val="00723373"/>
    <w:rsid w:val="00723563"/>
    <w:rsid w:val="007244BC"/>
    <w:rsid w:val="007263CE"/>
    <w:rsid w:val="0073291F"/>
    <w:rsid w:val="0073355A"/>
    <w:rsid w:val="00735D76"/>
    <w:rsid w:val="00735DCF"/>
    <w:rsid w:val="00735F8E"/>
    <w:rsid w:val="00736B28"/>
    <w:rsid w:val="00737252"/>
    <w:rsid w:val="00737C10"/>
    <w:rsid w:val="007448B9"/>
    <w:rsid w:val="007509AA"/>
    <w:rsid w:val="007514D9"/>
    <w:rsid w:val="00751A98"/>
    <w:rsid w:val="00751AAA"/>
    <w:rsid w:val="007549DF"/>
    <w:rsid w:val="0075755C"/>
    <w:rsid w:val="00762A7E"/>
    <w:rsid w:val="00767865"/>
    <w:rsid w:val="00774BFD"/>
    <w:rsid w:val="00775C23"/>
    <w:rsid w:val="00775E2D"/>
    <w:rsid w:val="007814FA"/>
    <w:rsid w:val="00781C7E"/>
    <w:rsid w:val="00782C4F"/>
    <w:rsid w:val="00784155"/>
    <w:rsid w:val="00785C07"/>
    <w:rsid w:val="00787B74"/>
    <w:rsid w:val="0079100A"/>
    <w:rsid w:val="00791A07"/>
    <w:rsid w:val="00791DCA"/>
    <w:rsid w:val="0079271F"/>
    <w:rsid w:val="007936EC"/>
    <w:rsid w:val="007944A3"/>
    <w:rsid w:val="00794AB4"/>
    <w:rsid w:val="0079614F"/>
    <w:rsid w:val="0079637E"/>
    <w:rsid w:val="00796A6E"/>
    <w:rsid w:val="007A3A60"/>
    <w:rsid w:val="007A4930"/>
    <w:rsid w:val="007A64BF"/>
    <w:rsid w:val="007A7C72"/>
    <w:rsid w:val="007B4738"/>
    <w:rsid w:val="007B5034"/>
    <w:rsid w:val="007B5D75"/>
    <w:rsid w:val="007B6C1A"/>
    <w:rsid w:val="007B79F3"/>
    <w:rsid w:val="007C358B"/>
    <w:rsid w:val="007C45F8"/>
    <w:rsid w:val="007C46A2"/>
    <w:rsid w:val="007C5374"/>
    <w:rsid w:val="007C6787"/>
    <w:rsid w:val="007C737E"/>
    <w:rsid w:val="007C75CC"/>
    <w:rsid w:val="007D0139"/>
    <w:rsid w:val="007D01BE"/>
    <w:rsid w:val="007D081E"/>
    <w:rsid w:val="007D12A6"/>
    <w:rsid w:val="007D4D25"/>
    <w:rsid w:val="007D52D3"/>
    <w:rsid w:val="007D7DBF"/>
    <w:rsid w:val="007D7EC9"/>
    <w:rsid w:val="007E147E"/>
    <w:rsid w:val="007E7599"/>
    <w:rsid w:val="007F03B2"/>
    <w:rsid w:val="007F23D3"/>
    <w:rsid w:val="008055EE"/>
    <w:rsid w:val="0080602B"/>
    <w:rsid w:val="00806A47"/>
    <w:rsid w:val="00811390"/>
    <w:rsid w:val="008146B2"/>
    <w:rsid w:val="008166EE"/>
    <w:rsid w:val="00816833"/>
    <w:rsid w:val="0083188F"/>
    <w:rsid w:val="008327A8"/>
    <w:rsid w:val="00832926"/>
    <w:rsid w:val="0083322E"/>
    <w:rsid w:val="00833961"/>
    <w:rsid w:val="00833E4E"/>
    <w:rsid w:val="00834D7F"/>
    <w:rsid w:val="00835ADE"/>
    <w:rsid w:val="00835DE6"/>
    <w:rsid w:val="008377F0"/>
    <w:rsid w:val="00840495"/>
    <w:rsid w:val="008422A5"/>
    <w:rsid w:val="0084722B"/>
    <w:rsid w:val="0084755C"/>
    <w:rsid w:val="008476EC"/>
    <w:rsid w:val="00850975"/>
    <w:rsid w:val="008525D0"/>
    <w:rsid w:val="00852610"/>
    <w:rsid w:val="00853808"/>
    <w:rsid w:val="00856C5C"/>
    <w:rsid w:val="00857B94"/>
    <w:rsid w:val="008631DB"/>
    <w:rsid w:val="008703F0"/>
    <w:rsid w:val="00871D5C"/>
    <w:rsid w:val="00872F5B"/>
    <w:rsid w:val="0087494D"/>
    <w:rsid w:val="00877021"/>
    <w:rsid w:val="00880043"/>
    <w:rsid w:val="00881738"/>
    <w:rsid w:val="00881F96"/>
    <w:rsid w:val="0088233A"/>
    <w:rsid w:val="00882516"/>
    <w:rsid w:val="00882C13"/>
    <w:rsid w:val="00885583"/>
    <w:rsid w:val="00885979"/>
    <w:rsid w:val="0088635C"/>
    <w:rsid w:val="00886ADC"/>
    <w:rsid w:val="0088734A"/>
    <w:rsid w:val="00892674"/>
    <w:rsid w:val="00892FF6"/>
    <w:rsid w:val="00893FD2"/>
    <w:rsid w:val="00894B95"/>
    <w:rsid w:val="008957EE"/>
    <w:rsid w:val="008969C5"/>
    <w:rsid w:val="00896BBA"/>
    <w:rsid w:val="00896C93"/>
    <w:rsid w:val="008A170E"/>
    <w:rsid w:val="008A4489"/>
    <w:rsid w:val="008A5489"/>
    <w:rsid w:val="008A5BEF"/>
    <w:rsid w:val="008A5E33"/>
    <w:rsid w:val="008B1CF1"/>
    <w:rsid w:val="008B2167"/>
    <w:rsid w:val="008B308A"/>
    <w:rsid w:val="008B4CAD"/>
    <w:rsid w:val="008B68AB"/>
    <w:rsid w:val="008B709B"/>
    <w:rsid w:val="008B7284"/>
    <w:rsid w:val="008B7690"/>
    <w:rsid w:val="008C0418"/>
    <w:rsid w:val="008C05C9"/>
    <w:rsid w:val="008C36A4"/>
    <w:rsid w:val="008C381D"/>
    <w:rsid w:val="008C4BA6"/>
    <w:rsid w:val="008C4F2F"/>
    <w:rsid w:val="008C6936"/>
    <w:rsid w:val="008C7259"/>
    <w:rsid w:val="008D1C8B"/>
    <w:rsid w:val="008E309C"/>
    <w:rsid w:val="008E30F2"/>
    <w:rsid w:val="008E39A0"/>
    <w:rsid w:val="008E72ED"/>
    <w:rsid w:val="008F0E07"/>
    <w:rsid w:val="008F1D10"/>
    <w:rsid w:val="008F3802"/>
    <w:rsid w:val="008F433B"/>
    <w:rsid w:val="008F4B28"/>
    <w:rsid w:val="008F5C39"/>
    <w:rsid w:val="00901FBE"/>
    <w:rsid w:val="00903CD9"/>
    <w:rsid w:val="00904626"/>
    <w:rsid w:val="00905D4D"/>
    <w:rsid w:val="00911A47"/>
    <w:rsid w:val="0091678A"/>
    <w:rsid w:val="00916C69"/>
    <w:rsid w:val="00917B5F"/>
    <w:rsid w:val="009209F8"/>
    <w:rsid w:val="00920D4A"/>
    <w:rsid w:val="00920D5C"/>
    <w:rsid w:val="0092109A"/>
    <w:rsid w:val="0092216C"/>
    <w:rsid w:val="00923874"/>
    <w:rsid w:val="009250C1"/>
    <w:rsid w:val="00925763"/>
    <w:rsid w:val="00926ADF"/>
    <w:rsid w:val="0092767C"/>
    <w:rsid w:val="0092791D"/>
    <w:rsid w:val="00933273"/>
    <w:rsid w:val="009342DA"/>
    <w:rsid w:val="00935C27"/>
    <w:rsid w:val="009362EC"/>
    <w:rsid w:val="00937FE5"/>
    <w:rsid w:val="00941491"/>
    <w:rsid w:val="00943B85"/>
    <w:rsid w:val="00943EE1"/>
    <w:rsid w:val="00944A62"/>
    <w:rsid w:val="00946FD0"/>
    <w:rsid w:val="00947965"/>
    <w:rsid w:val="00947E1E"/>
    <w:rsid w:val="0095222D"/>
    <w:rsid w:val="009542EE"/>
    <w:rsid w:val="00954D94"/>
    <w:rsid w:val="009553EA"/>
    <w:rsid w:val="00955BC1"/>
    <w:rsid w:val="009566B5"/>
    <w:rsid w:val="0096214D"/>
    <w:rsid w:val="009654B4"/>
    <w:rsid w:val="0096635C"/>
    <w:rsid w:val="00966F02"/>
    <w:rsid w:val="00970DE4"/>
    <w:rsid w:val="0097147B"/>
    <w:rsid w:val="0097148C"/>
    <w:rsid w:val="009725BA"/>
    <w:rsid w:val="009741AB"/>
    <w:rsid w:val="00975CBE"/>
    <w:rsid w:val="00981289"/>
    <w:rsid w:val="009820F5"/>
    <w:rsid w:val="009833BA"/>
    <w:rsid w:val="0098443E"/>
    <w:rsid w:val="00984B80"/>
    <w:rsid w:val="00985F6F"/>
    <w:rsid w:val="00987930"/>
    <w:rsid w:val="00991A92"/>
    <w:rsid w:val="0099735A"/>
    <w:rsid w:val="009A0244"/>
    <w:rsid w:val="009A1B78"/>
    <w:rsid w:val="009A2659"/>
    <w:rsid w:val="009A32AF"/>
    <w:rsid w:val="009A433A"/>
    <w:rsid w:val="009A578A"/>
    <w:rsid w:val="009A6E9C"/>
    <w:rsid w:val="009B309D"/>
    <w:rsid w:val="009B41CC"/>
    <w:rsid w:val="009B56CB"/>
    <w:rsid w:val="009B63D6"/>
    <w:rsid w:val="009B673C"/>
    <w:rsid w:val="009B7210"/>
    <w:rsid w:val="009B7B54"/>
    <w:rsid w:val="009C0C81"/>
    <w:rsid w:val="009C154C"/>
    <w:rsid w:val="009C1E93"/>
    <w:rsid w:val="009C50AB"/>
    <w:rsid w:val="009C5C72"/>
    <w:rsid w:val="009C71C6"/>
    <w:rsid w:val="009D3B37"/>
    <w:rsid w:val="009D6D39"/>
    <w:rsid w:val="009D7059"/>
    <w:rsid w:val="009E0490"/>
    <w:rsid w:val="009E133E"/>
    <w:rsid w:val="009E27DB"/>
    <w:rsid w:val="009E36FB"/>
    <w:rsid w:val="009E3FEE"/>
    <w:rsid w:val="009E4B60"/>
    <w:rsid w:val="009E560E"/>
    <w:rsid w:val="009E6BD7"/>
    <w:rsid w:val="009F127C"/>
    <w:rsid w:val="009F3B32"/>
    <w:rsid w:val="009F3B94"/>
    <w:rsid w:val="009F4446"/>
    <w:rsid w:val="009F4648"/>
    <w:rsid w:val="009F5ED0"/>
    <w:rsid w:val="009F7C99"/>
    <w:rsid w:val="00A00411"/>
    <w:rsid w:val="00A0055E"/>
    <w:rsid w:val="00A009FB"/>
    <w:rsid w:val="00A03D9C"/>
    <w:rsid w:val="00A03E74"/>
    <w:rsid w:val="00A04920"/>
    <w:rsid w:val="00A04EBA"/>
    <w:rsid w:val="00A079C6"/>
    <w:rsid w:val="00A101AD"/>
    <w:rsid w:val="00A12A31"/>
    <w:rsid w:val="00A13A9A"/>
    <w:rsid w:val="00A16B04"/>
    <w:rsid w:val="00A2541C"/>
    <w:rsid w:val="00A25465"/>
    <w:rsid w:val="00A27E3A"/>
    <w:rsid w:val="00A27EF5"/>
    <w:rsid w:val="00A301A4"/>
    <w:rsid w:val="00A3034A"/>
    <w:rsid w:val="00A3052A"/>
    <w:rsid w:val="00A32B46"/>
    <w:rsid w:val="00A3392C"/>
    <w:rsid w:val="00A3535E"/>
    <w:rsid w:val="00A360C3"/>
    <w:rsid w:val="00A4081A"/>
    <w:rsid w:val="00A43AE4"/>
    <w:rsid w:val="00A452F3"/>
    <w:rsid w:val="00A5096B"/>
    <w:rsid w:val="00A544E1"/>
    <w:rsid w:val="00A54DD3"/>
    <w:rsid w:val="00A5696A"/>
    <w:rsid w:val="00A57E32"/>
    <w:rsid w:val="00A62447"/>
    <w:rsid w:val="00A63691"/>
    <w:rsid w:val="00A645BB"/>
    <w:rsid w:val="00A67295"/>
    <w:rsid w:val="00A67387"/>
    <w:rsid w:val="00A67647"/>
    <w:rsid w:val="00A6768E"/>
    <w:rsid w:val="00A731AF"/>
    <w:rsid w:val="00A751AF"/>
    <w:rsid w:val="00A75F76"/>
    <w:rsid w:val="00A77B8F"/>
    <w:rsid w:val="00A829B7"/>
    <w:rsid w:val="00A83828"/>
    <w:rsid w:val="00A84814"/>
    <w:rsid w:val="00A85C8F"/>
    <w:rsid w:val="00A91C1A"/>
    <w:rsid w:val="00A91DCA"/>
    <w:rsid w:val="00A91E1B"/>
    <w:rsid w:val="00A91F04"/>
    <w:rsid w:val="00A92714"/>
    <w:rsid w:val="00A928C7"/>
    <w:rsid w:val="00A9295B"/>
    <w:rsid w:val="00A9643B"/>
    <w:rsid w:val="00A971F4"/>
    <w:rsid w:val="00AA16B2"/>
    <w:rsid w:val="00AA4421"/>
    <w:rsid w:val="00AA5A6F"/>
    <w:rsid w:val="00AA6338"/>
    <w:rsid w:val="00AB1589"/>
    <w:rsid w:val="00AB287F"/>
    <w:rsid w:val="00AB4584"/>
    <w:rsid w:val="00AB48A4"/>
    <w:rsid w:val="00AB4C2D"/>
    <w:rsid w:val="00AB589F"/>
    <w:rsid w:val="00AB7943"/>
    <w:rsid w:val="00AC1313"/>
    <w:rsid w:val="00AC1CB0"/>
    <w:rsid w:val="00AC2C56"/>
    <w:rsid w:val="00AC2D9A"/>
    <w:rsid w:val="00AC4CD6"/>
    <w:rsid w:val="00AC6DAF"/>
    <w:rsid w:val="00AC6E76"/>
    <w:rsid w:val="00AD201F"/>
    <w:rsid w:val="00AD3623"/>
    <w:rsid w:val="00AD3F9F"/>
    <w:rsid w:val="00AD4613"/>
    <w:rsid w:val="00AD64AB"/>
    <w:rsid w:val="00AD6813"/>
    <w:rsid w:val="00AD7408"/>
    <w:rsid w:val="00AD798F"/>
    <w:rsid w:val="00AE0CE5"/>
    <w:rsid w:val="00AE0FEF"/>
    <w:rsid w:val="00AE2FFA"/>
    <w:rsid w:val="00AE6D50"/>
    <w:rsid w:val="00AF14B8"/>
    <w:rsid w:val="00AF756F"/>
    <w:rsid w:val="00B00107"/>
    <w:rsid w:val="00B0058B"/>
    <w:rsid w:val="00B02975"/>
    <w:rsid w:val="00B04226"/>
    <w:rsid w:val="00B0452E"/>
    <w:rsid w:val="00B05232"/>
    <w:rsid w:val="00B0653E"/>
    <w:rsid w:val="00B06D0E"/>
    <w:rsid w:val="00B104C8"/>
    <w:rsid w:val="00B10EB0"/>
    <w:rsid w:val="00B11445"/>
    <w:rsid w:val="00B121D9"/>
    <w:rsid w:val="00B13899"/>
    <w:rsid w:val="00B149BE"/>
    <w:rsid w:val="00B17C48"/>
    <w:rsid w:val="00B221EA"/>
    <w:rsid w:val="00B2329B"/>
    <w:rsid w:val="00B2624D"/>
    <w:rsid w:val="00B2679E"/>
    <w:rsid w:val="00B277CF"/>
    <w:rsid w:val="00B30B22"/>
    <w:rsid w:val="00B31258"/>
    <w:rsid w:val="00B32136"/>
    <w:rsid w:val="00B34334"/>
    <w:rsid w:val="00B351D6"/>
    <w:rsid w:val="00B3749E"/>
    <w:rsid w:val="00B37875"/>
    <w:rsid w:val="00B37C5B"/>
    <w:rsid w:val="00B411E6"/>
    <w:rsid w:val="00B4175B"/>
    <w:rsid w:val="00B448EA"/>
    <w:rsid w:val="00B500E0"/>
    <w:rsid w:val="00B512EF"/>
    <w:rsid w:val="00B53619"/>
    <w:rsid w:val="00B54A58"/>
    <w:rsid w:val="00B5550F"/>
    <w:rsid w:val="00B56482"/>
    <w:rsid w:val="00B57A3E"/>
    <w:rsid w:val="00B57E76"/>
    <w:rsid w:val="00B608CD"/>
    <w:rsid w:val="00B60E57"/>
    <w:rsid w:val="00B6698E"/>
    <w:rsid w:val="00B72683"/>
    <w:rsid w:val="00B821B3"/>
    <w:rsid w:val="00B84AEB"/>
    <w:rsid w:val="00B85A30"/>
    <w:rsid w:val="00B86025"/>
    <w:rsid w:val="00B86893"/>
    <w:rsid w:val="00B86897"/>
    <w:rsid w:val="00B90489"/>
    <w:rsid w:val="00B92902"/>
    <w:rsid w:val="00B9359C"/>
    <w:rsid w:val="00B9413F"/>
    <w:rsid w:val="00B94A47"/>
    <w:rsid w:val="00B962FC"/>
    <w:rsid w:val="00B96881"/>
    <w:rsid w:val="00B97400"/>
    <w:rsid w:val="00B977D8"/>
    <w:rsid w:val="00B978A6"/>
    <w:rsid w:val="00BA0E81"/>
    <w:rsid w:val="00BA2522"/>
    <w:rsid w:val="00BA3178"/>
    <w:rsid w:val="00BA3448"/>
    <w:rsid w:val="00BA3718"/>
    <w:rsid w:val="00BA4747"/>
    <w:rsid w:val="00BA6400"/>
    <w:rsid w:val="00BA7CD0"/>
    <w:rsid w:val="00BB2D8B"/>
    <w:rsid w:val="00BB6224"/>
    <w:rsid w:val="00BB6F27"/>
    <w:rsid w:val="00BC06FC"/>
    <w:rsid w:val="00BC4D46"/>
    <w:rsid w:val="00BC6B0B"/>
    <w:rsid w:val="00BD13B8"/>
    <w:rsid w:val="00BD2378"/>
    <w:rsid w:val="00BD2891"/>
    <w:rsid w:val="00BD4637"/>
    <w:rsid w:val="00BD4C0A"/>
    <w:rsid w:val="00BD5937"/>
    <w:rsid w:val="00BD7CD6"/>
    <w:rsid w:val="00BE16C4"/>
    <w:rsid w:val="00BE255A"/>
    <w:rsid w:val="00BE2FBE"/>
    <w:rsid w:val="00BE41D4"/>
    <w:rsid w:val="00BE55B8"/>
    <w:rsid w:val="00BE6697"/>
    <w:rsid w:val="00BF0566"/>
    <w:rsid w:val="00BF056E"/>
    <w:rsid w:val="00BF0BA9"/>
    <w:rsid w:val="00BF0DE4"/>
    <w:rsid w:val="00BF11B3"/>
    <w:rsid w:val="00BF1745"/>
    <w:rsid w:val="00BF3260"/>
    <w:rsid w:val="00BF553E"/>
    <w:rsid w:val="00C00315"/>
    <w:rsid w:val="00C01D66"/>
    <w:rsid w:val="00C02284"/>
    <w:rsid w:val="00C023C8"/>
    <w:rsid w:val="00C03402"/>
    <w:rsid w:val="00C04D57"/>
    <w:rsid w:val="00C06B0D"/>
    <w:rsid w:val="00C06C5C"/>
    <w:rsid w:val="00C07414"/>
    <w:rsid w:val="00C07AC8"/>
    <w:rsid w:val="00C17FA9"/>
    <w:rsid w:val="00C20514"/>
    <w:rsid w:val="00C243EB"/>
    <w:rsid w:val="00C2670F"/>
    <w:rsid w:val="00C2688C"/>
    <w:rsid w:val="00C27970"/>
    <w:rsid w:val="00C31A84"/>
    <w:rsid w:val="00C34605"/>
    <w:rsid w:val="00C36DE3"/>
    <w:rsid w:val="00C41B75"/>
    <w:rsid w:val="00C443B8"/>
    <w:rsid w:val="00C4465F"/>
    <w:rsid w:val="00C45C3F"/>
    <w:rsid w:val="00C47A1E"/>
    <w:rsid w:val="00C52561"/>
    <w:rsid w:val="00C5387C"/>
    <w:rsid w:val="00C55C5A"/>
    <w:rsid w:val="00C630DF"/>
    <w:rsid w:val="00C63A25"/>
    <w:rsid w:val="00C6484B"/>
    <w:rsid w:val="00C678E8"/>
    <w:rsid w:val="00C71633"/>
    <w:rsid w:val="00C727A1"/>
    <w:rsid w:val="00C73D86"/>
    <w:rsid w:val="00C77638"/>
    <w:rsid w:val="00C8062F"/>
    <w:rsid w:val="00C809CD"/>
    <w:rsid w:val="00C815F0"/>
    <w:rsid w:val="00C81AB9"/>
    <w:rsid w:val="00C82A5D"/>
    <w:rsid w:val="00C83159"/>
    <w:rsid w:val="00C83E4D"/>
    <w:rsid w:val="00C8792F"/>
    <w:rsid w:val="00C92F7F"/>
    <w:rsid w:val="00C93E6D"/>
    <w:rsid w:val="00C94790"/>
    <w:rsid w:val="00C95FA6"/>
    <w:rsid w:val="00C9667E"/>
    <w:rsid w:val="00C97534"/>
    <w:rsid w:val="00CA114D"/>
    <w:rsid w:val="00CA2F95"/>
    <w:rsid w:val="00CA33E9"/>
    <w:rsid w:val="00CA4F3B"/>
    <w:rsid w:val="00CA6299"/>
    <w:rsid w:val="00CA662D"/>
    <w:rsid w:val="00CA6DAE"/>
    <w:rsid w:val="00CA6DE2"/>
    <w:rsid w:val="00CA7A7B"/>
    <w:rsid w:val="00CA7CE3"/>
    <w:rsid w:val="00CB0AD1"/>
    <w:rsid w:val="00CB0D6A"/>
    <w:rsid w:val="00CB4655"/>
    <w:rsid w:val="00CB5946"/>
    <w:rsid w:val="00CC2FF3"/>
    <w:rsid w:val="00CC5D8E"/>
    <w:rsid w:val="00CC602A"/>
    <w:rsid w:val="00CC6E77"/>
    <w:rsid w:val="00CD23C7"/>
    <w:rsid w:val="00CD3ABD"/>
    <w:rsid w:val="00CE39EB"/>
    <w:rsid w:val="00CE4124"/>
    <w:rsid w:val="00CE43C9"/>
    <w:rsid w:val="00CE4A2A"/>
    <w:rsid w:val="00CE4ACD"/>
    <w:rsid w:val="00CE618C"/>
    <w:rsid w:val="00CE65BF"/>
    <w:rsid w:val="00CE7CCD"/>
    <w:rsid w:val="00CE7E20"/>
    <w:rsid w:val="00CE7F15"/>
    <w:rsid w:val="00CE7F2A"/>
    <w:rsid w:val="00CF22B5"/>
    <w:rsid w:val="00D00260"/>
    <w:rsid w:val="00D025DE"/>
    <w:rsid w:val="00D029D4"/>
    <w:rsid w:val="00D03435"/>
    <w:rsid w:val="00D04238"/>
    <w:rsid w:val="00D04746"/>
    <w:rsid w:val="00D102F3"/>
    <w:rsid w:val="00D103A3"/>
    <w:rsid w:val="00D10C57"/>
    <w:rsid w:val="00D1121A"/>
    <w:rsid w:val="00D12512"/>
    <w:rsid w:val="00D15DEC"/>
    <w:rsid w:val="00D16610"/>
    <w:rsid w:val="00D16FD8"/>
    <w:rsid w:val="00D171AC"/>
    <w:rsid w:val="00D172DA"/>
    <w:rsid w:val="00D22078"/>
    <w:rsid w:val="00D22D64"/>
    <w:rsid w:val="00D24D1B"/>
    <w:rsid w:val="00D25771"/>
    <w:rsid w:val="00D27CF1"/>
    <w:rsid w:val="00D30542"/>
    <w:rsid w:val="00D30F9B"/>
    <w:rsid w:val="00D3163B"/>
    <w:rsid w:val="00D3244A"/>
    <w:rsid w:val="00D3283B"/>
    <w:rsid w:val="00D33FB1"/>
    <w:rsid w:val="00D343A9"/>
    <w:rsid w:val="00D373C9"/>
    <w:rsid w:val="00D409F3"/>
    <w:rsid w:val="00D413D3"/>
    <w:rsid w:val="00D41D9E"/>
    <w:rsid w:val="00D45299"/>
    <w:rsid w:val="00D45422"/>
    <w:rsid w:val="00D46A87"/>
    <w:rsid w:val="00D47D6C"/>
    <w:rsid w:val="00D5160E"/>
    <w:rsid w:val="00D51CB9"/>
    <w:rsid w:val="00D524EB"/>
    <w:rsid w:val="00D533C9"/>
    <w:rsid w:val="00D56C15"/>
    <w:rsid w:val="00D5765F"/>
    <w:rsid w:val="00D63C15"/>
    <w:rsid w:val="00D6518A"/>
    <w:rsid w:val="00D65BFF"/>
    <w:rsid w:val="00D668F1"/>
    <w:rsid w:val="00D67AF4"/>
    <w:rsid w:val="00D70C6F"/>
    <w:rsid w:val="00D72120"/>
    <w:rsid w:val="00D72A63"/>
    <w:rsid w:val="00D8548A"/>
    <w:rsid w:val="00D8734B"/>
    <w:rsid w:val="00D876E7"/>
    <w:rsid w:val="00D87BD8"/>
    <w:rsid w:val="00D91E15"/>
    <w:rsid w:val="00D93CBC"/>
    <w:rsid w:val="00D94474"/>
    <w:rsid w:val="00D974BB"/>
    <w:rsid w:val="00D97813"/>
    <w:rsid w:val="00DA0B17"/>
    <w:rsid w:val="00DA1ECA"/>
    <w:rsid w:val="00DA28EB"/>
    <w:rsid w:val="00DA3B5A"/>
    <w:rsid w:val="00DA5AAB"/>
    <w:rsid w:val="00DB3CA8"/>
    <w:rsid w:val="00DB4605"/>
    <w:rsid w:val="00DB4A2B"/>
    <w:rsid w:val="00DB4B6C"/>
    <w:rsid w:val="00DB5FC3"/>
    <w:rsid w:val="00DB6BA7"/>
    <w:rsid w:val="00DC162F"/>
    <w:rsid w:val="00DC1BCF"/>
    <w:rsid w:val="00DC203F"/>
    <w:rsid w:val="00DC4166"/>
    <w:rsid w:val="00DC505B"/>
    <w:rsid w:val="00DC765C"/>
    <w:rsid w:val="00DD480D"/>
    <w:rsid w:val="00DD58E8"/>
    <w:rsid w:val="00DD73FB"/>
    <w:rsid w:val="00DD7B91"/>
    <w:rsid w:val="00DE03EA"/>
    <w:rsid w:val="00DE1DD9"/>
    <w:rsid w:val="00DE242F"/>
    <w:rsid w:val="00DE3251"/>
    <w:rsid w:val="00DE35A7"/>
    <w:rsid w:val="00DE6775"/>
    <w:rsid w:val="00DF04C1"/>
    <w:rsid w:val="00DF3BE8"/>
    <w:rsid w:val="00DF5B0D"/>
    <w:rsid w:val="00DF621F"/>
    <w:rsid w:val="00DF6510"/>
    <w:rsid w:val="00DF79C4"/>
    <w:rsid w:val="00E00319"/>
    <w:rsid w:val="00E033DB"/>
    <w:rsid w:val="00E03FCC"/>
    <w:rsid w:val="00E1255B"/>
    <w:rsid w:val="00E15434"/>
    <w:rsid w:val="00E1739B"/>
    <w:rsid w:val="00E175D7"/>
    <w:rsid w:val="00E2488D"/>
    <w:rsid w:val="00E25D6A"/>
    <w:rsid w:val="00E2650F"/>
    <w:rsid w:val="00E310C6"/>
    <w:rsid w:val="00E311FC"/>
    <w:rsid w:val="00E33380"/>
    <w:rsid w:val="00E343A4"/>
    <w:rsid w:val="00E3560D"/>
    <w:rsid w:val="00E423C0"/>
    <w:rsid w:val="00E42B47"/>
    <w:rsid w:val="00E42CAE"/>
    <w:rsid w:val="00E43B5F"/>
    <w:rsid w:val="00E44171"/>
    <w:rsid w:val="00E45C07"/>
    <w:rsid w:val="00E45CFE"/>
    <w:rsid w:val="00E463FF"/>
    <w:rsid w:val="00E57406"/>
    <w:rsid w:val="00E60AA7"/>
    <w:rsid w:val="00E62087"/>
    <w:rsid w:val="00E63160"/>
    <w:rsid w:val="00E65A87"/>
    <w:rsid w:val="00E666D7"/>
    <w:rsid w:val="00E6701A"/>
    <w:rsid w:val="00E6717D"/>
    <w:rsid w:val="00E71EB7"/>
    <w:rsid w:val="00E72258"/>
    <w:rsid w:val="00E7258A"/>
    <w:rsid w:val="00E72B10"/>
    <w:rsid w:val="00E74179"/>
    <w:rsid w:val="00E759C6"/>
    <w:rsid w:val="00E76CE2"/>
    <w:rsid w:val="00E77BCA"/>
    <w:rsid w:val="00E909BD"/>
    <w:rsid w:val="00E90F84"/>
    <w:rsid w:val="00E91C64"/>
    <w:rsid w:val="00E92BEF"/>
    <w:rsid w:val="00E96063"/>
    <w:rsid w:val="00EA006B"/>
    <w:rsid w:val="00EA2E44"/>
    <w:rsid w:val="00EA3C7D"/>
    <w:rsid w:val="00EA5216"/>
    <w:rsid w:val="00EA5F1D"/>
    <w:rsid w:val="00EA73C3"/>
    <w:rsid w:val="00EA7A95"/>
    <w:rsid w:val="00EB1BAB"/>
    <w:rsid w:val="00EB28F2"/>
    <w:rsid w:val="00EB3A0E"/>
    <w:rsid w:val="00EB4C97"/>
    <w:rsid w:val="00EB5FA6"/>
    <w:rsid w:val="00EB60F0"/>
    <w:rsid w:val="00EC39FE"/>
    <w:rsid w:val="00EC51F8"/>
    <w:rsid w:val="00EC6334"/>
    <w:rsid w:val="00EC6E48"/>
    <w:rsid w:val="00ED1F4A"/>
    <w:rsid w:val="00ED499D"/>
    <w:rsid w:val="00EE0FBE"/>
    <w:rsid w:val="00EE1520"/>
    <w:rsid w:val="00EE3014"/>
    <w:rsid w:val="00EE3024"/>
    <w:rsid w:val="00EE48EB"/>
    <w:rsid w:val="00EE5761"/>
    <w:rsid w:val="00EE59DC"/>
    <w:rsid w:val="00EF12A4"/>
    <w:rsid w:val="00EF252D"/>
    <w:rsid w:val="00EF2636"/>
    <w:rsid w:val="00EF4CA5"/>
    <w:rsid w:val="00EF7C03"/>
    <w:rsid w:val="00F01002"/>
    <w:rsid w:val="00F014CF"/>
    <w:rsid w:val="00F017D7"/>
    <w:rsid w:val="00F01B2E"/>
    <w:rsid w:val="00F02541"/>
    <w:rsid w:val="00F05B36"/>
    <w:rsid w:val="00F06C94"/>
    <w:rsid w:val="00F10648"/>
    <w:rsid w:val="00F110E0"/>
    <w:rsid w:val="00F11656"/>
    <w:rsid w:val="00F11C4C"/>
    <w:rsid w:val="00F122BA"/>
    <w:rsid w:val="00F14FE9"/>
    <w:rsid w:val="00F161A9"/>
    <w:rsid w:val="00F16992"/>
    <w:rsid w:val="00F169AF"/>
    <w:rsid w:val="00F16AB0"/>
    <w:rsid w:val="00F20FC2"/>
    <w:rsid w:val="00F24DE5"/>
    <w:rsid w:val="00F26BB4"/>
    <w:rsid w:val="00F32B1C"/>
    <w:rsid w:val="00F32E5A"/>
    <w:rsid w:val="00F43B8B"/>
    <w:rsid w:val="00F45517"/>
    <w:rsid w:val="00F52099"/>
    <w:rsid w:val="00F526E5"/>
    <w:rsid w:val="00F53150"/>
    <w:rsid w:val="00F550CD"/>
    <w:rsid w:val="00F5593C"/>
    <w:rsid w:val="00F561F2"/>
    <w:rsid w:val="00F6554F"/>
    <w:rsid w:val="00F66539"/>
    <w:rsid w:val="00F67296"/>
    <w:rsid w:val="00F67595"/>
    <w:rsid w:val="00F764F2"/>
    <w:rsid w:val="00F7759D"/>
    <w:rsid w:val="00F776A0"/>
    <w:rsid w:val="00F814D7"/>
    <w:rsid w:val="00F85CDA"/>
    <w:rsid w:val="00F87219"/>
    <w:rsid w:val="00F91ECF"/>
    <w:rsid w:val="00F92B79"/>
    <w:rsid w:val="00F935A5"/>
    <w:rsid w:val="00F94BC3"/>
    <w:rsid w:val="00F95023"/>
    <w:rsid w:val="00F971EA"/>
    <w:rsid w:val="00F97908"/>
    <w:rsid w:val="00F97EA1"/>
    <w:rsid w:val="00FA0E91"/>
    <w:rsid w:val="00FA1008"/>
    <w:rsid w:val="00FA1C3B"/>
    <w:rsid w:val="00FA3FF7"/>
    <w:rsid w:val="00FA4011"/>
    <w:rsid w:val="00FA5989"/>
    <w:rsid w:val="00FA6AB5"/>
    <w:rsid w:val="00FA7819"/>
    <w:rsid w:val="00FB0F1C"/>
    <w:rsid w:val="00FB218B"/>
    <w:rsid w:val="00FB2420"/>
    <w:rsid w:val="00FB2B6D"/>
    <w:rsid w:val="00FB4110"/>
    <w:rsid w:val="00FB4BCE"/>
    <w:rsid w:val="00FB70B4"/>
    <w:rsid w:val="00FB7372"/>
    <w:rsid w:val="00FC179F"/>
    <w:rsid w:val="00FC2AC1"/>
    <w:rsid w:val="00FC74D0"/>
    <w:rsid w:val="00FD07A1"/>
    <w:rsid w:val="00FD0CC7"/>
    <w:rsid w:val="00FD3C16"/>
    <w:rsid w:val="00FD5BBA"/>
    <w:rsid w:val="00FD652C"/>
    <w:rsid w:val="00FE1248"/>
    <w:rsid w:val="00FE36F9"/>
    <w:rsid w:val="00FE3712"/>
    <w:rsid w:val="00FE5216"/>
    <w:rsid w:val="00FE7807"/>
    <w:rsid w:val="00FE7D76"/>
    <w:rsid w:val="00FF0F47"/>
    <w:rsid w:val="00FF1A4F"/>
    <w:rsid w:val="00FF241C"/>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Strong" w:semiHidden="0" w:uiPriority="22" w:unhideWhenUsed="0" w:qFormat="1"/>
    <w:lsdException w:name="Emphasis" w:semiHidden="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E44171"/>
    <w:pPr>
      <w:keepNext/>
      <w:numPr>
        <w:numId w:val="1"/>
      </w:numPr>
      <w:spacing w:after="240"/>
      <w:ind w:left="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semiHidden/>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5"/>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5"/>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5"/>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5"/>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5"/>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5"/>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iPriority w:val="99"/>
    <w:unhideWhenUsed/>
    <w:qFormat/>
    <w:rsid w:val="004427BA"/>
    <w:pPr>
      <w:tabs>
        <w:tab w:val="center" w:pos="4536"/>
        <w:tab w:val="right" w:pos="9072"/>
      </w:tabs>
    </w:pPr>
  </w:style>
  <w:style w:type="character" w:customStyle="1" w:styleId="GlavaZnak">
    <w:name w:val="Glava Znak"/>
    <w:basedOn w:val="Privzetapisavaodstavka"/>
    <w:link w:val="Glava"/>
    <w:uiPriority w:val="99"/>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semiHidden/>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semiHidden/>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8"/>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99"/>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13"/>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13"/>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13"/>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13"/>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13"/>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14"/>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8"/>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6"/>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6"/>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23"/>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7"/>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5"/>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20"/>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9"/>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21"/>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22"/>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numbering" w:customStyle="1" w:styleId="Brezseznama2">
    <w:name w:val="Brez seznama2"/>
    <w:next w:val="Brezseznama"/>
    <w:uiPriority w:val="99"/>
    <w:semiHidden/>
    <w:unhideWhenUsed/>
    <w:rsid w:val="00C55C5A"/>
  </w:style>
  <w:style w:type="numbering" w:customStyle="1" w:styleId="Brezseznama11">
    <w:name w:val="Brez seznama11"/>
    <w:next w:val="Brezseznama"/>
    <w:uiPriority w:val="99"/>
    <w:semiHidden/>
    <w:unhideWhenUsed/>
    <w:rsid w:val="00C5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Strong" w:semiHidden="0" w:uiPriority="22" w:unhideWhenUsed="0" w:qFormat="1"/>
    <w:lsdException w:name="Emphasis" w:semiHidden="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E44171"/>
    <w:pPr>
      <w:keepNext/>
      <w:numPr>
        <w:numId w:val="1"/>
      </w:numPr>
      <w:spacing w:after="240"/>
      <w:ind w:left="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semiHidden/>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5"/>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5"/>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5"/>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5"/>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5"/>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5"/>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iPriority w:val="99"/>
    <w:unhideWhenUsed/>
    <w:qFormat/>
    <w:rsid w:val="004427BA"/>
    <w:pPr>
      <w:tabs>
        <w:tab w:val="center" w:pos="4536"/>
        <w:tab w:val="right" w:pos="9072"/>
      </w:tabs>
    </w:pPr>
  </w:style>
  <w:style w:type="character" w:customStyle="1" w:styleId="GlavaZnak">
    <w:name w:val="Glava Znak"/>
    <w:basedOn w:val="Privzetapisavaodstavka"/>
    <w:link w:val="Glava"/>
    <w:uiPriority w:val="99"/>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semiHidden/>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semiHidden/>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8"/>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99"/>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13"/>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13"/>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13"/>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13"/>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13"/>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14"/>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8"/>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6"/>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6"/>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23"/>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7"/>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5"/>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20"/>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9"/>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21"/>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22"/>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numbering" w:customStyle="1" w:styleId="Brezseznama2">
    <w:name w:val="Brez seznama2"/>
    <w:next w:val="Brezseznama"/>
    <w:uiPriority w:val="99"/>
    <w:semiHidden/>
    <w:unhideWhenUsed/>
    <w:rsid w:val="00C55C5A"/>
  </w:style>
  <w:style w:type="numbering" w:customStyle="1" w:styleId="Brezseznama11">
    <w:name w:val="Brez seznama11"/>
    <w:next w:val="Brezseznama"/>
    <w:uiPriority w:val="99"/>
    <w:semiHidden/>
    <w:unhideWhenUsed/>
    <w:rsid w:val="00C5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SL/AUTO/?uri=uriserv:OJ.L_.2013.347.01.0320.01.SLV&amp;toc=OJ:L:2013:347:TOC"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F411DF-4970-4378-8572-2B953BCC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21164</Words>
  <Characters>120635</Characters>
  <Application>Microsoft Office Word</Application>
  <DocSecurity>0</DocSecurity>
  <Lines>1005</Lines>
  <Paragraphs>283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141516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Marovt</dc:creator>
  <cp:lastModifiedBy>Klavdija Eržen</cp:lastModifiedBy>
  <cp:revision>5</cp:revision>
  <cp:lastPrinted>2017-09-08T08:59:00Z</cp:lastPrinted>
  <dcterms:created xsi:type="dcterms:W3CDTF">2017-09-08T09:18:00Z</dcterms:created>
  <dcterms:modified xsi:type="dcterms:W3CDTF">2017-09-14T09:53:00Z</dcterms:modified>
</cp:coreProperties>
</file>