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3223C5" w:rsidRPr="00196827">
              <w:rPr>
                <w:szCs w:val="20"/>
              </w:rPr>
              <w:t>302-170/2016/80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4D392F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Ljubljana, dne  </w:t>
            </w:r>
            <w:r w:rsidR="00B656F1">
              <w:rPr>
                <w:rFonts w:cs="Arial"/>
                <w:szCs w:val="20"/>
                <w:lang w:eastAsia="sl-SI"/>
              </w:rPr>
              <w:t>2</w:t>
            </w:r>
            <w:r w:rsidR="004D392F">
              <w:rPr>
                <w:rFonts w:cs="Arial"/>
                <w:szCs w:val="20"/>
                <w:lang w:eastAsia="sl-SI"/>
              </w:rPr>
              <w:t>0</w:t>
            </w:r>
            <w:bookmarkStart w:id="0" w:name="_GoBack"/>
            <w:bookmarkEnd w:id="0"/>
            <w:r w:rsidRPr="00126581">
              <w:rPr>
                <w:rFonts w:cs="Arial"/>
                <w:szCs w:val="20"/>
                <w:lang w:eastAsia="sl-SI"/>
              </w:rPr>
              <w:t xml:space="preserve">. </w:t>
            </w:r>
            <w:r w:rsidR="00375F15">
              <w:rPr>
                <w:rFonts w:cs="Arial"/>
                <w:szCs w:val="20"/>
                <w:lang w:eastAsia="sl-SI"/>
              </w:rPr>
              <w:t>10</w:t>
            </w:r>
            <w:r w:rsidRPr="00126581">
              <w:rPr>
                <w:rFonts w:cs="Arial"/>
                <w:szCs w:val="20"/>
                <w:lang w:eastAsia="sl-SI"/>
              </w:rPr>
              <w:t>. 2017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:rsidR="00126581" w:rsidRPr="00126581" w:rsidRDefault="00156C86" w:rsidP="00126581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126581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3223C5" w:rsidRPr="003223C5">
              <w:rPr>
                <w:b/>
                <w:szCs w:val="20"/>
              </w:rPr>
              <w:t>Soglasje Vlade Republike Slovenije o pokrivanju presežka odhodkov nad prihodki Javne agencije Republike Slovenije za spodbujanje podjetništva, internacionalizacije, tujih investicij in tehnologije iz leta 2016 – predlog za obravnavo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223C5" w:rsidRPr="001F114C" w:rsidRDefault="003223C5" w:rsidP="003223C5">
            <w:pPr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Na podlagi drugega odstavka 44. člena Zakona o javnih agencijah (Uradni list RS št. 52/02, 51/04-EZ-A in 33/11-ZEKom-C)</w:t>
            </w:r>
            <w:r>
              <w:rPr>
                <w:rFonts w:cs="Arial"/>
                <w:szCs w:val="20"/>
              </w:rPr>
              <w:t xml:space="preserve"> in</w:t>
            </w:r>
            <w:r w:rsidRPr="001F114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prve </w:t>
            </w:r>
            <w:r w:rsidRPr="001F114C">
              <w:rPr>
                <w:rFonts w:cs="Arial"/>
                <w:szCs w:val="20"/>
              </w:rPr>
              <w:t xml:space="preserve"> alineje 11. člena Sklepa o ustanovitvi </w:t>
            </w:r>
            <w:r>
              <w:rPr>
                <w:rFonts w:cs="Arial"/>
                <w:szCs w:val="20"/>
              </w:rPr>
              <w:t>J</w:t>
            </w:r>
            <w:r w:rsidRPr="001F114C">
              <w:rPr>
                <w:rFonts w:cs="Arial"/>
                <w:szCs w:val="20"/>
              </w:rPr>
              <w:t xml:space="preserve">avne agencije Republike Slovenije za </w:t>
            </w:r>
            <w:r w:rsidRPr="001F114C">
              <w:rPr>
                <w:szCs w:val="20"/>
              </w:rPr>
              <w:t>spodbujanje podjetništva, internacionalizacije, tujih investicij in tehnologije</w:t>
            </w:r>
            <w:r w:rsidRPr="001F114C">
              <w:rPr>
                <w:b/>
                <w:szCs w:val="20"/>
              </w:rPr>
              <w:t xml:space="preserve"> </w:t>
            </w:r>
            <w:r w:rsidRPr="001F114C">
              <w:rPr>
                <w:rFonts w:cs="Arial"/>
                <w:szCs w:val="20"/>
              </w:rPr>
              <w:t>(Uradni list RS, št. 93/15) je Vlada Republike Slovenije na ….. seji dne ….. pod točko</w:t>
            </w:r>
            <w:r>
              <w:rPr>
                <w:rFonts w:cs="Arial"/>
                <w:szCs w:val="20"/>
              </w:rPr>
              <w:t xml:space="preserve"> </w:t>
            </w:r>
            <w:r w:rsidRPr="001F114C">
              <w:rPr>
                <w:rFonts w:cs="Arial"/>
                <w:szCs w:val="20"/>
              </w:rPr>
              <w:t>….. sprejela naslednji sklep:</w:t>
            </w:r>
          </w:p>
          <w:p w:rsidR="003223C5" w:rsidRPr="001F114C" w:rsidRDefault="003223C5" w:rsidP="003223C5">
            <w:pPr>
              <w:keepNext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3223C5" w:rsidRDefault="003223C5" w:rsidP="003223C5">
            <w:pPr>
              <w:keepNext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3223C5" w:rsidRDefault="003223C5" w:rsidP="003223C5">
            <w:pPr>
              <w:keepNext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Vlada Republike Slovenije soglaša, da se v letu 2016 izkazani presežek odhodkov nad prihodki Javne agencije Republike Slovenije za spodbujanje podjetništva, internacionalizacije, tujih investicij in tehnologije v višini 11.998,00 EUR pokrije s presežkom prihodkov nad odhodki iz leta 2015. Ostanek presežka prihodkov nad odhodki iz leta 2015 v višini 280,38 EUR se uporabi za opravljanje in razvoj dejavnosti agencije v letu 2017.</w:t>
            </w:r>
          </w:p>
          <w:p w:rsidR="003223C5" w:rsidRPr="001F114C" w:rsidRDefault="003223C5" w:rsidP="003223C5">
            <w:pPr>
              <w:keepNext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3223C5" w:rsidRDefault="003223C5" w:rsidP="003223C5">
            <w:pPr>
              <w:jc w:val="both"/>
              <w:rPr>
                <w:rFonts w:cs="Arial"/>
                <w:szCs w:val="20"/>
              </w:rPr>
            </w:pPr>
          </w:p>
          <w:p w:rsidR="003223C5" w:rsidRPr="001F114C" w:rsidRDefault="003223C5" w:rsidP="003223C5">
            <w:pPr>
              <w:ind w:left="2124"/>
              <w:jc w:val="center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 xml:space="preserve">                         Mag. Lil</w:t>
            </w:r>
            <w:r>
              <w:rPr>
                <w:rFonts w:cs="Arial"/>
                <w:szCs w:val="20"/>
              </w:rPr>
              <w:t>i</w:t>
            </w:r>
            <w:r w:rsidRPr="001F114C">
              <w:rPr>
                <w:rFonts w:cs="Arial"/>
                <w:szCs w:val="20"/>
              </w:rPr>
              <w:t>jana Kozlovič</w:t>
            </w:r>
          </w:p>
          <w:p w:rsidR="003223C5" w:rsidRPr="001F114C" w:rsidRDefault="003223C5" w:rsidP="003223C5">
            <w:pPr>
              <w:ind w:left="2124"/>
              <w:jc w:val="center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 xml:space="preserve">                         </w:t>
            </w:r>
            <w:r>
              <w:rPr>
                <w:rFonts w:cs="Arial"/>
                <w:szCs w:val="20"/>
              </w:rPr>
              <w:t>g</w:t>
            </w:r>
            <w:r w:rsidRPr="001F114C">
              <w:rPr>
                <w:rFonts w:cs="Arial"/>
                <w:szCs w:val="20"/>
              </w:rPr>
              <w:t>eneralna sekretarka</w:t>
            </w:r>
          </w:p>
          <w:p w:rsidR="003223C5" w:rsidRDefault="003223C5" w:rsidP="003223C5">
            <w:pPr>
              <w:jc w:val="both"/>
              <w:rPr>
                <w:rFonts w:cs="Arial"/>
                <w:szCs w:val="20"/>
              </w:rPr>
            </w:pPr>
          </w:p>
          <w:p w:rsidR="003223C5" w:rsidRPr="001F114C" w:rsidRDefault="003223C5" w:rsidP="003223C5">
            <w:pPr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Priloge:</w:t>
            </w:r>
          </w:p>
          <w:p w:rsidR="003223C5" w:rsidRPr="001F114C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Obrazložitev predloga sklepa</w:t>
            </w:r>
            <w:r>
              <w:rPr>
                <w:rFonts w:cs="Arial"/>
                <w:szCs w:val="20"/>
              </w:rPr>
              <w:t>,</w:t>
            </w:r>
            <w:r w:rsidRPr="001F114C">
              <w:rPr>
                <w:rFonts w:cs="Arial"/>
                <w:szCs w:val="20"/>
              </w:rPr>
              <w:t xml:space="preserve"> </w:t>
            </w:r>
          </w:p>
          <w:p w:rsidR="003223C5" w:rsidRPr="004508F9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 xml:space="preserve">Sklepi sveta </w:t>
            </w:r>
            <w:r w:rsidRPr="001F114C">
              <w:rPr>
                <w:szCs w:val="20"/>
              </w:rPr>
              <w:t xml:space="preserve">Javne </w:t>
            </w:r>
            <w:r w:rsidRPr="004508F9">
              <w:rPr>
                <w:szCs w:val="20"/>
              </w:rPr>
              <w:t xml:space="preserve">agencije Republike Slovenije za spodbujanje podjetništva, internacionalizacije, tujih investicij in tehnologije št. </w:t>
            </w:r>
            <w:r>
              <w:rPr>
                <w:szCs w:val="20"/>
              </w:rPr>
              <w:t xml:space="preserve">3.1/24 – 2017 </w:t>
            </w:r>
            <w:r w:rsidRPr="004508F9">
              <w:rPr>
                <w:szCs w:val="20"/>
              </w:rPr>
              <w:t xml:space="preserve">z dne </w:t>
            </w:r>
            <w:r>
              <w:rPr>
                <w:szCs w:val="20"/>
              </w:rPr>
              <w:t xml:space="preserve">13. 7. 2017, </w:t>
            </w:r>
            <w:r w:rsidRPr="004508F9">
              <w:rPr>
                <w:szCs w:val="20"/>
              </w:rPr>
              <w:t xml:space="preserve">št. </w:t>
            </w:r>
            <w:r>
              <w:rPr>
                <w:szCs w:val="20"/>
              </w:rPr>
              <w:t>3.2/24 - 2017</w:t>
            </w:r>
            <w:r w:rsidRPr="004508F9">
              <w:rPr>
                <w:szCs w:val="20"/>
              </w:rPr>
              <w:t xml:space="preserve"> z dne</w:t>
            </w:r>
            <w:r>
              <w:rPr>
                <w:szCs w:val="20"/>
              </w:rPr>
              <w:t xml:space="preserve"> 13. 7. 2017, št. 4.1/25 – 2017 z dne 27. 9. 2017 in št. 4.2/25 – 2017 z dne 27. 9. 2017,</w:t>
            </w:r>
          </w:p>
          <w:p w:rsidR="003223C5" w:rsidRPr="004508F9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4508F9">
              <w:rPr>
                <w:szCs w:val="20"/>
              </w:rPr>
              <w:t xml:space="preserve">Soglasje ministra za gospodarstvo </w:t>
            </w:r>
            <w:r w:rsidRPr="004508F9">
              <w:rPr>
                <w:rFonts w:cs="Arial"/>
                <w:szCs w:val="20"/>
              </w:rPr>
              <w:t>k Letnemu poročilu SPIRIT Slovenija za leto 2016</w:t>
            </w:r>
            <w:r>
              <w:rPr>
                <w:rFonts w:cs="Arial"/>
                <w:szCs w:val="20"/>
              </w:rPr>
              <w:t>,</w:t>
            </w:r>
          </w:p>
          <w:p w:rsidR="003223C5" w:rsidRPr="004508F9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4508F9">
              <w:rPr>
                <w:rFonts w:cs="Arial"/>
                <w:szCs w:val="20"/>
              </w:rPr>
              <w:t xml:space="preserve">Revidirano Letno poročilo </w:t>
            </w:r>
            <w:r w:rsidRPr="004508F9">
              <w:rPr>
                <w:szCs w:val="20"/>
              </w:rPr>
              <w:t>Javne agencije Republike Slovenije za spodbujanje podjetništva, internacionalizacije, tujih investicij in tehnologije za leto 2016)</w:t>
            </w:r>
            <w:r>
              <w:rPr>
                <w:szCs w:val="20"/>
              </w:rPr>
              <w:t>.</w:t>
            </w:r>
          </w:p>
          <w:p w:rsidR="003223C5" w:rsidRPr="001F114C" w:rsidRDefault="003223C5" w:rsidP="003223C5">
            <w:pPr>
              <w:ind w:left="720"/>
              <w:rPr>
                <w:rFonts w:cs="Arial"/>
                <w:szCs w:val="20"/>
              </w:rPr>
            </w:pPr>
          </w:p>
          <w:p w:rsidR="003223C5" w:rsidRPr="001F114C" w:rsidRDefault="003223C5" w:rsidP="003223C5">
            <w:pPr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Sklep prejmejo:</w:t>
            </w:r>
          </w:p>
          <w:p w:rsidR="003223C5" w:rsidRPr="001F114C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Ministrstvo za gospodarski razvoj in tehnologijo</w:t>
            </w:r>
          </w:p>
          <w:p w:rsidR="003223C5" w:rsidRPr="001F114C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Ministrstvo za finance</w:t>
            </w:r>
          </w:p>
          <w:p w:rsidR="003223C5" w:rsidRPr="001F114C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Služba Vlade RS za zakonodajo</w:t>
            </w:r>
          </w:p>
          <w:p w:rsidR="003223C5" w:rsidRPr="001F114C" w:rsidRDefault="003223C5" w:rsidP="003223C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1F114C">
              <w:rPr>
                <w:rFonts w:cs="Arial"/>
                <w:szCs w:val="20"/>
              </w:rPr>
              <w:t>Generalni sekretariat Vlade Republike Slovenije</w:t>
            </w:r>
          </w:p>
          <w:p w:rsidR="00126581" w:rsidRPr="00126581" w:rsidRDefault="003223C5" w:rsidP="00B96907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96907">
              <w:rPr>
                <w:rFonts w:cs="Arial"/>
                <w:szCs w:val="20"/>
              </w:rPr>
              <w:t>Javna agencija Republike Slovenije za spodbujanje podjetništva, internacionalizacije, tujih investicij in tehnologije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Default="00126581" w:rsidP="0012658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Jer</w:t>
            </w:r>
            <w:r>
              <w:rPr>
                <w:rFonts w:cs="Arial"/>
                <w:iCs/>
                <w:szCs w:val="20"/>
                <w:lang w:eastAsia="sl-SI"/>
              </w:rPr>
              <w:t>nej Tovšak,</w:t>
            </w:r>
            <w:r w:rsidR="003223C5">
              <w:rPr>
                <w:rFonts w:cs="Arial"/>
                <w:iCs/>
                <w:szCs w:val="20"/>
                <w:lang w:eastAsia="sl-SI"/>
              </w:rPr>
              <w:t xml:space="preserve"> generalni direktor,</w:t>
            </w:r>
          </w:p>
          <w:p w:rsidR="003223C5" w:rsidRPr="00126581" w:rsidRDefault="003223C5" w:rsidP="0012658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Marlen </w:t>
            </w:r>
            <w:proofErr w:type="spellStart"/>
            <w:r>
              <w:rPr>
                <w:rFonts w:cs="Arial"/>
                <w:iCs/>
                <w:szCs w:val="20"/>
                <w:lang w:eastAsia="sl-SI"/>
              </w:rPr>
              <w:t>Skarlovnik</w:t>
            </w:r>
            <w:proofErr w:type="spellEnd"/>
            <w:r>
              <w:rPr>
                <w:rFonts w:cs="Arial"/>
                <w:iCs/>
                <w:szCs w:val="20"/>
                <w:lang w:eastAsia="sl-SI"/>
              </w:rPr>
              <w:t>, vodja sektorja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E50477" w:rsidRDefault="00E50477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50477" w:rsidRPr="00126581" w:rsidRDefault="003223C5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8629F">
              <w:rPr>
                <w:rFonts w:cs="Arial"/>
                <w:szCs w:val="20"/>
                <w:lang w:eastAsia="sl-SI"/>
              </w:rPr>
              <w:t xml:space="preserve">MGRT predlaga, da Vlada Republike Slovenije izda soglasje </w:t>
            </w:r>
            <w:r w:rsidRPr="00F8629F">
              <w:rPr>
                <w:rFonts w:cs="Arial"/>
                <w:szCs w:val="20"/>
              </w:rPr>
              <w:t xml:space="preserve">k predloženemu gradivu, in sicer, da se presežek </w:t>
            </w:r>
            <w:r>
              <w:rPr>
                <w:rFonts w:cs="Arial"/>
                <w:szCs w:val="20"/>
              </w:rPr>
              <w:t>odhodov nad prihodki</w:t>
            </w:r>
            <w:r w:rsidRPr="00F8629F">
              <w:rPr>
                <w:rFonts w:cs="Arial"/>
                <w:szCs w:val="20"/>
              </w:rPr>
              <w:t xml:space="preserve"> agencije SPIRIT Slovenija </w:t>
            </w:r>
            <w:r>
              <w:rPr>
                <w:rFonts w:cs="Arial"/>
                <w:szCs w:val="20"/>
              </w:rPr>
              <w:t xml:space="preserve">pokrije s presežkom prihodkov nad odhodki iz leta 2015. Ostanek </w:t>
            </w:r>
            <w:r w:rsidRPr="00F8629F">
              <w:rPr>
                <w:rFonts w:cs="Arial"/>
                <w:szCs w:val="20"/>
              </w:rPr>
              <w:t xml:space="preserve">v skupni višini 280,38 EUR </w:t>
            </w:r>
            <w:r>
              <w:rPr>
                <w:rFonts w:cs="Arial"/>
                <w:szCs w:val="20"/>
              </w:rPr>
              <w:t xml:space="preserve">pa </w:t>
            </w:r>
            <w:r w:rsidRPr="00F8629F">
              <w:rPr>
                <w:rFonts w:cs="Arial"/>
                <w:szCs w:val="20"/>
              </w:rPr>
              <w:t>uporabi v skladu s prvi</w:t>
            </w:r>
            <w:r>
              <w:rPr>
                <w:rFonts w:cs="Arial"/>
                <w:szCs w:val="20"/>
              </w:rPr>
              <w:t>m</w:t>
            </w:r>
            <w:r w:rsidRPr="00F8629F">
              <w:rPr>
                <w:rFonts w:cs="Arial"/>
                <w:szCs w:val="20"/>
              </w:rPr>
              <w:t xml:space="preserve"> odstavkom 44. člena Zakona o javnih agencijah.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BE537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BE537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  <w:tcBorders>
              <w:bottom w:val="single" w:sz="4" w:space="0" w:color="auto"/>
            </w:tcBorders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26581" w:rsidRPr="00126581" w:rsidRDefault="00126581" w:rsidP="00126581">
      <w:pPr>
        <w:spacing w:line="26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26581" w:rsidRPr="00126581" w:rsidTr="005869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26581" w:rsidRPr="00126581" w:rsidTr="005869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+ 3</w:t>
            </w: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26581" w:rsidRPr="00126581" w:rsidTr="005869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 + 1</w:t>
            </w:r>
          </w:p>
        </w:tc>
      </w:tr>
      <w:tr w:rsidR="00126581" w:rsidRPr="00126581" w:rsidTr="005869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Znesek za t + 1 </w:t>
            </w: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 + 1</w:t>
            </w: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126581">
              <w:rPr>
                <w:rFonts w:cs="Arial"/>
                <w:szCs w:val="20"/>
                <w:lang w:eastAsia="sl-SI"/>
              </w:rPr>
              <w:lastRenderedPageBreak/>
              <w:t>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  <w:p w:rsidR="003223C5" w:rsidRDefault="003223C5" w:rsidP="003223C5">
            <w:pPr>
              <w:spacing w:line="260" w:lineRule="exact"/>
              <w:rPr>
                <w:szCs w:val="20"/>
              </w:rPr>
            </w:pPr>
          </w:p>
          <w:p w:rsidR="00E50477" w:rsidRPr="00126581" w:rsidRDefault="003223C5" w:rsidP="003223C5">
            <w:pPr>
              <w:spacing w:line="260" w:lineRule="exact"/>
              <w:rPr>
                <w:rFonts w:cs="Arial"/>
                <w:b/>
                <w:szCs w:val="20"/>
              </w:rPr>
            </w:pPr>
            <w:r w:rsidRPr="004508F9">
              <w:rPr>
                <w:szCs w:val="20"/>
              </w:rPr>
              <w:t>Predlagano gradivo nima finančnih posledic za proračun.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3249EB" w:rsidRPr="00126581" w:rsidRDefault="003249EB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126581" w:rsidRPr="00126581" w:rsidRDefault="00126581" w:rsidP="003249E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126581" w:rsidRPr="00126581" w:rsidRDefault="00126581" w:rsidP="003249EB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Skupnosti občin Slovenije SOS: DA/NE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lastRenderedPageBreak/>
              <w:t>Združenju mestnih občin Slovenije ZMOS: DA/NE</w:t>
            </w: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:rsidR="003249EB" w:rsidRDefault="003223C5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25BF6">
              <w:rPr>
                <w:iCs/>
                <w:szCs w:val="20"/>
              </w:rPr>
              <w:t>Ministrstvo za gospodarski razvoj in tehnologijo upoštevaje 9. člen Poslovnika Vlade RS ocenjuje, da ni potrebe po sodelovanju javnosti.</w:t>
            </w:r>
          </w:p>
          <w:p w:rsidR="003249EB" w:rsidRPr="00126581" w:rsidRDefault="003249EB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0F5B49" w:rsidRDefault="000F5B49" w:rsidP="00BC5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BC5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0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3249EB" w:rsidRDefault="003249EB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Pr="00126581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Pr="003223C5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Pr="003223C5">
              <w:rPr>
                <w:rFonts w:cs="Arial"/>
                <w:szCs w:val="20"/>
                <w:lang w:eastAsia="sl-SI"/>
              </w:rPr>
              <w:t>Minister</w:t>
            </w:r>
          </w:p>
          <w:p w:rsidR="00126581" w:rsidRPr="003223C5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Zdravko Počivalšek</w:t>
            </w:r>
          </w:p>
          <w:p w:rsidR="00BC53F0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Default="00BC53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52EF0" w:rsidRPr="00126581" w:rsidRDefault="00652E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126581" w:rsidRDefault="00126581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223C5" w:rsidRDefault="003223C5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223C5" w:rsidRDefault="003223C5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223C5" w:rsidRDefault="003223C5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223C5" w:rsidRPr="001131CA" w:rsidRDefault="003223C5" w:rsidP="003223C5">
      <w:pPr>
        <w:jc w:val="center"/>
        <w:rPr>
          <w:rFonts w:cs="Arial"/>
          <w:b/>
          <w:szCs w:val="20"/>
        </w:rPr>
      </w:pPr>
      <w:r w:rsidRPr="001131CA">
        <w:rPr>
          <w:rFonts w:cs="Arial"/>
          <w:b/>
          <w:szCs w:val="20"/>
        </w:rPr>
        <w:lastRenderedPageBreak/>
        <w:t>Obrazložitev:</w:t>
      </w:r>
    </w:p>
    <w:p w:rsidR="003223C5" w:rsidRPr="001131CA" w:rsidRDefault="003223C5" w:rsidP="003223C5">
      <w:pPr>
        <w:jc w:val="center"/>
        <w:rPr>
          <w:rFonts w:cs="Arial"/>
          <w:b/>
          <w:szCs w:val="20"/>
        </w:rPr>
      </w:pPr>
    </w:p>
    <w:p w:rsidR="003223C5" w:rsidRDefault="003223C5" w:rsidP="003223C5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</w:p>
    <w:p w:rsidR="003223C5" w:rsidRPr="008A0C3E" w:rsidRDefault="003223C5" w:rsidP="003223C5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0C3E">
        <w:rPr>
          <w:rFonts w:ascii="Arial" w:hAnsi="Arial" w:cs="Arial"/>
          <w:sz w:val="20"/>
          <w:szCs w:val="20"/>
        </w:rPr>
        <w:t>Na podlagi drugega odstavka 44. člena Zakona o javnih agencijah  (Uradni list RS št. 52/02, 51/04-EZ-A in 33/11-ZEKom-C; v nadaljevanju: ZJA) o uporabi presežka prihodkov nad odhodki in o pokrivanju presežka odhodkov nad prihodki odloča svet javne agencije na predlog direktorja in v soglasju z ustanoviteljem.</w:t>
      </w:r>
    </w:p>
    <w:p w:rsidR="003223C5" w:rsidRPr="00725BF6" w:rsidRDefault="003223C5" w:rsidP="003223C5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223C5" w:rsidRPr="009E6A88" w:rsidRDefault="003223C5" w:rsidP="003223C5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0C3E">
        <w:rPr>
          <w:rFonts w:ascii="Arial" w:hAnsi="Arial" w:cs="Arial"/>
          <w:sz w:val="20"/>
          <w:szCs w:val="20"/>
        </w:rPr>
        <w:t xml:space="preserve">ZJA v 8. členu določa, da ustanovitelj daje soglasje k letnemu poročilu agencije. Ministrstvo za gospodarski razvoj in tehnologijo (v nadaljevanju: MGRT) je v skladu z devetim odstavkom 61. člena Zakona o izvrševanju proračunov Republike Slovenije za leti 2017 in 2018 (Uradni list RS, št. 80/16 in 33/17), </w:t>
      </w:r>
      <w:r w:rsidRPr="008A0C3E">
        <w:rPr>
          <w:rFonts w:ascii="Arial" w:hAnsi="Arial" w:cs="Arial"/>
          <w:bCs/>
          <w:sz w:val="20"/>
          <w:szCs w:val="20"/>
        </w:rPr>
        <w:t xml:space="preserve">ki določa, da morajo </w:t>
      </w:r>
      <w:r w:rsidRPr="008A0C3E">
        <w:rPr>
          <w:rFonts w:ascii="Arial" w:hAnsi="Arial" w:cs="Arial"/>
          <w:sz w:val="20"/>
          <w:szCs w:val="20"/>
        </w:rPr>
        <w:t>posredni uporabniki državnega proračuna iz šestega,</w:t>
      </w:r>
      <w:r w:rsidRPr="008A0C3E">
        <w:rPr>
          <w:rFonts w:ascii="Arial" w:hAnsi="Arial" w:cs="Arial"/>
          <w:sz w:val="20"/>
          <w:szCs w:val="20"/>
          <w:lang w:val="x-none"/>
        </w:rPr>
        <w:t xml:space="preserve"> sedmega in osmega odstavka </w:t>
      </w:r>
      <w:r w:rsidRPr="008A0C3E">
        <w:rPr>
          <w:rFonts w:ascii="Arial" w:hAnsi="Arial" w:cs="Arial"/>
          <w:sz w:val="20"/>
          <w:szCs w:val="20"/>
        </w:rPr>
        <w:t>istega</w:t>
      </w:r>
      <w:r w:rsidRPr="008A0C3E">
        <w:rPr>
          <w:rFonts w:ascii="Arial" w:hAnsi="Arial" w:cs="Arial"/>
          <w:sz w:val="20"/>
          <w:szCs w:val="20"/>
          <w:lang w:val="x-none"/>
        </w:rPr>
        <w:t xml:space="preserve"> člena</w:t>
      </w:r>
      <w:r w:rsidRPr="008A0C3E">
        <w:rPr>
          <w:rFonts w:ascii="Arial" w:hAnsi="Arial" w:cs="Arial"/>
          <w:sz w:val="20"/>
          <w:szCs w:val="20"/>
        </w:rPr>
        <w:t>,</w:t>
      </w:r>
      <w:r w:rsidRPr="008A0C3E">
        <w:rPr>
          <w:rFonts w:ascii="Arial" w:hAnsi="Arial" w:cs="Arial"/>
          <w:bCs/>
          <w:sz w:val="20"/>
          <w:szCs w:val="20"/>
        </w:rPr>
        <w:t xml:space="preserve"> n</w:t>
      </w:r>
      <w:r w:rsidRPr="008A0C3E">
        <w:rPr>
          <w:rFonts w:ascii="Arial" w:hAnsi="Arial" w:cs="Arial"/>
          <w:sz w:val="20"/>
          <w:szCs w:val="20"/>
          <w:lang w:val="x-none"/>
        </w:rPr>
        <w:t xml:space="preserve">e glede na določbe drugih zakonov in predpisov posredovati sprejeta letna poročila o delu v soglasje organu, pristojnemu za izdajo soglasja k </w:t>
      </w:r>
      <w:r w:rsidRPr="001F114C">
        <w:rPr>
          <w:rFonts w:ascii="Arial" w:hAnsi="Arial" w:cs="Arial"/>
          <w:sz w:val="20"/>
          <w:szCs w:val="20"/>
          <w:lang w:val="x-none"/>
        </w:rPr>
        <w:t xml:space="preserve">njihovemu </w:t>
      </w:r>
      <w:r w:rsidRPr="00452658">
        <w:rPr>
          <w:rFonts w:ascii="Arial" w:hAnsi="Arial" w:cs="Arial"/>
          <w:sz w:val="20"/>
          <w:szCs w:val="20"/>
          <w:lang w:val="x-none"/>
        </w:rPr>
        <w:t>finančnemu načrtu in programu dela</w:t>
      </w:r>
      <w:r w:rsidRPr="00452658">
        <w:rPr>
          <w:rFonts w:ascii="Arial" w:hAnsi="Arial" w:cs="Arial"/>
          <w:sz w:val="20"/>
          <w:szCs w:val="20"/>
        </w:rPr>
        <w:t>, izdalo soglasje k Letnemu poročilu agencije za leto 2016 dne 7. 8. 2017. Ne glede na določbe 61. člena Zakona o izvrševanju proračunov Republike Slovenije za leti 2017 in 2018 mora odločitev o pokrivanju odhodkov nas prihodki  sprejeti ustanovitelj.</w:t>
      </w:r>
      <w:r w:rsidRPr="009E6A88">
        <w:rPr>
          <w:rFonts w:ascii="Arial" w:hAnsi="Arial" w:cs="Arial"/>
          <w:sz w:val="20"/>
          <w:szCs w:val="20"/>
        </w:rPr>
        <w:t xml:space="preserve"> </w:t>
      </w:r>
    </w:p>
    <w:p w:rsidR="003223C5" w:rsidRDefault="003223C5" w:rsidP="003223C5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</w:p>
    <w:p w:rsidR="003223C5" w:rsidRPr="002512EF" w:rsidRDefault="003223C5" w:rsidP="003223C5">
      <w:pPr>
        <w:spacing w:line="240" w:lineRule="auto"/>
        <w:jc w:val="both"/>
        <w:rPr>
          <w:rFonts w:cs="Arial"/>
          <w:szCs w:val="20"/>
          <w:lang w:eastAsia="sl-SI"/>
        </w:rPr>
      </w:pPr>
      <w:r w:rsidRPr="002512EF">
        <w:rPr>
          <w:rFonts w:cs="Arial"/>
          <w:szCs w:val="20"/>
          <w:lang w:eastAsia="sl-SI"/>
        </w:rPr>
        <w:t xml:space="preserve">V letu 2015 je znašal presežek prihodkov nad odhodki 18.801 EUR. Sklep sveta SPIRIT je bil, da se presežek prihodkov nad odhodki porabi za delovanje SPIRIT v letu 2016. </w:t>
      </w:r>
    </w:p>
    <w:p w:rsidR="003223C5" w:rsidRDefault="003223C5" w:rsidP="003223C5">
      <w:pPr>
        <w:jc w:val="both"/>
        <w:rPr>
          <w:rFonts w:cs="Arial"/>
          <w:szCs w:val="20"/>
          <w:lang w:eastAsia="sl-SI"/>
        </w:rPr>
      </w:pPr>
    </w:p>
    <w:p w:rsidR="003223C5" w:rsidRDefault="003223C5" w:rsidP="003223C5">
      <w:pPr>
        <w:keepNext/>
        <w:spacing w:line="276" w:lineRule="auto"/>
        <w:jc w:val="both"/>
        <w:rPr>
          <w:rFonts w:cs="Arial"/>
          <w:szCs w:val="20"/>
          <w:highlight w:val="yellow"/>
        </w:rPr>
      </w:pPr>
      <w:r w:rsidRPr="009E6A88">
        <w:rPr>
          <w:rFonts w:cs="Arial"/>
          <w:szCs w:val="20"/>
          <w:lang w:eastAsia="sl-SI"/>
        </w:rPr>
        <w:t xml:space="preserve">MGRT predlaga, da Vlada Republike Slovenije izda soglasje </w:t>
      </w:r>
      <w:r w:rsidRPr="009E6A88">
        <w:rPr>
          <w:rFonts w:cs="Arial"/>
          <w:szCs w:val="20"/>
        </w:rPr>
        <w:t>k predloženemu</w:t>
      </w:r>
      <w:r>
        <w:rPr>
          <w:rFonts w:cs="Arial"/>
          <w:szCs w:val="20"/>
        </w:rPr>
        <w:t xml:space="preserve"> gradivu, in sicer, da se presežek odhodkov nad prihodki v višini 11.998,00 EUR pokrije s presežkom prihodkov nad odhodki iz leta 2015. Ostanek presežka prihodkov nad odhodki iz leta 2015 v višini 280,38 EUR se uporabi za opravljanje in razvoj dejavnosti agencije v letu 2017.</w:t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3DD985A" wp14:editId="372A8000">
            <wp:extent cx="5396230" cy="69971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0734504" wp14:editId="312B75D5">
            <wp:extent cx="5396230" cy="699734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9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cs="Arial"/>
          <w:noProof/>
          <w:color w:val="000000"/>
          <w:szCs w:val="20"/>
          <w:highlight w:val="yellow"/>
          <w:lang w:eastAsia="sl-SI"/>
        </w:rPr>
        <w:drawing>
          <wp:inline distT="0" distB="0" distL="0" distR="0" wp14:anchorId="5CA9F1EE" wp14:editId="7EB31EB5">
            <wp:extent cx="5396230" cy="7632763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cs="Arial"/>
          <w:noProof/>
          <w:color w:val="000000"/>
          <w:szCs w:val="20"/>
          <w:highlight w:val="yellow"/>
          <w:lang w:eastAsia="sl-SI"/>
        </w:rPr>
        <w:drawing>
          <wp:inline distT="0" distB="0" distL="0" distR="0" wp14:anchorId="6206AE45" wp14:editId="35586A81">
            <wp:extent cx="5396230" cy="745193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451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eastAsia="sl-SI"/>
        </w:rPr>
        <w:lastRenderedPageBreak/>
        <w:drawing>
          <wp:inline distT="0" distB="0" distL="0" distR="0" wp14:anchorId="18A2254C" wp14:editId="1F7D9C51">
            <wp:extent cx="5396230" cy="7575660"/>
            <wp:effectExtent l="0" t="0" r="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57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290AAC7" wp14:editId="72F46849">
            <wp:extent cx="5396230" cy="7632763"/>
            <wp:effectExtent l="0" t="0" r="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3223C5" w:rsidRPr="00126581" w:rsidRDefault="003223C5" w:rsidP="003223C5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cs="Arial"/>
          <w:noProof/>
          <w:color w:val="000000"/>
          <w:szCs w:val="20"/>
          <w:highlight w:val="yellow"/>
          <w:lang w:eastAsia="sl-SI"/>
        </w:rPr>
        <w:drawing>
          <wp:inline distT="0" distB="0" distL="0" distR="0" wp14:anchorId="06FD709B" wp14:editId="43D593BE">
            <wp:extent cx="5396230" cy="762324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23C5" w:rsidRPr="00126581" w:rsidSect="00783310">
      <w:head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86" w:rsidRDefault="00156C86">
      <w:r>
        <w:separator/>
      </w:r>
    </w:p>
  </w:endnote>
  <w:endnote w:type="continuationSeparator" w:id="0">
    <w:p w:rsidR="00156C86" w:rsidRDefault="001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86" w:rsidRDefault="00156C86">
      <w:r>
        <w:separator/>
      </w:r>
    </w:p>
  </w:footnote>
  <w:footnote w:type="continuationSeparator" w:id="0">
    <w:p w:rsidR="00156C86" w:rsidRDefault="0015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15" w:rsidRPr="00110CBD" w:rsidRDefault="00375F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4"/>
    </w:tblGrid>
    <w:tr w:rsidR="00375F15" w:rsidRPr="008F3500" w:rsidTr="00537C34">
      <w:trPr>
        <w:cantSplit/>
        <w:trHeight w:hRule="exact" w:val="737"/>
      </w:trPr>
      <w:tc>
        <w:tcPr>
          <w:tcW w:w="649" w:type="dxa"/>
        </w:tcPr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>
                <wp:extent cx="309880" cy="349885"/>
                <wp:effectExtent l="0" t="0" r="0" b="0"/>
                <wp:docPr id="6" name="Slika 1" descr="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  <w:p w:rsidR="00375F15" w:rsidRPr="006D42D9" w:rsidRDefault="00375F1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375F15" w:rsidRPr="008F3500" w:rsidRDefault="00375F15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C1E4490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375F15" w:rsidRPr="00946C49" w:rsidRDefault="00375F15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375F15" w:rsidRDefault="00375F15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:rsidR="00375F15" w:rsidRPr="008F3500" w:rsidRDefault="00375F15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375F15" w:rsidRPr="008F3500" w:rsidRDefault="00375F15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375F15" w:rsidRPr="008F3500" w:rsidRDefault="00375F15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6FF"/>
    <w:multiLevelType w:val="hybridMultilevel"/>
    <w:tmpl w:val="82A21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1"/>
    <w:rsid w:val="00023A88"/>
    <w:rsid w:val="00043ACB"/>
    <w:rsid w:val="000A3D3E"/>
    <w:rsid w:val="000A7238"/>
    <w:rsid w:val="000D0989"/>
    <w:rsid w:val="000E08A1"/>
    <w:rsid w:val="000E1750"/>
    <w:rsid w:val="000F5B49"/>
    <w:rsid w:val="001253DA"/>
    <w:rsid w:val="001259AD"/>
    <w:rsid w:val="00126581"/>
    <w:rsid w:val="001357B2"/>
    <w:rsid w:val="001452BC"/>
    <w:rsid w:val="00156C86"/>
    <w:rsid w:val="001C0B24"/>
    <w:rsid w:val="001F2844"/>
    <w:rsid w:val="001F5EF8"/>
    <w:rsid w:val="00202A77"/>
    <w:rsid w:val="0021675C"/>
    <w:rsid w:val="00271CE5"/>
    <w:rsid w:val="00282020"/>
    <w:rsid w:val="002A3807"/>
    <w:rsid w:val="002B72A8"/>
    <w:rsid w:val="002D3C86"/>
    <w:rsid w:val="002E3898"/>
    <w:rsid w:val="003223C5"/>
    <w:rsid w:val="0032481F"/>
    <w:rsid w:val="003249EB"/>
    <w:rsid w:val="003636BF"/>
    <w:rsid w:val="00363966"/>
    <w:rsid w:val="0037479F"/>
    <w:rsid w:val="00375F15"/>
    <w:rsid w:val="00382AB9"/>
    <w:rsid w:val="003845B4"/>
    <w:rsid w:val="003854A3"/>
    <w:rsid w:val="00387B1A"/>
    <w:rsid w:val="00392E7B"/>
    <w:rsid w:val="003D3D80"/>
    <w:rsid w:val="003E1C74"/>
    <w:rsid w:val="003F62B8"/>
    <w:rsid w:val="0046396D"/>
    <w:rsid w:val="004708CD"/>
    <w:rsid w:val="0047145E"/>
    <w:rsid w:val="00476BD2"/>
    <w:rsid w:val="004D392F"/>
    <w:rsid w:val="004E7D87"/>
    <w:rsid w:val="00500DB2"/>
    <w:rsid w:val="00502E41"/>
    <w:rsid w:val="00526246"/>
    <w:rsid w:val="00537C34"/>
    <w:rsid w:val="00555390"/>
    <w:rsid w:val="005647BB"/>
    <w:rsid w:val="00567106"/>
    <w:rsid w:val="005712A3"/>
    <w:rsid w:val="00581347"/>
    <w:rsid w:val="005869C7"/>
    <w:rsid w:val="005B6088"/>
    <w:rsid w:val="005E1D3C"/>
    <w:rsid w:val="005E7866"/>
    <w:rsid w:val="00624C80"/>
    <w:rsid w:val="00632253"/>
    <w:rsid w:val="00642714"/>
    <w:rsid w:val="006455CE"/>
    <w:rsid w:val="00651FCC"/>
    <w:rsid w:val="00652EF0"/>
    <w:rsid w:val="00690D03"/>
    <w:rsid w:val="006A5BEA"/>
    <w:rsid w:val="006A6FC6"/>
    <w:rsid w:val="006B2B83"/>
    <w:rsid w:val="006C01FC"/>
    <w:rsid w:val="006D42D9"/>
    <w:rsid w:val="007117BE"/>
    <w:rsid w:val="00717ED3"/>
    <w:rsid w:val="00733017"/>
    <w:rsid w:val="00783310"/>
    <w:rsid w:val="00790879"/>
    <w:rsid w:val="007A4A6D"/>
    <w:rsid w:val="007A709B"/>
    <w:rsid w:val="007A7CDF"/>
    <w:rsid w:val="007D1BCF"/>
    <w:rsid w:val="007D75CF"/>
    <w:rsid w:val="007E6DC5"/>
    <w:rsid w:val="00814213"/>
    <w:rsid w:val="00815FFB"/>
    <w:rsid w:val="00836C80"/>
    <w:rsid w:val="00856825"/>
    <w:rsid w:val="00872C07"/>
    <w:rsid w:val="0088043C"/>
    <w:rsid w:val="008906C9"/>
    <w:rsid w:val="008C5738"/>
    <w:rsid w:val="008D04F0"/>
    <w:rsid w:val="008F3500"/>
    <w:rsid w:val="00914C65"/>
    <w:rsid w:val="00924E3C"/>
    <w:rsid w:val="00946C49"/>
    <w:rsid w:val="00960B9C"/>
    <w:rsid w:val="009612BB"/>
    <w:rsid w:val="009A1D23"/>
    <w:rsid w:val="009B2262"/>
    <w:rsid w:val="009B27AA"/>
    <w:rsid w:val="00A125C5"/>
    <w:rsid w:val="00A5039D"/>
    <w:rsid w:val="00A65EE7"/>
    <w:rsid w:val="00A70133"/>
    <w:rsid w:val="00AA738F"/>
    <w:rsid w:val="00AE3E18"/>
    <w:rsid w:val="00B03033"/>
    <w:rsid w:val="00B17141"/>
    <w:rsid w:val="00B31575"/>
    <w:rsid w:val="00B31A3E"/>
    <w:rsid w:val="00B656F1"/>
    <w:rsid w:val="00B76818"/>
    <w:rsid w:val="00B8547D"/>
    <w:rsid w:val="00B96907"/>
    <w:rsid w:val="00BA0FB6"/>
    <w:rsid w:val="00BC53F0"/>
    <w:rsid w:val="00BE537E"/>
    <w:rsid w:val="00C250D5"/>
    <w:rsid w:val="00C52AF0"/>
    <w:rsid w:val="00C92898"/>
    <w:rsid w:val="00C97431"/>
    <w:rsid w:val="00CA583C"/>
    <w:rsid w:val="00CC4F46"/>
    <w:rsid w:val="00CC794D"/>
    <w:rsid w:val="00CE7514"/>
    <w:rsid w:val="00CF12BA"/>
    <w:rsid w:val="00D03A8B"/>
    <w:rsid w:val="00D13754"/>
    <w:rsid w:val="00D248DE"/>
    <w:rsid w:val="00D31518"/>
    <w:rsid w:val="00D8542D"/>
    <w:rsid w:val="00DC6A71"/>
    <w:rsid w:val="00DE5B46"/>
    <w:rsid w:val="00DE771A"/>
    <w:rsid w:val="00E0357D"/>
    <w:rsid w:val="00E24EC2"/>
    <w:rsid w:val="00E44978"/>
    <w:rsid w:val="00E50477"/>
    <w:rsid w:val="00E7150D"/>
    <w:rsid w:val="00EB230A"/>
    <w:rsid w:val="00EC0549"/>
    <w:rsid w:val="00ED6763"/>
    <w:rsid w:val="00EE0523"/>
    <w:rsid w:val="00F240BB"/>
    <w:rsid w:val="00F46724"/>
    <w:rsid w:val="00F51E77"/>
    <w:rsid w:val="00F57FED"/>
    <w:rsid w:val="00FD3538"/>
    <w:rsid w:val="00FD6532"/>
    <w:rsid w:val="00FE20A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MGRT glava.dotx</Template>
  <TotalTime>11</TotalTime>
  <Pages>13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11035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Klavdija Eržen</cp:lastModifiedBy>
  <cp:revision>8</cp:revision>
  <cp:lastPrinted>2017-10-18T12:00:00Z</cp:lastPrinted>
  <dcterms:created xsi:type="dcterms:W3CDTF">2017-10-12T07:25:00Z</dcterms:created>
  <dcterms:modified xsi:type="dcterms:W3CDTF">2017-10-20T15:18:00Z</dcterms:modified>
</cp:coreProperties>
</file>