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57" w:rsidRDefault="004E7057" w:rsidP="004E7057">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46f9b55-7581-46cb-8f05-6a13ce159d3b_0" style="width:568.5pt;height:439.5pt">
            <v:imagedata r:id="rId8" o:title=""/>
          </v:shape>
        </w:pict>
      </w:r>
      <w:bookmarkEnd w:id="0"/>
    </w:p>
    <w:p w:rsidR="004E7057" w:rsidRDefault="004E7057" w:rsidP="004E7057">
      <w:pPr>
        <w:pStyle w:val="EntText"/>
        <w:spacing w:before="480"/>
      </w:pPr>
      <w:r w:rsidRPr="004E7057">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E7057">
        <w:instrText>COM(2017) 435 final ANNEX 1</w:instrText>
      </w:r>
      <w:r>
        <w:instrText xml:space="preserve">" </w:instrText>
      </w:r>
      <w:r>
        <w:fldChar w:fldCharType="separate"/>
      </w:r>
      <w:r w:rsidRPr="004E7057">
        <w:t>COM(2017) 435 final ANNEX 1</w:t>
      </w:r>
      <w:r>
        <w:fldChar w:fldCharType="end"/>
      </w:r>
      <w:r w:rsidRPr="004E7057">
        <w:t>.</w:t>
      </w:r>
    </w:p>
    <w:p w:rsidR="004E7057" w:rsidRDefault="004E7057" w:rsidP="004E7057">
      <w:pPr>
        <w:pStyle w:val="Lignefinal"/>
      </w:pPr>
    </w:p>
    <w:p w:rsidR="004E7057" w:rsidRPr="004E7057" w:rsidRDefault="004E7057" w:rsidP="004E7057">
      <w:pPr>
        <w:pStyle w:val="pj"/>
        <w:spacing w:before="120"/>
      </w:pPr>
      <w:bookmarkStart w:id="1" w:name="_GoBack"/>
      <w:r w:rsidRPr="004E7057">
        <w:t xml:space="preserve">Priloga: </w:t>
      </w:r>
      <w:bookmarkEnd w:id="1"/>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4E7057">
        <w:instrText>COM(2017) 435 final ANNEX 1</w:instrText>
      </w:r>
      <w:r>
        <w:instrText xml:space="preserve">" </w:instrText>
      </w:r>
      <w:r>
        <w:fldChar w:fldCharType="separate"/>
      </w:r>
      <w:r w:rsidRPr="004E7057">
        <w:t>COM(2017) 435 final ANNEX 1</w:t>
      </w:r>
      <w:r>
        <w:fldChar w:fldCharType="end"/>
      </w:r>
    </w:p>
    <w:p w:rsidR="004E7057" w:rsidRDefault="004E7057" w:rsidP="004E7057">
      <w:pPr>
        <w:rPr>
          <w:noProof/>
        </w:rPr>
        <w:sectPr w:rsidR="004E7057" w:rsidSect="004E7057">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04403E" w:rsidRDefault="004E7057">
      <w:pPr>
        <w:pStyle w:val="Pagedecouverture"/>
        <w:rPr>
          <w:noProof/>
        </w:rPr>
      </w:pPr>
      <w:r>
        <w:rPr>
          <w:noProof/>
        </w:rPr>
        <w:pict>
          <v:shape id="_x0000_i1025" type="#_x0000_t75" alt="EE57FE096B804B938FF5E2CE04FC06D0" style="width:450.7pt;height:411.45pt">
            <v:imagedata r:id="rId15" o:title=""/>
          </v:shape>
        </w:pict>
      </w:r>
    </w:p>
    <w:p w:rsidR="0004403E" w:rsidRDefault="0004403E">
      <w:pPr>
        <w:pStyle w:val="Pagedecouverture"/>
        <w:rPr>
          <w:noProof/>
        </w:rPr>
        <w:sectPr w:rsidR="0004403E">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04403E" w:rsidRDefault="00B740AC">
      <w:pPr>
        <w:pStyle w:val="Standard"/>
        <w:jc w:val="both"/>
        <w:rPr>
          <w:b/>
          <w:noProof/>
        </w:rPr>
      </w:pPr>
      <w:r>
        <w:rPr>
          <w:b/>
          <w:noProof/>
        </w:rPr>
        <w:lastRenderedPageBreak/>
        <w:t>Sporazum o znanstvenem in tehnološkem sodelovanju med Evropsko unijo in Libanonsko republiko, v katerem so določeni pogoji za sodelovanje Libanonske republike v partnerstvu na področju raziskav in inovacij v Sredozemlju (PRIMA)</w:t>
      </w:r>
    </w:p>
    <w:p w:rsidR="0004403E" w:rsidRDefault="0004403E">
      <w:pPr>
        <w:pStyle w:val="Standard"/>
        <w:rPr>
          <w:noProof/>
        </w:rPr>
      </w:pPr>
    </w:p>
    <w:p w:rsidR="0004403E" w:rsidRDefault="0004403E">
      <w:pPr>
        <w:pStyle w:val="Standard"/>
        <w:rPr>
          <w:noProof/>
        </w:rPr>
      </w:pPr>
    </w:p>
    <w:p w:rsidR="0004403E" w:rsidRDefault="00B740AC">
      <w:pPr>
        <w:pStyle w:val="Standard"/>
        <w:rPr>
          <w:noProof/>
        </w:rPr>
      </w:pPr>
      <w:r>
        <w:rPr>
          <w:noProof/>
        </w:rPr>
        <w:t>Evropska unija (v nadaljnjem besedilu: Unija)</w:t>
      </w:r>
    </w:p>
    <w:p w:rsidR="0004403E" w:rsidRDefault="00B740AC">
      <w:pPr>
        <w:pStyle w:val="Standard"/>
        <w:rPr>
          <w:noProof/>
        </w:rPr>
      </w:pPr>
      <w:r>
        <w:rPr>
          <w:noProof/>
        </w:rPr>
        <w:t>na eni strani</w:t>
      </w:r>
    </w:p>
    <w:p w:rsidR="0004403E" w:rsidRDefault="00B740AC">
      <w:pPr>
        <w:pStyle w:val="Standard"/>
        <w:rPr>
          <w:noProof/>
        </w:rPr>
      </w:pPr>
      <w:r>
        <w:rPr>
          <w:noProof/>
        </w:rPr>
        <w:t>in</w:t>
      </w:r>
    </w:p>
    <w:p w:rsidR="0004403E" w:rsidRDefault="00B740AC">
      <w:pPr>
        <w:pStyle w:val="Standard"/>
        <w:rPr>
          <w:noProof/>
        </w:rPr>
      </w:pPr>
      <w:r>
        <w:rPr>
          <w:noProof/>
        </w:rPr>
        <w:t>Libanonska republika</w:t>
      </w:r>
      <w:r>
        <w:rPr>
          <w:b/>
          <w:noProof/>
        </w:rPr>
        <w:t xml:space="preserve"> </w:t>
      </w:r>
      <w:r>
        <w:rPr>
          <w:noProof/>
        </w:rPr>
        <w:t>(v nadaljnjem besedilu: Libanon)</w:t>
      </w:r>
    </w:p>
    <w:p w:rsidR="0004403E" w:rsidRDefault="00B740AC">
      <w:pPr>
        <w:pStyle w:val="Standard"/>
        <w:rPr>
          <w:noProof/>
        </w:rPr>
      </w:pPr>
      <w:r>
        <w:rPr>
          <w:noProof/>
        </w:rPr>
        <w:t>na drugi</w:t>
      </w:r>
    </w:p>
    <w:p w:rsidR="0004403E" w:rsidRDefault="00B740AC">
      <w:pPr>
        <w:pStyle w:val="Standard"/>
        <w:rPr>
          <w:noProof/>
        </w:rPr>
      </w:pPr>
      <w:r>
        <w:rPr>
          <w:noProof/>
        </w:rPr>
        <w:t>(v nadaljnjem besedilu: pogodbenici) STA SE –</w:t>
      </w:r>
    </w:p>
    <w:p w:rsidR="0004403E" w:rsidRDefault="0004403E">
      <w:pPr>
        <w:pStyle w:val="Standard"/>
        <w:rPr>
          <w:noProof/>
        </w:rPr>
      </w:pPr>
    </w:p>
    <w:p w:rsidR="0004403E" w:rsidRDefault="0004403E">
      <w:pPr>
        <w:pStyle w:val="Standard"/>
        <w:rPr>
          <w:noProof/>
          <w:shd w:val="clear" w:color="auto" w:fill="FFFF00"/>
        </w:rPr>
      </w:pPr>
    </w:p>
    <w:p w:rsidR="0004403E" w:rsidRDefault="00B740AC">
      <w:pPr>
        <w:pStyle w:val="Standard"/>
        <w:jc w:val="both"/>
        <w:rPr>
          <w:noProof/>
        </w:rPr>
      </w:pPr>
      <w:r>
        <w:rPr>
          <w:noProof/>
        </w:rPr>
        <w:t>ob upoštevanju Evro-mediteranskega sporazuma o pridružitvi med Evropsko skupnostjo in njenimi državami članicami na eni strani ter Libanonsko republiko na drugi strani, ki je začel veljati 1. aprila 2006 in ki določa okvir za znanstveno in tehnološko sodelovanje,</w:t>
      </w:r>
    </w:p>
    <w:p w:rsidR="0004403E" w:rsidRDefault="0004403E">
      <w:pPr>
        <w:pStyle w:val="Standard"/>
        <w:jc w:val="both"/>
        <w:rPr>
          <w:noProof/>
          <w:shd w:val="clear" w:color="auto" w:fill="FFFF00"/>
        </w:rPr>
      </w:pPr>
    </w:p>
    <w:p w:rsidR="0004403E" w:rsidRDefault="00B740AC">
      <w:pPr>
        <w:pStyle w:val="Standard"/>
        <w:jc w:val="both"/>
        <w:rPr>
          <w:noProof/>
        </w:rPr>
      </w:pPr>
      <w:r>
        <w:rPr>
          <w:noProof/>
        </w:rPr>
        <w:t>ob upoštevanju Sklepa (EU) 2017/1324 Evropskega parlamenta in Sveta o sodelovanju Unije v partnerstvu na področju raziskav in inovacij v Sredozemlju (PRIMA), ki ga skupaj izvaja več držav članic in ki ureja pogoje za sodelovanje držav članic EU in držav, pridruženih programu Obzorje 2020, ki so sodelujoče države pobude, zlasti njihovih finančnih obveznostih in udeležbe v strukturah upravljanja pobude,</w:t>
      </w:r>
    </w:p>
    <w:p w:rsidR="0004403E" w:rsidRDefault="0004403E">
      <w:pPr>
        <w:pStyle w:val="Standard"/>
        <w:jc w:val="both"/>
        <w:rPr>
          <w:noProof/>
        </w:rPr>
      </w:pPr>
    </w:p>
    <w:p w:rsidR="0004403E" w:rsidRDefault="00B740AC">
      <w:pPr>
        <w:pStyle w:val="Standard"/>
        <w:jc w:val="both"/>
        <w:rPr>
          <w:noProof/>
        </w:rPr>
      </w:pPr>
      <w:r>
        <w:rPr>
          <w:noProof/>
        </w:rPr>
        <w:t>ob upoštevanju pogojev Sklepa (EU) 2017/1324, da Libanon postane sodelujoča država v programu PRIMA s sklenitvijo mednarodnega sporazuma o znanstvenem in tehnološkem sodelovanju z Unijo, v katerem so določeni pogoji za sodelovanje Libanona v programu PRIMA,</w:t>
      </w:r>
    </w:p>
    <w:p w:rsidR="0004403E" w:rsidRDefault="00B740AC">
      <w:pPr>
        <w:pStyle w:val="Standard"/>
        <w:jc w:val="both"/>
        <w:rPr>
          <w:noProof/>
        </w:rPr>
      </w:pPr>
      <w:r>
        <w:rPr>
          <w:noProof/>
        </w:rPr>
        <w:t xml:space="preserve"> </w:t>
      </w:r>
    </w:p>
    <w:p w:rsidR="0004403E" w:rsidRDefault="00B740AC">
      <w:pPr>
        <w:pStyle w:val="Standard"/>
        <w:jc w:val="both"/>
        <w:rPr>
          <w:noProof/>
        </w:rPr>
      </w:pPr>
      <w:r>
        <w:rPr>
          <w:noProof/>
        </w:rPr>
        <w:t>ob upoštevanju, da je Libanon izrazil željo, da se pridruži programu PRIMA kot sodelujoča država, ki je enakopravna z državami članicami EU in državami, pridruženimi programu Obzorje 2020, ki sodelujejo v programu PRIMA,</w:t>
      </w:r>
    </w:p>
    <w:p w:rsidR="0004403E" w:rsidRDefault="0004403E">
      <w:pPr>
        <w:pStyle w:val="Standard"/>
        <w:rPr>
          <w:noProof/>
        </w:rPr>
      </w:pPr>
    </w:p>
    <w:p w:rsidR="0004403E" w:rsidRDefault="00B740AC">
      <w:pPr>
        <w:pStyle w:val="Standard"/>
        <w:jc w:val="both"/>
        <w:rPr>
          <w:noProof/>
        </w:rPr>
      </w:pPr>
      <w:r>
        <w:rPr>
          <w:noProof/>
        </w:rPr>
        <w:t>ob upoštevanju, da je za ureditev pravic in obveznosti Libanona kot sodelujoče države v programu PRIMA potreben mednarodni sporazum med Unijo in Libanonom,</w:t>
      </w:r>
    </w:p>
    <w:p w:rsidR="0004403E" w:rsidRDefault="0004403E">
      <w:pPr>
        <w:pStyle w:val="Standard"/>
        <w:rPr>
          <w:noProof/>
        </w:rPr>
      </w:pPr>
    </w:p>
    <w:p w:rsidR="0004403E" w:rsidRDefault="00B740AC">
      <w:pPr>
        <w:pStyle w:val="Standard"/>
        <w:rPr>
          <w:noProof/>
        </w:rPr>
      </w:pPr>
      <w:r>
        <w:rPr>
          <w:noProof/>
        </w:rPr>
        <w:t>ob upoštevanju, da je polno sodelovanje in usklajevanje med pristojnimi organi obeh pogodbenic bistveno za izvajanje tega sporazuma –</w:t>
      </w:r>
    </w:p>
    <w:p w:rsidR="0004403E" w:rsidRDefault="0004403E">
      <w:pPr>
        <w:pStyle w:val="Standard"/>
        <w:rPr>
          <w:noProof/>
        </w:rPr>
      </w:pPr>
    </w:p>
    <w:p w:rsidR="0004403E" w:rsidRDefault="00B740AC">
      <w:pPr>
        <w:pStyle w:val="Standard"/>
        <w:rPr>
          <w:noProof/>
        </w:rPr>
      </w:pPr>
      <w:r>
        <w:rPr>
          <w:noProof/>
        </w:rPr>
        <w:t>DOGOVORILI O NASLEDNJEM:</w:t>
      </w:r>
    </w:p>
    <w:p w:rsidR="0004403E" w:rsidRDefault="0004403E">
      <w:pPr>
        <w:pStyle w:val="Standard"/>
        <w:rPr>
          <w:noProof/>
        </w:rPr>
      </w:pPr>
    </w:p>
    <w:p w:rsidR="0004403E" w:rsidRDefault="0004403E">
      <w:pPr>
        <w:pStyle w:val="Standard"/>
        <w:rPr>
          <w:noProof/>
        </w:rPr>
      </w:pPr>
    </w:p>
    <w:p w:rsidR="0004403E" w:rsidRDefault="00B740AC">
      <w:pPr>
        <w:pStyle w:val="Standard"/>
        <w:jc w:val="center"/>
        <w:rPr>
          <w:b/>
          <w:noProof/>
        </w:rPr>
      </w:pPr>
      <w:r>
        <w:rPr>
          <w:b/>
          <w:noProof/>
        </w:rPr>
        <w:t>Člen 1</w:t>
      </w:r>
    </w:p>
    <w:p w:rsidR="0004403E" w:rsidRDefault="0004403E">
      <w:pPr>
        <w:pStyle w:val="Standard"/>
        <w:jc w:val="center"/>
        <w:rPr>
          <w:noProof/>
        </w:rPr>
      </w:pPr>
    </w:p>
    <w:p w:rsidR="0004403E" w:rsidRDefault="00B740AC">
      <w:pPr>
        <w:pStyle w:val="Standard"/>
        <w:jc w:val="center"/>
        <w:rPr>
          <w:noProof/>
        </w:rPr>
      </w:pPr>
      <w:r>
        <w:rPr>
          <w:noProof/>
        </w:rPr>
        <w:t>Namen</w:t>
      </w:r>
    </w:p>
    <w:p w:rsidR="0004403E" w:rsidRDefault="0004403E">
      <w:pPr>
        <w:pStyle w:val="Standard"/>
        <w:jc w:val="both"/>
        <w:rPr>
          <w:noProof/>
        </w:rPr>
      </w:pPr>
    </w:p>
    <w:p w:rsidR="0004403E" w:rsidRDefault="00B740AC">
      <w:pPr>
        <w:pStyle w:val="Standard"/>
        <w:jc w:val="both"/>
        <w:rPr>
          <w:noProof/>
        </w:rPr>
      </w:pPr>
      <w:r>
        <w:rPr>
          <w:noProof/>
        </w:rPr>
        <w:t>Namen tega sporazuma je določiti pogoje za sodelovanje Libanona v partnerstvu na področju raziskav in inovacij v Sredozemlju (v nadaljnjem besedilu: program PRIMA).</w:t>
      </w:r>
    </w:p>
    <w:p w:rsidR="0004403E" w:rsidRDefault="0004403E">
      <w:pPr>
        <w:pStyle w:val="Standard"/>
        <w:rPr>
          <w:noProof/>
        </w:rPr>
      </w:pPr>
    </w:p>
    <w:p w:rsidR="00B740AC" w:rsidRDefault="00B740AC">
      <w:pPr>
        <w:spacing w:before="0" w:after="200" w:line="276" w:lineRule="auto"/>
        <w:jc w:val="left"/>
        <w:rPr>
          <w:rFonts w:eastAsia="Andale Sans UI" w:cs="Tahoma"/>
          <w:b/>
          <w:noProof/>
          <w:kern w:val="3"/>
          <w:szCs w:val="24"/>
        </w:rPr>
      </w:pPr>
      <w:r>
        <w:rPr>
          <w:b/>
          <w:noProof/>
        </w:rPr>
        <w:br w:type="page"/>
      </w:r>
    </w:p>
    <w:p w:rsidR="0004403E" w:rsidRDefault="00B740AC">
      <w:pPr>
        <w:pStyle w:val="Standard"/>
        <w:jc w:val="center"/>
        <w:rPr>
          <w:b/>
          <w:noProof/>
        </w:rPr>
      </w:pPr>
      <w:r>
        <w:rPr>
          <w:b/>
          <w:noProof/>
        </w:rPr>
        <w:lastRenderedPageBreak/>
        <w:t>Člen 2</w:t>
      </w:r>
    </w:p>
    <w:p w:rsidR="0004403E" w:rsidRDefault="0004403E">
      <w:pPr>
        <w:pStyle w:val="Standard"/>
        <w:jc w:val="both"/>
        <w:rPr>
          <w:noProof/>
        </w:rPr>
      </w:pPr>
    </w:p>
    <w:p w:rsidR="0004403E" w:rsidRDefault="00B740AC">
      <w:pPr>
        <w:pStyle w:val="Standard"/>
        <w:jc w:val="center"/>
        <w:rPr>
          <w:noProof/>
        </w:rPr>
      </w:pPr>
      <w:r>
        <w:rPr>
          <w:noProof/>
        </w:rPr>
        <w:t>Pogoji za sodelovanje Libanona v programu PRIMA</w:t>
      </w:r>
    </w:p>
    <w:p w:rsidR="0004403E" w:rsidRDefault="0004403E">
      <w:pPr>
        <w:pStyle w:val="Standard"/>
        <w:jc w:val="both"/>
        <w:rPr>
          <w:noProof/>
        </w:rPr>
      </w:pPr>
    </w:p>
    <w:p w:rsidR="0004403E" w:rsidRDefault="00B740AC">
      <w:pPr>
        <w:pStyle w:val="Standard"/>
        <w:jc w:val="both"/>
        <w:rPr>
          <w:iCs/>
          <w:noProof/>
        </w:rPr>
      </w:pPr>
      <w:r>
        <w:rPr>
          <w:noProof/>
        </w:rPr>
        <w:t>Pogoji za sodelovanje Libanona v programu PRIMA so tisti iz Sklepa (EU) 2017/1324 Evropskega parlamenta in Sveta o sodelovanju Unije v partnerstvu na področju raziskav in inovacij v Sredozemlju (PRIMA), ki ga skupaj izvaja več držav članic.</w:t>
      </w:r>
      <w:r>
        <w:rPr>
          <w:rFonts w:asciiTheme="minorHAnsi" w:eastAsiaTheme="minorHAnsi" w:hAnsiTheme="minorHAnsi" w:cstheme="minorBidi"/>
          <w:noProof/>
          <w:kern w:val="0"/>
          <w:sz w:val="22"/>
        </w:rPr>
        <w:t xml:space="preserve"> </w:t>
      </w:r>
      <w:r>
        <w:rPr>
          <w:noProof/>
        </w:rPr>
        <w:t>Pogodbenici izpolnjujeta obveznosti iz navedenega sklepa in sprejmeta ustrezne ukrepe, zlasti za zagotovitev vse potrebne pomoči za zagotavljanje izvajanja člena 10(2) ter člena 11(3) in (4). Pogodbenici se dogovorita o podrobnih ureditvah za pomoč, saj so takšne ureditve bistvene za njuno sodelovanje na podlagi tega sporazuma.</w:t>
      </w:r>
    </w:p>
    <w:p w:rsidR="0004403E" w:rsidRDefault="0004403E">
      <w:pPr>
        <w:pStyle w:val="Standard"/>
        <w:rPr>
          <w:b/>
          <w:noProof/>
        </w:rPr>
      </w:pPr>
    </w:p>
    <w:p w:rsidR="0004403E" w:rsidRDefault="00B740AC">
      <w:pPr>
        <w:pStyle w:val="Standard"/>
        <w:jc w:val="center"/>
        <w:rPr>
          <w:b/>
          <w:noProof/>
        </w:rPr>
      </w:pPr>
      <w:r>
        <w:rPr>
          <w:b/>
          <w:noProof/>
        </w:rPr>
        <w:t>Člen 3</w:t>
      </w:r>
    </w:p>
    <w:p w:rsidR="0004403E" w:rsidRDefault="0004403E">
      <w:pPr>
        <w:pStyle w:val="Standard"/>
        <w:jc w:val="center"/>
        <w:rPr>
          <w:noProof/>
        </w:rPr>
      </w:pPr>
    </w:p>
    <w:p w:rsidR="0004403E" w:rsidRDefault="00B740AC">
      <w:pPr>
        <w:pStyle w:val="Standard"/>
        <w:jc w:val="center"/>
        <w:rPr>
          <w:noProof/>
        </w:rPr>
      </w:pPr>
      <w:r>
        <w:rPr>
          <w:noProof/>
        </w:rPr>
        <w:t>Ozemeljska uporaba</w:t>
      </w:r>
    </w:p>
    <w:p w:rsidR="0004403E" w:rsidRDefault="0004403E">
      <w:pPr>
        <w:pStyle w:val="Standard"/>
        <w:jc w:val="both"/>
        <w:rPr>
          <w:noProof/>
        </w:rPr>
      </w:pPr>
    </w:p>
    <w:p w:rsidR="0004403E" w:rsidRDefault="00B740AC">
      <w:pPr>
        <w:pStyle w:val="Standard"/>
        <w:jc w:val="both"/>
        <w:rPr>
          <w:noProof/>
        </w:rPr>
      </w:pPr>
      <w:r>
        <w:rPr>
          <w:noProof/>
        </w:rPr>
        <w:t>Ta sporazum se uporablja na eni strani na ozemljih, na katerih se uporabljata Pogodba o delovanju Evropske unije in Pogodba o Evropski uniji, na drugi strani pa na ozemlju Libanona.</w:t>
      </w:r>
    </w:p>
    <w:p w:rsidR="0004403E" w:rsidRDefault="0004403E">
      <w:pPr>
        <w:pStyle w:val="Standard"/>
        <w:rPr>
          <w:noProof/>
        </w:rPr>
      </w:pPr>
    </w:p>
    <w:p w:rsidR="0004403E" w:rsidRDefault="0004403E">
      <w:pPr>
        <w:pStyle w:val="Standard"/>
        <w:rPr>
          <w:noProof/>
        </w:rPr>
      </w:pPr>
    </w:p>
    <w:p w:rsidR="0004403E" w:rsidRDefault="00B740AC">
      <w:pPr>
        <w:pStyle w:val="Standard"/>
        <w:jc w:val="center"/>
        <w:rPr>
          <w:b/>
          <w:noProof/>
        </w:rPr>
      </w:pPr>
      <w:r>
        <w:rPr>
          <w:b/>
          <w:noProof/>
        </w:rPr>
        <w:t>Člen 4</w:t>
      </w:r>
    </w:p>
    <w:p w:rsidR="0004403E" w:rsidRDefault="0004403E">
      <w:pPr>
        <w:pStyle w:val="Standard"/>
        <w:jc w:val="center"/>
        <w:rPr>
          <w:noProof/>
        </w:rPr>
      </w:pPr>
    </w:p>
    <w:p w:rsidR="0004403E" w:rsidRDefault="00B740AC">
      <w:pPr>
        <w:pStyle w:val="Standard"/>
        <w:jc w:val="center"/>
        <w:rPr>
          <w:noProof/>
        </w:rPr>
      </w:pPr>
      <w:r>
        <w:rPr>
          <w:noProof/>
        </w:rPr>
        <w:t>Podpis in začasna uporaba</w:t>
      </w:r>
    </w:p>
    <w:p w:rsidR="0004403E" w:rsidRDefault="0004403E">
      <w:pPr>
        <w:pStyle w:val="Standard"/>
        <w:jc w:val="both"/>
        <w:rPr>
          <w:noProof/>
        </w:rPr>
      </w:pPr>
    </w:p>
    <w:p w:rsidR="0004403E" w:rsidRDefault="00B740AC">
      <w:pPr>
        <w:pStyle w:val="Standard"/>
        <w:jc w:val="both"/>
        <w:rPr>
          <w:noProof/>
        </w:rPr>
      </w:pPr>
      <w:r>
        <w:rPr>
          <w:noProof/>
        </w:rPr>
        <w:t>Ta sporazum se začasno uporablja od dneva njegovega podpisa.</w:t>
      </w:r>
    </w:p>
    <w:p w:rsidR="0004403E" w:rsidRDefault="0004403E">
      <w:pPr>
        <w:pStyle w:val="Standard"/>
        <w:jc w:val="center"/>
        <w:rPr>
          <w:noProof/>
        </w:rPr>
      </w:pPr>
    </w:p>
    <w:p w:rsidR="0004403E" w:rsidRDefault="00B740AC">
      <w:pPr>
        <w:pStyle w:val="Standard"/>
        <w:jc w:val="center"/>
        <w:rPr>
          <w:b/>
          <w:noProof/>
        </w:rPr>
      </w:pPr>
      <w:r>
        <w:rPr>
          <w:b/>
          <w:noProof/>
        </w:rPr>
        <w:t>Člen 5</w:t>
      </w:r>
    </w:p>
    <w:p w:rsidR="0004403E" w:rsidRDefault="0004403E">
      <w:pPr>
        <w:pStyle w:val="Standard"/>
        <w:jc w:val="center"/>
        <w:rPr>
          <w:noProof/>
        </w:rPr>
      </w:pPr>
    </w:p>
    <w:p w:rsidR="0004403E" w:rsidRDefault="00B740AC">
      <w:pPr>
        <w:pStyle w:val="Standard"/>
        <w:jc w:val="center"/>
        <w:rPr>
          <w:noProof/>
        </w:rPr>
      </w:pPr>
      <w:r>
        <w:rPr>
          <w:noProof/>
        </w:rPr>
        <w:t>Začetek veljavnosti in trajanje</w:t>
      </w:r>
    </w:p>
    <w:p w:rsidR="0004403E" w:rsidRDefault="0004403E">
      <w:pPr>
        <w:pStyle w:val="Standard"/>
        <w:jc w:val="both"/>
        <w:rPr>
          <w:noProof/>
        </w:rPr>
      </w:pPr>
    </w:p>
    <w:p w:rsidR="0004403E" w:rsidRDefault="00B740AC">
      <w:pPr>
        <w:pStyle w:val="Standard"/>
        <w:jc w:val="both"/>
        <w:rPr>
          <w:noProof/>
        </w:rPr>
      </w:pPr>
      <w:r>
        <w:rPr>
          <w:noProof/>
        </w:rPr>
        <w:t xml:space="preserve">1. Pogodbenici sprejmeta ta sporazum v skladu s svojimi postopki. </w:t>
      </w:r>
    </w:p>
    <w:p w:rsidR="0004403E" w:rsidRDefault="0004403E">
      <w:pPr>
        <w:pStyle w:val="Standard"/>
        <w:jc w:val="both"/>
        <w:rPr>
          <w:noProof/>
        </w:rPr>
      </w:pPr>
    </w:p>
    <w:p w:rsidR="0004403E" w:rsidRDefault="00B740AC">
      <w:pPr>
        <w:pStyle w:val="Standard"/>
        <w:jc w:val="both"/>
        <w:rPr>
          <w:noProof/>
        </w:rPr>
      </w:pPr>
      <w:r>
        <w:rPr>
          <w:noProof/>
        </w:rPr>
        <w:t>2. Ta sporazum začne veljati z dnem, ko se pogodbenici po diplomatski poti uradno obvestita, da je bil postopek iz prvega odstavka zaključen.</w:t>
      </w:r>
    </w:p>
    <w:p w:rsidR="0004403E" w:rsidRDefault="0004403E">
      <w:pPr>
        <w:pStyle w:val="Standard"/>
        <w:jc w:val="both"/>
        <w:rPr>
          <w:noProof/>
        </w:rPr>
      </w:pPr>
    </w:p>
    <w:p w:rsidR="0004403E" w:rsidRDefault="00B740AC">
      <w:pPr>
        <w:pStyle w:val="Standard"/>
        <w:jc w:val="both"/>
        <w:rPr>
          <w:noProof/>
        </w:rPr>
      </w:pPr>
      <w:r>
        <w:rPr>
          <w:noProof/>
        </w:rPr>
        <w:t>3. Ta sporazum ostane veljaven tako dolgo, dokler je veljaven Sklep (EU) 2017/1324, razen če ga katera koli pogodbenica odpove v skladu s členom 6.</w:t>
      </w:r>
    </w:p>
    <w:p w:rsidR="0004403E" w:rsidRDefault="0004403E">
      <w:pPr>
        <w:pStyle w:val="Standard"/>
        <w:jc w:val="both"/>
        <w:rPr>
          <w:noProof/>
        </w:rPr>
      </w:pPr>
    </w:p>
    <w:p w:rsidR="0004403E" w:rsidRDefault="0004403E">
      <w:pPr>
        <w:pStyle w:val="Standard"/>
        <w:jc w:val="both"/>
        <w:rPr>
          <w:noProof/>
        </w:rPr>
      </w:pPr>
    </w:p>
    <w:p w:rsidR="0004403E" w:rsidRDefault="00B740AC">
      <w:pPr>
        <w:pStyle w:val="Standard"/>
        <w:jc w:val="center"/>
        <w:rPr>
          <w:b/>
          <w:noProof/>
        </w:rPr>
      </w:pPr>
      <w:r>
        <w:rPr>
          <w:b/>
          <w:noProof/>
        </w:rPr>
        <w:t>Člen 6</w:t>
      </w:r>
    </w:p>
    <w:p w:rsidR="0004403E" w:rsidRDefault="0004403E">
      <w:pPr>
        <w:pStyle w:val="Standard"/>
        <w:jc w:val="center"/>
        <w:rPr>
          <w:noProof/>
        </w:rPr>
      </w:pPr>
    </w:p>
    <w:p w:rsidR="0004403E" w:rsidRDefault="00B740AC">
      <w:pPr>
        <w:pStyle w:val="Standard"/>
        <w:jc w:val="center"/>
        <w:rPr>
          <w:noProof/>
        </w:rPr>
      </w:pPr>
      <w:r>
        <w:rPr>
          <w:noProof/>
        </w:rPr>
        <w:t>Odpoved</w:t>
      </w:r>
    </w:p>
    <w:p w:rsidR="0004403E" w:rsidRDefault="0004403E">
      <w:pPr>
        <w:pStyle w:val="Standard"/>
        <w:jc w:val="both"/>
        <w:rPr>
          <w:noProof/>
        </w:rPr>
      </w:pPr>
    </w:p>
    <w:p w:rsidR="0004403E" w:rsidRDefault="00B740AC">
      <w:pPr>
        <w:pStyle w:val="Standard"/>
        <w:jc w:val="both"/>
        <w:rPr>
          <w:noProof/>
        </w:rPr>
      </w:pPr>
      <w:r>
        <w:rPr>
          <w:noProof/>
        </w:rPr>
        <w:t xml:space="preserve">1. Katera koli pogodbenica lahko ta sporazum kadar koli odpove s pisnim obvestilom drugi pogodbenici o nameri, da ga odpove. </w:t>
      </w:r>
    </w:p>
    <w:p w:rsidR="0004403E" w:rsidRDefault="0004403E">
      <w:pPr>
        <w:pStyle w:val="Standard"/>
        <w:jc w:val="both"/>
        <w:rPr>
          <w:noProof/>
        </w:rPr>
      </w:pPr>
    </w:p>
    <w:p w:rsidR="0004403E" w:rsidRDefault="00B740AC">
      <w:pPr>
        <w:pStyle w:val="Standard"/>
        <w:jc w:val="both"/>
        <w:rPr>
          <w:noProof/>
        </w:rPr>
      </w:pPr>
      <w:r>
        <w:rPr>
          <w:noProof/>
        </w:rPr>
        <w:t>Odpoved začne veljati šest mesecev po datumu, ko naslovnik prejme pisno obvestilo.</w:t>
      </w:r>
    </w:p>
    <w:p w:rsidR="0004403E" w:rsidRDefault="0004403E">
      <w:pPr>
        <w:pStyle w:val="Standard"/>
        <w:jc w:val="both"/>
        <w:rPr>
          <w:noProof/>
        </w:rPr>
      </w:pPr>
    </w:p>
    <w:p w:rsidR="0004403E" w:rsidRDefault="00B740AC">
      <w:pPr>
        <w:pStyle w:val="Standard"/>
        <w:jc w:val="both"/>
        <w:rPr>
          <w:noProof/>
        </w:rPr>
      </w:pPr>
      <w:r>
        <w:rPr>
          <w:noProof/>
        </w:rPr>
        <w:t xml:space="preserve">2. Projekti in dejavnosti, ki se izvajajo v času odpovedi tega sporazuma, se v skladu s pogoji, </w:t>
      </w:r>
      <w:r>
        <w:rPr>
          <w:noProof/>
        </w:rPr>
        <w:lastRenderedPageBreak/>
        <w:t>določenimi v tem sporazumu, nadaljujejo do svojega zaključka.</w:t>
      </w:r>
    </w:p>
    <w:p w:rsidR="0004403E" w:rsidRDefault="0004403E">
      <w:pPr>
        <w:pStyle w:val="Standard"/>
        <w:jc w:val="both"/>
        <w:rPr>
          <w:noProof/>
        </w:rPr>
      </w:pPr>
    </w:p>
    <w:p w:rsidR="0004403E" w:rsidRDefault="00B740AC">
      <w:pPr>
        <w:pStyle w:val="Standard"/>
        <w:jc w:val="both"/>
        <w:rPr>
          <w:noProof/>
        </w:rPr>
      </w:pPr>
      <w:r>
        <w:rPr>
          <w:noProof/>
        </w:rPr>
        <w:t>3. Pogodbenici morebitne druge posledice odpovedi uredita soglasno.</w:t>
      </w:r>
    </w:p>
    <w:p w:rsidR="0004403E" w:rsidRDefault="0004403E">
      <w:pPr>
        <w:pStyle w:val="Standard"/>
        <w:jc w:val="both"/>
        <w:rPr>
          <w:noProof/>
        </w:rPr>
      </w:pPr>
    </w:p>
    <w:p w:rsidR="0004403E" w:rsidRDefault="0004403E">
      <w:pPr>
        <w:pStyle w:val="Standard"/>
        <w:jc w:val="both"/>
        <w:rPr>
          <w:noProof/>
        </w:rPr>
      </w:pPr>
    </w:p>
    <w:p w:rsidR="0004403E" w:rsidRDefault="00B740AC">
      <w:pPr>
        <w:pStyle w:val="Standard"/>
        <w:jc w:val="center"/>
        <w:rPr>
          <w:b/>
          <w:noProof/>
        </w:rPr>
      </w:pPr>
      <w:r>
        <w:rPr>
          <w:b/>
          <w:noProof/>
        </w:rPr>
        <w:t>Člen 7</w:t>
      </w:r>
    </w:p>
    <w:p w:rsidR="0004403E" w:rsidRDefault="00B740AC">
      <w:pPr>
        <w:pStyle w:val="Standard"/>
        <w:jc w:val="center"/>
        <w:rPr>
          <w:noProof/>
        </w:rPr>
      </w:pPr>
      <w:r>
        <w:rPr>
          <w:noProof/>
        </w:rPr>
        <w:t>Reševanje sporov</w:t>
      </w:r>
    </w:p>
    <w:p w:rsidR="0004403E" w:rsidRDefault="0004403E">
      <w:pPr>
        <w:pStyle w:val="Standard"/>
        <w:rPr>
          <w:noProof/>
        </w:rPr>
      </w:pPr>
    </w:p>
    <w:p w:rsidR="0004403E" w:rsidRDefault="00B740AC">
      <w:pPr>
        <w:pStyle w:val="Standard"/>
        <w:jc w:val="both"/>
        <w:rPr>
          <w:iCs/>
          <w:noProof/>
        </w:rPr>
      </w:pPr>
      <w:r>
        <w:rPr>
          <w:noProof/>
        </w:rPr>
        <w:t>Postopek za reševanje sporov iz člena 82 Evro-mediteranskega sporazuma o pridružitvi med Evropsko skupnostjo in njenimi državami članicami na eni strani ter Libanonsko republiko na drugi strani se uporablja za vse spore v zvezi z uporabo ali razlago tega sporazuma.</w:t>
      </w:r>
    </w:p>
    <w:p w:rsidR="0004403E" w:rsidRDefault="0004403E">
      <w:pPr>
        <w:pStyle w:val="Standard"/>
        <w:jc w:val="both"/>
        <w:rPr>
          <w:iCs/>
          <w:noProof/>
        </w:rPr>
      </w:pPr>
    </w:p>
    <w:p w:rsidR="0004403E" w:rsidRDefault="0004403E">
      <w:pPr>
        <w:pStyle w:val="Standard"/>
        <w:jc w:val="both"/>
        <w:rPr>
          <w:i/>
          <w:iCs/>
          <w:noProof/>
        </w:rPr>
      </w:pPr>
    </w:p>
    <w:p w:rsidR="0004403E" w:rsidRDefault="00B740AC">
      <w:pPr>
        <w:pStyle w:val="Standard"/>
        <w:jc w:val="both"/>
        <w:rPr>
          <w:iCs/>
          <w:noProof/>
        </w:rPr>
      </w:pPr>
      <w:r>
        <w:rPr>
          <w:noProof/>
        </w:rPr>
        <w:t>Ta sporazum je sestavljen v dveh izvodih v angleškem, bolgarskem, češkem, danskem, estonskem, finskem, francoskem, grškem, hrvaškem, italijanskem, latvijskem, litovskem, madžarskem, malteškem, nemškem, nizozemskem, poljskem, portugalskem, romunskem, slovaškem, slovenskem, španskem, švedskem in arabskem jeziku, pri čemer so vsa besedila enako verodostojna.</w:t>
      </w:r>
    </w:p>
    <w:p w:rsidR="0004403E" w:rsidRDefault="0004403E">
      <w:pPr>
        <w:pStyle w:val="Standard"/>
        <w:jc w:val="both"/>
        <w:rPr>
          <w:iCs/>
          <w:noProof/>
        </w:rPr>
      </w:pPr>
    </w:p>
    <w:p w:rsidR="0004403E" w:rsidRDefault="0004403E">
      <w:pPr>
        <w:pStyle w:val="Standard"/>
        <w:rPr>
          <w:noProof/>
        </w:rPr>
      </w:pPr>
    </w:p>
    <w:p w:rsidR="0004403E" w:rsidRDefault="0004403E">
      <w:pPr>
        <w:rPr>
          <w:noProof/>
        </w:rPr>
      </w:pPr>
    </w:p>
    <w:sectPr w:rsidR="0004403E">
      <w:footerReference w:type="defaul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3E" w:rsidRDefault="00B740AC">
      <w:pPr>
        <w:spacing w:before="0" w:after="0"/>
      </w:pPr>
      <w:r>
        <w:separator/>
      </w:r>
    </w:p>
  </w:endnote>
  <w:endnote w:type="continuationSeparator" w:id="0">
    <w:p w:rsidR="0004403E" w:rsidRDefault="00B740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Pr="004E7057" w:rsidRDefault="004E7057" w:rsidP="004E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7057" w:rsidRPr="00D94637" w:rsidTr="004E7057">
      <w:trPr>
        <w:jc w:val="center"/>
      </w:trPr>
      <w:tc>
        <w:tcPr>
          <w:tcW w:w="5000" w:type="pct"/>
          <w:gridSpan w:val="7"/>
          <w:shd w:val="clear" w:color="auto" w:fill="auto"/>
          <w:tcMar>
            <w:top w:w="57" w:type="dxa"/>
          </w:tcMar>
        </w:tcPr>
        <w:p w:rsidR="004E7057" w:rsidRPr="00D94637" w:rsidRDefault="004E7057" w:rsidP="00D94637">
          <w:pPr>
            <w:pStyle w:val="FooterText"/>
            <w:pBdr>
              <w:top w:val="single" w:sz="4" w:space="1" w:color="auto"/>
            </w:pBdr>
            <w:spacing w:before="200"/>
            <w:rPr>
              <w:sz w:val="2"/>
              <w:szCs w:val="2"/>
            </w:rPr>
          </w:pPr>
          <w:bookmarkStart w:id="2" w:name="FOOTER_STANDARD"/>
        </w:p>
      </w:tc>
    </w:tr>
    <w:tr w:rsidR="004E7057" w:rsidRPr="00B310DC" w:rsidTr="004E7057">
      <w:trPr>
        <w:jc w:val="center"/>
      </w:trPr>
      <w:tc>
        <w:tcPr>
          <w:tcW w:w="2500" w:type="pct"/>
          <w:gridSpan w:val="2"/>
          <w:shd w:val="clear" w:color="auto" w:fill="auto"/>
          <w:tcMar>
            <w:top w:w="0" w:type="dxa"/>
          </w:tcMar>
        </w:tcPr>
        <w:p w:rsidR="004E7057" w:rsidRPr="00AD7BF2" w:rsidRDefault="004E7057" w:rsidP="004F54B2">
          <w:pPr>
            <w:pStyle w:val="FooterText"/>
          </w:pPr>
          <w:r>
            <w:t>11686/17</w:t>
          </w:r>
          <w:r w:rsidRPr="002511D8">
            <w:t xml:space="preserve"> </w:t>
          </w:r>
          <w:r>
            <w:t>ADD 1</w:t>
          </w:r>
        </w:p>
      </w:tc>
      <w:tc>
        <w:tcPr>
          <w:tcW w:w="625" w:type="pct"/>
          <w:shd w:val="clear" w:color="auto" w:fill="auto"/>
          <w:tcMar>
            <w:top w:w="0" w:type="dxa"/>
          </w:tcMar>
        </w:tcPr>
        <w:p w:rsidR="004E7057" w:rsidRPr="00AD7BF2" w:rsidRDefault="004E7057" w:rsidP="00D94637">
          <w:pPr>
            <w:pStyle w:val="FooterText"/>
            <w:jc w:val="center"/>
          </w:pPr>
        </w:p>
      </w:tc>
      <w:tc>
        <w:tcPr>
          <w:tcW w:w="1286" w:type="pct"/>
          <w:gridSpan w:val="3"/>
          <w:shd w:val="clear" w:color="auto" w:fill="auto"/>
          <w:tcMar>
            <w:top w:w="0" w:type="dxa"/>
          </w:tcMar>
        </w:tcPr>
        <w:p w:rsidR="004E7057" w:rsidRPr="002511D8" w:rsidRDefault="004E7057" w:rsidP="00D94637">
          <w:pPr>
            <w:pStyle w:val="FooterText"/>
            <w:jc w:val="center"/>
          </w:pPr>
          <w:r>
            <w:t>nr</w:t>
          </w:r>
        </w:p>
      </w:tc>
      <w:tc>
        <w:tcPr>
          <w:tcW w:w="589" w:type="pct"/>
          <w:shd w:val="clear" w:color="auto" w:fill="auto"/>
          <w:tcMar>
            <w:top w:w="0" w:type="dxa"/>
          </w:tcMar>
        </w:tcPr>
        <w:p w:rsidR="004E7057" w:rsidRPr="00B310DC" w:rsidRDefault="004E7057"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4E7057" w:rsidRPr="00D94637" w:rsidTr="004E7057">
      <w:trPr>
        <w:jc w:val="center"/>
      </w:trPr>
      <w:tc>
        <w:tcPr>
          <w:tcW w:w="1774" w:type="pct"/>
          <w:shd w:val="clear" w:color="auto" w:fill="auto"/>
        </w:tcPr>
        <w:p w:rsidR="004E7057" w:rsidRPr="00AD7BF2" w:rsidRDefault="004E7057" w:rsidP="00D94637">
          <w:pPr>
            <w:pStyle w:val="FooterText"/>
            <w:spacing w:before="40"/>
          </w:pPr>
        </w:p>
      </w:tc>
      <w:tc>
        <w:tcPr>
          <w:tcW w:w="1455" w:type="pct"/>
          <w:gridSpan w:val="3"/>
          <w:shd w:val="clear" w:color="auto" w:fill="auto"/>
        </w:tcPr>
        <w:p w:rsidR="004E7057" w:rsidRPr="00AD7BF2" w:rsidRDefault="004E7057" w:rsidP="00D204D6">
          <w:pPr>
            <w:pStyle w:val="FooterText"/>
            <w:spacing w:before="40"/>
            <w:jc w:val="center"/>
          </w:pPr>
          <w:r>
            <w:t>DG G3C</w:t>
          </w:r>
        </w:p>
      </w:tc>
      <w:tc>
        <w:tcPr>
          <w:tcW w:w="742" w:type="pct"/>
          <w:shd w:val="clear" w:color="auto" w:fill="auto"/>
        </w:tcPr>
        <w:p w:rsidR="004E7057" w:rsidRPr="00D94637" w:rsidRDefault="004E7057" w:rsidP="002F0099">
          <w:pPr>
            <w:pStyle w:val="FooterText"/>
            <w:jc w:val="center"/>
            <w:rPr>
              <w:b/>
              <w:position w:val="-4"/>
              <w:sz w:val="36"/>
            </w:rPr>
          </w:pPr>
        </w:p>
      </w:tc>
      <w:tc>
        <w:tcPr>
          <w:tcW w:w="1029" w:type="pct"/>
          <w:gridSpan w:val="2"/>
          <w:shd w:val="clear" w:color="auto" w:fill="auto"/>
        </w:tcPr>
        <w:p w:rsidR="004E7057" w:rsidRPr="00D94637" w:rsidRDefault="004E7057" w:rsidP="00D94637">
          <w:pPr>
            <w:pStyle w:val="FooterText"/>
            <w:jc w:val="right"/>
            <w:rPr>
              <w:sz w:val="16"/>
            </w:rPr>
          </w:pPr>
          <w:r>
            <w:rPr>
              <w:b/>
              <w:position w:val="-4"/>
              <w:sz w:val="36"/>
            </w:rPr>
            <w:t>SL</w:t>
          </w:r>
        </w:p>
      </w:tc>
    </w:tr>
    <w:bookmarkEnd w:id="2"/>
  </w:tbl>
  <w:p w:rsidR="0004403E" w:rsidRPr="004E7057" w:rsidRDefault="0004403E" w:rsidP="004E7057">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7057" w:rsidRPr="00D94637" w:rsidTr="004E7057">
      <w:trPr>
        <w:jc w:val="center"/>
      </w:trPr>
      <w:tc>
        <w:tcPr>
          <w:tcW w:w="5000" w:type="pct"/>
          <w:gridSpan w:val="7"/>
          <w:shd w:val="clear" w:color="auto" w:fill="auto"/>
          <w:tcMar>
            <w:top w:w="57" w:type="dxa"/>
          </w:tcMar>
        </w:tcPr>
        <w:p w:rsidR="004E7057" w:rsidRPr="00D94637" w:rsidRDefault="004E7057" w:rsidP="00D94637">
          <w:pPr>
            <w:pStyle w:val="FooterText"/>
            <w:pBdr>
              <w:top w:val="single" w:sz="4" w:space="1" w:color="auto"/>
            </w:pBdr>
            <w:spacing w:before="200"/>
            <w:rPr>
              <w:sz w:val="2"/>
              <w:szCs w:val="2"/>
            </w:rPr>
          </w:pPr>
        </w:p>
      </w:tc>
    </w:tr>
    <w:tr w:rsidR="004E7057" w:rsidRPr="00B310DC" w:rsidTr="004E7057">
      <w:trPr>
        <w:jc w:val="center"/>
      </w:trPr>
      <w:tc>
        <w:tcPr>
          <w:tcW w:w="2500" w:type="pct"/>
          <w:gridSpan w:val="2"/>
          <w:shd w:val="clear" w:color="auto" w:fill="auto"/>
          <w:tcMar>
            <w:top w:w="0" w:type="dxa"/>
          </w:tcMar>
        </w:tcPr>
        <w:p w:rsidR="004E7057" w:rsidRPr="00AD7BF2" w:rsidRDefault="004E7057" w:rsidP="004F54B2">
          <w:pPr>
            <w:pStyle w:val="FooterText"/>
          </w:pPr>
          <w:r>
            <w:t>11686/17</w:t>
          </w:r>
          <w:r w:rsidRPr="002511D8">
            <w:t xml:space="preserve"> </w:t>
          </w:r>
          <w:r>
            <w:t>ADD 1</w:t>
          </w:r>
        </w:p>
      </w:tc>
      <w:tc>
        <w:tcPr>
          <w:tcW w:w="625" w:type="pct"/>
          <w:shd w:val="clear" w:color="auto" w:fill="auto"/>
          <w:tcMar>
            <w:top w:w="0" w:type="dxa"/>
          </w:tcMar>
        </w:tcPr>
        <w:p w:rsidR="004E7057" w:rsidRPr="00AD7BF2" w:rsidRDefault="004E7057" w:rsidP="00D94637">
          <w:pPr>
            <w:pStyle w:val="FooterText"/>
            <w:jc w:val="center"/>
          </w:pPr>
        </w:p>
      </w:tc>
      <w:tc>
        <w:tcPr>
          <w:tcW w:w="1286" w:type="pct"/>
          <w:gridSpan w:val="3"/>
          <w:shd w:val="clear" w:color="auto" w:fill="auto"/>
          <w:tcMar>
            <w:top w:w="0" w:type="dxa"/>
          </w:tcMar>
        </w:tcPr>
        <w:p w:rsidR="004E7057" w:rsidRPr="002511D8" w:rsidRDefault="004E7057" w:rsidP="00D94637">
          <w:pPr>
            <w:pStyle w:val="FooterText"/>
            <w:jc w:val="center"/>
          </w:pPr>
          <w:r>
            <w:t>nr</w:t>
          </w:r>
        </w:p>
      </w:tc>
      <w:tc>
        <w:tcPr>
          <w:tcW w:w="589" w:type="pct"/>
          <w:shd w:val="clear" w:color="auto" w:fill="auto"/>
          <w:tcMar>
            <w:top w:w="0" w:type="dxa"/>
          </w:tcMar>
        </w:tcPr>
        <w:p w:rsidR="004E7057" w:rsidRPr="00B310DC" w:rsidRDefault="004E7057" w:rsidP="00D94637">
          <w:pPr>
            <w:pStyle w:val="FooterText"/>
            <w:jc w:val="right"/>
          </w:pPr>
        </w:p>
      </w:tc>
    </w:tr>
    <w:tr w:rsidR="004E7057" w:rsidRPr="00D94637" w:rsidTr="004E7057">
      <w:trPr>
        <w:jc w:val="center"/>
      </w:trPr>
      <w:tc>
        <w:tcPr>
          <w:tcW w:w="1774" w:type="pct"/>
          <w:shd w:val="clear" w:color="auto" w:fill="auto"/>
        </w:tcPr>
        <w:p w:rsidR="004E7057" w:rsidRPr="00AD7BF2" w:rsidRDefault="004E7057" w:rsidP="00D94637">
          <w:pPr>
            <w:pStyle w:val="FooterText"/>
            <w:spacing w:before="40"/>
          </w:pPr>
        </w:p>
      </w:tc>
      <w:tc>
        <w:tcPr>
          <w:tcW w:w="1455" w:type="pct"/>
          <w:gridSpan w:val="3"/>
          <w:shd w:val="clear" w:color="auto" w:fill="auto"/>
        </w:tcPr>
        <w:p w:rsidR="004E7057" w:rsidRPr="00AD7BF2" w:rsidRDefault="004E7057" w:rsidP="00D204D6">
          <w:pPr>
            <w:pStyle w:val="FooterText"/>
            <w:spacing w:before="40"/>
            <w:jc w:val="center"/>
          </w:pPr>
          <w:r>
            <w:t>DG G3C</w:t>
          </w:r>
        </w:p>
      </w:tc>
      <w:tc>
        <w:tcPr>
          <w:tcW w:w="742" w:type="pct"/>
          <w:shd w:val="clear" w:color="auto" w:fill="auto"/>
        </w:tcPr>
        <w:p w:rsidR="004E7057" w:rsidRPr="00D94637" w:rsidRDefault="004E7057" w:rsidP="002F0099">
          <w:pPr>
            <w:pStyle w:val="FooterText"/>
            <w:jc w:val="center"/>
            <w:rPr>
              <w:b/>
              <w:position w:val="-4"/>
              <w:sz w:val="36"/>
            </w:rPr>
          </w:pPr>
        </w:p>
      </w:tc>
      <w:tc>
        <w:tcPr>
          <w:tcW w:w="1029" w:type="pct"/>
          <w:gridSpan w:val="2"/>
          <w:shd w:val="clear" w:color="auto" w:fill="auto"/>
        </w:tcPr>
        <w:p w:rsidR="004E7057" w:rsidRPr="00D94637" w:rsidRDefault="004E7057" w:rsidP="00D94637">
          <w:pPr>
            <w:pStyle w:val="FooterText"/>
            <w:jc w:val="right"/>
            <w:rPr>
              <w:sz w:val="16"/>
            </w:rPr>
          </w:pPr>
          <w:r>
            <w:rPr>
              <w:b/>
              <w:position w:val="-4"/>
              <w:sz w:val="36"/>
            </w:rPr>
            <w:t>SL</w:t>
          </w:r>
        </w:p>
      </w:tc>
    </w:tr>
  </w:tbl>
  <w:p w:rsidR="004E7057" w:rsidRPr="004E7057" w:rsidRDefault="004E7057" w:rsidP="004E705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3E" w:rsidRDefault="00B740A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4E7057">
      <w:rPr>
        <w:noProof/>
      </w:rPr>
      <w:t>2</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3E" w:rsidRDefault="0004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3E" w:rsidRDefault="00B740AC">
      <w:pPr>
        <w:spacing w:before="0" w:after="0"/>
      </w:pPr>
      <w:r>
        <w:separator/>
      </w:r>
    </w:p>
  </w:footnote>
  <w:footnote w:type="continuationSeparator" w:id="0">
    <w:p w:rsidR="0004403E" w:rsidRDefault="00B740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Pr="004E7057" w:rsidRDefault="004E7057" w:rsidP="004E7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Pr="004E7057" w:rsidRDefault="004E7057" w:rsidP="004E7057">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Pr="004E7057" w:rsidRDefault="004E7057" w:rsidP="004E7057">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57" w:rsidRDefault="004E7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0452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72AA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F8428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26A7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4E7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0A45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6822C0"/>
    <w:lvl w:ilvl="0">
      <w:start w:val="1"/>
      <w:numFmt w:val="decimal"/>
      <w:pStyle w:val="ListNumber"/>
      <w:lvlText w:val="%1."/>
      <w:lvlJc w:val="left"/>
      <w:pPr>
        <w:tabs>
          <w:tab w:val="num" w:pos="360"/>
        </w:tabs>
        <w:ind w:left="360" w:hanging="360"/>
      </w:pPr>
    </w:lvl>
  </w:abstractNum>
  <w:abstractNum w:abstractNumId="7">
    <w:nsid w:val="FFFFFF89"/>
    <w:multiLevelType w:val="singleLevel"/>
    <w:tmpl w:val="70803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746f9b55-7581-46cb-8f05-6a13ce159d3b&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86&lt;/text&gt;_x000d__x000a_  &lt;/metadata&gt;_x000d__x000a_  &lt;metadata key=&quot;md_YearDocumentNumber&quot;&gt;_x000d__x000a_    &lt;text&gt;2017&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8&lt;/text&gt;_x000d__x000a_      &lt;text&gt;MED 61&lt;/text&gt;_x000d__x000a_      &lt;text&gt;AGRI 428&lt;/text&gt;_x000d__x000a_      &lt;text&gt;MIGR 151&lt;/text&gt;_x000d__x000a_      &lt;text&gt;RELEX 705&lt;/text&gt;_x000d__x000a_      &lt;text&gt;RL 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0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35 final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ILOGA k predlogu SKLEPA SVETA o podpisu v imenu Unije in za&amp;#269;asni uporabi Sporazuma o znanstvenem in tehnolo&amp;#353;kem sodelovanju med Evropsko unijo in Libanonsko republiko, v katerem so dolo&amp;#269;eni pogoji za sodelovanje Libanonske republike v partnerstvu na podro&amp;#269;ju raziskav in inovacij v Sredozemlju (PRIMA)&quot;&gt;&amp;lt;FlowDocument FontFamily=&quot;Arial Unicode MS&quot; FontSize=&quot;12&quot; PagePadding=&quot;5,0,5,0&quot; AllowDrop=&quot;False&quot; xmlns=&quot;http://schemas.microsoft.com/winfx/2006/xaml/presentation&quot;&amp;gt;&amp;lt;Paragraph&amp;gt;PRILOGA k predlogu SKLEPA SVETA o podpisu v imenu Unije in za&amp;#269;asni uporabi Sporazuma o znanstvenem in tehnolo&amp;#353;kem sodelovanju med Evropsko unijo in Libanonsko republiko, v katerem so dolo&amp;#269;eni pogoji za sodelovanje Libanonske republike v partnerstvu na podro&amp;#269;ju raziskav in inovacij v Sredozemlju (PRIMA)&amp;lt;/Paragraph&amp;gt;&amp;lt;/FlowDocument&amp;gt;&lt;/xaml&gt;_x000d__x000a_  &lt;/metadata&gt;_x000d__x000a_  &lt;metadata key=&quot;md_SubjectFootnote&quot; /&gt;_x000d__x000a_  &lt;metadata key=&quot;md_DG&quot;&gt;_x000d__x000a_    &lt;text&gt;DG G3C&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A&lt;/text&gt;_x000d__x000a_  &lt;/metadata&gt;_x000d__x000a_  &lt;metadata key=&quot;md_SourceDocTitle&quot;&gt;_x000d__x000a_    &lt;text&gt;k _x000d__x000a_predlogu SKLEPA SVETA _x000d__x000a_o podpisu v imenu Unije in za&amp;#269;asni uporabi Sporazuma o znanstvenem in tehnolo&amp;#353;kem sodelovanju med Evropsko unijo in Libanonsko republiko, v katerem so dolo&amp;#269;eni pogoji za sodelovanje Libanonske republike v partnerstvu na podro&amp;#269;ju raziskav in inovacij v Sredozemlju (PRIM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9 07:47: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84"/>
    <w:docVar w:name="DQCStatus" w:val="Yellow"/>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EE57FE096B804B938FF5E2CE04FC06D0"/>
    <w:docVar w:name="LW_CROSSREFERENCE" w:val="&lt;UNUSED&gt;"/>
    <w:docVar w:name="LW_DocType" w:val="ANNEX"/>
    <w:docVar w:name="LW_EMISSION" w:val="11.8.2017"/>
    <w:docVar w:name="LW_EMISSION_ISODATE" w:val="2017-08-11"/>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podpisu v imenu Unije in za\u269?asni uporabi Sporazuma o znanstvenem in tehnolo\u353?kem sodelovanju med Evropsko unijo in Libanonsko republiko, v katerem so dolo\u269?eni pogoji za sodelovanje Libanonske republike v partnerstvu na podro\u269?ju raziskav in inovacij v Sredozemlju (PRIMA)"/>
    <w:docVar w:name="LW_PART_NBR" w:val="1"/>
    <w:docVar w:name="LW_PART_NBR_TOTAL" w:val="1"/>
    <w:docVar w:name="LW_REF.INST.NEW" w:val="COM"/>
    <w:docVar w:name="LW_REF.INST.NEW_ADOPTED" w:val="final"/>
    <w:docVar w:name="LW_REF.INST.NEW_TEXT" w:val="(2017) 435"/>
    <w:docVar w:name="LW_REF.INTERNE" w:val="&lt;UNUSED&gt;"/>
    <w:docVar w:name="LW_SUPERTITRE" w:val="&lt;UNUSED&gt;"/>
    <w:docVar w:name="LW_TITRE.OBJ.CP" w:val="&lt;UNUSED&gt;"/>
    <w:docVar w:name="LW_TYPE.DOC.CP" w:val="PRILOGA"/>
    <w:docVar w:name="LW_TYPEACTEPRINCIPAL.CP" w:val="predlogu SKLEPA SVETA"/>
  </w:docVars>
  <w:rsids>
    <w:rsidRoot w:val="0004403E"/>
    <w:rsid w:val="0004403E"/>
    <w:rsid w:val="004E7057"/>
    <w:rsid w:val="00B74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E7057"/>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E7057"/>
    <w:pPr>
      <w:spacing w:before="0" w:after="240"/>
      <w:jc w:val="center"/>
    </w:pPr>
  </w:style>
  <w:style w:type="character" w:customStyle="1" w:styleId="TechnicalBlockChar">
    <w:name w:val="Technical Block Char"/>
    <w:basedOn w:val="DefaultParagraphFont"/>
    <w:link w:val="TechnicalBlock"/>
    <w:rsid w:val="004E7057"/>
    <w:rPr>
      <w:rFonts w:ascii="Times New Roman" w:hAnsi="Times New Roman" w:cs="Times New Roman"/>
      <w:sz w:val="24"/>
    </w:rPr>
  </w:style>
  <w:style w:type="paragraph" w:customStyle="1" w:styleId="Lignefinal">
    <w:name w:val="Ligne final"/>
    <w:basedOn w:val="Normal"/>
    <w:next w:val="Normal"/>
    <w:rsid w:val="004E7057"/>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4E7057"/>
    <w:pPr>
      <w:spacing w:line="360" w:lineRule="auto"/>
      <w:jc w:val="left"/>
    </w:pPr>
    <w:rPr>
      <w:lang w:eastAsia="en-US" w:bidi="ar-SA"/>
    </w:rPr>
  </w:style>
  <w:style w:type="paragraph" w:customStyle="1" w:styleId="pj">
    <w:name w:val="p.j."/>
    <w:basedOn w:val="Normal"/>
    <w:link w:val="pjChar"/>
    <w:rsid w:val="004E7057"/>
    <w:pPr>
      <w:spacing w:before="1200"/>
      <w:ind w:left="1440" w:hanging="1440"/>
      <w:jc w:val="left"/>
    </w:pPr>
  </w:style>
  <w:style w:type="character" w:customStyle="1" w:styleId="pjChar">
    <w:name w:val="p.j. Char"/>
    <w:basedOn w:val="TechnicalBlockChar"/>
    <w:link w:val="pj"/>
    <w:rsid w:val="004E7057"/>
    <w:rPr>
      <w:rFonts w:ascii="Times New Roman" w:hAnsi="Times New Roman" w:cs="Times New Roman"/>
      <w:sz w:val="24"/>
    </w:rPr>
  </w:style>
  <w:style w:type="paragraph" w:customStyle="1" w:styleId="HeaderCouncil">
    <w:name w:val="Header Council"/>
    <w:basedOn w:val="Normal"/>
    <w:link w:val="HeaderCouncilChar"/>
    <w:rsid w:val="004E7057"/>
    <w:pPr>
      <w:spacing w:before="0" w:after="0"/>
    </w:pPr>
    <w:rPr>
      <w:sz w:val="2"/>
    </w:rPr>
  </w:style>
  <w:style w:type="character" w:customStyle="1" w:styleId="HeaderCouncilChar">
    <w:name w:val="Header Council Char"/>
    <w:basedOn w:val="pjChar"/>
    <w:link w:val="HeaderCouncil"/>
    <w:rsid w:val="004E7057"/>
    <w:rPr>
      <w:rFonts w:ascii="Times New Roman" w:hAnsi="Times New Roman" w:cs="Times New Roman"/>
      <w:sz w:val="2"/>
    </w:rPr>
  </w:style>
  <w:style w:type="paragraph" w:customStyle="1" w:styleId="HeaderCouncilLarge">
    <w:name w:val="Header Council Large"/>
    <w:basedOn w:val="Normal"/>
    <w:link w:val="HeaderCouncilLargeChar"/>
    <w:rsid w:val="004E7057"/>
    <w:pPr>
      <w:spacing w:before="0" w:after="440"/>
    </w:pPr>
    <w:rPr>
      <w:sz w:val="2"/>
    </w:rPr>
  </w:style>
  <w:style w:type="character" w:customStyle="1" w:styleId="HeaderCouncilLargeChar">
    <w:name w:val="Header Council Large Char"/>
    <w:basedOn w:val="pjChar"/>
    <w:link w:val="HeaderCouncilLarge"/>
    <w:rsid w:val="004E7057"/>
    <w:rPr>
      <w:rFonts w:ascii="Times New Roman" w:hAnsi="Times New Roman" w:cs="Times New Roman"/>
      <w:sz w:val="2"/>
    </w:rPr>
  </w:style>
  <w:style w:type="paragraph" w:customStyle="1" w:styleId="FooterCouncil">
    <w:name w:val="Footer Council"/>
    <w:basedOn w:val="Normal"/>
    <w:link w:val="FooterCouncilChar"/>
    <w:rsid w:val="004E7057"/>
    <w:pPr>
      <w:spacing w:before="0" w:after="0"/>
    </w:pPr>
    <w:rPr>
      <w:sz w:val="2"/>
    </w:rPr>
  </w:style>
  <w:style w:type="character" w:customStyle="1" w:styleId="FooterCouncilChar">
    <w:name w:val="Footer Council Char"/>
    <w:basedOn w:val="pjChar"/>
    <w:link w:val="FooterCouncil"/>
    <w:rsid w:val="004E7057"/>
    <w:rPr>
      <w:rFonts w:ascii="Times New Roman" w:hAnsi="Times New Roman" w:cs="Times New Roman"/>
      <w:sz w:val="2"/>
    </w:rPr>
  </w:style>
  <w:style w:type="paragraph" w:customStyle="1" w:styleId="FooterText">
    <w:name w:val="Footer Text"/>
    <w:basedOn w:val="Normal"/>
    <w:rsid w:val="004E7057"/>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4E7057"/>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4E7057"/>
    <w:pPr>
      <w:spacing w:before="0" w:after="240"/>
      <w:jc w:val="center"/>
    </w:pPr>
  </w:style>
  <w:style w:type="character" w:customStyle="1" w:styleId="TechnicalBlockChar">
    <w:name w:val="Technical Block Char"/>
    <w:basedOn w:val="DefaultParagraphFont"/>
    <w:link w:val="TechnicalBlock"/>
    <w:rsid w:val="004E7057"/>
    <w:rPr>
      <w:rFonts w:ascii="Times New Roman" w:hAnsi="Times New Roman" w:cs="Times New Roman"/>
      <w:sz w:val="24"/>
    </w:rPr>
  </w:style>
  <w:style w:type="paragraph" w:customStyle="1" w:styleId="Lignefinal">
    <w:name w:val="Ligne final"/>
    <w:basedOn w:val="Normal"/>
    <w:next w:val="Normal"/>
    <w:rsid w:val="004E7057"/>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4E7057"/>
    <w:pPr>
      <w:spacing w:line="360" w:lineRule="auto"/>
      <w:jc w:val="left"/>
    </w:pPr>
    <w:rPr>
      <w:lang w:eastAsia="en-US" w:bidi="ar-SA"/>
    </w:rPr>
  </w:style>
  <w:style w:type="paragraph" w:customStyle="1" w:styleId="pj">
    <w:name w:val="p.j."/>
    <w:basedOn w:val="Normal"/>
    <w:link w:val="pjChar"/>
    <w:rsid w:val="004E7057"/>
    <w:pPr>
      <w:spacing w:before="1200"/>
      <w:ind w:left="1440" w:hanging="1440"/>
      <w:jc w:val="left"/>
    </w:pPr>
  </w:style>
  <w:style w:type="character" w:customStyle="1" w:styleId="pjChar">
    <w:name w:val="p.j. Char"/>
    <w:basedOn w:val="TechnicalBlockChar"/>
    <w:link w:val="pj"/>
    <w:rsid w:val="004E7057"/>
    <w:rPr>
      <w:rFonts w:ascii="Times New Roman" w:hAnsi="Times New Roman" w:cs="Times New Roman"/>
      <w:sz w:val="24"/>
    </w:rPr>
  </w:style>
  <w:style w:type="paragraph" w:customStyle="1" w:styleId="HeaderCouncil">
    <w:name w:val="Header Council"/>
    <w:basedOn w:val="Normal"/>
    <w:link w:val="HeaderCouncilChar"/>
    <w:rsid w:val="004E7057"/>
    <w:pPr>
      <w:spacing w:before="0" w:after="0"/>
    </w:pPr>
    <w:rPr>
      <w:sz w:val="2"/>
    </w:rPr>
  </w:style>
  <w:style w:type="character" w:customStyle="1" w:styleId="HeaderCouncilChar">
    <w:name w:val="Header Council Char"/>
    <w:basedOn w:val="pjChar"/>
    <w:link w:val="HeaderCouncil"/>
    <w:rsid w:val="004E7057"/>
    <w:rPr>
      <w:rFonts w:ascii="Times New Roman" w:hAnsi="Times New Roman" w:cs="Times New Roman"/>
      <w:sz w:val="2"/>
    </w:rPr>
  </w:style>
  <w:style w:type="paragraph" w:customStyle="1" w:styleId="HeaderCouncilLarge">
    <w:name w:val="Header Council Large"/>
    <w:basedOn w:val="Normal"/>
    <w:link w:val="HeaderCouncilLargeChar"/>
    <w:rsid w:val="004E7057"/>
    <w:pPr>
      <w:spacing w:before="0" w:after="440"/>
    </w:pPr>
    <w:rPr>
      <w:sz w:val="2"/>
    </w:rPr>
  </w:style>
  <w:style w:type="character" w:customStyle="1" w:styleId="HeaderCouncilLargeChar">
    <w:name w:val="Header Council Large Char"/>
    <w:basedOn w:val="pjChar"/>
    <w:link w:val="HeaderCouncilLarge"/>
    <w:rsid w:val="004E7057"/>
    <w:rPr>
      <w:rFonts w:ascii="Times New Roman" w:hAnsi="Times New Roman" w:cs="Times New Roman"/>
      <w:sz w:val="2"/>
    </w:rPr>
  </w:style>
  <w:style w:type="paragraph" w:customStyle="1" w:styleId="FooterCouncil">
    <w:name w:val="Footer Council"/>
    <w:basedOn w:val="Normal"/>
    <w:link w:val="FooterCouncilChar"/>
    <w:rsid w:val="004E7057"/>
    <w:pPr>
      <w:spacing w:before="0" w:after="0"/>
    </w:pPr>
    <w:rPr>
      <w:sz w:val="2"/>
    </w:rPr>
  </w:style>
  <w:style w:type="character" w:customStyle="1" w:styleId="FooterCouncilChar">
    <w:name w:val="Footer Council Char"/>
    <w:basedOn w:val="pjChar"/>
    <w:link w:val="FooterCouncil"/>
    <w:rsid w:val="004E7057"/>
    <w:rPr>
      <w:rFonts w:ascii="Times New Roman" w:hAnsi="Times New Roman" w:cs="Times New Roman"/>
      <w:sz w:val="2"/>
    </w:rPr>
  </w:style>
  <w:style w:type="paragraph" w:customStyle="1" w:styleId="FooterText">
    <w:name w:val="Footer Text"/>
    <w:basedOn w:val="Normal"/>
    <w:rsid w:val="004E7057"/>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VIRVILI Vasiliki (RTD)</dc:creator>
  <cp:lastModifiedBy>NOVAK Roman</cp:lastModifiedBy>
  <cp:revision>2</cp:revision>
  <dcterms:created xsi:type="dcterms:W3CDTF">2017-08-29T12:05:00Z</dcterms:created>
  <dcterms:modified xsi:type="dcterms:W3CDTF">2017-08-29T12:05:00Z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