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8C84E" w14:textId="77777777" w:rsidR="00117FCD" w:rsidRPr="00B95D04" w:rsidRDefault="00F716E9" w:rsidP="00117FCD">
      <w:pPr>
        <w:pStyle w:val="Header"/>
        <w:tabs>
          <w:tab w:val="clear" w:pos="4320"/>
          <w:tab w:val="clear" w:pos="8640"/>
          <w:tab w:val="left" w:pos="5112"/>
        </w:tabs>
        <w:spacing w:before="120" w:line="240" w:lineRule="exact"/>
        <w:rPr>
          <w:rFonts w:cs="Arial"/>
          <w:szCs w:val="20"/>
          <w:lang w:val="sl-SI"/>
        </w:rPr>
      </w:pPr>
      <w:r w:rsidRPr="00B95D04">
        <w:rPr>
          <w:rFonts w:cs="Arial"/>
          <w:noProof/>
          <w:szCs w:val="20"/>
          <w:lang w:val="sl-SI" w:eastAsia="sl-SI"/>
        </w:rPr>
        <w:drawing>
          <wp:anchor distT="0" distB="0" distL="114300" distR="114300" simplePos="0" relativeHeight="251658240" behindDoc="0" locked="0" layoutInCell="1" allowOverlap="1" wp14:anchorId="6D88CA3B" wp14:editId="6D88CA3C">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FCD" w:rsidRPr="00B95D04">
        <w:rPr>
          <w:rFonts w:cs="Arial"/>
          <w:szCs w:val="20"/>
          <w:lang w:val="sl-SI"/>
        </w:rPr>
        <w:tab/>
      </w:r>
    </w:p>
    <w:p w14:paraId="6D88C84F" w14:textId="77777777" w:rsidR="009A1339" w:rsidRPr="00B95D04" w:rsidRDefault="003D1E7C" w:rsidP="009A1339">
      <w:pPr>
        <w:pStyle w:val="Odstavekseznama1"/>
        <w:spacing w:line="260" w:lineRule="exact"/>
        <w:rPr>
          <w:rFonts w:ascii="Arial" w:hAnsi="Arial" w:cs="Arial"/>
          <w:color w:val="808080"/>
          <w:sz w:val="20"/>
          <w:szCs w:val="20"/>
        </w:rPr>
      </w:pPr>
      <w:r w:rsidRPr="00B95D04">
        <w:rPr>
          <w:rFonts w:ascii="Arial" w:hAnsi="Arial" w:cs="Arial"/>
          <w:color w:val="808080"/>
          <w:sz w:val="20"/>
          <w:szCs w:val="20"/>
        </w:rPr>
        <w:tab/>
      </w:r>
      <w:r w:rsidRPr="00B95D04">
        <w:rPr>
          <w:rFonts w:ascii="Arial" w:hAnsi="Arial" w:cs="Arial"/>
          <w:color w:val="808080"/>
          <w:sz w:val="20"/>
          <w:szCs w:val="20"/>
        </w:rPr>
        <w:tab/>
      </w:r>
      <w:r w:rsidRPr="00B95D04">
        <w:rPr>
          <w:rFonts w:ascii="Arial" w:hAnsi="Arial" w:cs="Arial"/>
          <w:color w:val="808080"/>
          <w:sz w:val="20"/>
          <w:szCs w:val="20"/>
        </w:rPr>
        <w:tab/>
      </w:r>
      <w:r w:rsidRPr="00B95D04">
        <w:rPr>
          <w:rFonts w:ascii="Arial" w:hAnsi="Arial" w:cs="Arial"/>
          <w:color w:val="808080"/>
          <w:sz w:val="20"/>
          <w:szCs w:val="20"/>
        </w:rPr>
        <w:tab/>
      </w:r>
      <w:r w:rsidRPr="00B95D04">
        <w:rPr>
          <w:rFonts w:ascii="Arial" w:hAnsi="Arial" w:cs="Arial"/>
          <w:color w:val="808080"/>
          <w:sz w:val="20"/>
          <w:szCs w:val="20"/>
        </w:rPr>
        <w:tab/>
      </w:r>
      <w:r w:rsidRPr="00B95D04">
        <w:rPr>
          <w:rFonts w:ascii="Arial" w:hAnsi="Arial" w:cs="Arial"/>
          <w:color w:val="808080"/>
          <w:sz w:val="20"/>
          <w:szCs w:val="20"/>
        </w:rPr>
        <w:tab/>
      </w:r>
      <w:r w:rsidRPr="00B95D04">
        <w:rPr>
          <w:rFonts w:ascii="Arial" w:hAnsi="Arial" w:cs="Arial"/>
          <w:color w:val="808080"/>
          <w:sz w:val="20"/>
          <w:szCs w:val="20"/>
        </w:rPr>
        <w:tab/>
        <w:t>T: 01 369 63 00</w:t>
      </w:r>
    </w:p>
    <w:p w14:paraId="6D88C850" w14:textId="77777777" w:rsidR="00F6027F" w:rsidRPr="00B95D04" w:rsidRDefault="003D1E7C" w:rsidP="009A1339">
      <w:pPr>
        <w:pStyle w:val="Odstavekseznama1"/>
        <w:spacing w:line="260" w:lineRule="exact"/>
        <w:rPr>
          <w:rFonts w:ascii="Arial" w:hAnsi="Arial" w:cs="Arial"/>
          <w:color w:val="808080"/>
          <w:sz w:val="20"/>
          <w:szCs w:val="20"/>
        </w:rPr>
      </w:pPr>
      <w:r w:rsidRPr="00B95D04">
        <w:rPr>
          <w:rFonts w:ascii="Arial" w:hAnsi="Arial" w:cs="Arial"/>
          <w:color w:val="808080"/>
          <w:sz w:val="20"/>
          <w:szCs w:val="20"/>
        </w:rPr>
        <w:tab/>
      </w:r>
      <w:r w:rsidRPr="00B95D04">
        <w:rPr>
          <w:rFonts w:ascii="Arial" w:hAnsi="Arial" w:cs="Arial"/>
          <w:color w:val="808080"/>
          <w:sz w:val="20"/>
          <w:szCs w:val="20"/>
        </w:rPr>
        <w:tab/>
      </w:r>
      <w:r w:rsidRPr="00B95D04">
        <w:rPr>
          <w:rFonts w:ascii="Arial" w:hAnsi="Arial" w:cs="Arial"/>
          <w:color w:val="808080"/>
          <w:sz w:val="20"/>
          <w:szCs w:val="20"/>
        </w:rPr>
        <w:tab/>
      </w:r>
      <w:r w:rsidRPr="00B95D04">
        <w:rPr>
          <w:rFonts w:ascii="Arial" w:hAnsi="Arial" w:cs="Arial"/>
          <w:color w:val="808080"/>
          <w:sz w:val="20"/>
          <w:szCs w:val="20"/>
        </w:rPr>
        <w:tab/>
      </w:r>
      <w:r w:rsidRPr="00B95D04">
        <w:rPr>
          <w:rFonts w:ascii="Arial" w:hAnsi="Arial" w:cs="Arial"/>
          <w:color w:val="808080"/>
          <w:sz w:val="20"/>
          <w:szCs w:val="20"/>
        </w:rPr>
        <w:tab/>
      </w:r>
      <w:r w:rsidRPr="00B95D04">
        <w:rPr>
          <w:rFonts w:ascii="Arial" w:hAnsi="Arial" w:cs="Arial"/>
          <w:color w:val="808080"/>
          <w:sz w:val="20"/>
          <w:szCs w:val="20"/>
        </w:rPr>
        <w:tab/>
      </w:r>
      <w:r w:rsidRPr="00B95D04">
        <w:rPr>
          <w:rFonts w:ascii="Arial" w:hAnsi="Arial" w:cs="Arial"/>
          <w:color w:val="808080"/>
          <w:sz w:val="20"/>
          <w:szCs w:val="20"/>
        </w:rPr>
        <w:tab/>
        <w:t>F: 01 369 66 59</w:t>
      </w:r>
    </w:p>
    <w:p w14:paraId="6D88C851" w14:textId="72F22037" w:rsidR="009A1339" w:rsidRPr="00B95D04" w:rsidRDefault="00F6027F" w:rsidP="00117FCD">
      <w:pPr>
        <w:pStyle w:val="Odstavekseznama1"/>
        <w:spacing w:line="260" w:lineRule="exact"/>
        <w:ind w:left="0"/>
        <w:rPr>
          <w:rFonts w:ascii="Arial" w:hAnsi="Arial" w:cs="Arial"/>
          <w:color w:val="808080"/>
          <w:sz w:val="20"/>
          <w:szCs w:val="20"/>
        </w:rPr>
      </w:pPr>
      <w:r w:rsidRPr="00B95D04">
        <w:rPr>
          <w:rFonts w:ascii="Arial" w:hAnsi="Arial" w:cs="Arial"/>
          <w:sz w:val="20"/>
          <w:szCs w:val="20"/>
        </w:rPr>
        <w:t xml:space="preserve">      </w:t>
      </w:r>
      <w:r w:rsidR="009A1339" w:rsidRPr="00B95D04">
        <w:rPr>
          <w:rFonts w:ascii="Arial" w:hAnsi="Arial" w:cs="Arial"/>
          <w:color w:val="808080"/>
          <w:sz w:val="20"/>
          <w:szCs w:val="20"/>
        </w:rPr>
        <w:t>Župančičeva 3, p.p.</w:t>
      </w:r>
      <w:r w:rsidR="00475AA0">
        <w:rPr>
          <w:rFonts w:ascii="Arial" w:hAnsi="Arial" w:cs="Arial"/>
          <w:color w:val="808080"/>
          <w:sz w:val="20"/>
          <w:szCs w:val="20"/>
        </w:rPr>
        <w:t xml:space="preserve"> </w:t>
      </w:r>
      <w:r w:rsidR="009A1339" w:rsidRPr="00B95D04">
        <w:rPr>
          <w:rFonts w:ascii="Arial" w:hAnsi="Arial" w:cs="Arial"/>
          <w:color w:val="808080"/>
          <w:sz w:val="20"/>
          <w:szCs w:val="20"/>
        </w:rPr>
        <w:t>644a, 1001 Ljubljana</w:t>
      </w:r>
      <w:r w:rsidR="009A1339" w:rsidRPr="00B95D04">
        <w:rPr>
          <w:rFonts w:ascii="Arial" w:hAnsi="Arial" w:cs="Arial"/>
          <w:b/>
          <w:color w:val="808080"/>
          <w:sz w:val="20"/>
          <w:szCs w:val="20"/>
        </w:rPr>
        <w:tab/>
      </w:r>
      <w:r w:rsidR="00475AA0">
        <w:rPr>
          <w:rFonts w:ascii="Arial" w:hAnsi="Arial" w:cs="Arial"/>
          <w:b/>
          <w:color w:val="808080"/>
          <w:sz w:val="20"/>
          <w:szCs w:val="20"/>
        </w:rPr>
        <w:tab/>
      </w:r>
      <w:r w:rsidR="00475AA0">
        <w:rPr>
          <w:rFonts w:ascii="Arial" w:hAnsi="Arial" w:cs="Arial"/>
          <w:b/>
          <w:color w:val="808080"/>
          <w:sz w:val="20"/>
          <w:szCs w:val="20"/>
        </w:rPr>
        <w:tab/>
      </w:r>
      <w:r w:rsidR="009A1339" w:rsidRPr="00B95D04">
        <w:rPr>
          <w:rFonts w:ascii="Arial" w:hAnsi="Arial" w:cs="Arial"/>
          <w:color w:val="808080"/>
          <w:sz w:val="20"/>
          <w:szCs w:val="20"/>
        </w:rPr>
        <w:t>E: gp.mf@gov.si</w:t>
      </w:r>
    </w:p>
    <w:p w14:paraId="6D88C852" w14:textId="77777777" w:rsidR="009A1339" w:rsidRPr="00B95D04" w:rsidRDefault="00F6027F" w:rsidP="009A1339">
      <w:pPr>
        <w:pStyle w:val="Odstavekseznama1"/>
        <w:spacing w:line="260" w:lineRule="exact"/>
        <w:rPr>
          <w:rFonts w:ascii="Arial" w:hAnsi="Arial" w:cs="Arial"/>
          <w:color w:val="808080"/>
          <w:sz w:val="20"/>
          <w:szCs w:val="20"/>
        </w:rPr>
      </w:pPr>
      <w:r w:rsidRPr="00B95D04">
        <w:rPr>
          <w:rFonts w:ascii="Arial" w:hAnsi="Arial" w:cs="Arial"/>
          <w:b/>
          <w:color w:val="808080"/>
          <w:sz w:val="20"/>
          <w:szCs w:val="20"/>
        </w:rPr>
        <w:tab/>
      </w:r>
      <w:r w:rsidRPr="00B95D04">
        <w:rPr>
          <w:rFonts w:ascii="Arial" w:hAnsi="Arial" w:cs="Arial"/>
          <w:b/>
          <w:color w:val="808080"/>
          <w:sz w:val="20"/>
          <w:szCs w:val="20"/>
        </w:rPr>
        <w:tab/>
      </w:r>
      <w:r w:rsidRPr="00B95D04">
        <w:rPr>
          <w:rFonts w:ascii="Arial" w:hAnsi="Arial" w:cs="Arial"/>
          <w:b/>
          <w:color w:val="808080"/>
          <w:sz w:val="20"/>
          <w:szCs w:val="20"/>
        </w:rPr>
        <w:tab/>
      </w:r>
      <w:r w:rsidRPr="00B95D04">
        <w:rPr>
          <w:rFonts w:ascii="Arial" w:hAnsi="Arial" w:cs="Arial"/>
          <w:b/>
          <w:color w:val="808080"/>
          <w:sz w:val="20"/>
          <w:szCs w:val="20"/>
        </w:rPr>
        <w:tab/>
      </w:r>
      <w:r w:rsidRPr="00B95D04">
        <w:rPr>
          <w:rFonts w:ascii="Arial" w:hAnsi="Arial" w:cs="Arial"/>
          <w:b/>
          <w:color w:val="808080"/>
          <w:sz w:val="20"/>
          <w:szCs w:val="20"/>
        </w:rPr>
        <w:tab/>
      </w:r>
      <w:r w:rsidRPr="00B95D04">
        <w:rPr>
          <w:rFonts w:ascii="Arial" w:hAnsi="Arial" w:cs="Arial"/>
          <w:b/>
          <w:color w:val="808080"/>
          <w:sz w:val="20"/>
          <w:szCs w:val="20"/>
        </w:rPr>
        <w:tab/>
      </w:r>
      <w:r w:rsidR="009A1339" w:rsidRPr="00B95D04">
        <w:rPr>
          <w:rFonts w:ascii="Arial" w:hAnsi="Arial" w:cs="Arial"/>
          <w:b/>
          <w:color w:val="808080"/>
          <w:sz w:val="20"/>
          <w:szCs w:val="20"/>
        </w:rPr>
        <w:tab/>
      </w:r>
      <w:proofErr w:type="spellStart"/>
      <w:r w:rsidR="009A1339" w:rsidRPr="00B95D04">
        <w:rPr>
          <w:rFonts w:ascii="Arial" w:hAnsi="Arial" w:cs="Arial"/>
          <w:color w:val="808080"/>
          <w:sz w:val="20"/>
          <w:szCs w:val="20"/>
        </w:rPr>
        <w:t>www.mf.gov.si</w:t>
      </w:r>
      <w:proofErr w:type="spellEnd"/>
    </w:p>
    <w:p w14:paraId="6D88C853" w14:textId="77777777" w:rsidR="009A1339" w:rsidRPr="00B95D04" w:rsidRDefault="009A1339" w:rsidP="0068465E">
      <w:pPr>
        <w:pStyle w:val="Odstavekseznama1"/>
        <w:spacing w:line="260" w:lineRule="exact"/>
        <w:ind w:left="0"/>
        <w:rPr>
          <w:rFonts w:ascii="Arial" w:hAnsi="Arial" w:cs="Arial"/>
          <w:b/>
          <w:sz w:val="20"/>
          <w:szCs w:val="20"/>
        </w:rPr>
      </w:pPr>
    </w:p>
    <w:p w14:paraId="6D88C854" w14:textId="77777777" w:rsidR="009A1339" w:rsidRPr="00B95D04" w:rsidRDefault="009A1339" w:rsidP="0068465E">
      <w:pPr>
        <w:pStyle w:val="Odstavekseznama1"/>
        <w:spacing w:line="260" w:lineRule="exact"/>
        <w:ind w:left="0"/>
        <w:rPr>
          <w:rFonts w:ascii="Arial" w:hAnsi="Arial" w:cs="Arial"/>
          <w:b/>
          <w:sz w:val="20"/>
          <w:szCs w:val="20"/>
        </w:rPr>
      </w:pPr>
    </w:p>
    <w:p w14:paraId="6D88C855" w14:textId="77777777" w:rsidR="009A1339" w:rsidRPr="00B95D04" w:rsidRDefault="009A1339" w:rsidP="0068465E">
      <w:pPr>
        <w:pStyle w:val="Odstavekseznama1"/>
        <w:spacing w:line="260" w:lineRule="exact"/>
        <w:ind w:left="0"/>
        <w:rPr>
          <w:rFonts w:ascii="Arial" w:hAnsi="Arial" w:cs="Arial"/>
          <w:b/>
          <w:sz w:val="20"/>
          <w:szCs w:val="20"/>
        </w:rPr>
      </w:pPr>
    </w:p>
    <w:p w14:paraId="6D88C856" w14:textId="77777777" w:rsidR="005553CB" w:rsidRPr="00B95D04" w:rsidRDefault="005553CB" w:rsidP="005553CB">
      <w:pPr>
        <w:pStyle w:val="Odstavekseznama1"/>
        <w:spacing w:line="260" w:lineRule="exact"/>
        <w:ind w:left="0"/>
        <w:rPr>
          <w:rFonts w:ascii="Arial" w:hAnsi="Arial" w:cs="Arial"/>
          <w:b/>
          <w:sz w:val="20"/>
          <w:szCs w:val="20"/>
        </w:rPr>
      </w:pPr>
      <w:r w:rsidRPr="00B95D04">
        <w:rPr>
          <w:rFonts w:ascii="Arial" w:hAnsi="Arial" w:cs="Arial"/>
          <w:b/>
          <w:sz w:val="20"/>
          <w:szCs w:val="20"/>
        </w:rPr>
        <w:t>PRILOGA 1 (spremni dopis – 1. del):</w:t>
      </w:r>
    </w:p>
    <w:p w14:paraId="6D88C857" w14:textId="77777777" w:rsidR="005553CB" w:rsidRPr="00B95D04" w:rsidRDefault="005553CB" w:rsidP="005553C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553CB" w:rsidRPr="00B95D04" w14:paraId="6D88C859" w14:textId="77777777" w:rsidTr="00BA21C7">
        <w:trPr>
          <w:gridAfter w:val="2"/>
          <w:wAfter w:w="3067" w:type="dxa"/>
        </w:trPr>
        <w:tc>
          <w:tcPr>
            <w:tcW w:w="6096" w:type="dxa"/>
            <w:gridSpan w:val="2"/>
            <w:tcBorders>
              <w:top w:val="nil"/>
              <w:left w:val="nil"/>
              <w:bottom w:val="single" w:sz="4" w:space="0" w:color="auto"/>
              <w:right w:val="nil"/>
            </w:tcBorders>
          </w:tcPr>
          <w:p w14:paraId="6D88C858" w14:textId="77777777" w:rsidR="005553CB" w:rsidRPr="00B95D04" w:rsidRDefault="005553CB" w:rsidP="00CA689C">
            <w:pPr>
              <w:pStyle w:val="Neotevilenodstavek"/>
              <w:spacing w:before="0" w:after="0" w:line="260" w:lineRule="exact"/>
              <w:jc w:val="left"/>
              <w:rPr>
                <w:rFonts w:cs="Arial"/>
                <w:sz w:val="20"/>
                <w:szCs w:val="20"/>
                <w:lang w:val="sl-SI" w:eastAsia="sl-SI"/>
              </w:rPr>
            </w:pPr>
          </w:p>
        </w:tc>
      </w:tr>
      <w:tr w:rsidR="005553CB" w:rsidRPr="00B95D04" w14:paraId="6D88C85B" w14:textId="77777777" w:rsidTr="00BA21C7">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14:paraId="6D88C85A" w14:textId="4341AE4E" w:rsidR="005553CB" w:rsidRPr="00B95D04" w:rsidRDefault="005553CB" w:rsidP="007F1AF7">
            <w:pPr>
              <w:pStyle w:val="Neotevilenodstavek"/>
              <w:spacing w:before="0" w:after="0" w:line="260" w:lineRule="exact"/>
              <w:jc w:val="left"/>
              <w:rPr>
                <w:rFonts w:cs="Arial"/>
                <w:sz w:val="20"/>
                <w:szCs w:val="20"/>
                <w:lang w:val="sl-SI" w:eastAsia="sl-SI"/>
              </w:rPr>
            </w:pPr>
            <w:r w:rsidRPr="00B95D04">
              <w:rPr>
                <w:rFonts w:cs="Arial"/>
                <w:sz w:val="20"/>
                <w:szCs w:val="20"/>
                <w:lang w:val="sl-SI" w:eastAsia="sl-SI"/>
              </w:rPr>
              <w:t xml:space="preserve">Številka: </w:t>
            </w:r>
            <w:r w:rsidR="004426C8" w:rsidRPr="00B95D04">
              <w:rPr>
                <w:rFonts w:cs="Arial"/>
                <w:sz w:val="20"/>
                <w:szCs w:val="20"/>
                <w:lang w:val="sl-SI" w:eastAsia="sl-SI"/>
              </w:rPr>
              <w:t>007-</w:t>
            </w:r>
            <w:r w:rsidR="006E3FD5" w:rsidRPr="00B95D04">
              <w:rPr>
                <w:rFonts w:cs="Arial"/>
                <w:sz w:val="20"/>
                <w:szCs w:val="20"/>
                <w:lang w:val="sl-SI" w:eastAsia="sl-SI"/>
              </w:rPr>
              <w:t>469/2017</w:t>
            </w:r>
            <w:r w:rsidR="00376913">
              <w:rPr>
                <w:rFonts w:cs="Arial"/>
                <w:sz w:val="20"/>
                <w:szCs w:val="20"/>
                <w:lang w:val="sl-SI" w:eastAsia="sl-SI"/>
              </w:rPr>
              <w:t>/53</w:t>
            </w:r>
            <w:bookmarkStart w:id="0" w:name="_GoBack"/>
            <w:bookmarkEnd w:id="0"/>
          </w:p>
        </w:tc>
      </w:tr>
      <w:tr w:rsidR="005553CB" w:rsidRPr="00B95D04" w14:paraId="6D88C85D" w14:textId="77777777" w:rsidTr="00BA21C7">
        <w:trPr>
          <w:gridAfter w:val="2"/>
          <w:wAfter w:w="3067" w:type="dxa"/>
        </w:trPr>
        <w:tc>
          <w:tcPr>
            <w:tcW w:w="6096" w:type="dxa"/>
            <w:gridSpan w:val="2"/>
            <w:tcBorders>
              <w:top w:val="single" w:sz="4" w:space="0" w:color="auto"/>
            </w:tcBorders>
          </w:tcPr>
          <w:p w14:paraId="6D88C85C" w14:textId="4F020A7B" w:rsidR="005553CB" w:rsidRPr="00B95D04" w:rsidRDefault="005553CB" w:rsidP="009D5B8E">
            <w:pPr>
              <w:pStyle w:val="Neotevilenodstavek"/>
              <w:spacing w:before="0" w:after="0" w:line="260" w:lineRule="exact"/>
              <w:jc w:val="left"/>
              <w:rPr>
                <w:rFonts w:cs="Arial"/>
                <w:sz w:val="20"/>
                <w:szCs w:val="20"/>
                <w:lang w:val="sl-SI" w:eastAsia="sl-SI"/>
              </w:rPr>
            </w:pPr>
            <w:r w:rsidRPr="00B95D04">
              <w:rPr>
                <w:rFonts w:cs="Arial"/>
                <w:sz w:val="20"/>
                <w:szCs w:val="20"/>
                <w:lang w:val="sl-SI" w:eastAsia="sl-SI"/>
              </w:rPr>
              <w:t xml:space="preserve">Ljubljana, </w:t>
            </w:r>
            <w:r w:rsidR="004426C8" w:rsidRPr="00B95D04">
              <w:rPr>
                <w:rFonts w:cs="Arial"/>
                <w:sz w:val="20"/>
                <w:szCs w:val="20"/>
                <w:lang w:val="sl-SI" w:eastAsia="sl-SI"/>
              </w:rPr>
              <w:t xml:space="preserve">dne </w:t>
            </w:r>
            <w:r w:rsidR="009D5B8E">
              <w:rPr>
                <w:rFonts w:cs="Arial"/>
                <w:sz w:val="20"/>
                <w:szCs w:val="20"/>
                <w:lang w:val="sl-SI" w:eastAsia="sl-SI"/>
              </w:rPr>
              <w:t xml:space="preserve">22. 9. </w:t>
            </w:r>
            <w:r w:rsidR="00EE3653" w:rsidRPr="00B95D04">
              <w:rPr>
                <w:rFonts w:cs="Arial"/>
                <w:sz w:val="20"/>
                <w:szCs w:val="20"/>
                <w:lang w:val="sl-SI" w:eastAsia="sl-SI"/>
              </w:rPr>
              <w:t>2017</w:t>
            </w:r>
          </w:p>
        </w:tc>
      </w:tr>
      <w:tr w:rsidR="005553CB" w:rsidRPr="00B95D04" w14:paraId="6D88C85F" w14:textId="77777777" w:rsidTr="00CA689C">
        <w:trPr>
          <w:gridAfter w:val="2"/>
          <w:wAfter w:w="3067" w:type="dxa"/>
        </w:trPr>
        <w:tc>
          <w:tcPr>
            <w:tcW w:w="6096" w:type="dxa"/>
            <w:gridSpan w:val="2"/>
          </w:tcPr>
          <w:p w14:paraId="6D88C85E" w14:textId="19F7348F" w:rsidR="005553CB" w:rsidRPr="00B95D04" w:rsidRDefault="005553CB" w:rsidP="007F1AF7">
            <w:pPr>
              <w:pStyle w:val="Neotevilenodstavek"/>
              <w:spacing w:before="0" w:after="0" w:line="260" w:lineRule="exact"/>
              <w:jc w:val="left"/>
              <w:rPr>
                <w:rFonts w:cs="Arial"/>
                <w:sz w:val="20"/>
                <w:szCs w:val="20"/>
                <w:lang w:val="sl-SI" w:eastAsia="sl-SI"/>
              </w:rPr>
            </w:pPr>
            <w:r w:rsidRPr="00B95D04">
              <w:rPr>
                <w:rFonts w:cs="Arial"/>
                <w:iCs/>
                <w:sz w:val="20"/>
                <w:szCs w:val="20"/>
                <w:lang w:val="sl-SI" w:eastAsia="sl-SI"/>
              </w:rPr>
              <w:t>EVA</w:t>
            </w:r>
            <w:r w:rsidR="00253A04" w:rsidRPr="00B95D04">
              <w:rPr>
                <w:rFonts w:cs="Arial"/>
                <w:iCs/>
                <w:sz w:val="20"/>
                <w:szCs w:val="20"/>
                <w:lang w:val="sl-SI" w:eastAsia="sl-SI"/>
              </w:rPr>
              <w:t xml:space="preserve">: </w:t>
            </w:r>
            <w:r w:rsidR="006E3FD5" w:rsidRPr="00B95D04">
              <w:rPr>
                <w:rFonts w:cs="Arial"/>
                <w:iCs/>
                <w:sz w:val="20"/>
                <w:szCs w:val="20"/>
                <w:lang w:val="sl-SI" w:eastAsia="sl-SI"/>
              </w:rPr>
              <w:t>2017-1611-0024</w:t>
            </w:r>
          </w:p>
        </w:tc>
      </w:tr>
      <w:tr w:rsidR="005553CB" w:rsidRPr="00B95D04" w14:paraId="6D88C863" w14:textId="77777777" w:rsidTr="00CA689C">
        <w:trPr>
          <w:gridAfter w:val="2"/>
          <w:wAfter w:w="3067" w:type="dxa"/>
        </w:trPr>
        <w:tc>
          <w:tcPr>
            <w:tcW w:w="6096" w:type="dxa"/>
            <w:gridSpan w:val="2"/>
          </w:tcPr>
          <w:p w14:paraId="6D88C860" w14:textId="77777777" w:rsidR="005553CB" w:rsidRPr="00B95D04" w:rsidRDefault="005553CB" w:rsidP="00CA689C">
            <w:pPr>
              <w:rPr>
                <w:rFonts w:ascii="Arial" w:hAnsi="Arial" w:cs="Arial"/>
                <w:sz w:val="20"/>
                <w:szCs w:val="20"/>
              </w:rPr>
            </w:pPr>
          </w:p>
          <w:p w14:paraId="6D88C861" w14:textId="77777777" w:rsidR="005553CB" w:rsidRPr="00B95D04" w:rsidRDefault="005553CB" w:rsidP="00CA689C">
            <w:pPr>
              <w:rPr>
                <w:rFonts w:ascii="Arial" w:hAnsi="Arial" w:cs="Arial"/>
                <w:sz w:val="20"/>
                <w:szCs w:val="20"/>
              </w:rPr>
            </w:pPr>
            <w:r w:rsidRPr="00B95D04">
              <w:rPr>
                <w:rFonts w:ascii="Arial" w:hAnsi="Arial" w:cs="Arial"/>
                <w:sz w:val="20"/>
                <w:szCs w:val="20"/>
              </w:rPr>
              <w:t>GENERALNI SEKRETARIAT VLADE REPUBLIKE SLOVENIJE</w:t>
            </w:r>
          </w:p>
          <w:p w14:paraId="6D88C862" w14:textId="77777777" w:rsidR="005553CB" w:rsidRPr="00B95D04" w:rsidRDefault="00EA2690" w:rsidP="003C0DF0">
            <w:pPr>
              <w:rPr>
                <w:rFonts w:ascii="Arial" w:hAnsi="Arial" w:cs="Arial"/>
                <w:sz w:val="20"/>
                <w:szCs w:val="20"/>
              </w:rPr>
            </w:pPr>
            <w:hyperlink r:id="rId15" w:history="1">
              <w:r w:rsidR="005553CB" w:rsidRPr="00B95D04">
                <w:rPr>
                  <w:rStyle w:val="Hyperlink"/>
                  <w:rFonts w:ascii="Arial" w:hAnsi="Arial" w:cs="Arial"/>
                  <w:sz w:val="20"/>
                  <w:szCs w:val="20"/>
                </w:rPr>
                <w:t>Gp.gs@gov.si</w:t>
              </w:r>
            </w:hyperlink>
          </w:p>
        </w:tc>
      </w:tr>
      <w:tr w:rsidR="005553CB" w:rsidRPr="00B95D04" w14:paraId="6D88C865" w14:textId="77777777" w:rsidTr="00CA689C">
        <w:tc>
          <w:tcPr>
            <w:tcW w:w="9163" w:type="dxa"/>
            <w:gridSpan w:val="4"/>
          </w:tcPr>
          <w:p w14:paraId="6D88C864" w14:textId="5A31A45F" w:rsidR="005553CB" w:rsidRPr="00B95D04" w:rsidRDefault="005553CB" w:rsidP="007F1AF7">
            <w:pPr>
              <w:pStyle w:val="Naslovpredpisa"/>
              <w:spacing w:before="0" w:after="0" w:line="260" w:lineRule="exact"/>
              <w:jc w:val="left"/>
              <w:rPr>
                <w:rFonts w:cs="Arial"/>
                <w:sz w:val="20"/>
                <w:szCs w:val="20"/>
                <w:lang w:val="sl-SI" w:eastAsia="sl-SI"/>
              </w:rPr>
            </w:pPr>
            <w:r w:rsidRPr="00B95D04">
              <w:rPr>
                <w:rFonts w:cs="Arial"/>
                <w:sz w:val="20"/>
                <w:szCs w:val="20"/>
                <w:lang w:val="sl-SI" w:eastAsia="sl-SI"/>
              </w:rPr>
              <w:t xml:space="preserve">ZADEVA: </w:t>
            </w:r>
            <w:r w:rsidR="003E0DAA" w:rsidRPr="00B95D04">
              <w:rPr>
                <w:rFonts w:cs="Arial"/>
                <w:sz w:val="20"/>
                <w:szCs w:val="20"/>
                <w:lang w:val="sl-SI" w:eastAsia="sl-SI"/>
              </w:rPr>
              <w:t xml:space="preserve">Predlog Zakona o </w:t>
            </w:r>
            <w:r w:rsidR="00823213" w:rsidRPr="00B95D04">
              <w:rPr>
                <w:rFonts w:cs="Arial"/>
                <w:sz w:val="20"/>
                <w:szCs w:val="20"/>
                <w:lang w:val="sl-SI" w:eastAsia="sl-SI"/>
              </w:rPr>
              <w:t xml:space="preserve">spremembah in </w:t>
            </w:r>
            <w:r w:rsidR="003E0DAA" w:rsidRPr="00B95D04">
              <w:rPr>
                <w:rFonts w:cs="Arial"/>
                <w:sz w:val="20"/>
                <w:szCs w:val="20"/>
                <w:lang w:val="sl-SI" w:eastAsia="sl-SI"/>
              </w:rPr>
              <w:t xml:space="preserve">dopolnitvah Zakona o davku od dohodkov pravnih oseb – predlog za obravnavo </w:t>
            </w:r>
          </w:p>
        </w:tc>
      </w:tr>
      <w:tr w:rsidR="005553CB" w:rsidRPr="00B95D04" w14:paraId="6D88C867" w14:textId="77777777" w:rsidTr="00CA689C">
        <w:tc>
          <w:tcPr>
            <w:tcW w:w="9163" w:type="dxa"/>
            <w:gridSpan w:val="4"/>
          </w:tcPr>
          <w:p w14:paraId="6D88C866" w14:textId="77777777" w:rsidR="005553CB" w:rsidRPr="00B95D04" w:rsidRDefault="005553CB" w:rsidP="00CA689C">
            <w:pPr>
              <w:pStyle w:val="Poglavje"/>
              <w:spacing w:before="0" w:after="0" w:line="260" w:lineRule="exact"/>
              <w:jc w:val="left"/>
              <w:rPr>
                <w:sz w:val="20"/>
                <w:szCs w:val="20"/>
              </w:rPr>
            </w:pPr>
            <w:r w:rsidRPr="00B95D04">
              <w:rPr>
                <w:sz w:val="20"/>
                <w:szCs w:val="20"/>
              </w:rPr>
              <w:t>1. Predlog sklepov vlade:</w:t>
            </w:r>
          </w:p>
        </w:tc>
      </w:tr>
      <w:tr w:rsidR="005553CB" w:rsidRPr="00B95D04" w14:paraId="6D88C87A" w14:textId="77777777" w:rsidTr="00CA689C">
        <w:tc>
          <w:tcPr>
            <w:tcW w:w="9163" w:type="dxa"/>
            <w:gridSpan w:val="4"/>
          </w:tcPr>
          <w:p w14:paraId="6D88C868" w14:textId="77777777" w:rsidR="00C56454" w:rsidRPr="00B95D04" w:rsidRDefault="00C56454" w:rsidP="00C5645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95D04">
              <w:rPr>
                <w:rFonts w:ascii="Arial" w:eastAsia="Times New Roman" w:hAnsi="Arial" w:cs="Arial"/>
                <w:sz w:val="20"/>
                <w:szCs w:val="20"/>
                <w:lang w:eastAsia="sl-SI"/>
              </w:rPr>
              <w:t>Na podlagi drugega odstavka 2. člena Zakona o Vladi Republike Slovenije (Uradni list RS, št. 24/05 – uradno prečiščeno besedilo, 109/08, 38/10 – ZUKN, 8/12, 21/13, 47/13 – ZDU-1G in 65/14) je Vlada Republike Slovenije na … seji dne … pod točko … sprejela</w:t>
            </w:r>
          </w:p>
          <w:p w14:paraId="6D88C869" w14:textId="77777777" w:rsidR="00C56454" w:rsidRPr="00B95D04" w:rsidRDefault="00C56454" w:rsidP="00C56454">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p>
          <w:p w14:paraId="6D88C86A" w14:textId="77777777" w:rsidR="00C56454" w:rsidRPr="00B95D04" w:rsidRDefault="00C56454" w:rsidP="00C56454">
            <w:pPr>
              <w:overflowPunct w:val="0"/>
              <w:autoSpaceDE w:val="0"/>
              <w:autoSpaceDN w:val="0"/>
              <w:adjustRightInd w:val="0"/>
              <w:spacing w:before="60" w:after="60" w:line="260" w:lineRule="exact"/>
              <w:jc w:val="center"/>
              <w:textAlignment w:val="baseline"/>
              <w:rPr>
                <w:rFonts w:ascii="Arial" w:eastAsia="Times New Roman" w:hAnsi="Arial" w:cs="Arial"/>
                <w:b/>
                <w:bCs/>
                <w:sz w:val="20"/>
                <w:szCs w:val="20"/>
                <w:lang w:eastAsia="sl-SI"/>
              </w:rPr>
            </w:pPr>
            <w:r w:rsidRPr="00B95D04">
              <w:rPr>
                <w:rFonts w:ascii="Arial" w:eastAsia="Times New Roman" w:hAnsi="Arial" w:cs="Arial"/>
                <w:b/>
                <w:bCs/>
                <w:sz w:val="20"/>
                <w:szCs w:val="20"/>
                <w:lang w:eastAsia="sl-SI"/>
              </w:rPr>
              <w:t>SKLEP</w:t>
            </w:r>
          </w:p>
          <w:p w14:paraId="6D88C86B" w14:textId="77777777" w:rsidR="00C56454" w:rsidRPr="00B95D04" w:rsidRDefault="00C56454" w:rsidP="00C56454">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p>
          <w:p w14:paraId="6D88C86C" w14:textId="4993D11F" w:rsidR="00C56454" w:rsidRPr="00B95D04" w:rsidRDefault="00C56454" w:rsidP="00C56454">
            <w:pPr>
              <w:spacing w:after="0" w:line="260" w:lineRule="exact"/>
              <w:jc w:val="both"/>
              <w:rPr>
                <w:rFonts w:ascii="Arial" w:eastAsia="Times New Roman" w:hAnsi="Arial" w:cs="Arial"/>
                <w:sz w:val="20"/>
                <w:szCs w:val="20"/>
              </w:rPr>
            </w:pPr>
            <w:r w:rsidRPr="00B95D04">
              <w:rPr>
                <w:rFonts w:ascii="Arial" w:eastAsia="Times New Roman" w:hAnsi="Arial" w:cs="Arial"/>
                <w:sz w:val="20"/>
                <w:szCs w:val="20"/>
              </w:rPr>
              <w:t xml:space="preserve">Vlada Republike Slovenije je določila besedilo predloga Zakona o </w:t>
            </w:r>
            <w:r w:rsidR="00823213" w:rsidRPr="00B95D04">
              <w:rPr>
                <w:rFonts w:ascii="Arial" w:eastAsia="Times New Roman" w:hAnsi="Arial" w:cs="Arial"/>
                <w:sz w:val="20"/>
                <w:szCs w:val="20"/>
              </w:rPr>
              <w:t xml:space="preserve">spremembah in </w:t>
            </w:r>
            <w:r w:rsidRPr="00B95D04">
              <w:rPr>
                <w:rFonts w:ascii="Arial" w:eastAsia="Times New Roman" w:hAnsi="Arial" w:cs="Arial"/>
                <w:sz w:val="20"/>
                <w:szCs w:val="20"/>
              </w:rPr>
              <w:t xml:space="preserve">dopolnitvah  Zakona o davku od dohodkov pravnih oseb (EVA </w:t>
            </w:r>
            <w:r w:rsidR="006E3FD5" w:rsidRPr="00B95D04">
              <w:rPr>
                <w:rFonts w:ascii="Arial" w:eastAsia="Times New Roman" w:hAnsi="Arial" w:cs="Arial"/>
                <w:sz w:val="20"/>
                <w:szCs w:val="20"/>
              </w:rPr>
              <w:t>2017-1611-0024</w:t>
            </w:r>
            <w:r w:rsidRPr="00B95D04">
              <w:rPr>
                <w:rFonts w:ascii="Arial" w:eastAsia="Times New Roman" w:hAnsi="Arial" w:cs="Arial"/>
                <w:sz w:val="20"/>
                <w:szCs w:val="20"/>
              </w:rPr>
              <w:t xml:space="preserve">) in ga pošlje Državnemu zboru Republike Slovenije v </w:t>
            </w:r>
            <w:r w:rsidR="00E978A2" w:rsidRPr="00B95D04">
              <w:rPr>
                <w:rFonts w:ascii="Arial" w:eastAsia="Times New Roman" w:hAnsi="Arial" w:cs="Arial"/>
                <w:sz w:val="20"/>
                <w:szCs w:val="20"/>
              </w:rPr>
              <w:t xml:space="preserve">obravnavo in </w:t>
            </w:r>
            <w:r w:rsidRPr="00B95D04">
              <w:rPr>
                <w:rFonts w:ascii="Arial" w:eastAsia="Times New Roman" w:hAnsi="Arial" w:cs="Arial"/>
                <w:sz w:val="20"/>
                <w:szCs w:val="20"/>
              </w:rPr>
              <w:t xml:space="preserve">sprejetje po </w:t>
            </w:r>
            <w:r w:rsidR="00C63BE8">
              <w:rPr>
                <w:rFonts w:ascii="Arial" w:eastAsia="Times New Roman" w:hAnsi="Arial" w:cs="Arial"/>
                <w:sz w:val="20"/>
                <w:szCs w:val="20"/>
              </w:rPr>
              <w:t>nujnem</w:t>
            </w:r>
            <w:r w:rsidR="0050147E" w:rsidRPr="00B95D04">
              <w:rPr>
                <w:rFonts w:ascii="Arial" w:eastAsia="Times New Roman" w:hAnsi="Arial" w:cs="Arial"/>
                <w:sz w:val="20"/>
                <w:szCs w:val="20"/>
              </w:rPr>
              <w:t xml:space="preserve"> </w:t>
            </w:r>
            <w:r w:rsidRPr="00B95D04">
              <w:rPr>
                <w:rFonts w:ascii="Arial" w:eastAsia="Times New Roman" w:hAnsi="Arial" w:cs="Arial"/>
                <w:sz w:val="20"/>
                <w:szCs w:val="20"/>
              </w:rPr>
              <w:t>zakonodajnem postopku.</w:t>
            </w:r>
          </w:p>
          <w:p w14:paraId="6D88C86D" w14:textId="77777777" w:rsidR="005B499A" w:rsidRPr="00B95D04" w:rsidRDefault="005B499A" w:rsidP="00C56454">
            <w:pPr>
              <w:spacing w:after="0" w:line="260" w:lineRule="exact"/>
              <w:jc w:val="center"/>
              <w:rPr>
                <w:rFonts w:ascii="Arial" w:eastAsia="Times New Roman" w:hAnsi="Arial" w:cs="Arial"/>
                <w:sz w:val="20"/>
                <w:szCs w:val="20"/>
              </w:rPr>
            </w:pPr>
          </w:p>
          <w:p w14:paraId="6D88C86E" w14:textId="77777777" w:rsidR="007F1AF7" w:rsidRPr="00B95D04" w:rsidRDefault="007F1AF7" w:rsidP="007F1AF7">
            <w:pPr>
              <w:spacing w:after="0" w:line="260" w:lineRule="exact"/>
              <w:jc w:val="center"/>
              <w:rPr>
                <w:rFonts w:ascii="Arial" w:eastAsia="Times New Roman" w:hAnsi="Arial" w:cs="Arial"/>
                <w:sz w:val="20"/>
                <w:szCs w:val="20"/>
              </w:rPr>
            </w:pPr>
            <w:r w:rsidRPr="00B95D04">
              <w:rPr>
                <w:rFonts w:ascii="Arial" w:eastAsia="Times New Roman" w:hAnsi="Arial" w:cs="Arial"/>
                <w:sz w:val="20"/>
                <w:szCs w:val="20"/>
              </w:rPr>
              <w:t xml:space="preserve">                                                          Mag. Lilijana Kozlovič</w:t>
            </w:r>
          </w:p>
          <w:p w14:paraId="6D88C86F" w14:textId="0842842E" w:rsidR="007F1AF7" w:rsidRPr="00B95D04" w:rsidRDefault="007F1AF7" w:rsidP="007F1A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95D04">
              <w:rPr>
                <w:rFonts w:ascii="Arial" w:eastAsia="Times New Roman" w:hAnsi="Arial" w:cs="Arial"/>
                <w:sz w:val="20"/>
                <w:szCs w:val="20"/>
                <w:lang w:eastAsia="sl-SI"/>
              </w:rPr>
              <w:t xml:space="preserve">                                                                                 </w:t>
            </w:r>
            <w:r w:rsidR="00F7267C" w:rsidRPr="00B95D04">
              <w:rPr>
                <w:rFonts w:ascii="Arial" w:eastAsia="Times New Roman" w:hAnsi="Arial" w:cs="Arial"/>
                <w:sz w:val="20"/>
                <w:szCs w:val="20"/>
                <w:lang w:eastAsia="sl-SI"/>
              </w:rPr>
              <w:t xml:space="preserve">  </w:t>
            </w:r>
            <w:r w:rsidRPr="00B95D04">
              <w:rPr>
                <w:rFonts w:ascii="Arial" w:eastAsia="Times New Roman" w:hAnsi="Arial" w:cs="Arial"/>
                <w:sz w:val="20"/>
                <w:szCs w:val="20"/>
                <w:lang w:eastAsia="sl-SI"/>
              </w:rPr>
              <w:t xml:space="preserve"> GENERALNA SEKRETARKA</w:t>
            </w:r>
          </w:p>
          <w:p w14:paraId="6D88C870" w14:textId="77777777" w:rsidR="007F1AF7" w:rsidRPr="00B95D04" w:rsidRDefault="007F1AF7" w:rsidP="00C56454">
            <w:pPr>
              <w:spacing w:after="0" w:line="260" w:lineRule="exact"/>
              <w:jc w:val="center"/>
              <w:rPr>
                <w:rFonts w:ascii="Arial" w:eastAsia="Times New Roman" w:hAnsi="Arial" w:cs="Arial"/>
                <w:sz w:val="20"/>
                <w:szCs w:val="20"/>
              </w:rPr>
            </w:pPr>
          </w:p>
          <w:p w14:paraId="6D88C871" w14:textId="77777777" w:rsidR="00C56454" w:rsidRPr="00B95D04" w:rsidRDefault="00C56454" w:rsidP="00C56454">
            <w:pPr>
              <w:spacing w:after="0" w:line="260" w:lineRule="exact"/>
              <w:jc w:val="center"/>
              <w:rPr>
                <w:rFonts w:ascii="Arial" w:eastAsia="Times New Roman" w:hAnsi="Arial" w:cs="Arial"/>
                <w:sz w:val="20"/>
                <w:szCs w:val="20"/>
              </w:rPr>
            </w:pPr>
          </w:p>
          <w:p w14:paraId="6D88C872" w14:textId="77777777" w:rsidR="00C56454" w:rsidRPr="00B95D04" w:rsidRDefault="00C56454" w:rsidP="00C56454">
            <w:pPr>
              <w:spacing w:after="0" w:line="260" w:lineRule="exact"/>
              <w:jc w:val="both"/>
              <w:rPr>
                <w:rFonts w:ascii="Arial" w:eastAsia="Times New Roman" w:hAnsi="Arial" w:cs="Arial"/>
                <w:sz w:val="20"/>
                <w:szCs w:val="20"/>
              </w:rPr>
            </w:pPr>
            <w:r w:rsidRPr="00B95D04">
              <w:rPr>
                <w:rFonts w:ascii="Arial" w:eastAsia="Times New Roman" w:hAnsi="Arial" w:cs="Arial"/>
                <w:sz w:val="20"/>
                <w:szCs w:val="20"/>
              </w:rPr>
              <w:t>Priloga:</w:t>
            </w:r>
          </w:p>
          <w:p w14:paraId="6D88C873" w14:textId="63C1F38F" w:rsidR="00C56454" w:rsidRPr="00B95D04" w:rsidRDefault="00C56454" w:rsidP="00E77BB7">
            <w:pPr>
              <w:numPr>
                <w:ilvl w:val="0"/>
                <w:numId w:val="16"/>
              </w:numPr>
              <w:spacing w:after="0" w:line="260" w:lineRule="exact"/>
              <w:jc w:val="both"/>
              <w:rPr>
                <w:rFonts w:ascii="Arial" w:eastAsia="Times New Roman" w:hAnsi="Arial" w:cs="Arial"/>
                <w:sz w:val="20"/>
                <w:szCs w:val="20"/>
              </w:rPr>
            </w:pPr>
            <w:r w:rsidRPr="00B95D04">
              <w:rPr>
                <w:rFonts w:ascii="Arial" w:eastAsia="Times New Roman" w:hAnsi="Arial" w:cs="Arial"/>
                <w:sz w:val="20"/>
                <w:szCs w:val="20"/>
              </w:rPr>
              <w:t xml:space="preserve">predlog Zakona o </w:t>
            </w:r>
            <w:r w:rsidR="00823213" w:rsidRPr="00B95D04">
              <w:rPr>
                <w:rFonts w:ascii="Arial" w:eastAsia="Times New Roman" w:hAnsi="Arial" w:cs="Arial"/>
                <w:sz w:val="20"/>
                <w:szCs w:val="20"/>
              </w:rPr>
              <w:t xml:space="preserve">spremembah in </w:t>
            </w:r>
            <w:r w:rsidRPr="00B95D04">
              <w:rPr>
                <w:rFonts w:ascii="Arial" w:eastAsia="Times New Roman" w:hAnsi="Arial" w:cs="Arial"/>
                <w:sz w:val="20"/>
                <w:szCs w:val="20"/>
              </w:rPr>
              <w:t>dopolnitvah Zakona o davku od dohodkov pravnih oseb</w:t>
            </w:r>
          </w:p>
          <w:p w14:paraId="6D88C874" w14:textId="77777777" w:rsidR="00C56454" w:rsidRPr="00B95D04" w:rsidRDefault="00C56454" w:rsidP="00C56454">
            <w:pPr>
              <w:spacing w:after="0" w:line="260" w:lineRule="exact"/>
              <w:jc w:val="both"/>
              <w:rPr>
                <w:rFonts w:ascii="Arial" w:eastAsia="Times New Roman" w:hAnsi="Arial" w:cs="Arial"/>
                <w:sz w:val="20"/>
                <w:szCs w:val="20"/>
              </w:rPr>
            </w:pPr>
          </w:p>
          <w:p w14:paraId="6D88C875" w14:textId="77777777" w:rsidR="00C56454" w:rsidRPr="00B95D04" w:rsidRDefault="00C56454" w:rsidP="00C56454">
            <w:pPr>
              <w:overflowPunct w:val="0"/>
              <w:autoSpaceDE w:val="0"/>
              <w:autoSpaceDN w:val="0"/>
              <w:adjustRightInd w:val="0"/>
              <w:spacing w:before="60" w:after="60" w:line="200" w:lineRule="exact"/>
              <w:jc w:val="both"/>
              <w:textAlignment w:val="baseline"/>
              <w:rPr>
                <w:rFonts w:ascii="Arial" w:eastAsia="Times New Roman" w:hAnsi="Arial" w:cs="Arial"/>
                <w:sz w:val="20"/>
                <w:szCs w:val="20"/>
                <w:lang w:eastAsia="sl-SI"/>
              </w:rPr>
            </w:pPr>
            <w:r w:rsidRPr="00B95D04">
              <w:rPr>
                <w:rFonts w:ascii="Arial" w:eastAsia="Times New Roman" w:hAnsi="Arial" w:cs="Arial"/>
                <w:sz w:val="20"/>
                <w:szCs w:val="20"/>
                <w:lang w:eastAsia="sl-SI"/>
              </w:rPr>
              <w:t>Sklep prejmejo:</w:t>
            </w:r>
          </w:p>
          <w:p w14:paraId="6D88C876" w14:textId="77777777" w:rsidR="00C56454" w:rsidRPr="00B95D04" w:rsidRDefault="00C56454" w:rsidP="00E77BB7">
            <w:pPr>
              <w:numPr>
                <w:ilvl w:val="0"/>
                <w:numId w:val="10"/>
              </w:numPr>
              <w:overflowPunct w:val="0"/>
              <w:autoSpaceDE w:val="0"/>
              <w:autoSpaceDN w:val="0"/>
              <w:adjustRightInd w:val="0"/>
              <w:spacing w:after="0" w:line="260" w:lineRule="exact"/>
              <w:ind w:left="714" w:hanging="357"/>
              <w:jc w:val="both"/>
              <w:textAlignment w:val="baseline"/>
              <w:rPr>
                <w:rFonts w:ascii="Arial" w:eastAsia="Times New Roman" w:hAnsi="Arial" w:cs="Arial"/>
                <w:sz w:val="20"/>
                <w:szCs w:val="20"/>
                <w:lang w:eastAsia="sl-SI"/>
              </w:rPr>
            </w:pPr>
            <w:r w:rsidRPr="00B95D04">
              <w:rPr>
                <w:rFonts w:ascii="Arial" w:eastAsia="Times New Roman" w:hAnsi="Arial" w:cs="Arial"/>
                <w:sz w:val="20"/>
                <w:szCs w:val="20"/>
                <w:lang w:eastAsia="sl-SI"/>
              </w:rPr>
              <w:t>Državni zbor Republike Slovenije,</w:t>
            </w:r>
          </w:p>
          <w:p w14:paraId="6D88C877" w14:textId="77777777" w:rsidR="00C56454" w:rsidRPr="00B95D04" w:rsidRDefault="00C56454" w:rsidP="00E77BB7">
            <w:pPr>
              <w:numPr>
                <w:ilvl w:val="0"/>
                <w:numId w:val="10"/>
              </w:numPr>
              <w:overflowPunct w:val="0"/>
              <w:autoSpaceDE w:val="0"/>
              <w:autoSpaceDN w:val="0"/>
              <w:adjustRightInd w:val="0"/>
              <w:spacing w:before="60" w:after="60" w:line="200" w:lineRule="exact"/>
              <w:jc w:val="both"/>
              <w:textAlignment w:val="baseline"/>
              <w:rPr>
                <w:rFonts w:ascii="Arial" w:eastAsia="Times New Roman" w:hAnsi="Arial" w:cs="Arial"/>
                <w:sz w:val="20"/>
                <w:szCs w:val="20"/>
                <w:lang w:eastAsia="sl-SI"/>
              </w:rPr>
            </w:pPr>
            <w:r w:rsidRPr="00B95D04">
              <w:rPr>
                <w:rFonts w:ascii="Arial" w:eastAsia="Times New Roman" w:hAnsi="Arial" w:cs="Arial"/>
                <w:sz w:val="20"/>
                <w:szCs w:val="20"/>
                <w:lang w:eastAsia="sl-SI"/>
              </w:rPr>
              <w:t>Ministrstvo za finance,</w:t>
            </w:r>
          </w:p>
          <w:p w14:paraId="6D88C878" w14:textId="77777777" w:rsidR="00C56454" w:rsidRPr="00B95D04" w:rsidRDefault="00C56454" w:rsidP="00E77BB7">
            <w:pPr>
              <w:numPr>
                <w:ilvl w:val="0"/>
                <w:numId w:val="10"/>
              </w:numPr>
              <w:overflowPunct w:val="0"/>
              <w:autoSpaceDE w:val="0"/>
              <w:autoSpaceDN w:val="0"/>
              <w:adjustRightInd w:val="0"/>
              <w:spacing w:before="60" w:after="60" w:line="200" w:lineRule="exact"/>
              <w:jc w:val="both"/>
              <w:textAlignment w:val="baseline"/>
              <w:rPr>
                <w:rFonts w:ascii="Arial" w:eastAsia="Times New Roman" w:hAnsi="Arial" w:cs="Arial"/>
                <w:sz w:val="20"/>
                <w:szCs w:val="20"/>
                <w:lang w:eastAsia="sl-SI"/>
              </w:rPr>
            </w:pPr>
            <w:r w:rsidRPr="00B95D04">
              <w:rPr>
                <w:rFonts w:ascii="Arial" w:eastAsia="Times New Roman" w:hAnsi="Arial" w:cs="Arial"/>
                <w:sz w:val="20"/>
                <w:szCs w:val="20"/>
                <w:lang w:eastAsia="sl-SI"/>
              </w:rPr>
              <w:t>Služba Vlade Republike Slovenije za zakonodajo</w:t>
            </w:r>
          </w:p>
          <w:p w14:paraId="6D88C879" w14:textId="77777777" w:rsidR="005553CB" w:rsidRPr="00B95D04" w:rsidRDefault="00C56454" w:rsidP="00E77BB7">
            <w:pPr>
              <w:numPr>
                <w:ilvl w:val="0"/>
                <w:numId w:val="10"/>
              </w:numPr>
              <w:overflowPunct w:val="0"/>
              <w:autoSpaceDE w:val="0"/>
              <w:autoSpaceDN w:val="0"/>
              <w:adjustRightInd w:val="0"/>
              <w:spacing w:before="60" w:after="60" w:line="200" w:lineRule="exact"/>
              <w:jc w:val="both"/>
              <w:textAlignment w:val="baseline"/>
              <w:rPr>
                <w:rFonts w:ascii="Arial" w:hAnsi="Arial" w:cs="Arial"/>
                <w:iCs/>
                <w:sz w:val="20"/>
                <w:szCs w:val="20"/>
              </w:rPr>
            </w:pPr>
            <w:r w:rsidRPr="00B95D04">
              <w:rPr>
                <w:rFonts w:ascii="Arial" w:eastAsia="Times New Roman" w:hAnsi="Arial" w:cs="Arial"/>
                <w:sz w:val="20"/>
                <w:szCs w:val="20"/>
                <w:lang w:eastAsia="sl-SI"/>
              </w:rPr>
              <w:t>Generalni sekretariat Vlade Republike Slovenije.</w:t>
            </w:r>
          </w:p>
        </w:tc>
      </w:tr>
      <w:tr w:rsidR="005553CB" w:rsidRPr="00B95D04" w14:paraId="6D88C87C" w14:textId="77777777" w:rsidTr="00CA689C">
        <w:tc>
          <w:tcPr>
            <w:tcW w:w="9163" w:type="dxa"/>
            <w:gridSpan w:val="4"/>
          </w:tcPr>
          <w:p w14:paraId="6D88C87B" w14:textId="77777777" w:rsidR="005553CB" w:rsidRPr="00B95D04" w:rsidRDefault="005553CB" w:rsidP="00CA689C">
            <w:pPr>
              <w:pStyle w:val="Neotevilenodstavek"/>
              <w:spacing w:before="0" w:after="0" w:line="260" w:lineRule="exact"/>
              <w:rPr>
                <w:rFonts w:cs="Arial"/>
                <w:b/>
                <w:iCs/>
                <w:sz w:val="20"/>
                <w:szCs w:val="20"/>
                <w:lang w:val="sl-SI" w:eastAsia="sl-SI"/>
              </w:rPr>
            </w:pPr>
            <w:r w:rsidRPr="00B95D04">
              <w:rPr>
                <w:rFonts w:cs="Arial"/>
                <w:b/>
                <w:sz w:val="20"/>
                <w:szCs w:val="20"/>
                <w:lang w:val="sl-SI" w:eastAsia="sl-SI"/>
              </w:rPr>
              <w:t>2. Predlog za obravnavo predloga zakona po nujnem ali skrajšanem postopku v državnem zboru z obrazložitvijo razlogov:</w:t>
            </w:r>
          </w:p>
        </w:tc>
      </w:tr>
      <w:tr w:rsidR="005553CB" w:rsidRPr="00B95D04" w14:paraId="6D88C87E" w14:textId="77777777" w:rsidTr="00CA689C">
        <w:tc>
          <w:tcPr>
            <w:tcW w:w="9163" w:type="dxa"/>
            <w:gridSpan w:val="4"/>
          </w:tcPr>
          <w:p w14:paraId="3B3A34FD" w14:textId="2C6BEA81" w:rsidR="00874447" w:rsidRDefault="005C0C5F" w:rsidP="00C63BE8">
            <w:pPr>
              <w:pStyle w:val="Neotevilenodstavek"/>
              <w:spacing w:before="0" w:after="0" w:line="260" w:lineRule="exact"/>
              <w:rPr>
                <w:rFonts w:cs="Arial"/>
                <w:iCs/>
                <w:sz w:val="20"/>
                <w:szCs w:val="20"/>
                <w:lang w:val="sl-SI"/>
              </w:rPr>
            </w:pPr>
            <w:r>
              <w:rPr>
                <w:rFonts w:cs="Arial"/>
                <w:iCs/>
                <w:sz w:val="20"/>
                <w:szCs w:val="20"/>
                <w:lang w:val="sl-SI"/>
              </w:rPr>
              <w:t>V skladu s prvim odstavkom 14</w:t>
            </w:r>
            <w:r w:rsidR="00C63BE8">
              <w:rPr>
                <w:rFonts w:cs="Arial"/>
                <w:iCs/>
                <w:sz w:val="20"/>
                <w:szCs w:val="20"/>
                <w:lang w:val="sl-SI"/>
              </w:rPr>
              <w:t>3</w:t>
            </w:r>
            <w:r>
              <w:rPr>
                <w:rFonts w:cs="Arial"/>
                <w:iCs/>
                <w:sz w:val="20"/>
                <w:szCs w:val="20"/>
                <w:lang w:val="sl-SI"/>
              </w:rPr>
              <w:t xml:space="preserve">. člena </w:t>
            </w:r>
            <w:r w:rsidR="00D04546" w:rsidRPr="00D04546">
              <w:rPr>
                <w:rFonts w:cs="Arial"/>
                <w:iCs/>
                <w:sz w:val="20"/>
                <w:szCs w:val="20"/>
                <w:lang w:val="sl-SI"/>
              </w:rPr>
              <w:t>Poslovnik</w:t>
            </w:r>
            <w:r>
              <w:rPr>
                <w:rFonts w:cs="Arial"/>
                <w:iCs/>
                <w:sz w:val="20"/>
                <w:szCs w:val="20"/>
                <w:lang w:val="sl-SI"/>
              </w:rPr>
              <w:t>a</w:t>
            </w:r>
            <w:r w:rsidR="00D04546" w:rsidRPr="00D04546">
              <w:rPr>
                <w:rFonts w:cs="Arial"/>
                <w:iCs/>
                <w:sz w:val="20"/>
                <w:szCs w:val="20"/>
                <w:lang w:val="sl-SI"/>
              </w:rPr>
              <w:t xml:space="preserve"> državnega zbora (Uradni list RS, št. 92/07 – uradno prečiščeno besedilo, 105/10, 80/13 in 38/17)</w:t>
            </w:r>
            <w:r>
              <w:t xml:space="preserve"> </w:t>
            </w:r>
            <w:r w:rsidRPr="005C0C5F">
              <w:rPr>
                <w:rFonts w:cs="Arial"/>
                <w:iCs/>
                <w:sz w:val="20"/>
                <w:szCs w:val="20"/>
                <w:lang w:val="sl-SI"/>
              </w:rPr>
              <w:t xml:space="preserve">Vlada Republike Slovenije predlaga obravnavo predloga zakona po </w:t>
            </w:r>
            <w:r w:rsidR="00C63BE8">
              <w:rPr>
                <w:rFonts w:cs="Arial"/>
                <w:iCs/>
                <w:sz w:val="20"/>
                <w:szCs w:val="20"/>
                <w:lang w:val="sl-SI"/>
              </w:rPr>
              <w:t>nujnem</w:t>
            </w:r>
            <w:r>
              <w:rPr>
                <w:rFonts w:cs="Arial"/>
                <w:iCs/>
                <w:sz w:val="20"/>
                <w:szCs w:val="20"/>
                <w:lang w:val="sl-SI"/>
              </w:rPr>
              <w:t xml:space="preserve"> postopku, </w:t>
            </w:r>
            <w:r w:rsidR="00C63BE8" w:rsidRPr="00C63BE8">
              <w:rPr>
                <w:rFonts w:cs="Arial"/>
                <w:iCs/>
                <w:sz w:val="20"/>
                <w:szCs w:val="20"/>
                <w:lang w:val="sl-SI"/>
              </w:rPr>
              <w:t>ker bi v primeru kasnejšega sprejetja predloga zakona lahko nastale težko p</w:t>
            </w:r>
            <w:r w:rsidR="002B4B86">
              <w:rPr>
                <w:rFonts w:cs="Arial"/>
                <w:iCs/>
                <w:sz w:val="20"/>
                <w:szCs w:val="20"/>
                <w:lang w:val="sl-SI"/>
              </w:rPr>
              <w:t xml:space="preserve">opravljive posledice za državo. Predlog zakona je namreč skupaj s predlogom </w:t>
            </w:r>
            <w:r w:rsidR="002B4B86" w:rsidRPr="002B4B86">
              <w:rPr>
                <w:rFonts w:cs="Arial"/>
                <w:iCs/>
                <w:sz w:val="20"/>
                <w:szCs w:val="20"/>
                <w:lang w:val="sl-SI"/>
              </w:rPr>
              <w:t>Zakon</w:t>
            </w:r>
            <w:r w:rsidR="002B4B86">
              <w:rPr>
                <w:rFonts w:cs="Arial"/>
                <w:iCs/>
                <w:sz w:val="20"/>
                <w:szCs w:val="20"/>
                <w:lang w:val="sl-SI"/>
              </w:rPr>
              <w:t>a</w:t>
            </w:r>
            <w:r w:rsidR="002B4B86" w:rsidRPr="002B4B86">
              <w:rPr>
                <w:rFonts w:cs="Arial"/>
                <w:iCs/>
                <w:sz w:val="20"/>
                <w:szCs w:val="20"/>
                <w:lang w:val="sl-SI"/>
              </w:rPr>
              <w:t xml:space="preserve"> o spremembah in dopolnitvah Zakona o dohodnini</w:t>
            </w:r>
            <w:r w:rsidR="002B4B86">
              <w:rPr>
                <w:rFonts w:cs="Arial"/>
                <w:iCs/>
                <w:sz w:val="20"/>
                <w:szCs w:val="20"/>
                <w:lang w:val="sl-SI"/>
              </w:rPr>
              <w:t xml:space="preserve"> </w:t>
            </w:r>
            <w:r w:rsidR="00874447">
              <w:rPr>
                <w:rFonts w:cs="Arial"/>
                <w:iCs/>
                <w:sz w:val="20"/>
                <w:szCs w:val="20"/>
                <w:lang w:val="sl-SI"/>
              </w:rPr>
              <w:t xml:space="preserve">(EVA </w:t>
            </w:r>
            <w:r w:rsidR="00874447" w:rsidRPr="00874447">
              <w:rPr>
                <w:rFonts w:cs="Arial"/>
                <w:iCs/>
                <w:sz w:val="20"/>
                <w:szCs w:val="20"/>
                <w:lang w:val="sl-SI"/>
              </w:rPr>
              <w:t>2017-1611-0023</w:t>
            </w:r>
            <w:r w:rsidR="00874447">
              <w:rPr>
                <w:rFonts w:cs="Arial"/>
                <w:iCs/>
                <w:sz w:val="20"/>
                <w:szCs w:val="20"/>
                <w:lang w:val="sl-SI"/>
              </w:rPr>
              <w:t>)</w:t>
            </w:r>
            <w:r w:rsidR="002B4B86" w:rsidRPr="002B4B86">
              <w:rPr>
                <w:rFonts w:cs="Arial"/>
                <w:iCs/>
                <w:sz w:val="20"/>
                <w:szCs w:val="20"/>
                <w:lang w:val="sl-SI"/>
              </w:rPr>
              <w:t xml:space="preserve"> </w:t>
            </w:r>
            <w:r w:rsidR="002B4B86">
              <w:rPr>
                <w:rFonts w:cs="Arial"/>
                <w:iCs/>
                <w:sz w:val="20"/>
                <w:szCs w:val="20"/>
                <w:lang w:val="sl-SI"/>
              </w:rPr>
              <w:t xml:space="preserve">del </w:t>
            </w:r>
            <w:r w:rsidR="00C63BE8" w:rsidRPr="00C63BE8">
              <w:rPr>
                <w:rFonts w:cs="Arial"/>
                <w:iCs/>
                <w:sz w:val="20"/>
                <w:szCs w:val="20"/>
                <w:lang w:val="sl-SI"/>
              </w:rPr>
              <w:t>paket</w:t>
            </w:r>
            <w:r w:rsidR="002B4B86">
              <w:rPr>
                <w:rFonts w:cs="Arial"/>
                <w:iCs/>
                <w:sz w:val="20"/>
                <w:szCs w:val="20"/>
                <w:lang w:val="sl-SI"/>
              </w:rPr>
              <w:t>a</w:t>
            </w:r>
            <w:r w:rsidR="00C63BE8" w:rsidRPr="00C63BE8">
              <w:rPr>
                <w:rFonts w:cs="Arial"/>
                <w:iCs/>
                <w:sz w:val="20"/>
                <w:szCs w:val="20"/>
                <w:lang w:val="sl-SI"/>
              </w:rPr>
              <w:t xml:space="preserve"> </w:t>
            </w:r>
            <w:r w:rsidR="00C63BE8" w:rsidRPr="00C63BE8">
              <w:rPr>
                <w:rFonts w:cs="Arial"/>
                <w:iCs/>
                <w:sz w:val="20"/>
                <w:szCs w:val="20"/>
                <w:lang w:val="sl-SI"/>
              </w:rPr>
              <w:lastRenderedPageBreak/>
              <w:t>ukrepov</w:t>
            </w:r>
            <w:r w:rsidR="002B4B86">
              <w:t xml:space="preserve"> </w:t>
            </w:r>
            <w:r w:rsidR="002B4B86" w:rsidRPr="002B4B86">
              <w:rPr>
                <w:rFonts w:cs="Arial"/>
                <w:iCs/>
                <w:sz w:val="20"/>
                <w:szCs w:val="20"/>
                <w:lang w:val="sl-SI"/>
              </w:rPr>
              <w:t>za zajezitev zlorab posebne ureditve za ugotavljanje davčne osnove z upoštevanjem normiranih odhodkov</w:t>
            </w:r>
            <w:r w:rsidR="002B4B86">
              <w:rPr>
                <w:rFonts w:cs="Arial"/>
                <w:iCs/>
                <w:sz w:val="20"/>
                <w:szCs w:val="20"/>
                <w:lang w:val="sl-SI"/>
              </w:rPr>
              <w:t xml:space="preserve">. </w:t>
            </w:r>
            <w:r w:rsidR="00254969">
              <w:rPr>
                <w:rFonts w:cs="Arial"/>
                <w:iCs/>
                <w:sz w:val="20"/>
                <w:szCs w:val="20"/>
                <w:lang w:val="sl-SI"/>
              </w:rPr>
              <w:t xml:space="preserve">V obeh predlogih zakonov so v zvezi z navedenim predlagane vsebinsko enake določbe. </w:t>
            </w:r>
            <w:r w:rsidR="002B4B86">
              <w:rPr>
                <w:rFonts w:cs="Arial"/>
                <w:iCs/>
                <w:sz w:val="20"/>
                <w:szCs w:val="20"/>
                <w:lang w:val="sl-SI"/>
              </w:rPr>
              <w:t xml:space="preserve">Za predlog </w:t>
            </w:r>
            <w:r w:rsidR="002B4B86" w:rsidRPr="002B4B86">
              <w:rPr>
                <w:rFonts w:cs="Arial"/>
                <w:iCs/>
                <w:sz w:val="20"/>
                <w:szCs w:val="20"/>
                <w:lang w:val="sl-SI"/>
              </w:rPr>
              <w:t>Zakona o spremembah in dopolnitvah Zakona o dohodnini</w:t>
            </w:r>
            <w:r w:rsidR="002B4B86">
              <w:rPr>
                <w:rFonts w:cs="Arial"/>
                <w:iCs/>
                <w:sz w:val="20"/>
                <w:szCs w:val="20"/>
                <w:lang w:val="sl-SI"/>
              </w:rPr>
              <w:t xml:space="preserve"> </w:t>
            </w:r>
            <w:r w:rsidR="00874447">
              <w:rPr>
                <w:rFonts w:cs="Arial"/>
                <w:iCs/>
                <w:sz w:val="20"/>
                <w:szCs w:val="20"/>
                <w:lang w:val="sl-SI"/>
              </w:rPr>
              <w:t>Vlada predlaga obravnavo po nujnem postopku z</w:t>
            </w:r>
            <w:r w:rsidR="002B4B86">
              <w:rPr>
                <w:rFonts w:cs="Arial"/>
                <w:iCs/>
                <w:sz w:val="20"/>
                <w:szCs w:val="20"/>
                <w:lang w:val="sl-SI"/>
              </w:rPr>
              <w:t xml:space="preserve">aradi začetka uporabe </w:t>
            </w:r>
            <w:r w:rsidR="002B4B86" w:rsidRPr="002B4B86">
              <w:rPr>
                <w:rFonts w:cs="Arial"/>
                <w:iCs/>
                <w:sz w:val="20"/>
                <w:szCs w:val="20"/>
                <w:lang w:val="sl-SI"/>
              </w:rPr>
              <w:t>Zakon</w:t>
            </w:r>
            <w:r w:rsidR="002B4B86">
              <w:rPr>
                <w:rFonts w:cs="Arial"/>
                <w:iCs/>
                <w:sz w:val="20"/>
                <w:szCs w:val="20"/>
                <w:lang w:val="sl-SI"/>
              </w:rPr>
              <w:t>a</w:t>
            </w:r>
            <w:r w:rsidR="002B4B86" w:rsidRPr="002B4B86">
              <w:rPr>
                <w:rFonts w:cs="Arial"/>
                <w:iCs/>
                <w:sz w:val="20"/>
                <w:szCs w:val="20"/>
                <w:lang w:val="sl-SI"/>
              </w:rPr>
              <w:t xml:space="preserve"> o čezmejnem izvajanju storitev (Uradni list RS, št.  10/17)</w:t>
            </w:r>
            <w:r w:rsidR="002B4B86">
              <w:rPr>
                <w:rFonts w:cs="Arial"/>
                <w:iCs/>
                <w:sz w:val="20"/>
                <w:szCs w:val="20"/>
                <w:lang w:val="sl-SI"/>
              </w:rPr>
              <w:t xml:space="preserve"> s 1. 1. 2018. </w:t>
            </w:r>
            <w:r w:rsidR="00874447" w:rsidRPr="002B4B86">
              <w:rPr>
                <w:rFonts w:cs="Arial"/>
                <w:iCs/>
                <w:sz w:val="20"/>
                <w:szCs w:val="20"/>
                <w:lang w:val="sl-SI"/>
              </w:rPr>
              <w:t>Glede na nujnost uveljavitve ukrepov za doseganje navedenih ciljev do konca leta 201</w:t>
            </w:r>
            <w:r w:rsidR="00874447">
              <w:rPr>
                <w:rFonts w:cs="Arial"/>
                <w:iCs/>
                <w:sz w:val="20"/>
                <w:szCs w:val="20"/>
                <w:lang w:val="sl-SI"/>
              </w:rPr>
              <w:t>7</w:t>
            </w:r>
            <w:r w:rsidR="00874447" w:rsidRPr="002B4B86">
              <w:rPr>
                <w:rFonts w:cs="Arial"/>
                <w:iCs/>
                <w:sz w:val="20"/>
                <w:szCs w:val="20"/>
                <w:lang w:val="sl-SI"/>
              </w:rPr>
              <w:t xml:space="preserve">, je nujno istočasno </w:t>
            </w:r>
            <w:r w:rsidR="00254969">
              <w:rPr>
                <w:rFonts w:cs="Arial"/>
                <w:iCs/>
                <w:sz w:val="20"/>
                <w:szCs w:val="20"/>
                <w:lang w:val="sl-SI"/>
              </w:rPr>
              <w:t xml:space="preserve">obravnavati in </w:t>
            </w:r>
            <w:r w:rsidR="00874447" w:rsidRPr="002B4B86">
              <w:rPr>
                <w:rFonts w:cs="Arial"/>
                <w:iCs/>
                <w:sz w:val="20"/>
                <w:szCs w:val="20"/>
                <w:lang w:val="sl-SI"/>
              </w:rPr>
              <w:t>uveljaviti tudi ukrepe</w:t>
            </w:r>
            <w:r w:rsidR="00874447">
              <w:rPr>
                <w:rFonts w:cs="Arial"/>
                <w:iCs/>
                <w:sz w:val="20"/>
                <w:szCs w:val="20"/>
                <w:lang w:val="sl-SI"/>
              </w:rPr>
              <w:t xml:space="preserve"> glede sistema normiranih odhodkov v </w:t>
            </w:r>
            <w:r w:rsidR="00A66DE4">
              <w:rPr>
                <w:rFonts w:cs="Arial"/>
                <w:iCs/>
                <w:sz w:val="20"/>
                <w:szCs w:val="20"/>
                <w:lang w:val="sl-SI"/>
              </w:rPr>
              <w:t>tem predlogu zakona</w:t>
            </w:r>
            <w:r w:rsidR="00874447">
              <w:rPr>
                <w:rFonts w:cs="Arial"/>
                <w:iCs/>
                <w:sz w:val="20"/>
                <w:szCs w:val="20"/>
                <w:lang w:val="sl-SI"/>
              </w:rPr>
              <w:t>.</w:t>
            </w:r>
          </w:p>
          <w:p w14:paraId="4841DDD7" w14:textId="77777777" w:rsidR="00874447" w:rsidRDefault="00874447" w:rsidP="00C63BE8">
            <w:pPr>
              <w:pStyle w:val="Neotevilenodstavek"/>
              <w:spacing w:before="0" w:after="0" w:line="260" w:lineRule="exact"/>
              <w:rPr>
                <w:rFonts w:cs="Arial"/>
                <w:iCs/>
                <w:sz w:val="20"/>
                <w:szCs w:val="20"/>
                <w:lang w:val="sl-SI"/>
              </w:rPr>
            </w:pPr>
          </w:p>
          <w:p w14:paraId="6D88C87D" w14:textId="68262AFC" w:rsidR="005553CB" w:rsidRPr="00B95D04" w:rsidRDefault="005C0C5F" w:rsidP="00A66DE4">
            <w:pPr>
              <w:pStyle w:val="Neotevilenodstavek"/>
              <w:spacing w:before="0" w:after="0" w:line="260" w:lineRule="exact"/>
              <w:rPr>
                <w:rFonts w:cs="Arial"/>
                <w:iCs/>
                <w:sz w:val="20"/>
                <w:szCs w:val="20"/>
                <w:lang w:val="sl-SI"/>
              </w:rPr>
            </w:pPr>
            <w:r>
              <w:rPr>
                <w:rFonts w:cs="Arial"/>
                <w:iCs/>
                <w:sz w:val="20"/>
                <w:szCs w:val="20"/>
                <w:lang w:val="sl-SI"/>
              </w:rPr>
              <w:t xml:space="preserve">S predlogom zakona se ureja </w:t>
            </w:r>
            <w:r w:rsidR="00874447">
              <w:rPr>
                <w:rFonts w:cs="Arial"/>
                <w:iCs/>
                <w:sz w:val="20"/>
                <w:szCs w:val="20"/>
                <w:lang w:val="sl-SI"/>
              </w:rPr>
              <w:t xml:space="preserve">tudi </w:t>
            </w:r>
            <w:r w:rsidR="00E145C0">
              <w:rPr>
                <w:rFonts w:cs="Arial"/>
                <w:iCs/>
                <w:sz w:val="20"/>
                <w:szCs w:val="20"/>
                <w:lang w:val="sl-SI"/>
              </w:rPr>
              <w:t xml:space="preserve">davčna obravnava </w:t>
            </w:r>
            <w:r w:rsidR="0089484A">
              <w:rPr>
                <w:rFonts w:cs="Arial"/>
                <w:iCs/>
                <w:sz w:val="20"/>
                <w:szCs w:val="20"/>
                <w:lang w:val="sl-SI"/>
              </w:rPr>
              <w:t xml:space="preserve">določenih </w:t>
            </w:r>
            <w:r w:rsidR="00E145C0">
              <w:rPr>
                <w:rFonts w:cs="Arial"/>
                <w:iCs/>
                <w:sz w:val="20"/>
                <w:szCs w:val="20"/>
                <w:lang w:val="sl-SI"/>
              </w:rPr>
              <w:t>učinkov, ki bodo nastali zarad</w:t>
            </w:r>
            <w:r w:rsidR="00A66DE4">
              <w:rPr>
                <w:rFonts w:cs="Arial"/>
                <w:iCs/>
                <w:sz w:val="20"/>
                <w:szCs w:val="20"/>
                <w:lang w:val="sl-SI"/>
              </w:rPr>
              <w:t>i sprememb računovodskih pravil</w:t>
            </w:r>
            <w:r w:rsidR="0089484A">
              <w:rPr>
                <w:rFonts w:cs="Arial"/>
                <w:iCs/>
                <w:sz w:val="20"/>
                <w:szCs w:val="20"/>
                <w:lang w:val="sl-SI"/>
              </w:rPr>
              <w:t>. Spremenjena pravila se</w:t>
            </w:r>
            <w:r w:rsidR="00E145C0">
              <w:rPr>
                <w:rFonts w:cs="Arial"/>
                <w:iCs/>
                <w:sz w:val="20"/>
                <w:szCs w:val="20"/>
                <w:lang w:val="sl-SI"/>
              </w:rPr>
              <w:t xml:space="preserve"> </w:t>
            </w:r>
            <w:r w:rsidRPr="005C0C5F">
              <w:rPr>
                <w:rFonts w:cs="Arial"/>
                <w:iCs/>
                <w:sz w:val="20"/>
                <w:szCs w:val="20"/>
                <w:lang w:val="sl-SI"/>
              </w:rPr>
              <w:t>začne</w:t>
            </w:r>
            <w:r w:rsidR="00E145C0">
              <w:rPr>
                <w:rFonts w:cs="Arial"/>
                <w:iCs/>
                <w:sz w:val="20"/>
                <w:szCs w:val="20"/>
                <w:lang w:val="sl-SI"/>
              </w:rPr>
              <w:t>jo</w:t>
            </w:r>
            <w:r w:rsidRPr="005C0C5F">
              <w:rPr>
                <w:rFonts w:cs="Arial"/>
                <w:iCs/>
                <w:sz w:val="20"/>
                <w:szCs w:val="20"/>
                <w:lang w:val="sl-SI"/>
              </w:rPr>
              <w:t xml:space="preserve"> </w:t>
            </w:r>
            <w:r w:rsidR="00E145C0" w:rsidRPr="005C0C5F">
              <w:rPr>
                <w:rFonts w:cs="Arial"/>
                <w:iCs/>
                <w:sz w:val="20"/>
                <w:szCs w:val="20"/>
                <w:lang w:val="sl-SI"/>
              </w:rPr>
              <w:t>uporablja</w:t>
            </w:r>
            <w:r w:rsidR="00E145C0">
              <w:rPr>
                <w:rFonts w:cs="Arial"/>
                <w:iCs/>
                <w:sz w:val="20"/>
                <w:szCs w:val="20"/>
                <w:lang w:val="sl-SI"/>
              </w:rPr>
              <w:t>ti</w:t>
            </w:r>
            <w:r w:rsidR="00E145C0" w:rsidRPr="005C0C5F">
              <w:rPr>
                <w:rFonts w:cs="Arial"/>
                <w:iCs/>
                <w:sz w:val="20"/>
                <w:szCs w:val="20"/>
                <w:lang w:val="sl-SI"/>
              </w:rPr>
              <w:t xml:space="preserve"> </w:t>
            </w:r>
            <w:r w:rsidRPr="005C0C5F">
              <w:rPr>
                <w:rFonts w:cs="Arial"/>
                <w:iCs/>
                <w:sz w:val="20"/>
                <w:szCs w:val="20"/>
                <w:lang w:val="sl-SI"/>
              </w:rPr>
              <w:t xml:space="preserve">1. </w:t>
            </w:r>
            <w:r w:rsidR="004C4365">
              <w:rPr>
                <w:rFonts w:cs="Arial"/>
                <w:iCs/>
                <w:sz w:val="20"/>
                <w:szCs w:val="20"/>
                <w:lang w:val="sl-SI"/>
              </w:rPr>
              <w:t>1.</w:t>
            </w:r>
            <w:r w:rsidRPr="005C0C5F">
              <w:rPr>
                <w:rFonts w:cs="Arial"/>
                <w:iCs/>
                <w:sz w:val="20"/>
                <w:szCs w:val="20"/>
                <w:lang w:val="sl-SI"/>
              </w:rPr>
              <w:t xml:space="preserve"> 2018</w:t>
            </w:r>
            <w:r w:rsidR="0089484A">
              <w:rPr>
                <w:rFonts w:cs="Arial"/>
                <w:iCs/>
                <w:sz w:val="20"/>
                <w:szCs w:val="20"/>
                <w:lang w:val="sl-SI"/>
              </w:rPr>
              <w:t xml:space="preserve">, zato </w:t>
            </w:r>
            <w:r w:rsidR="00E145C0">
              <w:rPr>
                <w:rFonts w:cs="Arial"/>
                <w:iCs/>
                <w:sz w:val="20"/>
                <w:szCs w:val="20"/>
                <w:lang w:val="sl-SI"/>
              </w:rPr>
              <w:t xml:space="preserve">je treba pravočasno zagotoviti </w:t>
            </w:r>
            <w:r w:rsidR="0089484A">
              <w:rPr>
                <w:rFonts w:cs="Arial"/>
                <w:iCs/>
                <w:sz w:val="20"/>
                <w:szCs w:val="20"/>
                <w:lang w:val="sl-SI"/>
              </w:rPr>
              <w:t xml:space="preserve">tudi </w:t>
            </w:r>
            <w:r w:rsidR="00E145C0" w:rsidRPr="00E145C0">
              <w:rPr>
                <w:rFonts w:cs="Arial"/>
                <w:iCs/>
                <w:sz w:val="20"/>
                <w:szCs w:val="20"/>
                <w:lang w:val="sl-SI"/>
              </w:rPr>
              <w:t>ustrezn</w:t>
            </w:r>
            <w:r w:rsidR="00E145C0">
              <w:rPr>
                <w:rFonts w:cs="Arial"/>
                <w:iCs/>
                <w:sz w:val="20"/>
                <w:szCs w:val="20"/>
                <w:lang w:val="sl-SI"/>
              </w:rPr>
              <w:t>o</w:t>
            </w:r>
            <w:r w:rsidR="00E145C0" w:rsidRPr="00E145C0">
              <w:rPr>
                <w:rFonts w:cs="Arial"/>
                <w:iCs/>
                <w:sz w:val="20"/>
                <w:szCs w:val="20"/>
                <w:lang w:val="sl-SI"/>
              </w:rPr>
              <w:t xml:space="preserve"> prilagodit</w:t>
            </w:r>
            <w:r w:rsidR="00E145C0">
              <w:rPr>
                <w:rFonts w:cs="Arial"/>
                <w:iCs/>
                <w:sz w:val="20"/>
                <w:szCs w:val="20"/>
                <w:lang w:val="sl-SI"/>
              </w:rPr>
              <w:t>e</w:t>
            </w:r>
            <w:r w:rsidR="00E145C0" w:rsidRPr="00E145C0">
              <w:rPr>
                <w:rFonts w:cs="Arial"/>
                <w:iCs/>
                <w:sz w:val="20"/>
                <w:szCs w:val="20"/>
                <w:lang w:val="sl-SI"/>
              </w:rPr>
              <w:t>v davčne obravnave</w:t>
            </w:r>
            <w:r w:rsidR="0089484A">
              <w:rPr>
                <w:rFonts w:cs="Arial"/>
                <w:iCs/>
                <w:sz w:val="20"/>
                <w:szCs w:val="20"/>
                <w:lang w:val="sl-SI"/>
              </w:rPr>
              <w:t>.</w:t>
            </w:r>
            <w:r w:rsidR="00E145C0">
              <w:rPr>
                <w:rFonts w:cs="Arial"/>
                <w:iCs/>
                <w:sz w:val="20"/>
                <w:szCs w:val="20"/>
                <w:lang w:val="sl-SI"/>
              </w:rPr>
              <w:t xml:space="preserve"> </w:t>
            </w:r>
            <w:r w:rsidR="004C4365">
              <w:rPr>
                <w:rFonts w:cs="Arial"/>
                <w:iCs/>
                <w:sz w:val="20"/>
                <w:szCs w:val="20"/>
                <w:lang w:val="sl-SI"/>
              </w:rPr>
              <w:t>P</w:t>
            </w:r>
            <w:r w:rsidR="004C4365" w:rsidRPr="004C4365">
              <w:rPr>
                <w:rFonts w:cs="Arial"/>
                <w:iCs/>
                <w:sz w:val="20"/>
                <w:szCs w:val="20"/>
                <w:lang w:val="sl-SI"/>
              </w:rPr>
              <w:t xml:space="preserve">redlagane ukrepe </w:t>
            </w:r>
            <w:r w:rsidR="004C4365">
              <w:rPr>
                <w:rFonts w:cs="Arial"/>
                <w:iCs/>
                <w:sz w:val="20"/>
                <w:szCs w:val="20"/>
                <w:lang w:val="sl-SI"/>
              </w:rPr>
              <w:t xml:space="preserve">je </w:t>
            </w:r>
            <w:r w:rsidR="00874447">
              <w:rPr>
                <w:rFonts w:cs="Arial"/>
                <w:iCs/>
                <w:sz w:val="20"/>
                <w:szCs w:val="20"/>
                <w:lang w:val="sl-SI"/>
              </w:rPr>
              <w:t>nujno</w:t>
            </w:r>
            <w:r w:rsidR="004C4365" w:rsidRPr="004C4365">
              <w:rPr>
                <w:rFonts w:cs="Arial"/>
                <w:iCs/>
                <w:sz w:val="20"/>
                <w:szCs w:val="20"/>
                <w:lang w:val="sl-SI"/>
              </w:rPr>
              <w:t xml:space="preserve"> uveljaviti do konca leta 2017, da se bodo lahko začeli uporabljati že </w:t>
            </w:r>
            <w:r w:rsidR="004C4365">
              <w:rPr>
                <w:rFonts w:cs="Arial"/>
                <w:iCs/>
                <w:sz w:val="20"/>
                <w:szCs w:val="20"/>
                <w:lang w:val="sl-SI"/>
              </w:rPr>
              <w:t>s 1. 1. 2018.</w:t>
            </w:r>
          </w:p>
        </w:tc>
      </w:tr>
      <w:tr w:rsidR="005553CB" w:rsidRPr="00B95D04" w14:paraId="6D88C880" w14:textId="77777777" w:rsidTr="00CA689C">
        <w:tc>
          <w:tcPr>
            <w:tcW w:w="9163" w:type="dxa"/>
            <w:gridSpan w:val="4"/>
          </w:tcPr>
          <w:p w14:paraId="6D88C87F" w14:textId="77777777" w:rsidR="005553CB" w:rsidRPr="00B95D04" w:rsidRDefault="005553CB" w:rsidP="00CA689C">
            <w:pPr>
              <w:pStyle w:val="Neotevilenodstavek"/>
              <w:spacing w:before="0" w:after="0" w:line="260" w:lineRule="exact"/>
              <w:rPr>
                <w:rFonts w:cs="Arial"/>
                <w:b/>
                <w:iCs/>
                <w:sz w:val="20"/>
                <w:szCs w:val="20"/>
                <w:lang w:val="sl-SI" w:eastAsia="sl-SI"/>
              </w:rPr>
            </w:pPr>
            <w:proofErr w:type="spellStart"/>
            <w:r w:rsidRPr="00B95D04">
              <w:rPr>
                <w:rFonts w:cs="Arial"/>
                <w:b/>
                <w:sz w:val="20"/>
                <w:szCs w:val="20"/>
                <w:lang w:val="sl-SI" w:eastAsia="sl-SI"/>
              </w:rPr>
              <w:lastRenderedPageBreak/>
              <w:t>3.a</w:t>
            </w:r>
            <w:proofErr w:type="spellEnd"/>
            <w:r w:rsidRPr="00B95D04">
              <w:rPr>
                <w:rFonts w:cs="Arial"/>
                <w:b/>
                <w:sz w:val="20"/>
                <w:szCs w:val="20"/>
                <w:lang w:val="sl-SI" w:eastAsia="sl-SI"/>
              </w:rPr>
              <w:t xml:space="preserve"> Osebe, odgovorne za strokovno pripravo in usklajenost gradiva:</w:t>
            </w:r>
          </w:p>
        </w:tc>
      </w:tr>
      <w:tr w:rsidR="005553CB" w:rsidRPr="00B95D04" w14:paraId="6D88C883" w14:textId="77777777" w:rsidTr="003C0DF0">
        <w:trPr>
          <w:trHeight w:val="999"/>
        </w:trPr>
        <w:tc>
          <w:tcPr>
            <w:tcW w:w="9163" w:type="dxa"/>
            <w:gridSpan w:val="4"/>
          </w:tcPr>
          <w:p w14:paraId="6D88C881" w14:textId="77777777" w:rsidR="00F55DDF" w:rsidRPr="00B95D04" w:rsidRDefault="00C56454" w:rsidP="00243581">
            <w:pPr>
              <w:numPr>
                <w:ilvl w:val="0"/>
                <w:numId w:val="17"/>
              </w:numPr>
              <w:suppressAutoHyphens/>
              <w:overflowPunct w:val="0"/>
              <w:autoSpaceDE w:val="0"/>
              <w:autoSpaceDN w:val="0"/>
              <w:adjustRightInd w:val="0"/>
              <w:spacing w:after="0" w:line="260" w:lineRule="exact"/>
              <w:ind w:left="714" w:hanging="357"/>
              <w:textAlignment w:val="baseline"/>
              <w:outlineLvl w:val="3"/>
              <w:rPr>
                <w:rFonts w:ascii="Arial" w:eastAsia="Times New Roman" w:hAnsi="Arial" w:cs="Arial"/>
                <w:sz w:val="20"/>
                <w:szCs w:val="20"/>
                <w:lang w:eastAsia="sl-SI"/>
              </w:rPr>
            </w:pPr>
            <w:r w:rsidRPr="00B95D04">
              <w:rPr>
                <w:rFonts w:ascii="Arial" w:eastAsia="Times New Roman" w:hAnsi="Arial" w:cs="Arial"/>
                <w:iCs/>
                <w:sz w:val="20"/>
                <w:szCs w:val="20"/>
                <w:lang w:eastAsia="sl-SI"/>
              </w:rPr>
              <w:t>mag. Irena Popovič, generalna direktorica Direktorata za sistem davčnih, carinskih in drugih javnih prihodkov</w:t>
            </w:r>
            <w:r w:rsidR="00F55DDF" w:rsidRPr="00B95D04">
              <w:rPr>
                <w:rFonts w:ascii="Arial" w:eastAsia="Times New Roman" w:hAnsi="Arial" w:cs="Arial"/>
                <w:iCs/>
                <w:sz w:val="20"/>
                <w:szCs w:val="20"/>
                <w:lang w:eastAsia="sl-SI"/>
              </w:rPr>
              <w:t xml:space="preserve">, </w:t>
            </w:r>
            <w:r w:rsidR="00F55DDF" w:rsidRPr="00B95D04">
              <w:rPr>
                <w:rFonts w:ascii="Arial" w:eastAsia="Times New Roman" w:hAnsi="Arial" w:cs="Arial"/>
                <w:sz w:val="20"/>
                <w:szCs w:val="20"/>
                <w:lang w:eastAsia="sl-SI"/>
              </w:rPr>
              <w:t>Ministrstvo za finance,</w:t>
            </w:r>
          </w:p>
          <w:p w14:paraId="6D88C882" w14:textId="77777777" w:rsidR="005553CB" w:rsidRPr="00B95D04" w:rsidRDefault="00C56454" w:rsidP="00243581">
            <w:pPr>
              <w:numPr>
                <w:ilvl w:val="0"/>
                <w:numId w:val="17"/>
              </w:numPr>
              <w:spacing w:after="0"/>
              <w:ind w:left="714" w:hanging="357"/>
              <w:rPr>
                <w:rFonts w:ascii="Arial" w:hAnsi="Arial" w:cs="Arial"/>
                <w:iCs/>
                <w:sz w:val="20"/>
                <w:szCs w:val="20"/>
              </w:rPr>
            </w:pPr>
            <w:r w:rsidRPr="00B95D04">
              <w:rPr>
                <w:rFonts w:ascii="Arial" w:eastAsia="Times New Roman" w:hAnsi="Arial" w:cs="Arial"/>
                <w:iCs/>
                <w:sz w:val="20"/>
                <w:szCs w:val="20"/>
                <w:lang w:eastAsia="sl-SI"/>
              </w:rPr>
              <w:t>Jožica Kastelic, vodja Sektorja za sistem obdavčitve dohodkov in premoženja</w:t>
            </w:r>
            <w:r w:rsidR="00F55DDF" w:rsidRPr="00B95D04">
              <w:rPr>
                <w:rFonts w:ascii="Arial" w:eastAsia="Times New Roman" w:hAnsi="Arial" w:cs="Arial"/>
                <w:iCs/>
                <w:sz w:val="20"/>
                <w:szCs w:val="20"/>
                <w:lang w:eastAsia="sl-SI"/>
              </w:rPr>
              <w:t>, Ministrstvo za finance</w:t>
            </w:r>
          </w:p>
        </w:tc>
      </w:tr>
      <w:tr w:rsidR="005553CB" w:rsidRPr="00B95D04" w14:paraId="6D88C885" w14:textId="77777777" w:rsidTr="00CA689C">
        <w:tc>
          <w:tcPr>
            <w:tcW w:w="9163" w:type="dxa"/>
            <w:gridSpan w:val="4"/>
          </w:tcPr>
          <w:p w14:paraId="6D88C884" w14:textId="77777777" w:rsidR="005553CB" w:rsidRPr="00B95D04" w:rsidRDefault="005553CB" w:rsidP="00CA689C">
            <w:pPr>
              <w:pStyle w:val="Neotevilenodstavek"/>
              <w:spacing w:before="0" w:after="0" w:line="260" w:lineRule="exact"/>
              <w:rPr>
                <w:rFonts w:cs="Arial"/>
                <w:b/>
                <w:iCs/>
                <w:sz w:val="20"/>
                <w:szCs w:val="20"/>
                <w:lang w:val="sl-SI" w:eastAsia="sl-SI"/>
              </w:rPr>
            </w:pPr>
            <w:proofErr w:type="spellStart"/>
            <w:r w:rsidRPr="00B95D04">
              <w:rPr>
                <w:rFonts w:cs="Arial"/>
                <w:b/>
                <w:iCs/>
                <w:sz w:val="20"/>
                <w:szCs w:val="20"/>
                <w:lang w:val="sl-SI" w:eastAsia="sl-SI"/>
              </w:rPr>
              <w:t>3.b</w:t>
            </w:r>
            <w:proofErr w:type="spellEnd"/>
            <w:r w:rsidRPr="00B95D04">
              <w:rPr>
                <w:rFonts w:cs="Arial"/>
                <w:b/>
                <w:iCs/>
                <w:sz w:val="20"/>
                <w:szCs w:val="20"/>
                <w:lang w:val="sl-SI" w:eastAsia="sl-SI"/>
              </w:rPr>
              <w:t xml:space="preserve"> Zunanji strokovnjaki, ki so </w:t>
            </w:r>
            <w:r w:rsidRPr="00B95D04">
              <w:rPr>
                <w:rFonts w:cs="Arial"/>
                <w:b/>
                <w:sz w:val="20"/>
                <w:szCs w:val="20"/>
                <w:lang w:val="sl-SI" w:eastAsia="sl-SI"/>
              </w:rPr>
              <w:t>sodelovali pri pripravi dela ali celotnega gradiva:</w:t>
            </w:r>
          </w:p>
        </w:tc>
      </w:tr>
      <w:tr w:rsidR="005553CB" w:rsidRPr="00B95D04" w14:paraId="6D88C887" w14:textId="77777777" w:rsidTr="00CA689C">
        <w:tc>
          <w:tcPr>
            <w:tcW w:w="9163" w:type="dxa"/>
            <w:gridSpan w:val="4"/>
          </w:tcPr>
          <w:p w14:paraId="6D88C886" w14:textId="77777777" w:rsidR="005553CB" w:rsidRPr="00B95D04" w:rsidRDefault="00B454E5" w:rsidP="00CA689C">
            <w:pPr>
              <w:pStyle w:val="Neotevilenodstavek"/>
              <w:spacing w:before="0" w:after="0" w:line="260" w:lineRule="exact"/>
              <w:rPr>
                <w:rFonts w:cs="Arial"/>
                <w:iCs/>
                <w:sz w:val="20"/>
                <w:szCs w:val="20"/>
                <w:lang w:val="sl-SI" w:eastAsia="sl-SI"/>
              </w:rPr>
            </w:pPr>
            <w:r w:rsidRPr="00B95D04">
              <w:rPr>
                <w:rFonts w:cs="Arial"/>
                <w:iCs/>
                <w:sz w:val="20"/>
                <w:szCs w:val="20"/>
                <w:lang w:val="sl-SI" w:eastAsia="sl-SI"/>
              </w:rPr>
              <w:t>/</w:t>
            </w:r>
          </w:p>
        </w:tc>
      </w:tr>
      <w:tr w:rsidR="005553CB" w:rsidRPr="00B95D04" w14:paraId="6D88C889" w14:textId="77777777" w:rsidTr="00CA689C">
        <w:tc>
          <w:tcPr>
            <w:tcW w:w="9163" w:type="dxa"/>
            <w:gridSpan w:val="4"/>
          </w:tcPr>
          <w:p w14:paraId="6D88C888" w14:textId="77777777" w:rsidR="005553CB" w:rsidRPr="00B95D04" w:rsidRDefault="005553CB" w:rsidP="00CA689C">
            <w:pPr>
              <w:pStyle w:val="Neotevilenodstavek"/>
              <w:spacing w:before="0" w:after="0" w:line="260" w:lineRule="exact"/>
              <w:rPr>
                <w:rFonts w:cs="Arial"/>
                <w:b/>
                <w:iCs/>
                <w:sz w:val="20"/>
                <w:szCs w:val="20"/>
                <w:lang w:val="sl-SI" w:eastAsia="sl-SI"/>
              </w:rPr>
            </w:pPr>
            <w:r w:rsidRPr="00B95D04">
              <w:rPr>
                <w:rFonts w:cs="Arial"/>
                <w:b/>
                <w:sz w:val="20"/>
                <w:szCs w:val="20"/>
                <w:lang w:val="sl-SI" w:eastAsia="sl-SI"/>
              </w:rPr>
              <w:t>4. Predstavniki vlade, ki bodo sodelovali pri delu državnega zbora:</w:t>
            </w:r>
          </w:p>
        </w:tc>
      </w:tr>
      <w:tr w:rsidR="005553CB" w:rsidRPr="00B95D04" w14:paraId="6D88C895" w14:textId="77777777" w:rsidTr="00CA689C">
        <w:tc>
          <w:tcPr>
            <w:tcW w:w="9163" w:type="dxa"/>
            <w:gridSpan w:val="4"/>
          </w:tcPr>
          <w:p w14:paraId="6D88C88A" w14:textId="77777777" w:rsidR="00B2137E" w:rsidRPr="00B95D04" w:rsidRDefault="00B2137E" w:rsidP="00B2137E">
            <w:pPr>
              <w:numPr>
                <w:ilvl w:val="0"/>
                <w:numId w:val="18"/>
              </w:numPr>
              <w:overflowPunct w:val="0"/>
              <w:autoSpaceDE w:val="0"/>
              <w:autoSpaceDN w:val="0"/>
              <w:adjustRightInd w:val="0"/>
              <w:spacing w:after="0" w:line="260" w:lineRule="exact"/>
              <w:textAlignment w:val="baseline"/>
              <w:rPr>
                <w:rFonts w:ascii="Arial" w:eastAsia="Times New Roman" w:hAnsi="Arial" w:cs="Arial"/>
                <w:color w:val="000000"/>
                <w:sz w:val="20"/>
                <w:szCs w:val="20"/>
                <w:lang w:eastAsia="sl-SI"/>
              </w:rPr>
            </w:pPr>
            <w:r w:rsidRPr="00B95D04">
              <w:rPr>
                <w:rFonts w:ascii="Arial" w:eastAsia="Times New Roman" w:hAnsi="Arial" w:cs="Arial"/>
                <w:color w:val="000000"/>
                <w:sz w:val="20"/>
                <w:szCs w:val="20"/>
                <w:lang w:eastAsia="sl-SI"/>
              </w:rPr>
              <w:t>mag. Mateja Vraničar Erman, ministrica za finance</w:t>
            </w:r>
          </w:p>
          <w:p w14:paraId="6D88C88B" w14:textId="77777777" w:rsidR="00B2137E" w:rsidRPr="00B95D04" w:rsidRDefault="00B2137E" w:rsidP="00B2137E">
            <w:pPr>
              <w:numPr>
                <w:ilvl w:val="0"/>
                <w:numId w:val="18"/>
              </w:numPr>
              <w:overflowPunct w:val="0"/>
              <w:autoSpaceDE w:val="0"/>
              <w:autoSpaceDN w:val="0"/>
              <w:adjustRightInd w:val="0"/>
              <w:spacing w:after="0" w:line="260" w:lineRule="exact"/>
              <w:textAlignment w:val="baseline"/>
              <w:rPr>
                <w:rFonts w:ascii="Arial" w:eastAsia="Times New Roman" w:hAnsi="Arial" w:cs="Arial"/>
                <w:color w:val="000000"/>
                <w:sz w:val="20"/>
                <w:szCs w:val="20"/>
                <w:lang w:eastAsia="sl-SI"/>
              </w:rPr>
            </w:pPr>
            <w:r w:rsidRPr="00B95D04">
              <w:rPr>
                <w:rFonts w:ascii="Arial" w:eastAsia="Times New Roman" w:hAnsi="Arial" w:cs="Arial"/>
                <w:color w:val="000000"/>
                <w:sz w:val="20"/>
                <w:szCs w:val="20"/>
                <w:lang w:eastAsia="sl-SI"/>
              </w:rPr>
              <w:t>Tilen Božič, državni sekretar</w:t>
            </w:r>
          </w:p>
          <w:p w14:paraId="4C31F4C8" w14:textId="6E53F8AB" w:rsidR="0013521F" w:rsidRPr="00B95D04" w:rsidRDefault="0013521F" w:rsidP="0013521F">
            <w:pPr>
              <w:numPr>
                <w:ilvl w:val="0"/>
                <w:numId w:val="18"/>
              </w:numPr>
              <w:overflowPunct w:val="0"/>
              <w:autoSpaceDE w:val="0"/>
              <w:autoSpaceDN w:val="0"/>
              <w:adjustRightInd w:val="0"/>
              <w:spacing w:after="0" w:line="260" w:lineRule="exact"/>
              <w:textAlignment w:val="baseline"/>
              <w:rPr>
                <w:rFonts w:ascii="Arial" w:eastAsia="Times New Roman" w:hAnsi="Arial" w:cs="Arial"/>
                <w:color w:val="000000"/>
                <w:sz w:val="20"/>
                <w:szCs w:val="20"/>
                <w:lang w:eastAsia="sl-SI"/>
              </w:rPr>
            </w:pPr>
            <w:r w:rsidRPr="00B95D04">
              <w:rPr>
                <w:rFonts w:ascii="Arial" w:eastAsia="Times New Roman" w:hAnsi="Arial" w:cs="Arial"/>
                <w:color w:val="000000"/>
                <w:sz w:val="20"/>
                <w:szCs w:val="20"/>
                <w:lang w:eastAsia="sl-SI"/>
              </w:rPr>
              <w:t>mag. Saša Jazbec, državna sekretarka</w:t>
            </w:r>
          </w:p>
          <w:p w14:paraId="6D88C88D" w14:textId="3388699C" w:rsidR="00B2137E" w:rsidRPr="00B95D04" w:rsidRDefault="00B2137E" w:rsidP="0013521F">
            <w:pPr>
              <w:numPr>
                <w:ilvl w:val="0"/>
                <w:numId w:val="18"/>
              </w:numPr>
              <w:overflowPunct w:val="0"/>
              <w:autoSpaceDE w:val="0"/>
              <w:autoSpaceDN w:val="0"/>
              <w:adjustRightInd w:val="0"/>
              <w:spacing w:after="0" w:line="260" w:lineRule="exact"/>
              <w:textAlignment w:val="baseline"/>
              <w:rPr>
                <w:rFonts w:ascii="Arial" w:eastAsia="Times New Roman" w:hAnsi="Arial" w:cs="Arial"/>
                <w:color w:val="000000"/>
                <w:sz w:val="20"/>
                <w:szCs w:val="20"/>
                <w:lang w:eastAsia="sl-SI"/>
              </w:rPr>
            </w:pPr>
            <w:r w:rsidRPr="00B95D04">
              <w:rPr>
                <w:rFonts w:ascii="Arial" w:eastAsia="Times New Roman" w:hAnsi="Arial" w:cs="Arial"/>
                <w:color w:val="000000"/>
                <w:sz w:val="20"/>
                <w:szCs w:val="20"/>
                <w:lang w:eastAsia="sl-SI"/>
              </w:rPr>
              <w:t xml:space="preserve">mag. Gorazd Renčelj, državni sekretar </w:t>
            </w:r>
          </w:p>
          <w:p w14:paraId="6D88C88E" w14:textId="77777777" w:rsidR="00B2137E" w:rsidRPr="00B95D04" w:rsidRDefault="00B2137E" w:rsidP="00B2137E">
            <w:pPr>
              <w:numPr>
                <w:ilvl w:val="0"/>
                <w:numId w:val="18"/>
              </w:numPr>
              <w:overflowPunct w:val="0"/>
              <w:autoSpaceDE w:val="0"/>
              <w:autoSpaceDN w:val="0"/>
              <w:adjustRightInd w:val="0"/>
              <w:spacing w:after="0" w:line="260" w:lineRule="exact"/>
              <w:textAlignment w:val="baseline"/>
              <w:rPr>
                <w:rFonts w:ascii="Arial" w:eastAsia="Times New Roman" w:hAnsi="Arial" w:cs="Arial"/>
                <w:color w:val="000000"/>
                <w:sz w:val="20"/>
                <w:szCs w:val="20"/>
                <w:lang w:eastAsia="sl-SI"/>
              </w:rPr>
            </w:pPr>
            <w:r w:rsidRPr="00B95D04">
              <w:rPr>
                <w:rFonts w:ascii="Arial" w:eastAsia="Times New Roman" w:hAnsi="Arial" w:cs="Arial"/>
                <w:color w:val="000000"/>
                <w:sz w:val="20"/>
                <w:szCs w:val="20"/>
                <w:lang w:eastAsia="sl-SI"/>
              </w:rPr>
              <w:t xml:space="preserve">mag. Miranda </w:t>
            </w:r>
            <w:proofErr w:type="spellStart"/>
            <w:r w:rsidRPr="00B95D04">
              <w:rPr>
                <w:rFonts w:ascii="Arial" w:eastAsia="Times New Roman" w:hAnsi="Arial" w:cs="Arial"/>
                <w:color w:val="000000"/>
                <w:sz w:val="20"/>
                <w:szCs w:val="20"/>
                <w:lang w:eastAsia="sl-SI"/>
              </w:rPr>
              <w:t>Groff</w:t>
            </w:r>
            <w:proofErr w:type="spellEnd"/>
            <w:r w:rsidRPr="00B95D04">
              <w:rPr>
                <w:rFonts w:ascii="Arial" w:eastAsia="Times New Roman" w:hAnsi="Arial" w:cs="Arial"/>
                <w:color w:val="000000"/>
                <w:sz w:val="20"/>
                <w:szCs w:val="20"/>
                <w:lang w:eastAsia="sl-SI"/>
              </w:rPr>
              <w:t xml:space="preserve"> Ferjančič, državna sekretarka</w:t>
            </w:r>
          </w:p>
          <w:p w14:paraId="6D88C88F" w14:textId="77777777" w:rsidR="00C56454" w:rsidRPr="00B95D04" w:rsidRDefault="00C56454" w:rsidP="00E77BB7">
            <w:pPr>
              <w:numPr>
                <w:ilvl w:val="0"/>
                <w:numId w:val="18"/>
              </w:numPr>
              <w:overflowPunct w:val="0"/>
              <w:autoSpaceDE w:val="0"/>
              <w:autoSpaceDN w:val="0"/>
              <w:adjustRightInd w:val="0"/>
              <w:spacing w:after="0" w:line="260" w:lineRule="exact"/>
              <w:ind w:left="714" w:hanging="357"/>
              <w:textAlignment w:val="baseline"/>
              <w:rPr>
                <w:rFonts w:ascii="Arial" w:eastAsia="Times New Roman" w:hAnsi="Arial" w:cs="Arial"/>
                <w:b/>
                <w:sz w:val="20"/>
                <w:szCs w:val="20"/>
                <w:lang w:eastAsia="sl-SI"/>
              </w:rPr>
            </w:pPr>
            <w:r w:rsidRPr="00B95D04">
              <w:rPr>
                <w:rFonts w:ascii="Arial" w:eastAsia="Times New Roman" w:hAnsi="Arial" w:cs="Arial"/>
                <w:color w:val="000000"/>
                <w:sz w:val="20"/>
                <w:szCs w:val="20"/>
                <w:lang w:eastAsia="sl-SI"/>
              </w:rPr>
              <w:t>mag. Irena Popovič, generalna direktorica</w:t>
            </w:r>
          </w:p>
          <w:p w14:paraId="6D88C890" w14:textId="77777777" w:rsidR="00C56454" w:rsidRPr="00B95D04" w:rsidRDefault="008D482D" w:rsidP="00E77BB7">
            <w:pPr>
              <w:numPr>
                <w:ilvl w:val="0"/>
                <w:numId w:val="18"/>
              </w:numPr>
              <w:overflowPunct w:val="0"/>
              <w:autoSpaceDE w:val="0"/>
              <w:autoSpaceDN w:val="0"/>
              <w:adjustRightInd w:val="0"/>
              <w:spacing w:after="0" w:line="260" w:lineRule="exact"/>
              <w:ind w:left="714" w:hanging="357"/>
              <w:textAlignment w:val="baseline"/>
              <w:rPr>
                <w:rFonts w:ascii="Arial" w:eastAsia="Times New Roman" w:hAnsi="Arial" w:cs="Arial"/>
                <w:b/>
                <w:sz w:val="20"/>
                <w:szCs w:val="20"/>
                <w:lang w:eastAsia="sl-SI"/>
              </w:rPr>
            </w:pPr>
            <w:r w:rsidRPr="00B95D04">
              <w:rPr>
                <w:rFonts w:ascii="Arial" w:eastAsia="Times New Roman" w:hAnsi="Arial" w:cs="Arial"/>
                <w:color w:val="000000"/>
                <w:sz w:val="20"/>
                <w:szCs w:val="20"/>
                <w:lang w:eastAsia="sl-SI"/>
              </w:rPr>
              <w:t>Jožica Kastelic, vodja sektorja</w:t>
            </w:r>
          </w:p>
          <w:p w14:paraId="6D88C891" w14:textId="77777777" w:rsidR="00C56454" w:rsidRPr="00B95D04" w:rsidRDefault="00C56454" w:rsidP="00E77BB7">
            <w:pPr>
              <w:numPr>
                <w:ilvl w:val="0"/>
                <w:numId w:val="18"/>
              </w:numPr>
              <w:overflowPunct w:val="0"/>
              <w:autoSpaceDE w:val="0"/>
              <w:autoSpaceDN w:val="0"/>
              <w:adjustRightInd w:val="0"/>
              <w:spacing w:after="0" w:line="260" w:lineRule="exact"/>
              <w:ind w:left="714" w:hanging="357"/>
              <w:jc w:val="both"/>
              <w:textAlignment w:val="baseline"/>
              <w:rPr>
                <w:rFonts w:ascii="Arial" w:eastAsia="Times New Roman" w:hAnsi="Arial" w:cs="Arial"/>
                <w:sz w:val="20"/>
                <w:szCs w:val="20"/>
                <w:lang w:eastAsia="sl-SI"/>
              </w:rPr>
            </w:pPr>
            <w:r w:rsidRPr="00B95D04">
              <w:rPr>
                <w:rFonts w:ascii="Arial" w:eastAsia="Times New Roman" w:hAnsi="Arial" w:cs="Arial"/>
                <w:sz w:val="20"/>
                <w:szCs w:val="20"/>
                <w:lang w:eastAsia="sl-SI"/>
              </w:rPr>
              <w:t>mag. Tadeja Rupnik, podsekretarka</w:t>
            </w:r>
          </w:p>
          <w:p w14:paraId="6D88C892" w14:textId="01B07BA9" w:rsidR="00C56454" w:rsidRPr="00B95D04" w:rsidRDefault="00C56454" w:rsidP="00E77BB7">
            <w:pPr>
              <w:numPr>
                <w:ilvl w:val="0"/>
                <w:numId w:val="18"/>
              </w:numPr>
              <w:overflowPunct w:val="0"/>
              <w:autoSpaceDE w:val="0"/>
              <w:autoSpaceDN w:val="0"/>
              <w:adjustRightInd w:val="0"/>
              <w:spacing w:after="0" w:line="260" w:lineRule="exact"/>
              <w:ind w:left="714" w:hanging="357"/>
              <w:jc w:val="both"/>
              <w:textAlignment w:val="baseline"/>
              <w:rPr>
                <w:rFonts w:ascii="Arial" w:eastAsia="Times New Roman" w:hAnsi="Arial" w:cs="Arial"/>
                <w:sz w:val="20"/>
                <w:szCs w:val="20"/>
                <w:lang w:eastAsia="sl-SI"/>
              </w:rPr>
            </w:pPr>
            <w:r w:rsidRPr="00B95D04">
              <w:rPr>
                <w:rFonts w:ascii="Arial" w:eastAsia="Times New Roman" w:hAnsi="Arial" w:cs="Arial"/>
                <w:sz w:val="20"/>
                <w:szCs w:val="20"/>
                <w:lang w:eastAsia="sl-SI"/>
              </w:rPr>
              <w:t xml:space="preserve">Ingrid </w:t>
            </w:r>
            <w:proofErr w:type="spellStart"/>
            <w:r w:rsidRPr="00B95D04">
              <w:rPr>
                <w:rFonts w:ascii="Arial" w:eastAsia="Times New Roman" w:hAnsi="Arial" w:cs="Arial"/>
                <w:sz w:val="20"/>
                <w:szCs w:val="20"/>
                <w:lang w:eastAsia="sl-SI"/>
              </w:rPr>
              <w:t>Andrejasič</w:t>
            </w:r>
            <w:proofErr w:type="spellEnd"/>
            <w:r w:rsidRPr="00B95D04">
              <w:rPr>
                <w:rFonts w:ascii="Arial" w:eastAsia="Times New Roman" w:hAnsi="Arial" w:cs="Arial"/>
                <w:sz w:val="20"/>
                <w:szCs w:val="20"/>
                <w:lang w:eastAsia="sl-SI"/>
              </w:rPr>
              <w:t>, podsekretarka</w:t>
            </w:r>
          </w:p>
          <w:p w14:paraId="6D88C893" w14:textId="77777777" w:rsidR="00C56454" w:rsidRPr="00B95D04" w:rsidRDefault="00C56454" w:rsidP="00E77BB7">
            <w:pPr>
              <w:numPr>
                <w:ilvl w:val="0"/>
                <w:numId w:val="18"/>
              </w:numPr>
              <w:spacing w:after="0" w:line="260" w:lineRule="exact"/>
              <w:ind w:left="714" w:hanging="357"/>
              <w:rPr>
                <w:rFonts w:ascii="Arial" w:eastAsia="Times New Roman" w:hAnsi="Arial" w:cs="Arial"/>
                <w:sz w:val="20"/>
                <w:szCs w:val="20"/>
                <w:lang w:eastAsia="sl-SI"/>
              </w:rPr>
            </w:pPr>
            <w:r w:rsidRPr="00B95D04">
              <w:rPr>
                <w:rFonts w:ascii="Arial" w:eastAsia="Times New Roman" w:hAnsi="Arial" w:cs="Arial"/>
                <w:sz w:val="20"/>
                <w:szCs w:val="20"/>
                <w:lang w:eastAsia="sl-SI"/>
              </w:rPr>
              <w:t>Larisa Eva Ramovš, podsekretarka</w:t>
            </w:r>
          </w:p>
          <w:p w14:paraId="2677B015" w14:textId="7269A0CE" w:rsidR="0013521F" w:rsidRPr="00B95D04" w:rsidRDefault="0013521F" w:rsidP="00E77BB7">
            <w:pPr>
              <w:numPr>
                <w:ilvl w:val="0"/>
                <w:numId w:val="18"/>
              </w:numPr>
              <w:spacing w:after="0" w:line="260" w:lineRule="exact"/>
              <w:ind w:left="714" w:hanging="357"/>
              <w:rPr>
                <w:rFonts w:ascii="Arial" w:eastAsia="Times New Roman" w:hAnsi="Arial" w:cs="Arial"/>
                <w:sz w:val="20"/>
                <w:szCs w:val="20"/>
                <w:lang w:eastAsia="sl-SI"/>
              </w:rPr>
            </w:pPr>
            <w:r w:rsidRPr="00B95D04">
              <w:rPr>
                <w:rFonts w:ascii="Arial" w:eastAsia="Times New Roman" w:hAnsi="Arial" w:cs="Arial"/>
                <w:sz w:val="20"/>
                <w:szCs w:val="20"/>
                <w:lang w:eastAsia="sl-SI"/>
              </w:rPr>
              <w:t>Tatjana Grilj Medvedšek, višja svetovalka</w:t>
            </w:r>
          </w:p>
          <w:p w14:paraId="07AE3707" w14:textId="49E9EF29" w:rsidR="006231E5" w:rsidRPr="00B95D04" w:rsidRDefault="006231E5" w:rsidP="00E77BB7">
            <w:pPr>
              <w:numPr>
                <w:ilvl w:val="0"/>
                <w:numId w:val="18"/>
              </w:numPr>
              <w:spacing w:after="0" w:line="260" w:lineRule="exact"/>
              <w:ind w:left="714" w:hanging="357"/>
              <w:rPr>
                <w:rFonts w:ascii="Arial" w:eastAsia="Times New Roman" w:hAnsi="Arial" w:cs="Arial"/>
                <w:sz w:val="20"/>
                <w:szCs w:val="20"/>
                <w:lang w:eastAsia="sl-SI"/>
              </w:rPr>
            </w:pPr>
            <w:r w:rsidRPr="00B95D04">
              <w:rPr>
                <w:rFonts w:ascii="Arial" w:hAnsi="Arial" w:cs="Arial"/>
                <w:sz w:val="20"/>
                <w:szCs w:val="20"/>
              </w:rPr>
              <w:t xml:space="preserve">Meta Šinkovec, </w:t>
            </w:r>
            <w:r w:rsidRPr="00B95D04">
              <w:rPr>
                <w:rFonts w:ascii="Arial" w:hAnsi="Arial" w:cs="Arial"/>
                <w:iCs/>
                <w:sz w:val="20"/>
                <w:szCs w:val="20"/>
              </w:rPr>
              <w:t>vodja sektorja</w:t>
            </w:r>
          </w:p>
          <w:p w14:paraId="25A3CAD8" w14:textId="77777777" w:rsidR="005553CB" w:rsidRPr="00B95D04" w:rsidRDefault="00C56454" w:rsidP="00E77BB7">
            <w:pPr>
              <w:pStyle w:val="Neotevilenodstavek"/>
              <w:numPr>
                <w:ilvl w:val="0"/>
                <w:numId w:val="18"/>
              </w:numPr>
              <w:spacing w:before="0" w:after="0" w:line="260" w:lineRule="exact"/>
              <w:rPr>
                <w:rFonts w:cs="Arial"/>
                <w:b/>
                <w:color w:val="A6A6A6"/>
                <w:sz w:val="20"/>
                <w:szCs w:val="20"/>
                <w:lang w:val="sl-SI" w:eastAsia="sl-SI"/>
              </w:rPr>
            </w:pPr>
            <w:r w:rsidRPr="00B95D04">
              <w:rPr>
                <w:rFonts w:cs="Arial"/>
                <w:sz w:val="20"/>
                <w:szCs w:val="20"/>
                <w:lang w:val="sl-SI" w:eastAsia="sl-SI"/>
              </w:rPr>
              <w:t>mag. Marko Potočnik, podsekretar</w:t>
            </w:r>
          </w:p>
          <w:p w14:paraId="6D88C894" w14:textId="68D2C0F8" w:rsidR="006231E5" w:rsidRPr="00B95D04" w:rsidRDefault="006231E5" w:rsidP="00E77BB7">
            <w:pPr>
              <w:pStyle w:val="Neotevilenodstavek"/>
              <w:numPr>
                <w:ilvl w:val="0"/>
                <w:numId w:val="18"/>
              </w:numPr>
              <w:spacing w:before="0" w:after="0" w:line="260" w:lineRule="exact"/>
              <w:rPr>
                <w:rFonts w:cs="Arial"/>
                <w:b/>
                <w:color w:val="A6A6A6"/>
                <w:sz w:val="20"/>
                <w:szCs w:val="20"/>
                <w:lang w:val="sl-SI" w:eastAsia="sl-SI"/>
              </w:rPr>
            </w:pPr>
            <w:r w:rsidRPr="00B95D04">
              <w:rPr>
                <w:rFonts w:cs="Arial"/>
                <w:iCs/>
                <w:sz w:val="20"/>
                <w:szCs w:val="20"/>
                <w:lang w:val="sl-SI"/>
              </w:rPr>
              <w:t>Matej Šekoranja, svetovalec</w:t>
            </w:r>
          </w:p>
        </w:tc>
      </w:tr>
      <w:tr w:rsidR="005553CB" w:rsidRPr="00B95D04" w14:paraId="6D88C897" w14:textId="77777777" w:rsidTr="00CA689C">
        <w:tc>
          <w:tcPr>
            <w:tcW w:w="9163" w:type="dxa"/>
            <w:gridSpan w:val="4"/>
          </w:tcPr>
          <w:p w14:paraId="6D88C896" w14:textId="77777777" w:rsidR="005553CB" w:rsidRPr="00B95D04" w:rsidRDefault="005553CB" w:rsidP="00CA689C">
            <w:pPr>
              <w:pStyle w:val="Oddelek"/>
              <w:numPr>
                <w:ilvl w:val="0"/>
                <w:numId w:val="0"/>
              </w:numPr>
              <w:spacing w:before="0" w:after="0" w:line="260" w:lineRule="exact"/>
              <w:jc w:val="left"/>
              <w:rPr>
                <w:rFonts w:cs="Arial"/>
                <w:sz w:val="20"/>
                <w:szCs w:val="20"/>
                <w:lang w:val="sl-SI" w:eastAsia="sl-SI"/>
              </w:rPr>
            </w:pPr>
            <w:r w:rsidRPr="00B95D04">
              <w:rPr>
                <w:rFonts w:cs="Arial"/>
                <w:sz w:val="20"/>
                <w:szCs w:val="20"/>
                <w:lang w:val="sl-SI" w:eastAsia="sl-SI"/>
              </w:rPr>
              <w:t>5. Kratek povzetek gradiva:</w:t>
            </w:r>
          </w:p>
        </w:tc>
      </w:tr>
      <w:tr w:rsidR="005553CB" w:rsidRPr="00B95D04" w14:paraId="6D88C899" w14:textId="77777777" w:rsidTr="00CA689C">
        <w:tc>
          <w:tcPr>
            <w:tcW w:w="9163" w:type="dxa"/>
            <w:gridSpan w:val="4"/>
          </w:tcPr>
          <w:p w14:paraId="6D88C898" w14:textId="3C52F33C" w:rsidR="00D6486E" w:rsidRPr="00B95D04" w:rsidRDefault="00942C82" w:rsidP="004A639F">
            <w:pPr>
              <w:pStyle w:val="Neotevilenodstavek"/>
              <w:spacing w:before="0" w:after="0" w:line="260" w:lineRule="exact"/>
              <w:rPr>
                <w:rFonts w:cs="Arial"/>
                <w:iCs/>
                <w:color w:val="A6A6A6"/>
                <w:sz w:val="20"/>
                <w:szCs w:val="20"/>
                <w:lang w:val="sl-SI" w:eastAsia="sl-SI"/>
              </w:rPr>
            </w:pPr>
            <w:r w:rsidRPr="00B95D04">
              <w:rPr>
                <w:rFonts w:cs="Arial"/>
                <w:sz w:val="20"/>
                <w:szCs w:val="20"/>
                <w:lang w:val="sl-SI" w:eastAsia="sl-SI"/>
              </w:rPr>
              <w:t xml:space="preserve">S predlogom zakona se predlagajo ukrepi za </w:t>
            </w:r>
            <w:r w:rsidR="005B53B3" w:rsidRPr="00B95D04">
              <w:rPr>
                <w:rFonts w:cs="Arial"/>
                <w:sz w:val="20"/>
                <w:szCs w:val="20"/>
                <w:lang w:val="sl-SI" w:eastAsia="sl-SI"/>
              </w:rPr>
              <w:t xml:space="preserve">zajezitev zlorab </w:t>
            </w:r>
            <w:r w:rsidR="004A639F" w:rsidRPr="00B95D04">
              <w:rPr>
                <w:rFonts w:cs="Arial"/>
                <w:sz w:val="20"/>
                <w:szCs w:val="20"/>
                <w:lang w:val="sl-SI" w:eastAsia="sl-SI"/>
              </w:rPr>
              <w:t>posebne ureditve za ugotavljanje davčne osnove z upo</w:t>
            </w:r>
            <w:r w:rsidR="00AF01A9" w:rsidRPr="00B95D04">
              <w:rPr>
                <w:rFonts w:cs="Arial"/>
                <w:sz w:val="20"/>
                <w:szCs w:val="20"/>
                <w:lang w:val="sl-SI" w:eastAsia="sl-SI"/>
              </w:rPr>
              <w:t>š</w:t>
            </w:r>
            <w:r w:rsidR="004A639F" w:rsidRPr="00B95D04">
              <w:rPr>
                <w:rFonts w:cs="Arial"/>
                <w:sz w:val="20"/>
                <w:szCs w:val="20"/>
                <w:lang w:val="sl-SI" w:eastAsia="sl-SI"/>
              </w:rPr>
              <w:t>tevanjem normiranih odhodkov</w:t>
            </w:r>
            <w:r w:rsidR="005B53B3" w:rsidRPr="00B95D04">
              <w:rPr>
                <w:rFonts w:cs="Arial"/>
                <w:sz w:val="20"/>
                <w:szCs w:val="20"/>
                <w:lang w:val="sl-SI" w:eastAsia="sl-SI"/>
              </w:rPr>
              <w:t xml:space="preserve">. Predlagajo se tudi ukrepi za </w:t>
            </w:r>
            <w:r w:rsidRPr="00B95D04">
              <w:rPr>
                <w:rFonts w:cs="Arial"/>
                <w:sz w:val="20"/>
                <w:szCs w:val="20"/>
                <w:lang w:val="sl-SI" w:eastAsia="sl-SI"/>
              </w:rPr>
              <w:t>vključitev vseh učinkov prevrednotenj in prerazvrstitev vseh finančnih instrumentov v davčno osnovo.</w:t>
            </w:r>
          </w:p>
        </w:tc>
      </w:tr>
      <w:tr w:rsidR="005553CB" w:rsidRPr="00B95D04" w14:paraId="6D88C89B" w14:textId="77777777" w:rsidTr="00CA689C">
        <w:tc>
          <w:tcPr>
            <w:tcW w:w="9163" w:type="dxa"/>
            <w:gridSpan w:val="4"/>
          </w:tcPr>
          <w:p w14:paraId="6D88C89A" w14:textId="77777777" w:rsidR="005553CB" w:rsidRPr="00B95D04" w:rsidRDefault="005553CB" w:rsidP="00CA689C">
            <w:pPr>
              <w:pStyle w:val="Oddelek"/>
              <w:numPr>
                <w:ilvl w:val="0"/>
                <w:numId w:val="0"/>
              </w:numPr>
              <w:spacing w:before="0" w:after="0" w:line="260" w:lineRule="exact"/>
              <w:jc w:val="left"/>
              <w:rPr>
                <w:rFonts w:cs="Arial"/>
                <w:sz w:val="20"/>
                <w:szCs w:val="20"/>
                <w:lang w:val="sl-SI" w:eastAsia="sl-SI"/>
              </w:rPr>
            </w:pPr>
            <w:r w:rsidRPr="00B95D04">
              <w:rPr>
                <w:rFonts w:cs="Arial"/>
                <w:sz w:val="20"/>
                <w:szCs w:val="20"/>
                <w:lang w:val="sl-SI" w:eastAsia="sl-SI"/>
              </w:rPr>
              <w:t>6. Presoja posledic za:</w:t>
            </w:r>
          </w:p>
        </w:tc>
      </w:tr>
      <w:tr w:rsidR="005553CB" w:rsidRPr="00B95D04" w14:paraId="6D88C89F" w14:textId="77777777" w:rsidTr="00CA689C">
        <w:tc>
          <w:tcPr>
            <w:tcW w:w="1448" w:type="dxa"/>
          </w:tcPr>
          <w:p w14:paraId="6D88C89C" w14:textId="77777777" w:rsidR="005553CB" w:rsidRPr="00B95D04" w:rsidRDefault="005553CB" w:rsidP="00CA689C">
            <w:pPr>
              <w:pStyle w:val="Neotevilenodstavek"/>
              <w:spacing w:before="0" w:after="0" w:line="260" w:lineRule="exact"/>
              <w:ind w:left="360"/>
              <w:rPr>
                <w:rFonts w:cs="Arial"/>
                <w:iCs/>
                <w:sz w:val="20"/>
                <w:szCs w:val="20"/>
                <w:lang w:val="sl-SI" w:eastAsia="sl-SI"/>
              </w:rPr>
            </w:pPr>
            <w:r w:rsidRPr="00B95D04">
              <w:rPr>
                <w:rFonts w:cs="Arial"/>
                <w:iCs/>
                <w:sz w:val="20"/>
                <w:szCs w:val="20"/>
                <w:lang w:val="sl-SI" w:eastAsia="sl-SI"/>
              </w:rPr>
              <w:t>a)</w:t>
            </w:r>
          </w:p>
        </w:tc>
        <w:tc>
          <w:tcPr>
            <w:tcW w:w="5444" w:type="dxa"/>
            <w:gridSpan w:val="2"/>
          </w:tcPr>
          <w:p w14:paraId="6D88C89D" w14:textId="77777777" w:rsidR="005553CB" w:rsidRPr="00B95D04" w:rsidRDefault="005553CB" w:rsidP="00CA689C">
            <w:pPr>
              <w:pStyle w:val="Neotevilenodstavek"/>
              <w:spacing w:before="0" w:after="0" w:line="260" w:lineRule="exact"/>
              <w:rPr>
                <w:rFonts w:cs="Arial"/>
                <w:sz w:val="20"/>
                <w:szCs w:val="20"/>
                <w:lang w:val="sl-SI" w:eastAsia="sl-SI"/>
              </w:rPr>
            </w:pPr>
            <w:r w:rsidRPr="00B95D04">
              <w:rPr>
                <w:rFonts w:cs="Arial"/>
                <w:sz w:val="20"/>
                <w:szCs w:val="20"/>
                <w:lang w:val="sl-SI" w:eastAsia="sl-SI"/>
              </w:rPr>
              <w:t>javnofinančna sredstva nad 40.000 EUR v tekočem in naslednjih treh letih</w:t>
            </w:r>
          </w:p>
        </w:tc>
        <w:tc>
          <w:tcPr>
            <w:tcW w:w="2271" w:type="dxa"/>
            <w:vAlign w:val="center"/>
          </w:tcPr>
          <w:p w14:paraId="6D88C89E" w14:textId="581F0DF1" w:rsidR="005553CB" w:rsidRPr="00B95D04" w:rsidRDefault="004C032B" w:rsidP="00C56454">
            <w:pPr>
              <w:pStyle w:val="Neotevilenodstavek"/>
              <w:spacing w:before="0" w:after="0" w:line="260" w:lineRule="exact"/>
              <w:jc w:val="center"/>
              <w:rPr>
                <w:rFonts w:cs="Arial"/>
                <w:iCs/>
                <w:sz w:val="20"/>
                <w:szCs w:val="20"/>
                <w:lang w:val="sl-SI" w:eastAsia="sl-SI"/>
              </w:rPr>
            </w:pPr>
            <w:r w:rsidRPr="00B95D04">
              <w:rPr>
                <w:rFonts w:cs="Arial"/>
                <w:sz w:val="20"/>
                <w:szCs w:val="20"/>
                <w:lang w:val="sl-SI" w:eastAsia="sl-SI"/>
              </w:rPr>
              <w:t>DA</w:t>
            </w:r>
          </w:p>
        </w:tc>
      </w:tr>
      <w:tr w:rsidR="005553CB" w:rsidRPr="00B95D04" w14:paraId="6D88C8A3" w14:textId="77777777" w:rsidTr="00CA689C">
        <w:tc>
          <w:tcPr>
            <w:tcW w:w="1448" w:type="dxa"/>
          </w:tcPr>
          <w:p w14:paraId="6D88C8A0" w14:textId="77777777" w:rsidR="005553CB" w:rsidRPr="00B95D04" w:rsidRDefault="005553CB" w:rsidP="00CA689C">
            <w:pPr>
              <w:pStyle w:val="Neotevilenodstavek"/>
              <w:spacing w:before="0" w:after="0" w:line="260" w:lineRule="exact"/>
              <w:ind w:left="360"/>
              <w:rPr>
                <w:rFonts w:cs="Arial"/>
                <w:iCs/>
                <w:sz w:val="20"/>
                <w:szCs w:val="20"/>
                <w:lang w:val="sl-SI" w:eastAsia="sl-SI"/>
              </w:rPr>
            </w:pPr>
            <w:r w:rsidRPr="00B95D04">
              <w:rPr>
                <w:rFonts w:cs="Arial"/>
                <w:iCs/>
                <w:sz w:val="20"/>
                <w:szCs w:val="20"/>
                <w:lang w:val="sl-SI" w:eastAsia="sl-SI"/>
              </w:rPr>
              <w:t>b)</w:t>
            </w:r>
          </w:p>
        </w:tc>
        <w:tc>
          <w:tcPr>
            <w:tcW w:w="5444" w:type="dxa"/>
            <w:gridSpan w:val="2"/>
          </w:tcPr>
          <w:p w14:paraId="6D88C8A1" w14:textId="77777777" w:rsidR="005553CB" w:rsidRPr="00B95D04" w:rsidRDefault="005553CB" w:rsidP="00CA689C">
            <w:pPr>
              <w:pStyle w:val="Neotevilenodstavek"/>
              <w:spacing w:before="0" w:after="0" w:line="260" w:lineRule="exact"/>
              <w:rPr>
                <w:rFonts w:cs="Arial"/>
                <w:iCs/>
                <w:sz w:val="20"/>
                <w:szCs w:val="20"/>
                <w:lang w:val="sl-SI" w:eastAsia="sl-SI"/>
              </w:rPr>
            </w:pPr>
            <w:r w:rsidRPr="00B95D04">
              <w:rPr>
                <w:rFonts w:cs="Arial"/>
                <w:bCs/>
                <w:sz w:val="20"/>
                <w:szCs w:val="20"/>
                <w:lang w:val="sl-SI" w:eastAsia="sl-SI"/>
              </w:rPr>
              <w:t>usklajenost slovenskega pravnega reda s pravnim redom Evropske unije</w:t>
            </w:r>
          </w:p>
        </w:tc>
        <w:tc>
          <w:tcPr>
            <w:tcW w:w="2271" w:type="dxa"/>
            <w:vAlign w:val="center"/>
          </w:tcPr>
          <w:p w14:paraId="6D88C8A2" w14:textId="77777777" w:rsidR="005553CB" w:rsidRPr="00B95D04" w:rsidRDefault="005553CB" w:rsidP="00CA689C">
            <w:pPr>
              <w:pStyle w:val="Neotevilenodstavek"/>
              <w:spacing w:before="0" w:after="0" w:line="260" w:lineRule="exact"/>
              <w:jc w:val="center"/>
              <w:rPr>
                <w:rFonts w:cs="Arial"/>
                <w:iCs/>
                <w:sz w:val="20"/>
                <w:szCs w:val="20"/>
                <w:lang w:val="sl-SI" w:eastAsia="sl-SI"/>
              </w:rPr>
            </w:pPr>
            <w:r w:rsidRPr="00B95D04">
              <w:rPr>
                <w:rFonts w:cs="Arial"/>
                <w:sz w:val="20"/>
                <w:szCs w:val="20"/>
                <w:lang w:val="sl-SI" w:eastAsia="sl-SI"/>
              </w:rPr>
              <w:t>NE</w:t>
            </w:r>
          </w:p>
        </w:tc>
      </w:tr>
      <w:tr w:rsidR="005553CB" w:rsidRPr="00B95D04" w14:paraId="6D88C8A7" w14:textId="77777777" w:rsidTr="00CA689C">
        <w:tc>
          <w:tcPr>
            <w:tcW w:w="1448" w:type="dxa"/>
          </w:tcPr>
          <w:p w14:paraId="6D88C8A4" w14:textId="77777777" w:rsidR="005553CB" w:rsidRPr="00B95D04" w:rsidRDefault="005553CB" w:rsidP="00CA689C">
            <w:pPr>
              <w:pStyle w:val="Neotevilenodstavek"/>
              <w:spacing w:before="0" w:after="0" w:line="260" w:lineRule="exact"/>
              <w:ind w:left="360"/>
              <w:rPr>
                <w:rFonts w:cs="Arial"/>
                <w:iCs/>
                <w:sz w:val="20"/>
                <w:szCs w:val="20"/>
                <w:lang w:val="sl-SI" w:eastAsia="sl-SI"/>
              </w:rPr>
            </w:pPr>
            <w:r w:rsidRPr="00B95D04">
              <w:rPr>
                <w:rFonts w:cs="Arial"/>
                <w:iCs/>
                <w:sz w:val="20"/>
                <w:szCs w:val="20"/>
                <w:lang w:val="sl-SI" w:eastAsia="sl-SI"/>
              </w:rPr>
              <w:t>c)</w:t>
            </w:r>
          </w:p>
        </w:tc>
        <w:tc>
          <w:tcPr>
            <w:tcW w:w="5444" w:type="dxa"/>
            <w:gridSpan w:val="2"/>
          </w:tcPr>
          <w:p w14:paraId="6D88C8A5" w14:textId="77777777" w:rsidR="005553CB" w:rsidRPr="00B95D04" w:rsidRDefault="005553CB" w:rsidP="00CA689C">
            <w:pPr>
              <w:pStyle w:val="Neotevilenodstavek"/>
              <w:spacing w:before="0" w:after="0" w:line="260" w:lineRule="exact"/>
              <w:rPr>
                <w:rFonts w:cs="Arial"/>
                <w:iCs/>
                <w:sz w:val="20"/>
                <w:szCs w:val="20"/>
                <w:lang w:val="sl-SI" w:eastAsia="sl-SI"/>
              </w:rPr>
            </w:pPr>
            <w:r w:rsidRPr="00B95D04">
              <w:rPr>
                <w:rFonts w:cs="Arial"/>
                <w:sz w:val="20"/>
                <w:szCs w:val="20"/>
                <w:lang w:val="sl-SI" w:eastAsia="sl-SI"/>
              </w:rPr>
              <w:t>administrativne posledice</w:t>
            </w:r>
          </w:p>
        </w:tc>
        <w:tc>
          <w:tcPr>
            <w:tcW w:w="2271" w:type="dxa"/>
            <w:vAlign w:val="center"/>
          </w:tcPr>
          <w:p w14:paraId="6D88C8A6" w14:textId="77777777" w:rsidR="005553CB" w:rsidRPr="00B95D04" w:rsidRDefault="005553CB" w:rsidP="00CA689C">
            <w:pPr>
              <w:pStyle w:val="Neotevilenodstavek"/>
              <w:spacing w:before="0" w:after="0" w:line="260" w:lineRule="exact"/>
              <w:jc w:val="center"/>
              <w:rPr>
                <w:rFonts w:cs="Arial"/>
                <w:sz w:val="20"/>
                <w:szCs w:val="20"/>
                <w:lang w:val="sl-SI" w:eastAsia="sl-SI"/>
              </w:rPr>
            </w:pPr>
            <w:r w:rsidRPr="00B95D04">
              <w:rPr>
                <w:rFonts w:cs="Arial"/>
                <w:sz w:val="20"/>
                <w:szCs w:val="20"/>
                <w:lang w:val="sl-SI" w:eastAsia="sl-SI"/>
              </w:rPr>
              <w:t>NE</w:t>
            </w:r>
          </w:p>
        </w:tc>
      </w:tr>
      <w:tr w:rsidR="005553CB" w:rsidRPr="00B95D04" w14:paraId="6D88C8AB" w14:textId="77777777" w:rsidTr="00CA689C">
        <w:tc>
          <w:tcPr>
            <w:tcW w:w="1448" w:type="dxa"/>
          </w:tcPr>
          <w:p w14:paraId="6D88C8A8" w14:textId="77777777" w:rsidR="005553CB" w:rsidRPr="00B95D04" w:rsidRDefault="005553CB" w:rsidP="00CA689C">
            <w:pPr>
              <w:pStyle w:val="Neotevilenodstavek"/>
              <w:spacing w:before="0" w:after="0" w:line="260" w:lineRule="exact"/>
              <w:ind w:left="360"/>
              <w:rPr>
                <w:rFonts w:cs="Arial"/>
                <w:iCs/>
                <w:sz w:val="20"/>
                <w:szCs w:val="20"/>
                <w:lang w:val="sl-SI" w:eastAsia="sl-SI"/>
              </w:rPr>
            </w:pPr>
            <w:r w:rsidRPr="00B95D04">
              <w:rPr>
                <w:rFonts w:cs="Arial"/>
                <w:iCs/>
                <w:sz w:val="20"/>
                <w:szCs w:val="20"/>
                <w:lang w:val="sl-SI" w:eastAsia="sl-SI"/>
              </w:rPr>
              <w:t>č)</w:t>
            </w:r>
          </w:p>
        </w:tc>
        <w:tc>
          <w:tcPr>
            <w:tcW w:w="5444" w:type="dxa"/>
            <w:gridSpan w:val="2"/>
          </w:tcPr>
          <w:p w14:paraId="6D88C8A9" w14:textId="7CF31C0E" w:rsidR="005553CB" w:rsidRPr="00B95D04" w:rsidRDefault="005553CB" w:rsidP="00DF7F4C">
            <w:pPr>
              <w:pStyle w:val="Neotevilenodstavek"/>
              <w:spacing w:before="0" w:after="0" w:line="260" w:lineRule="exact"/>
              <w:rPr>
                <w:rFonts w:cs="Arial"/>
                <w:bCs/>
                <w:sz w:val="20"/>
                <w:szCs w:val="20"/>
                <w:lang w:val="sl-SI" w:eastAsia="sl-SI"/>
              </w:rPr>
            </w:pPr>
            <w:r w:rsidRPr="00B95D04">
              <w:rPr>
                <w:rFonts w:cs="Arial"/>
                <w:sz w:val="20"/>
                <w:szCs w:val="20"/>
                <w:lang w:val="sl-SI" w:eastAsia="sl-SI"/>
              </w:rPr>
              <w:t>gospodarstvo, zlasti</w:t>
            </w:r>
            <w:r w:rsidRPr="00B95D04">
              <w:rPr>
                <w:rFonts w:cs="Arial"/>
                <w:bCs/>
                <w:sz w:val="20"/>
                <w:szCs w:val="20"/>
                <w:lang w:val="sl-SI" w:eastAsia="sl-SI"/>
              </w:rPr>
              <w:t xml:space="preserve"> mala in srednja podjetja ter konkurenčnost podjetij</w:t>
            </w:r>
          </w:p>
        </w:tc>
        <w:tc>
          <w:tcPr>
            <w:tcW w:w="2271" w:type="dxa"/>
            <w:vAlign w:val="center"/>
          </w:tcPr>
          <w:p w14:paraId="6D88C8AA" w14:textId="0324CD56" w:rsidR="005553CB" w:rsidRPr="00B95D04" w:rsidRDefault="00990D52" w:rsidP="00C56454">
            <w:pPr>
              <w:pStyle w:val="Neotevilenodstavek"/>
              <w:spacing w:before="0" w:after="0" w:line="260" w:lineRule="exact"/>
              <w:jc w:val="center"/>
              <w:rPr>
                <w:rFonts w:cs="Arial"/>
                <w:iCs/>
                <w:sz w:val="20"/>
                <w:szCs w:val="20"/>
                <w:lang w:val="sl-SI" w:eastAsia="sl-SI"/>
              </w:rPr>
            </w:pPr>
            <w:r w:rsidRPr="00B95D04">
              <w:rPr>
                <w:rFonts w:cs="Arial"/>
                <w:sz w:val="20"/>
                <w:szCs w:val="20"/>
                <w:lang w:val="sl-SI" w:eastAsia="sl-SI"/>
              </w:rPr>
              <w:t>NE</w:t>
            </w:r>
          </w:p>
        </w:tc>
      </w:tr>
      <w:tr w:rsidR="005553CB" w:rsidRPr="00B95D04" w14:paraId="6D88C8AF" w14:textId="77777777" w:rsidTr="00CA689C">
        <w:tc>
          <w:tcPr>
            <w:tcW w:w="1448" w:type="dxa"/>
          </w:tcPr>
          <w:p w14:paraId="6D88C8AC" w14:textId="77777777" w:rsidR="005553CB" w:rsidRPr="00B95D04" w:rsidRDefault="005553CB" w:rsidP="00CA689C">
            <w:pPr>
              <w:pStyle w:val="Neotevilenodstavek"/>
              <w:spacing w:before="0" w:after="0" w:line="260" w:lineRule="exact"/>
              <w:ind w:left="360"/>
              <w:rPr>
                <w:rFonts w:cs="Arial"/>
                <w:iCs/>
                <w:sz w:val="20"/>
                <w:szCs w:val="20"/>
                <w:lang w:val="sl-SI" w:eastAsia="sl-SI"/>
              </w:rPr>
            </w:pPr>
            <w:r w:rsidRPr="00B95D04">
              <w:rPr>
                <w:rFonts w:cs="Arial"/>
                <w:iCs/>
                <w:sz w:val="20"/>
                <w:szCs w:val="20"/>
                <w:lang w:val="sl-SI" w:eastAsia="sl-SI"/>
              </w:rPr>
              <w:t>d)</w:t>
            </w:r>
          </w:p>
        </w:tc>
        <w:tc>
          <w:tcPr>
            <w:tcW w:w="5444" w:type="dxa"/>
            <w:gridSpan w:val="2"/>
          </w:tcPr>
          <w:p w14:paraId="6D88C8AD" w14:textId="77777777" w:rsidR="005553CB" w:rsidRPr="00B95D04" w:rsidRDefault="005553CB" w:rsidP="00CA689C">
            <w:pPr>
              <w:pStyle w:val="Neotevilenodstavek"/>
              <w:spacing w:before="0" w:after="0" w:line="260" w:lineRule="exact"/>
              <w:rPr>
                <w:rFonts w:cs="Arial"/>
                <w:bCs/>
                <w:sz w:val="20"/>
                <w:szCs w:val="20"/>
                <w:lang w:val="sl-SI" w:eastAsia="sl-SI"/>
              </w:rPr>
            </w:pPr>
            <w:r w:rsidRPr="00B95D04">
              <w:rPr>
                <w:rFonts w:cs="Arial"/>
                <w:bCs/>
                <w:sz w:val="20"/>
                <w:szCs w:val="20"/>
                <w:lang w:val="sl-SI" w:eastAsia="sl-SI"/>
              </w:rPr>
              <w:t>okolje, vključno s prostorskimi in varstvenimi vidiki</w:t>
            </w:r>
          </w:p>
        </w:tc>
        <w:tc>
          <w:tcPr>
            <w:tcW w:w="2271" w:type="dxa"/>
            <w:vAlign w:val="center"/>
          </w:tcPr>
          <w:p w14:paraId="6D88C8AE" w14:textId="77777777" w:rsidR="005553CB" w:rsidRPr="00B95D04" w:rsidRDefault="005553CB" w:rsidP="00CA689C">
            <w:pPr>
              <w:pStyle w:val="Neotevilenodstavek"/>
              <w:spacing w:before="0" w:after="0" w:line="260" w:lineRule="exact"/>
              <w:jc w:val="center"/>
              <w:rPr>
                <w:rFonts w:cs="Arial"/>
                <w:iCs/>
                <w:sz w:val="20"/>
                <w:szCs w:val="20"/>
                <w:lang w:val="sl-SI" w:eastAsia="sl-SI"/>
              </w:rPr>
            </w:pPr>
            <w:r w:rsidRPr="00B95D04">
              <w:rPr>
                <w:rFonts w:cs="Arial"/>
                <w:sz w:val="20"/>
                <w:szCs w:val="20"/>
                <w:lang w:val="sl-SI" w:eastAsia="sl-SI"/>
              </w:rPr>
              <w:t>NE</w:t>
            </w:r>
          </w:p>
        </w:tc>
      </w:tr>
      <w:tr w:rsidR="005553CB" w:rsidRPr="00B95D04" w14:paraId="6D88C8B3" w14:textId="77777777" w:rsidTr="00CA689C">
        <w:tc>
          <w:tcPr>
            <w:tcW w:w="1448" w:type="dxa"/>
          </w:tcPr>
          <w:p w14:paraId="6D88C8B0" w14:textId="77777777" w:rsidR="005553CB" w:rsidRPr="00B95D04" w:rsidRDefault="005553CB" w:rsidP="00CA689C">
            <w:pPr>
              <w:pStyle w:val="Neotevilenodstavek"/>
              <w:spacing w:before="0" w:after="0" w:line="260" w:lineRule="exact"/>
              <w:ind w:left="360"/>
              <w:rPr>
                <w:rFonts w:cs="Arial"/>
                <w:iCs/>
                <w:sz w:val="20"/>
                <w:szCs w:val="20"/>
                <w:lang w:val="sl-SI" w:eastAsia="sl-SI"/>
              </w:rPr>
            </w:pPr>
            <w:r w:rsidRPr="00B95D04">
              <w:rPr>
                <w:rFonts w:cs="Arial"/>
                <w:iCs/>
                <w:sz w:val="20"/>
                <w:szCs w:val="20"/>
                <w:lang w:val="sl-SI" w:eastAsia="sl-SI"/>
              </w:rPr>
              <w:t>e)</w:t>
            </w:r>
          </w:p>
        </w:tc>
        <w:tc>
          <w:tcPr>
            <w:tcW w:w="5444" w:type="dxa"/>
            <w:gridSpan w:val="2"/>
          </w:tcPr>
          <w:p w14:paraId="6D88C8B1" w14:textId="77777777" w:rsidR="005553CB" w:rsidRPr="00B95D04" w:rsidRDefault="005553CB" w:rsidP="00CA689C">
            <w:pPr>
              <w:pStyle w:val="Neotevilenodstavek"/>
              <w:spacing w:before="0" w:after="0" w:line="260" w:lineRule="exact"/>
              <w:rPr>
                <w:rFonts w:cs="Arial"/>
                <w:bCs/>
                <w:sz w:val="20"/>
                <w:szCs w:val="20"/>
                <w:lang w:val="sl-SI" w:eastAsia="sl-SI"/>
              </w:rPr>
            </w:pPr>
            <w:r w:rsidRPr="00B95D04">
              <w:rPr>
                <w:rFonts w:cs="Arial"/>
                <w:bCs/>
                <w:sz w:val="20"/>
                <w:szCs w:val="20"/>
                <w:lang w:val="sl-SI" w:eastAsia="sl-SI"/>
              </w:rPr>
              <w:t>socialno področje</w:t>
            </w:r>
          </w:p>
        </w:tc>
        <w:tc>
          <w:tcPr>
            <w:tcW w:w="2271" w:type="dxa"/>
            <w:vAlign w:val="center"/>
          </w:tcPr>
          <w:p w14:paraId="6D88C8B2" w14:textId="08D770A7" w:rsidR="005553CB" w:rsidRPr="00B95D04" w:rsidRDefault="001F38D6" w:rsidP="00C56454">
            <w:pPr>
              <w:pStyle w:val="Neotevilenodstavek"/>
              <w:spacing w:before="0" w:after="0" w:line="260" w:lineRule="exact"/>
              <w:jc w:val="center"/>
              <w:rPr>
                <w:rFonts w:cs="Arial"/>
                <w:iCs/>
                <w:sz w:val="20"/>
                <w:szCs w:val="20"/>
                <w:lang w:val="sl-SI" w:eastAsia="sl-SI"/>
              </w:rPr>
            </w:pPr>
            <w:r w:rsidRPr="00B95D04">
              <w:rPr>
                <w:rFonts w:cs="Arial"/>
                <w:sz w:val="20"/>
                <w:szCs w:val="20"/>
                <w:lang w:val="sl-SI" w:eastAsia="sl-SI"/>
              </w:rPr>
              <w:t>NE</w:t>
            </w:r>
          </w:p>
        </w:tc>
      </w:tr>
      <w:tr w:rsidR="005553CB" w:rsidRPr="00B95D04" w14:paraId="6D88C8BA" w14:textId="77777777" w:rsidTr="00CA689C">
        <w:tc>
          <w:tcPr>
            <w:tcW w:w="1448" w:type="dxa"/>
            <w:tcBorders>
              <w:bottom w:val="single" w:sz="4" w:space="0" w:color="auto"/>
            </w:tcBorders>
          </w:tcPr>
          <w:p w14:paraId="6D88C8B4" w14:textId="77777777" w:rsidR="005553CB" w:rsidRPr="00B95D04" w:rsidRDefault="005553CB" w:rsidP="00CA689C">
            <w:pPr>
              <w:pStyle w:val="Neotevilenodstavek"/>
              <w:spacing w:before="0" w:after="0" w:line="260" w:lineRule="exact"/>
              <w:ind w:left="360"/>
              <w:rPr>
                <w:rFonts w:cs="Arial"/>
                <w:iCs/>
                <w:sz w:val="20"/>
                <w:szCs w:val="20"/>
                <w:lang w:val="sl-SI" w:eastAsia="sl-SI"/>
              </w:rPr>
            </w:pPr>
            <w:r w:rsidRPr="00B95D04">
              <w:rPr>
                <w:rFonts w:cs="Arial"/>
                <w:iCs/>
                <w:sz w:val="20"/>
                <w:szCs w:val="20"/>
                <w:lang w:val="sl-SI" w:eastAsia="sl-SI"/>
              </w:rPr>
              <w:t>f)</w:t>
            </w:r>
          </w:p>
        </w:tc>
        <w:tc>
          <w:tcPr>
            <w:tcW w:w="5444" w:type="dxa"/>
            <w:gridSpan w:val="2"/>
            <w:tcBorders>
              <w:bottom w:val="single" w:sz="4" w:space="0" w:color="auto"/>
            </w:tcBorders>
          </w:tcPr>
          <w:p w14:paraId="6D88C8B5" w14:textId="77777777" w:rsidR="005553CB" w:rsidRPr="00B95D04" w:rsidRDefault="005553CB" w:rsidP="00CA689C">
            <w:pPr>
              <w:pStyle w:val="Neotevilenodstavek"/>
              <w:spacing w:before="0" w:after="0" w:line="260" w:lineRule="exact"/>
              <w:rPr>
                <w:rFonts w:cs="Arial"/>
                <w:bCs/>
                <w:sz w:val="20"/>
                <w:szCs w:val="20"/>
                <w:lang w:val="sl-SI" w:eastAsia="sl-SI"/>
              </w:rPr>
            </w:pPr>
            <w:r w:rsidRPr="00B95D04">
              <w:rPr>
                <w:rFonts w:cs="Arial"/>
                <w:bCs/>
                <w:sz w:val="20"/>
                <w:szCs w:val="20"/>
                <w:lang w:val="sl-SI" w:eastAsia="sl-SI"/>
              </w:rPr>
              <w:t>dokumente razvojnega načrtovanja:</w:t>
            </w:r>
          </w:p>
          <w:p w14:paraId="6D88C8B6" w14:textId="77777777" w:rsidR="005553CB" w:rsidRPr="00B95D04" w:rsidRDefault="005553CB" w:rsidP="00E77BB7">
            <w:pPr>
              <w:pStyle w:val="Neotevilenodstavek"/>
              <w:numPr>
                <w:ilvl w:val="0"/>
                <w:numId w:val="11"/>
              </w:numPr>
              <w:spacing w:before="0" w:after="0" w:line="260" w:lineRule="exact"/>
              <w:rPr>
                <w:rFonts w:cs="Arial"/>
                <w:bCs/>
                <w:sz w:val="20"/>
                <w:szCs w:val="20"/>
                <w:lang w:val="sl-SI" w:eastAsia="sl-SI"/>
              </w:rPr>
            </w:pPr>
            <w:r w:rsidRPr="00B95D04">
              <w:rPr>
                <w:rFonts w:cs="Arial"/>
                <w:bCs/>
                <w:sz w:val="20"/>
                <w:szCs w:val="20"/>
                <w:lang w:val="sl-SI" w:eastAsia="sl-SI"/>
              </w:rPr>
              <w:t>nacionalne dokumente razvojnega načrtovanja</w:t>
            </w:r>
          </w:p>
          <w:p w14:paraId="6D88C8B7" w14:textId="77777777" w:rsidR="005553CB" w:rsidRPr="00B95D04" w:rsidRDefault="005553CB" w:rsidP="00E77BB7">
            <w:pPr>
              <w:pStyle w:val="Neotevilenodstavek"/>
              <w:numPr>
                <w:ilvl w:val="0"/>
                <w:numId w:val="11"/>
              </w:numPr>
              <w:spacing w:before="0" w:after="0" w:line="260" w:lineRule="exact"/>
              <w:rPr>
                <w:rFonts w:cs="Arial"/>
                <w:bCs/>
                <w:sz w:val="20"/>
                <w:szCs w:val="20"/>
                <w:lang w:val="sl-SI" w:eastAsia="sl-SI"/>
              </w:rPr>
            </w:pPr>
            <w:r w:rsidRPr="00B95D04">
              <w:rPr>
                <w:rFonts w:cs="Arial"/>
                <w:bCs/>
                <w:sz w:val="20"/>
                <w:szCs w:val="20"/>
                <w:lang w:val="sl-SI" w:eastAsia="sl-SI"/>
              </w:rPr>
              <w:t>razvojne politike na ravni programov po strukturi razvojne klasifikacije programskega proračuna</w:t>
            </w:r>
          </w:p>
          <w:p w14:paraId="6D88C8B8" w14:textId="77777777" w:rsidR="005553CB" w:rsidRPr="00B95D04" w:rsidRDefault="005553CB" w:rsidP="00E77BB7">
            <w:pPr>
              <w:pStyle w:val="Neotevilenodstavek"/>
              <w:numPr>
                <w:ilvl w:val="0"/>
                <w:numId w:val="11"/>
              </w:numPr>
              <w:spacing w:before="0" w:after="0" w:line="260" w:lineRule="exact"/>
              <w:rPr>
                <w:rFonts w:cs="Arial"/>
                <w:bCs/>
                <w:sz w:val="20"/>
                <w:szCs w:val="20"/>
                <w:lang w:val="sl-SI" w:eastAsia="sl-SI"/>
              </w:rPr>
            </w:pPr>
            <w:r w:rsidRPr="00B95D04">
              <w:rPr>
                <w:rFonts w:cs="Arial"/>
                <w:bCs/>
                <w:sz w:val="20"/>
                <w:szCs w:val="20"/>
                <w:lang w:val="sl-SI" w:eastAsia="sl-SI"/>
              </w:rPr>
              <w:t xml:space="preserve">razvojne dokumente Evropske unije in </w:t>
            </w:r>
            <w:r w:rsidRPr="00B95D04">
              <w:rPr>
                <w:rFonts w:cs="Arial"/>
                <w:bCs/>
                <w:sz w:val="20"/>
                <w:szCs w:val="20"/>
                <w:lang w:val="sl-SI" w:eastAsia="sl-SI"/>
              </w:rPr>
              <w:lastRenderedPageBreak/>
              <w:t>mednarodnih organizacij</w:t>
            </w:r>
          </w:p>
        </w:tc>
        <w:tc>
          <w:tcPr>
            <w:tcW w:w="2271" w:type="dxa"/>
            <w:tcBorders>
              <w:bottom w:val="single" w:sz="4" w:space="0" w:color="auto"/>
            </w:tcBorders>
            <w:vAlign w:val="center"/>
          </w:tcPr>
          <w:p w14:paraId="6D88C8B9" w14:textId="77777777" w:rsidR="005553CB" w:rsidRPr="00B95D04" w:rsidRDefault="005553CB" w:rsidP="00CA689C">
            <w:pPr>
              <w:pStyle w:val="Neotevilenodstavek"/>
              <w:spacing w:before="0" w:after="0" w:line="260" w:lineRule="exact"/>
              <w:jc w:val="center"/>
              <w:rPr>
                <w:rFonts w:cs="Arial"/>
                <w:iCs/>
                <w:sz w:val="20"/>
                <w:szCs w:val="20"/>
                <w:lang w:val="sl-SI" w:eastAsia="sl-SI"/>
              </w:rPr>
            </w:pPr>
            <w:r w:rsidRPr="00B95D04">
              <w:rPr>
                <w:rFonts w:cs="Arial"/>
                <w:sz w:val="20"/>
                <w:szCs w:val="20"/>
                <w:lang w:val="sl-SI" w:eastAsia="sl-SI"/>
              </w:rPr>
              <w:lastRenderedPageBreak/>
              <w:t>NE</w:t>
            </w:r>
          </w:p>
        </w:tc>
      </w:tr>
      <w:tr w:rsidR="005553CB" w:rsidRPr="00B95D04" w14:paraId="6D88C8BD" w14:textId="77777777" w:rsidTr="00CA689C">
        <w:tc>
          <w:tcPr>
            <w:tcW w:w="9163" w:type="dxa"/>
            <w:gridSpan w:val="4"/>
            <w:tcBorders>
              <w:top w:val="single" w:sz="4" w:space="0" w:color="auto"/>
              <w:left w:val="single" w:sz="4" w:space="0" w:color="auto"/>
              <w:bottom w:val="single" w:sz="4" w:space="0" w:color="auto"/>
              <w:right w:val="single" w:sz="4" w:space="0" w:color="auto"/>
            </w:tcBorders>
          </w:tcPr>
          <w:p w14:paraId="6D88C8BB" w14:textId="77777777" w:rsidR="005553CB" w:rsidRPr="00B95D04" w:rsidRDefault="005553CB" w:rsidP="00CA689C">
            <w:pPr>
              <w:pStyle w:val="Oddelek"/>
              <w:widowControl w:val="0"/>
              <w:numPr>
                <w:ilvl w:val="0"/>
                <w:numId w:val="0"/>
              </w:numPr>
              <w:spacing w:before="0" w:after="0" w:line="260" w:lineRule="exact"/>
              <w:jc w:val="left"/>
              <w:rPr>
                <w:rFonts w:cs="Arial"/>
                <w:sz w:val="20"/>
                <w:szCs w:val="20"/>
                <w:lang w:val="sl-SI" w:eastAsia="sl-SI"/>
              </w:rPr>
            </w:pPr>
            <w:proofErr w:type="spellStart"/>
            <w:r w:rsidRPr="00B95D04">
              <w:rPr>
                <w:rFonts w:cs="Arial"/>
                <w:sz w:val="20"/>
                <w:szCs w:val="20"/>
                <w:lang w:val="sl-SI" w:eastAsia="sl-SI"/>
              </w:rPr>
              <w:lastRenderedPageBreak/>
              <w:t>7.a</w:t>
            </w:r>
            <w:proofErr w:type="spellEnd"/>
            <w:r w:rsidRPr="00B95D04">
              <w:rPr>
                <w:rFonts w:cs="Arial"/>
                <w:sz w:val="20"/>
                <w:szCs w:val="20"/>
                <w:lang w:val="sl-SI" w:eastAsia="sl-SI"/>
              </w:rPr>
              <w:t xml:space="preserve"> Predstavitev ocene finančnih posledic nad 40.000 EUR:</w:t>
            </w:r>
          </w:p>
          <w:p w14:paraId="6D88C8BC" w14:textId="58D706D3" w:rsidR="005553CB" w:rsidRPr="00B95D04" w:rsidRDefault="00060C67" w:rsidP="001606AB">
            <w:pPr>
              <w:widowControl w:val="0"/>
              <w:suppressAutoHyphens/>
              <w:spacing w:after="0" w:line="260" w:lineRule="exact"/>
              <w:jc w:val="both"/>
              <w:rPr>
                <w:rFonts w:ascii="Arial" w:hAnsi="Arial" w:cs="Arial"/>
                <w:b/>
                <w:sz w:val="20"/>
                <w:szCs w:val="20"/>
              </w:rPr>
            </w:pPr>
            <w:r w:rsidRPr="00B95D04">
              <w:rPr>
                <w:rFonts w:ascii="Arial" w:hAnsi="Arial" w:cs="Arial"/>
                <w:sz w:val="20"/>
                <w:szCs w:val="20"/>
              </w:rPr>
              <w:t>Zaradi predloga rešitve, s katero se vzpostavlja mehanizem za preprečevanje zlorab v okviru sistema normiranih odhodkov, ocenjujemo, da bodo p</w:t>
            </w:r>
            <w:r w:rsidR="00D5688B" w:rsidRPr="00B95D04">
              <w:rPr>
                <w:rFonts w:ascii="Arial" w:hAnsi="Arial" w:cs="Arial"/>
                <w:sz w:val="20"/>
                <w:szCs w:val="20"/>
              </w:rPr>
              <w:t>rihodki državnega proračuna iz naslova davka od dohodkov pravnih osebe višji</w:t>
            </w:r>
            <w:r w:rsidRPr="00B95D04">
              <w:rPr>
                <w:rFonts w:ascii="Arial" w:hAnsi="Arial" w:cs="Arial"/>
                <w:sz w:val="20"/>
                <w:szCs w:val="20"/>
              </w:rPr>
              <w:t xml:space="preserve"> za okoli 0,2 mio evrov. Upoštevajoč dinamiko plačevanja davka od dohodkov pravnih oseb pa bo do prvih učinkov predloga rešitve</w:t>
            </w:r>
            <w:r w:rsidR="00D5688B" w:rsidRPr="00B95D04">
              <w:rPr>
                <w:rFonts w:ascii="Arial" w:hAnsi="Arial" w:cs="Arial"/>
                <w:sz w:val="20"/>
                <w:szCs w:val="20"/>
              </w:rPr>
              <w:t xml:space="preserve"> </w:t>
            </w:r>
            <w:r w:rsidRPr="00B95D04">
              <w:rPr>
                <w:rFonts w:ascii="Arial" w:hAnsi="Arial" w:cs="Arial"/>
                <w:sz w:val="20"/>
                <w:szCs w:val="20"/>
              </w:rPr>
              <w:t xml:space="preserve">prišlo </w:t>
            </w:r>
            <w:r w:rsidR="00D5688B" w:rsidRPr="00B95D04">
              <w:rPr>
                <w:rFonts w:ascii="Arial" w:hAnsi="Arial" w:cs="Arial"/>
                <w:sz w:val="20"/>
                <w:szCs w:val="20"/>
              </w:rPr>
              <w:t xml:space="preserve">šele leto po uveljavitvi zakona, torej v letu 2019. Takrat bodo zaradi višjih doplačil za predhodno leto in višjih akontacij za tekoče leto </w:t>
            </w:r>
            <w:r w:rsidRPr="00B95D04">
              <w:rPr>
                <w:rFonts w:ascii="Arial" w:hAnsi="Arial" w:cs="Arial"/>
                <w:sz w:val="20"/>
                <w:szCs w:val="20"/>
              </w:rPr>
              <w:t xml:space="preserve">prihodki državnega proračuna </w:t>
            </w:r>
            <w:r w:rsidR="00D5688B" w:rsidRPr="00B95D04">
              <w:rPr>
                <w:rFonts w:ascii="Arial" w:hAnsi="Arial" w:cs="Arial"/>
                <w:sz w:val="20"/>
                <w:szCs w:val="20"/>
              </w:rPr>
              <w:t>višji za 0,4 mio evrov.</w:t>
            </w:r>
          </w:p>
        </w:tc>
      </w:tr>
    </w:tbl>
    <w:p w14:paraId="6D88C8BE" w14:textId="77777777" w:rsidR="005553CB" w:rsidRPr="00B95D04" w:rsidRDefault="005553CB" w:rsidP="005553CB">
      <w:pPr>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124"/>
        <w:gridCol w:w="1206"/>
        <w:gridCol w:w="495"/>
        <w:gridCol w:w="188"/>
        <w:gridCol w:w="385"/>
        <w:gridCol w:w="303"/>
        <w:gridCol w:w="541"/>
        <w:gridCol w:w="1587"/>
      </w:tblGrid>
      <w:tr w:rsidR="005553CB" w:rsidRPr="00B95D04" w14:paraId="6D88C8C0" w14:textId="77777777" w:rsidTr="00CA689C">
        <w:trPr>
          <w:cantSplit/>
          <w:trHeight w:val="35"/>
        </w:trPr>
        <w:tc>
          <w:tcPr>
            <w:tcW w:w="92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D88C8BF" w14:textId="77777777" w:rsidR="005553CB" w:rsidRPr="00B95D04" w:rsidRDefault="005553CB" w:rsidP="00CA689C">
            <w:pPr>
              <w:pStyle w:val="Heading1"/>
              <w:keepNext w:val="0"/>
              <w:pageBreakBefore/>
              <w:widowControl w:val="0"/>
              <w:tabs>
                <w:tab w:val="left" w:pos="2340"/>
              </w:tabs>
              <w:spacing w:before="0" w:after="0"/>
              <w:ind w:left="142" w:hanging="142"/>
              <w:rPr>
                <w:rFonts w:cs="Arial"/>
                <w:sz w:val="20"/>
                <w:szCs w:val="20"/>
                <w:lang w:val="sl-SI" w:eastAsia="sl-SI"/>
              </w:rPr>
            </w:pPr>
            <w:r w:rsidRPr="00B95D04">
              <w:rPr>
                <w:rFonts w:cs="Arial"/>
                <w:sz w:val="20"/>
                <w:szCs w:val="20"/>
                <w:lang w:val="sl-SI" w:eastAsia="sl-SI"/>
              </w:rPr>
              <w:lastRenderedPageBreak/>
              <w:t>I. Ocena finančnih posledic, ki niso načrtovane v sprejetem proračunu</w:t>
            </w:r>
          </w:p>
        </w:tc>
      </w:tr>
      <w:tr w:rsidR="005553CB" w:rsidRPr="00B95D04" w14:paraId="6D88C8C6" w14:textId="77777777" w:rsidTr="009744C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88C8C1" w14:textId="77777777" w:rsidR="005553CB" w:rsidRPr="00B95D04" w:rsidRDefault="005553CB" w:rsidP="00CA689C">
            <w:pPr>
              <w:widowControl w:val="0"/>
              <w:ind w:left="-122" w:right="-112"/>
              <w:jc w:val="center"/>
              <w:rPr>
                <w:rFonts w:ascii="Arial" w:hAnsi="Arial" w:cs="Arial"/>
                <w:sz w:val="20"/>
                <w:szCs w:val="20"/>
              </w:rPr>
            </w:pP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6D88C8C2" w14:textId="77777777" w:rsidR="005553CB" w:rsidRPr="00B95D04" w:rsidRDefault="005553CB" w:rsidP="00CA689C">
            <w:pPr>
              <w:widowControl w:val="0"/>
              <w:jc w:val="center"/>
              <w:rPr>
                <w:rFonts w:ascii="Arial" w:hAnsi="Arial" w:cs="Arial"/>
                <w:sz w:val="20"/>
                <w:szCs w:val="20"/>
              </w:rPr>
            </w:pPr>
            <w:r w:rsidRPr="00B95D04">
              <w:rPr>
                <w:rFonts w:ascii="Arial" w:hAnsi="Arial" w:cs="Arial"/>
                <w:sz w:val="20"/>
                <w:szCs w:val="20"/>
              </w:rPr>
              <w:t>Tekoče leto (t)</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D88C8C3" w14:textId="77777777" w:rsidR="005553CB" w:rsidRPr="00B95D04" w:rsidRDefault="005553CB" w:rsidP="00CA689C">
            <w:pPr>
              <w:widowControl w:val="0"/>
              <w:jc w:val="center"/>
              <w:rPr>
                <w:rFonts w:ascii="Arial" w:hAnsi="Arial" w:cs="Arial"/>
                <w:sz w:val="20"/>
                <w:szCs w:val="20"/>
              </w:rPr>
            </w:pPr>
            <w:r w:rsidRPr="00B95D04">
              <w:rPr>
                <w:rFonts w:ascii="Arial" w:hAnsi="Arial" w:cs="Arial"/>
                <w:sz w:val="20"/>
                <w:szCs w:val="20"/>
              </w:rPr>
              <w:t>t + 1</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D88C8C4" w14:textId="77777777" w:rsidR="005553CB" w:rsidRPr="00B95D04" w:rsidRDefault="005553CB" w:rsidP="00CA689C">
            <w:pPr>
              <w:widowControl w:val="0"/>
              <w:jc w:val="center"/>
              <w:rPr>
                <w:rFonts w:ascii="Arial" w:hAnsi="Arial" w:cs="Arial"/>
                <w:sz w:val="20"/>
                <w:szCs w:val="20"/>
              </w:rPr>
            </w:pPr>
            <w:r w:rsidRPr="00B95D04">
              <w:rPr>
                <w:rFonts w:ascii="Arial" w:hAnsi="Arial" w:cs="Arial"/>
                <w:sz w:val="20"/>
                <w:szCs w:val="20"/>
              </w:rPr>
              <w:t>t + 2</w:t>
            </w:r>
          </w:p>
        </w:tc>
        <w:tc>
          <w:tcPr>
            <w:tcW w:w="1587" w:type="dxa"/>
            <w:tcBorders>
              <w:top w:val="single" w:sz="4" w:space="0" w:color="auto"/>
              <w:left w:val="single" w:sz="4" w:space="0" w:color="auto"/>
              <w:bottom w:val="single" w:sz="4" w:space="0" w:color="auto"/>
              <w:right w:val="single" w:sz="4" w:space="0" w:color="auto"/>
            </w:tcBorders>
            <w:vAlign w:val="center"/>
          </w:tcPr>
          <w:p w14:paraId="6D88C8C5" w14:textId="77777777" w:rsidR="005553CB" w:rsidRPr="00B95D04" w:rsidRDefault="005553CB" w:rsidP="00CA689C">
            <w:pPr>
              <w:widowControl w:val="0"/>
              <w:jc w:val="center"/>
              <w:rPr>
                <w:rFonts w:ascii="Arial" w:hAnsi="Arial" w:cs="Arial"/>
                <w:sz w:val="20"/>
                <w:szCs w:val="20"/>
              </w:rPr>
            </w:pPr>
            <w:r w:rsidRPr="00B95D04">
              <w:rPr>
                <w:rFonts w:ascii="Arial" w:hAnsi="Arial" w:cs="Arial"/>
                <w:sz w:val="20"/>
                <w:szCs w:val="20"/>
              </w:rPr>
              <w:t>t + 3</w:t>
            </w:r>
          </w:p>
        </w:tc>
      </w:tr>
      <w:tr w:rsidR="005553CB" w:rsidRPr="00B95D04" w14:paraId="6D88C8CC" w14:textId="77777777" w:rsidTr="009744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88C8C7" w14:textId="77777777" w:rsidR="005553CB" w:rsidRPr="00B95D04" w:rsidRDefault="005553CB" w:rsidP="00CA689C">
            <w:pPr>
              <w:widowControl w:val="0"/>
              <w:rPr>
                <w:rFonts w:ascii="Arial" w:hAnsi="Arial" w:cs="Arial"/>
                <w:bCs/>
                <w:sz w:val="20"/>
                <w:szCs w:val="20"/>
              </w:rPr>
            </w:pPr>
            <w:r w:rsidRPr="00B95D04">
              <w:rPr>
                <w:rFonts w:ascii="Arial" w:hAnsi="Arial" w:cs="Arial"/>
                <w:bCs/>
                <w:sz w:val="20"/>
                <w:szCs w:val="20"/>
              </w:rPr>
              <w:t>Predvideno povečanje (+) ali zmanjšanje (</w:t>
            </w:r>
            <w:r w:rsidRPr="00B95D04">
              <w:rPr>
                <w:rFonts w:ascii="Arial" w:hAnsi="Arial" w:cs="Arial"/>
                <w:b/>
                <w:sz w:val="20"/>
                <w:szCs w:val="20"/>
              </w:rPr>
              <w:t>–</w:t>
            </w:r>
            <w:r w:rsidRPr="00B95D04">
              <w:rPr>
                <w:rFonts w:ascii="Arial" w:hAnsi="Arial" w:cs="Arial"/>
                <w:bCs/>
                <w:sz w:val="20"/>
                <w:szCs w:val="20"/>
              </w:rPr>
              <w:t xml:space="preserve">) prihodkov državnega proračuna </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6D88C8C8" w14:textId="77777777" w:rsidR="005553CB" w:rsidRPr="00B95D04" w:rsidRDefault="005553CB" w:rsidP="00CA689C">
            <w:pPr>
              <w:pStyle w:val="Heading1"/>
              <w:keepNext w:val="0"/>
              <w:widowControl w:val="0"/>
              <w:tabs>
                <w:tab w:val="left" w:pos="360"/>
              </w:tabs>
              <w:spacing w:before="0" w:after="0"/>
              <w:jc w:val="center"/>
              <w:rPr>
                <w:rFonts w:cs="Arial"/>
                <w:b w:val="0"/>
                <w:bCs/>
                <w:sz w:val="20"/>
                <w:szCs w:val="20"/>
                <w:lang w:val="sl-SI" w:eastAsia="sl-SI"/>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D88C8C9" w14:textId="1190C4DF" w:rsidR="005553CB" w:rsidRPr="00B95D04" w:rsidRDefault="005553CB" w:rsidP="006B3E5A">
            <w:pPr>
              <w:pStyle w:val="Heading1"/>
              <w:keepNext w:val="0"/>
              <w:widowControl w:val="0"/>
              <w:tabs>
                <w:tab w:val="left" w:pos="360"/>
              </w:tabs>
              <w:spacing w:before="0" w:after="0"/>
              <w:jc w:val="center"/>
              <w:rPr>
                <w:rFonts w:cs="Arial"/>
                <w:b w:val="0"/>
                <w:bCs/>
                <w:sz w:val="20"/>
                <w:szCs w:val="20"/>
                <w:lang w:val="sl-SI" w:eastAsia="sl-SI"/>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D88C8CA" w14:textId="392B6A4E" w:rsidR="005553CB" w:rsidRPr="00B95D04" w:rsidRDefault="000747FF" w:rsidP="00D5688B">
            <w:pPr>
              <w:pStyle w:val="Heading1"/>
              <w:keepNext w:val="0"/>
              <w:widowControl w:val="0"/>
              <w:tabs>
                <w:tab w:val="left" w:pos="360"/>
              </w:tabs>
              <w:spacing w:before="0" w:after="0"/>
              <w:jc w:val="center"/>
              <w:rPr>
                <w:rFonts w:cs="Arial"/>
                <w:b w:val="0"/>
                <w:sz w:val="20"/>
                <w:szCs w:val="20"/>
                <w:lang w:val="sl-SI" w:eastAsia="sl-SI"/>
              </w:rPr>
            </w:pPr>
            <w:r w:rsidRPr="00B95D04">
              <w:rPr>
                <w:rFonts w:cs="Arial"/>
                <w:b w:val="0"/>
                <w:sz w:val="20"/>
                <w:szCs w:val="20"/>
                <w:lang w:val="sl-SI" w:eastAsia="sl-SI"/>
              </w:rPr>
              <w:t>+</w:t>
            </w:r>
            <w:r w:rsidR="00CC50A0" w:rsidRPr="00B95D04">
              <w:rPr>
                <w:rFonts w:cs="Arial"/>
                <w:b w:val="0"/>
                <w:sz w:val="20"/>
                <w:szCs w:val="20"/>
                <w:lang w:val="sl-SI" w:eastAsia="sl-SI"/>
              </w:rPr>
              <w:t>0</w:t>
            </w:r>
            <w:r w:rsidR="00370AF0" w:rsidRPr="00B95D04">
              <w:rPr>
                <w:rFonts w:cs="Arial"/>
                <w:b w:val="0"/>
                <w:sz w:val="20"/>
                <w:szCs w:val="20"/>
                <w:lang w:val="sl-SI" w:eastAsia="sl-SI"/>
              </w:rPr>
              <w:t>,</w:t>
            </w:r>
            <w:r w:rsidR="00CC50A0" w:rsidRPr="00B95D04">
              <w:rPr>
                <w:rFonts w:cs="Arial"/>
                <w:b w:val="0"/>
                <w:sz w:val="20"/>
                <w:szCs w:val="20"/>
                <w:lang w:val="sl-SI" w:eastAsia="sl-SI"/>
              </w:rPr>
              <w:t>4</w:t>
            </w:r>
            <w:r w:rsidRPr="00B95D04">
              <w:rPr>
                <w:rFonts w:cs="Arial"/>
                <w:b w:val="0"/>
                <w:sz w:val="20"/>
                <w:szCs w:val="20"/>
                <w:lang w:val="sl-SI" w:eastAsia="sl-SI"/>
              </w:rPr>
              <w:t xml:space="preserve"> mio </w:t>
            </w:r>
            <w:r w:rsidR="00D5688B" w:rsidRPr="00B95D04">
              <w:rPr>
                <w:rFonts w:cs="Arial"/>
                <w:b w:val="0"/>
                <w:sz w:val="20"/>
                <w:szCs w:val="20"/>
                <w:lang w:val="sl-SI" w:eastAsia="sl-SI"/>
              </w:rPr>
              <w:t>evrov</w:t>
            </w:r>
          </w:p>
        </w:tc>
        <w:tc>
          <w:tcPr>
            <w:tcW w:w="1587" w:type="dxa"/>
            <w:tcBorders>
              <w:top w:val="single" w:sz="4" w:space="0" w:color="auto"/>
              <w:left w:val="single" w:sz="4" w:space="0" w:color="auto"/>
              <w:bottom w:val="single" w:sz="4" w:space="0" w:color="auto"/>
              <w:right w:val="single" w:sz="4" w:space="0" w:color="auto"/>
            </w:tcBorders>
            <w:vAlign w:val="center"/>
          </w:tcPr>
          <w:p w14:paraId="6D88C8CB" w14:textId="2DA98B28" w:rsidR="005553CB" w:rsidRPr="00B95D04" w:rsidRDefault="005553CB" w:rsidP="00CA689C">
            <w:pPr>
              <w:pStyle w:val="Heading1"/>
              <w:keepNext w:val="0"/>
              <w:widowControl w:val="0"/>
              <w:tabs>
                <w:tab w:val="left" w:pos="360"/>
              </w:tabs>
              <w:spacing w:before="0" w:after="0"/>
              <w:jc w:val="center"/>
              <w:rPr>
                <w:rFonts w:cs="Arial"/>
                <w:b w:val="0"/>
                <w:sz w:val="20"/>
                <w:szCs w:val="20"/>
                <w:lang w:val="sl-SI" w:eastAsia="sl-SI"/>
              </w:rPr>
            </w:pPr>
          </w:p>
        </w:tc>
      </w:tr>
      <w:tr w:rsidR="005553CB" w:rsidRPr="00B95D04" w14:paraId="6D88C8D2" w14:textId="77777777" w:rsidTr="009744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88C8CD" w14:textId="77777777" w:rsidR="005553CB" w:rsidRPr="00B95D04" w:rsidRDefault="005553CB" w:rsidP="00CA689C">
            <w:pPr>
              <w:widowControl w:val="0"/>
              <w:rPr>
                <w:rFonts w:ascii="Arial" w:hAnsi="Arial" w:cs="Arial"/>
                <w:bCs/>
                <w:sz w:val="20"/>
                <w:szCs w:val="20"/>
              </w:rPr>
            </w:pPr>
            <w:r w:rsidRPr="00B95D04">
              <w:rPr>
                <w:rFonts w:ascii="Arial" w:hAnsi="Arial" w:cs="Arial"/>
                <w:bCs/>
                <w:sz w:val="20"/>
                <w:szCs w:val="20"/>
              </w:rPr>
              <w:t>Predvideno povečanje (+) ali zmanjšanje (</w:t>
            </w:r>
            <w:r w:rsidRPr="00B95D04">
              <w:rPr>
                <w:rFonts w:ascii="Arial" w:hAnsi="Arial" w:cs="Arial"/>
                <w:b/>
                <w:sz w:val="20"/>
                <w:szCs w:val="20"/>
              </w:rPr>
              <w:t>–</w:t>
            </w:r>
            <w:r w:rsidRPr="00B95D04">
              <w:rPr>
                <w:rFonts w:ascii="Arial" w:hAnsi="Arial" w:cs="Arial"/>
                <w:bCs/>
                <w:sz w:val="20"/>
                <w:szCs w:val="20"/>
              </w:rPr>
              <w:t xml:space="preserve">) prihodkov občinskih proračunov </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6D88C8CE" w14:textId="77777777" w:rsidR="005553CB" w:rsidRPr="00B95D04" w:rsidRDefault="005553CB" w:rsidP="00CA689C">
            <w:pPr>
              <w:pStyle w:val="Heading1"/>
              <w:keepNext w:val="0"/>
              <w:widowControl w:val="0"/>
              <w:tabs>
                <w:tab w:val="left" w:pos="360"/>
              </w:tabs>
              <w:spacing w:before="0" w:after="0"/>
              <w:jc w:val="center"/>
              <w:rPr>
                <w:rFonts w:cs="Arial"/>
                <w:b w:val="0"/>
                <w:bCs/>
                <w:sz w:val="20"/>
                <w:szCs w:val="20"/>
                <w:lang w:val="sl-SI" w:eastAsia="sl-SI"/>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D88C8CF" w14:textId="77777777" w:rsidR="005553CB" w:rsidRPr="00B95D04" w:rsidRDefault="005553CB" w:rsidP="00CA689C">
            <w:pPr>
              <w:pStyle w:val="Heading1"/>
              <w:keepNext w:val="0"/>
              <w:widowControl w:val="0"/>
              <w:tabs>
                <w:tab w:val="left" w:pos="360"/>
              </w:tabs>
              <w:spacing w:before="0" w:after="0"/>
              <w:jc w:val="center"/>
              <w:rPr>
                <w:rFonts w:cs="Arial"/>
                <w:b w:val="0"/>
                <w:bCs/>
                <w:sz w:val="20"/>
                <w:szCs w:val="20"/>
                <w:lang w:val="sl-SI" w:eastAsia="sl-SI"/>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D88C8D0" w14:textId="77777777" w:rsidR="005553CB" w:rsidRPr="00B95D04" w:rsidRDefault="005553CB" w:rsidP="00CA689C">
            <w:pPr>
              <w:pStyle w:val="Heading1"/>
              <w:keepNext w:val="0"/>
              <w:widowControl w:val="0"/>
              <w:tabs>
                <w:tab w:val="left" w:pos="360"/>
              </w:tabs>
              <w:spacing w:before="0" w:after="0"/>
              <w:jc w:val="center"/>
              <w:rPr>
                <w:rFonts w:cs="Arial"/>
                <w:b w:val="0"/>
                <w:sz w:val="20"/>
                <w:szCs w:val="20"/>
                <w:lang w:val="sl-SI" w:eastAsia="sl-SI"/>
              </w:rPr>
            </w:pPr>
          </w:p>
        </w:tc>
        <w:tc>
          <w:tcPr>
            <w:tcW w:w="1587" w:type="dxa"/>
            <w:tcBorders>
              <w:top w:val="single" w:sz="4" w:space="0" w:color="auto"/>
              <w:left w:val="single" w:sz="4" w:space="0" w:color="auto"/>
              <w:bottom w:val="single" w:sz="4" w:space="0" w:color="auto"/>
              <w:right w:val="single" w:sz="4" w:space="0" w:color="auto"/>
            </w:tcBorders>
            <w:vAlign w:val="center"/>
          </w:tcPr>
          <w:p w14:paraId="6D88C8D1" w14:textId="77777777" w:rsidR="005553CB" w:rsidRPr="00B95D04" w:rsidRDefault="005553CB" w:rsidP="00CA689C">
            <w:pPr>
              <w:pStyle w:val="Heading1"/>
              <w:keepNext w:val="0"/>
              <w:widowControl w:val="0"/>
              <w:tabs>
                <w:tab w:val="left" w:pos="360"/>
              </w:tabs>
              <w:spacing w:before="0" w:after="0"/>
              <w:jc w:val="center"/>
              <w:rPr>
                <w:rFonts w:cs="Arial"/>
                <w:b w:val="0"/>
                <w:sz w:val="20"/>
                <w:szCs w:val="20"/>
                <w:lang w:val="sl-SI" w:eastAsia="sl-SI"/>
              </w:rPr>
            </w:pPr>
          </w:p>
        </w:tc>
      </w:tr>
      <w:tr w:rsidR="005553CB" w:rsidRPr="00B95D04" w14:paraId="6D88C8D8" w14:textId="77777777" w:rsidTr="009744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88C8D3" w14:textId="77777777" w:rsidR="005553CB" w:rsidRPr="00B95D04" w:rsidRDefault="005553CB" w:rsidP="00CA689C">
            <w:pPr>
              <w:widowControl w:val="0"/>
              <w:rPr>
                <w:rFonts w:ascii="Arial" w:hAnsi="Arial" w:cs="Arial"/>
                <w:bCs/>
                <w:sz w:val="20"/>
                <w:szCs w:val="20"/>
              </w:rPr>
            </w:pPr>
            <w:r w:rsidRPr="00B95D04">
              <w:rPr>
                <w:rFonts w:ascii="Arial" w:hAnsi="Arial" w:cs="Arial"/>
                <w:bCs/>
                <w:sz w:val="20"/>
                <w:szCs w:val="20"/>
              </w:rPr>
              <w:t>Predvideno povečanje (+) ali zmanjšanje (</w:t>
            </w:r>
            <w:r w:rsidRPr="00B95D04">
              <w:rPr>
                <w:rFonts w:ascii="Arial" w:hAnsi="Arial" w:cs="Arial"/>
                <w:b/>
                <w:sz w:val="20"/>
                <w:szCs w:val="20"/>
              </w:rPr>
              <w:t>–</w:t>
            </w:r>
            <w:r w:rsidRPr="00B95D04">
              <w:rPr>
                <w:rFonts w:ascii="Arial" w:hAnsi="Arial" w:cs="Arial"/>
                <w:bCs/>
                <w:sz w:val="20"/>
                <w:szCs w:val="20"/>
              </w:rPr>
              <w:t xml:space="preserve">) odhodkov državnega proračuna </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6D88C8D4" w14:textId="77777777" w:rsidR="005553CB" w:rsidRPr="00B95D04" w:rsidRDefault="005553CB" w:rsidP="00CA689C">
            <w:pPr>
              <w:widowControl w:val="0"/>
              <w:jc w:val="cente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D88C8D5" w14:textId="77777777" w:rsidR="005553CB" w:rsidRPr="00B95D04" w:rsidRDefault="005553CB" w:rsidP="00CA689C">
            <w:pPr>
              <w:widowControl w:val="0"/>
              <w:jc w:val="center"/>
              <w:rPr>
                <w:rFonts w:ascii="Arial" w:hAnsi="Arial" w:cs="Arial"/>
                <w:sz w:val="20"/>
                <w:szCs w:val="20"/>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D88C8D6" w14:textId="77777777" w:rsidR="005553CB" w:rsidRPr="00B95D04" w:rsidRDefault="005553CB" w:rsidP="00CA689C">
            <w:pPr>
              <w:widowControl w:val="0"/>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D88C8D7" w14:textId="77777777" w:rsidR="005553CB" w:rsidRPr="00B95D04" w:rsidRDefault="005553CB" w:rsidP="00CA689C">
            <w:pPr>
              <w:widowControl w:val="0"/>
              <w:jc w:val="center"/>
              <w:rPr>
                <w:rFonts w:ascii="Arial" w:hAnsi="Arial" w:cs="Arial"/>
                <w:sz w:val="20"/>
                <w:szCs w:val="20"/>
              </w:rPr>
            </w:pPr>
          </w:p>
        </w:tc>
      </w:tr>
      <w:tr w:rsidR="005553CB" w:rsidRPr="00B95D04" w14:paraId="6D88C8DE" w14:textId="77777777" w:rsidTr="009744C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88C8D9" w14:textId="77777777" w:rsidR="005553CB" w:rsidRPr="00B95D04" w:rsidRDefault="005553CB" w:rsidP="00CA689C">
            <w:pPr>
              <w:widowControl w:val="0"/>
              <w:rPr>
                <w:rFonts w:ascii="Arial" w:hAnsi="Arial" w:cs="Arial"/>
                <w:bCs/>
                <w:sz w:val="20"/>
                <w:szCs w:val="20"/>
              </w:rPr>
            </w:pPr>
            <w:r w:rsidRPr="00B95D04">
              <w:rPr>
                <w:rFonts w:ascii="Arial" w:hAnsi="Arial" w:cs="Arial"/>
                <w:bCs/>
                <w:sz w:val="20"/>
                <w:szCs w:val="20"/>
              </w:rPr>
              <w:t>Predvideno povečanje (+) ali zmanjšanje (</w:t>
            </w:r>
            <w:r w:rsidRPr="00B95D04">
              <w:rPr>
                <w:rFonts w:ascii="Arial" w:hAnsi="Arial" w:cs="Arial"/>
                <w:b/>
                <w:sz w:val="20"/>
                <w:szCs w:val="20"/>
              </w:rPr>
              <w:t>–</w:t>
            </w:r>
            <w:r w:rsidRPr="00B95D04">
              <w:rPr>
                <w:rFonts w:ascii="Arial" w:hAnsi="Arial" w:cs="Arial"/>
                <w:bCs/>
                <w:sz w:val="20"/>
                <w:szCs w:val="20"/>
              </w:rPr>
              <w:t>) odhodkov občinskih proračunov</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6D88C8DA" w14:textId="77777777" w:rsidR="005553CB" w:rsidRPr="00B95D04" w:rsidRDefault="005553CB" w:rsidP="00CA689C">
            <w:pPr>
              <w:widowControl w:val="0"/>
              <w:jc w:val="cente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D88C8DB" w14:textId="77777777" w:rsidR="005553CB" w:rsidRPr="00B95D04" w:rsidRDefault="005553CB" w:rsidP="00CA689C">
            <w:pPr>
              <w:widowControl w:val="0"/>
              <w:jc w:val="center"/>
              <w:rPr>
                <w:rFonts w:ascii="Arial" w:hAnsi="Arial" w:cs="Arial"/>
                <w:sz w:val="20"/>
                <w:szCs w:val="20"/>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D88C8DC" w14:textId="77777777" w:rsidR="005553CB" w:rsidRPr="00B95D04" w:rsidRDefault="005553CB" w:rsidP="00CA689C">
            <w:pPr>
              <w:widowControl w:val="0"/>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6D88C8DD" w14:textId="77777777" w:rsidR="005553CB" w:rsidRPr="00B95D04" w:rsidRDefault="005553CB" w:rsidP="00CA689C">
            <w:pPr>
              <w:widowControl w:val="0"/>
              <w:jc w:val="center"/>
              <w:rPr>
                <w:rFonts w:ascii="Arial" w:hAnsi="Arial" w:cs="Arial"/>
                <w:sz w:val="20"/>
                <w:szCs w:val="20"/>
              </w:rPr>
            </w:pPr>
          </w:p>
        </w:tc>
      </w:tr>
      <w:tr w:rsidR="005553CB" w:rsidRPr="00B95D04" w14:paraId="6D88C8E4" w14:textId="77777777" w:rsidTr="009744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88C8DF" w14:textId="77777777" w:rsidR="005553CB" w:rsidRPr="00B95D04" w:rsidRDefault="005553CB" w:rsidP="00CA689C">
            <w:pPr>
              <w:widowControl w:val="0"/>
              <w:rPr>
                <w:rFonts w:ascii="Arial" w:hAnsi="Arial" w:cs="Arial"/>
                <w:bCs/>
                <w:sz w:val="20"/>
                <w:szCs w:val="20"/>
              </w:rPr>
            </w:pPr>
            <w:r w:rsidRPr="00B95D04">
              <w:rPr>
                <w:rFonts w:ascii="Arial" w:hAnsi="Arial" w:cs="Arial"/>
                <w:bCs/>
                <w:sz w:val="20"/>
                <w:szCs w:val="20"/>
              </w:rPr>
              <w:t>Predvideno povečanje (+) ali zmanjšanje (</w:t>
            </w:r>
            <w:r w:rsidRPr="00B95D04">
              <w:rPr>
                <w:rFonts w:ascii="Arial" w:hAnsi="Arial" w:cs="Arial"/>
                <w:b/>
                <w:sz w:val="20"/>
                <w:szCs w:val="20"/>
              </w:rPr>
              <w:t>–</w:t>
            </w:r>
            <w:r w:rsidRPr="00B95D04">
              <w:rPr>
                <w:rFonts w:ascii="Arial" w:hAnsi="Arial" w:cs="Arial"/>
                <w:bCs/>
                <w:sz w:val="20"/>
                <w:szCs w:val="20"/>
              </w:rPr>
              <w:t>) obveznosti za druga javnofinančna sredstva</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6D88C8E0" w14:textId="77777777" w:rsidR="005553CB" w:rsidRPr="00B95D04" w:rsidRDefault="005553CB" w:rsidP="00CA689C">
            <w:pPr>
              <w:pStyle w:val="Heading1"/>
              <w:keepNext w:val="0"/>
              <w:widowControl w:val="0"/>
              <w:tabs>
                <w:tab w:val="left" w:pos="360"/>
              </w:tabs>
              <w:spacing w:before="0" w:after="0"/>
              <w:jc w:val="center"/>
              <w:rPr>
                <w:rFonts w:cs="Arial"/>
                <w:b w:val="0"/>
                <w:bCs/>
                <w:sz w:val="20"/>
                <w:szCs w:val="20"/>
                <w:lang w:val="sl-SI" w:eastAsia="sl-SI"/>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D88C8E1" w14:textId="77777777" w:rsidR="005553CB" w:rsidRPr="00B95D04" w:rsidRDefault="005553CB" w:rsidP="00CA689C">
            <w:pPr>
              <w:pStyle w:val="Heading1"/>
              <w:keepNext w:val="0"/>
              <w:widowControl w:val="0"/>
              <w:tabs>
                <w:tab w:val="left" w:pos="360"/>
              </w:tabs>
              <w:spacing w:before="0" w:after="0"/>
              <w:jc w:val="center"/>
              <w:rPr>
                <w:rFonts w:cs="Arial"/>
                <w:b w:val="0"/>
                <w:bCs/>
                <w:sz w:val="20"/>
                <w:szCs w:val="20"/>
                <w:lang w:val="sl-SI" w:eastAsia="sl-SI"/>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D88C8E2" w14:textId="77777777" w:rsidR="005553CB" w:rsidRPr="00B95D04" w:rsidRDefault="005553CB" w:rsidP="00CA689C">
            <w:pPr>
              <w:pStyle w:val="Heading1"/>
              <w:keepNext w:val="0"/>
              <w:widowControl w:val="0"/>
              <w:tabs>
                <w:tab w:val="left" w:pos="360"/>
              </w:tabs>
              <w:spacing w:before="0" w:after="0"/>
              <w:jc w:val="center"/>
              <w:rPr>
                <w:rFonts w:cs="Arial"/>
                <w:b w:val="0"/>
                <w:sz w:val="20"/>
                <w:szCs w:val="20"/>
                <w:lang w:val="sl-SI" w:eastAsia="sl-SI"/>
              </w:rPr>
            </w:pPr>
          </w:p>
        </w:tc>
        <w:tc>
          <w:tcPr>
            <w:tcW w:w="1587" w:type="dxa"/>
            <w:tcBorders>
              <w:top w:val="single" w:sz="4" w:space="0" w:color="auto"/>
              <w:left w:val="single" w:sz="4" w:space="0" w:color="auto"/>
              <w:bottom w:val="single" w:sz="4" w:space="0" w:color="auto"/>
              <w:right w:val="single" w:sz="4" w:space="0" w:color="auto"/>
            </w:tcBorders>
            <w:vAlign w:val="center"/>
          </w:tcPr>
          <w:p w14:paraId="6D88C8E3" w14:textId="77777777" w:rsidR="005553CB" w:rsidRPr="00B95D04" w:rsidRDefault="005553CB" w:rsidP="00CA689C">
            <w:pPr>
              <w:pStyle w:val="Heading1"/>
              <w:keepNext w:val="0"/>
              <w:widowControl w:val="0"/>
              <w:tabs>
                <w:tab w:val="left" w:pos="360"/>
              </w:tabs>
              <w:spacing w:before="0" w:after="0"/>
              <w:jc w:val="center"/>
              <w:rPr>
                <w:rFonts w:cs="Arial"/>
                <w:b w:val="0"/>
                <w:sz w:val="20"/>
                <w:szCs w:val="20"/>
                <w:lang w:val="sl-SI" w:eastAsia="sl-SI"/>
              </w:rPr>
            </w:pPr>
          </w:p>
        </w:tc>
      </w:tr>
      <w:tr w:rsidR="005553CB" w:rsidRPr="00B95D04" w14:paraId="6D88C8E6" w14:textId="77777777" w:rsidTr="00CA689C">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88C8E5" w14:textId="77777777" w:rsidR="005553CB" w:rsidRPr="00B95D04" w:rsidRDefault="005553CB" w:rsidP="00CA689C">
            <w:pPr>
              <w:pStyle w:val="Heading1"/>
              <w:keepNext w:val="0"/>
              <w:widowControl w:val="0"/>
              <w:tabs>
                <w:tab w:val="left" w:pos="2340"/>
              </w:tabs>
              <w:spacing w:before="0" w:after="0"/>
              <w:ind w:left="142" w:hanging="142"/>
              <w:rPr>
                <w:rFonts w:cs="Arial"/>
                <w:sz w:val="20"/>
                <w:szCs w:val="20"/>
                <w:lang w:val="sl-SI" w:eastAsia="sl-SI"/>
              </w:rPr>
            </w:pPr>
            <w:r w:rsidRPr="00B95D04">
              <w:rPr>
                <w:rFonts w:cs="Arial"/>
                <w:sz w:val="20"/>
                <w:szCs w:val="20"/>
                <w:lang w:val="sl-SI" w:eastAsia="sl-SI"/>
              </w:rPr>
              <w:t>II. Finančne posledice za državni proračun</w:t>
            </w:r>
          </w:p>
        </w:tc>
      </w:tr>
      <w:tr w:rsidR="005553CB" w:rsidRPr="00B95D04" w14:paraId="6D88C8E8" w14:textId="77777777" w:rsidTr="00CA689C">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88C8E7" w14:textId="77777777" w:rsidR="005553CB" w:rsidRPr="00B95D04" w:rsidRDefault="005553CB" w:rsidP="00CA689C">
            <w:pPr>
              <w:pStyle w:val="Heading1"/>
              <w:keepNext w:val="0"/>
              <w:widowControl w:val="0"/>
              <w:tabs>
                <w:tab w:val="left" w:pos="2340"/>
              </w:tabs>
              <w:spacing w:before="0" w:after="0"/>
              <w:ind w:left="142" w:hanging="142"/>
              <w:rPr>
                <w:rFonts w:cs="Arial"/>
                <w:sz w:val="20"/>
                <w:szCs w:val="20"/>
                <w:lang w:val="sl-SI" w:eastAsia="sl-SI"/>
              </w:rPr>
            </w:pPr>
            <w:proofErr w:type="spellStart"/>
            <w:r w:rsidRPr="00B95D04">
              <w:rPr>
                <w:rFonts w:cs="Arial"/>
                <w:sz w:val="20"/>
                <w:szCs w:val="20"/>
                <w:lang w:val="sl-SI" w:eastAsia="sl-SI"/>
              </w:rPr>
              <w:t>II.a</w:t>
            </w:r>
            <w:proofErr w:type="spellEnd"/>
            <w:r w:rsidRPr="00B95D04">
              <w:rPr>
                <w:rFonts w:cs="Arial"/>
                <w:sz w:val="20"/>
                <w:szCs w:val="20"/>
                <w:lang w:val="sl-SI" w:eastAsia="sl-SI"/>
              </w:rPr>
              <w:t xml:space="preserve"> Pravice porabe za izvedbo predlaganih rešitev so zagotovljene:</w:t>
            </w:r>
          </w:p>
        </w:tc>
      </w:tr>
      <w:tr w:rsidR="005553CB" w:rsidRPr="00B95D04" w14:paraId="6D88C8EE" w14:textId="77777777" w:rsidTr="00CA68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D88C8E9" w14:textId="77777777" w:rsidR="005553CB" w:rsidRPr="00B95D04" w:rsidRDefault="005553CB" w:rsidP="00CA689C">
            <w:pPr>
              <w:widowControl w:val="0"/>
              <w:jc w:val="center"/>
              <w:rPr>
                <w:rFonts w:ascii="Arial" w:hAnsi="Arial" w:cs="Arial"/>
                <w:sz w:val="20"/>
                <w:szCs w:val="20"/>
              </w:rPr>
            </w:pPr>
            <w:r w:rsidRPr="00B95D0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D88C8EA" w14:textId="77777777" w:rsidR="005553CB" w:rsidRPr="00B95D04" w:rsidRDefault="005553CB" w:rsidP="00CA689C">
            <w:pPr>
              <w:widowControl w:val="0"/>
              <w:jc w:val="center"/>
              <w:rPr>
                <w:rFonts w:ascii="Arial" w:hAnsi="Arial" w:cs="Arial"/>
                <w:sz w:val="20"/>
                <w:szCs w:val="20"/>
              </w:rPr>
            </w:pPr>
            <w:r w:rsidRPr="00B95D0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D88C8EB" w14:textId="77777777" w:rsidR="005553CB" w:rsidRPr="00B95D04" w:rsidRDefault="005553CB" w:rsidP="00CA689C">
            <w:pPr>
              <w:widowControl w:val="0"/>
              <w:jc w:val="center"/>
              <w:rPr>
                <w:rFonts w:ascii="Arial" w:hAnsi="Arial" w:cs="Arial"/>
                <w:sz w:val="20"/>
                <w:szCs w:val="20"/>
              </w:rPr>
            </w:pPr>
            <w:r w:rsidRPr="00B95D04">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D88C8EC" w14:textId="77777777" w:rsidR="005553CB" w:rsidRPr="00B95D04" w:rsidRDefault="005553CB" w:rsidP="00CA689C">
            <w:pPr>
              <w:widowControl w:val="0"/>
              <w:jc w:val="center"/>
              <w:rPr>
                <w:rFonts w:ascii="Arial" w:hAnsi="Arial" w:cs="Arial"/>
                <w:sz w:val="20"/>
                <w:szCs w:val="20"/>
              </w:rPr>
            </w:pPr>
            <w:r w:rsidRPr="00B95D04">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D88C8ED" w14:textId="77777777" w:rsidR="005553CB" w:rsidRPr="00B95D04" w:rsidRDefault="005553CB" w:rsidP="00CA689C">
            <w:pPr>
              <w:widowControl w:val="0"/>
              <w:jc w:val="center"/>
              <w:rPr>
                <w:rFonts w:ascii="Arial" w:hAnsi="Arial" w:cs="Arial"/>
                <w:sz w:val="20"/>
                <w:szCs w:val="20"/>
              </w:rPr>
            </w:pPr>
            <w:r w:rsidRPr="00B95D04">
              <w:rPr>
                <w:rFonts w:ascii="Arial" w:hAnsi="Arial" w:cs="Arial"/>
                <w:sz w:val="20"/>
                <w:szCs w:val="20"/>
              </w:rPr>
              <w:t>Znesek za t + 1</w:t>
            </w:r>
          </w:p>
        </w:tc>
      </w:tr>
      <w:tr w:rsidR="005553CB" w:rsidRPr="00B95D04" w14:paraId="6D88C8F4" w14:textId="77777777" w:rsidTr="00CA689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D88C8EF"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D88C8F0"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D88C8F1"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D88C8F2"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D88C8F3"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r>
      <w:tr w:rsidR="005553CB" w:rsidRPr="00B95D04" w14:paraId="6D88C8FA" w14:textId="77777777"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D88C8F5"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D88C8F6"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D88C8F7"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D88C8F8"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D88C8F9"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r>
      <w:tr w:rsidR="005553CB" w:rsidRPr="00B95D04" w14:paraId="6D88C8FE" w14:textId="77777777" w:rsidTr="00CA689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D88C8FB" w14:textId="77777777" w:rsidR="005553CB" w:rsidRPr="00B95D04" w:rsidRDefault="005553CB" w:rsidP="00CA689C">
            <w:pPr>
              <w:pStyle w:val="Heading1"/>
              <w:keepNext w:val="0"/>
              <w:widowControl w:val="0"/>
              <w:tabs>
                <w:tab w:val="left" w:pos="360"/>
              </w:tabs>
              <w:spacing w:before="0" w:after="0"/>
              <w:rPr>
                <w:rFonts w:cs="Arial"/>
                <w:sz w:val="20"/>
                <w:szCs w:val="20"/>
                <w:lang w:val="sl-SI" w:eastAsia="sl-SI"/>
              </w:rPr>
            </w:pPr>
            <w:r w:rsidRPr="00B95D04">
              <w:rPr>
                <w:rFonts w:cs="Arial"/>
                <w:sz w:val="20"/>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D88C8FC" w14:textId="77777777" w:rsidR="005553CB" w:rsidRPr="00B95D04" w:rsidRDefault="005553CB" w:rsidP="00CA689C">
            <w:pPr>
              <w:widowControl w:val="0"/>
              <w:jc w:val="center"/>
              <w:rPr>
                <w:rFonts w:ascii="Arial" w:hAnsi="Arial" w:cs="Arial"/>
                <w:b/>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D88C8FD" w14:textId="77777777" w:rsidR="005553CB" w:rsidRPr="00B95D04" w:rsidRDefault="005553CB" w:rsidP="00CA689C">
            <w:pPr>
              <w:pStyle w:val="Heading1"/>
              <w:keepNext w:val="0"/>
              <w:widowControl w:val="0"/>
              <w:tabs>
                <w:tab w:val="left" w:pos="360"/>
              </w:tabs>
              <w:spacing w:before="0" w:after="0"/>
              <w:rPr>
                <w:rFonts w:cs="Arial"/>
                <w:sz w:val="20"/>
                <w:szCs w:val="20"/>
                <w:lang w:val="sl-SI" w:eastAsia="sl-SI"/>
              </w:rPr>
            </w:pPr>
          </w:p>
        </w:tc>
      </w:tr>
      <w:tr w:rsidR="005553CB" w:rsidRPr="00B95D04" w14:paraId="6D88C900" w14:textId="77777777" w:rsidTr="00CA689C">
        <w:trPr>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88C8FF" w14:textId="77777777" w:rsidR="005553CB" w:rsidRPr="00B95D04" w:rsidRDefault="005553CB" w:rsidP="00CA689C">
            <w:pPr>
              <w:pStyle w:val="Heading1"/>
              <w:keepNext w:val="0"/>
              <w:widowControl w:val="0"/>
              <w:tabs>
                <w:tab w:val="left" w:pos="2340"/>
              </w:tabs>
              <w:spacing w:before="0" w:after="0"/>
              <w:rPr>
                <w:rFonts w:cs="Arial"/>
                <w:sz w:val="20"/>
                <w:szCs w:val="20"/>
                <w:lang w:val="sl-SI" w:eastAsia="sl-SI"/>
              </w:rPr>
            </w:pPr>
            <w:proofErr w:type="spellStart"/>
            <w:r w:rsidRPr="00B95D04">
              <w:rPr>
                <w:rFonts w:cs="Arial"/>
                <w:sz w:val="20"/>
                <w:szCs w:val="20"/>
                <w:lang w:val="sl-SI" w:eastAsia="sl-SI"/>
              </w:rPr>
              <w:t>II.b</w:t>
            </w:r>
            <w:proofErr w:type="spellEnd"/>
            <w:r w:rsidRPr="00B95D04">
              <w:rPr>
                <w:rFonts w:cs="Arial"/>
                <w:sz w:val="20"/>
                <w:szCs w:val="20"/>
                <w:lang w:val="sl-SI" w:eastAsia="sl-SI"/>
              </w:rPr>
              <w:t xml:space="preserve"> Manjkajoče pravice porabe bodo zagotovljene s prerazporeditvijo:</w:t>
            </w:r>
          </w:p>
        </w:tc>
      </w:tr>
      <w:tr w:rsidR="005553CB" w:rsidRPr="00B95D04" w14:paraId="6D88C906" w14:textId="77777777" w:rsidTr="00CA68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D88C901" w14:textId="77777777" w:rsidR="005553CB" w:rsidRPr="00B95D04" w:rsidRDefault="005553CB" w:rsidP="00CA689C">
            <w:pPr>
              <w:widowControl w:val="0"/>
              <w:jc w:val="center"/>
              <w:rPr>
                <w:rFonts w:ascii="Arial" w:hAnsi="Arial" w:cs="Arial"/>
                <w:sz w:val="20"/>
                <w:szCs w:val="20"/>
              </w:rPr>
            </w:pPr>
            <w:r w:rsidRPr="00B95D0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D88C902" w14:textId="77777777" w:rsidR="005553CB" w:rsidRPr="00B95D04" w:rsidRDefault="005553CB" w:rsidP="00CA689C">
            <w:pPr>
              <w:widowControl w:val="0"/>
              <w:jc w:val="center"/>
              <w:rPr>
                <w:rFonts w:ascii="Arial" w:hAnsi="Arial" w:cs="Arial"/>
                <w:sz w:val="20"/>
                <w:szCs w:val="20"/>
              </w:rPr>
            </w:pPr>
            <w:r w:rsidRPr="00B95D0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D88C903" w14:textId="77777777" w:rsidR="005553CB" w:rsidRPr="00B95D04" w:rsidRDefault="005553CB" w:rsidP="00CA689C">
            <w:pPr>
              <w:widowControl w:val="0"/>
              <w:jc w:val="center"/>
              <w:rPr>
                <w:rFonts w:ascii="Arial" w:hAnsi="Arial" w:cs="Arial"/>
                <w:sz w:val="20"/>
                <w:szCs w:val="20"/>
              </w:rPr>
            </w:pPr>
            <w:r w:rsidRPr="00B95D04">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D88C904" w14:textId="77777777" w:rsidR="005553CB" w:rsidRPr="00B95D04" w:rsidRDefault="005553CB" w:rsidP="00CA689C">
            <w:pPr>
              <w:widowControl w:val="0"/>
              <w:jc w:val="center"/>
              <w:rPr>
                <w:rFonts w:ascii="Arial" w:hAnsi="Arial" w:cs="Arial"/>
                <w:sz w:val="20"/>
                <w:szCs w:val="20"/>
              </w:rPr>
            </w:pPr>
            <w:r w:rsidRPr="00B95D04">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D88C905" w14:textId="77777777" w:rsidR="005553CB" w:rsidRPr="00B95D04" w:rsidRDefault="005553CB" w:rsidP="00CA689C">
            <w:pPr>
              <w:widowControl w:val="0"/>
              <w:jc w:val="center"/>
              <w:rPr>
                <w:rFonts w:ascii="Arial" w:hAnsi="Arial" w:cs="Arial"/>
                <w:sz w:val="20"/>
                <w:szCs w:val="20"/>
              </w:rPr>
            </w:pPr>
            <w:r w:rsidRPr="00B95D04">
              <w:rPr>
                <w:rFonts w:ascii="Arial" w:hAnsi="Arial" w:cs="Arial"/>
                <w:sz w:val="20"/>
                <w:szCs w:val="20"/>
              </w:rPr>
              <w:t xml:space="preserve">Znesek za t + 1 </w:t>
            </w:r>
          </w:p>
        </w:tc>
      </w:tr>
      <w:tr w:rsidR="005553CB" w:rsidRPr="00B95D04" w14:paraId="6D88C90C" w14:textId="77777777"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D88C907"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D88C908"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D88C909"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D88C90A"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D88C90B"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r>
      <w:tr w:rsidR="005553CB" w:rsidRPr="00B95D04" w14:paraId="6D88C912" w14:textId="77777777"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D88C90D"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D88C90E"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D88C90F"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D88C910"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D88C911"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r>
      <w:tr w:rsidR="005553CB" w:rsidRPr="00B95D04" w14:paraId="6D88C916" w14:textId="77777777" w:rsidTr="00CA689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D88C913" w14:textId="77777777" w:rsidR="005553CB" w:rsidRPr="00B95D04" w:rsidRDefault="005553CB" w:rsidP="00CA689C">
            <w:pPr>
              <w:pStyle w:val="Heading1"/>
              <w:keepNext w:val="0"/>
              <w:widowControl w:val="0"/>
              <w:tabs>
                <w:tab w:val="left" w:pos="360"/>
              </w:tabs>
              <w:spacing w:before="0" w:after="0"/>
              <w:rPr>
                <w:rFonts w:cs="Arial"/>
                <w:sz w:val="20"/>
                <w:szCs w:val="20"/>
                <w:lang w:val="sl-SI" w:eastAsia="sl-SI"/>
              </w:rPr>
            </w:pPr>
            <w:r w:rsidRPr="00B95D04">
              <w:rPr>
                <w:rFonts w:cs="Arial"/>
                <w:sz w:val="20"/>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D88C914" w14:textId="77777777" w:rsidR="005553CB" w:rsidRPr="00B95D04" w:rsidRDefault="005553CB" w:rsidP="00CA689C">
            <w:pPr>
              <w:pStyle w:val="Heading1"/>
              <w:keepNext w:val="0"/>
              <w:widowControl w:val="0"/>
              <w:tabs>
                <w:tab w:val="left" w:pos="360"/>
              </w:tabs>
              <w:spacing w:before="0" w:after="0"/>
              <w:rPr>
                <w:rFonts w:cs="Arial"/>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D88C915" w14:textId="77777777" w:rsidR="005553CB" w:rsidRPr="00B95D04" w:rsidRDefault="005553CB" w:rsidP="00CA689C">
            <w:pPr>
              <w:pStyle w:val="Heading1"/>
              <w:keepNext w:val="0"/>
              <w:widowControl w:val="0"/>
              <w:tabs>
                <w:tab w:val="left" w:pos="360"/>
              </w:tabs>
              <w:spacing w:before="0" w:after="0"/>
              <w:rPr>
                <w:rFonts w:cs="Arial"/>
                <w:sz w:val="20"/>
                <w:szCs w:val="20"/>
                <w:lang w:val="sl-SI" w:eastAsia="sl-SI"/>
              </w:rPr>
            </w:pPr>
          </w:p>
        </w:tc>
      </w:tr>
      <w:tr w:rsidR="005553CB" w:rsidRPr="00B95D04" w14:paraId="6D88C918" w14:textId="77777777" w:rsidTr="00CA689C">
        <w:trPr>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D88C917" w14:textId="77777777" w:rsidR="005553CB" w:rsidRPr="00B95D04" w:rsidRDefault="005553CB" w:rsidP="00CA689C">
            <w:pPr>
              <w:pStyle w:val="Heading1"/>
              <w:keepNext w:val="0"/>
              <w:widowControl w:val="0"/>
              <w:tabs>
                <w:tab w:val="left" w:pos="2340"/>
              </w:tabs>
              <w:spacing w:before="0" w:after="0"/>
              <w:rPr>
                <w:rFonts w:cs="Arial"/>
                <w:sz w:val="20"/>
                <w:szCs w:val="20"/>
                <w:lang w:val="sl-SI" w:eastAsia="sl-SI"/>
              </w:rPr>
            </w:pPr>
            <w:proofErr w:type="spellStart"/>
            <w:r w:rsidRPr="00B95D04">
              <w:rPr>
                <w:rFonts w:cs="Arial"/>
                <w:sz w:val="20"/>
                <w:szCs w:val="20"/>
                <w:lang w:val="sl-SI" w:eastAsia="sl-SI"/>
              </w:rPr>
              <w:t>II.c</w:t>
            </w:r>
            <w:proofErr w:type="spellEnd"/>
            <w:r w:rsidRPr="00B95D04">
              <w:rPr>
                <w:rFonts w:cs="Arial"/>
                <w:sz w:val="20"/>
                <w:szCs w:val="20"/>
                <w:lang w:val="sl-SI" w:eastAsia="sl-SI"/>
              </w:rPr>
              <w:t xml:space="preserve"> Načrtovana nadomestitev zmanjšanih prihodkov in povečanih odhodkov proračuna:</w:t>
            </w:r>
          </w:p>
        </w:tc>
      </w:tr>
      <w:tr w:rsidR="005553CB" w:rsidRPr="00B95D04" w14:paraId="6D88C91C" w14:textId="77777777" w:rsidTr="00CA689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D88C919" w14:textId="77777777" w:rsidR="005553CB" w:rsidRPr="00B95D04" w:rsidRDefault="005553CB" w:rsidP="00CA689C">
            <w:pPr>
              <w:widowControl w:val="0"/>
              <w:ind w:left="-122" w:right="-112"/>
              <w:jc w:val="center"/>
              <w:rPr>
                <w:rFonts w:ascii="Arial" w:hAnsi="Arial" w:cs="Arial"/>
                <w:sz w:val="20"/>
                <w:szCs w:val="20"/>
              </w:rPr>
            </w:pPr>
            <w:r w:rsidRPr="00B95D04">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D88C91A" w14:textId="77777777" w:rsidR="005553CB" w:rsidRPr="00B95D04" w:rsidRDefault="005553CB" w:rsidP="00CA689C">
            <w:pPr>
              <w:widowControl w:val="0"/>
              <w:ind w:left="-122" w:right="-112"/>
              <w:jc w:val="center"/>
              <w:rPr>
                <w:rFonts w:ascii="Arial" w:hAnsi="Arial" w:cs="Arial"/>
                <w:sz w:val="20"/>
                <w:szCs w:val="20"/>
              </w:rPr>
            </w:pPr>
            <w:r w:rsidRPr="00B95D04">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D88C91B" w14:textId="77777777" w:rsidR="005553CB" w:rsidRPr="00B95D04" w:rsidRDefault="005553CB" w:rsidP="00CA689C">
            <w:pPr>
              <w:widowControl w:val="0"/>
              <w:ind w:left="-122" w:right="-112"/>
              <w:jc w:val="center"/>
              <w:rPr>
                <w:rFonts w:ascii="Arial" w:hAnsi="Arial" w:cs="Arial"/>
                <w:sz w:val="20"/>
                <w:szCs w:val="20"/>
              </w:rPr>
            </w:pPr>
            <w:r w:rsidRPr="00B95D04">
              <w:rPr>
                <w:rFonts w:ascii="Arial" w:hAnsi="Arial" w:cs="Arial"/>
                <w:sz w:val="20"/>
                <w:szCs w:val="20"/>
              </w:rPr>
              <w:t>Znesek za t + 1</w:t>
            </w:r>
          </w:p>
        </w:tc>
      </w:tr>
      <w:tr w:rsidR="005553CB" w:rsidRPr="00B95D04" w14:paraId="6D88C920" w14:textId="77777777"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D88C91D"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D88C91E"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D88C91F"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r>
      <w:tr w:rsidR="005553CB" w:rsidRPr="00B95D04" w14:paraId="6D88C924" w14:textId="77777777"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D88C921"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D88C922"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D88C923"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r>
      <w:tr w:rsidR="005553CB" w:rsidRPr="00B95D04" w14:paraId="6D88C928" w14:textId="77777777"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D88C925"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D88C926"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D88C927" w14:textId="77777777" w:rsidR="005553CB" w:rsidRPr="00B95D04" w:rsidRDefault="005553CB" w:rsidP="00CA689C">
            <w:pPr>
              <w:pStyle w:val="Heading1"/>
              <w:keepNext w:val="0"/>
              <w:widowControl w:val="0"/>
              <w:tabs>
                <w:tab w:val="left" w:pos="360"/>
              </w:tabs>
              <w:spacing w:before="0" w:after="0"/>
              <w:rPr>
                <w:rFonts w:cs="Arial"/>
                <w:b w:val="0"/>
                <w:bCs/>
                <w:sz w:val="20"/>
                <w:szCs w:val="20"/>
                <w:lang w:val="sl-SI" w:eastAsia="sl-SI"/>
              </w:rPr>
            </w:pPr>
          </w:p>
        </w:tc>
      </w:tr>
      <w:tr w:rsidR="005553CB" w:rsidRPr="00B95D04" w14:paraId="6D88C92C" w14:textId="77777777"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D88C929" w14:textId="77777777" w:rsidR="005553CB" w:rsidRPr="00B95D04" w:rsidRDefault="005553CB" w:rsidP="00CA689C">
            <w:pPr>
              <w:pStyle w:val="Heading1"/>
              <w:keepNext w:val="0"/>
              <w:widowControl w:val="0"/>
              <w:tabs>
                <w:tab w:val="left" w:pos="360"/>
              </w:tabs>
              <w:spacing w:before="0" w:after="0"/>
              <w:rPr>
                <w:rFonts w:cs="Arial"/>
                <w:sz w:val="20"/>
                <w:szCs w:val="20"/>
                <w:lang w:val="sl-SI" w:eastAsia="sl-SI"/>
              </w:rPr>
            </w:pPr>
            <w:r w:rsidRPr="00B95D04">
              <w:rPr>
                <w:rFonts w:cs="Arial"/>
                <w:sz w:val="20"/>
                <w:szCs w:val="20"/>
                <w:lang w:val="sl-SI"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D88C92A" w14:textId="77777777" w:rsidR="005553CB" w:rsidRPr="00B95D04" w:rsidRDefault="005553CB" w:rsidP="00CA689C">
            <w:pPr>
              <w:pStyle w:val="Heading1"/>
              <w:keepNext w:val="0"/>
              <w:widowControl w:val="0"/>
              <w:tabs>
                <w:tab w:val="left" w:pos="360"/>
              </w:tabs>
              <w:spacing w:before="0" w:after="0"/>
              <w:rPr>
                <w:rFonts w:cs="Arial"/>
                <w:sz w:val="20"/>
                <w:szCs w:val="20"/>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D88C92B" w14:textId="77777777" w:rsidR="005553CB" w:rsidRPr="00B95D04" w:rsidRDefault="005553CB" w:rsidP="00CA689C">
            <w:pPr>
              <w:pStyle w:val="Heading1"/>
              <w:keepNext w:val="0"/>
              <w:widowControl w:val="0"/>
              <w:tabs>
                <w:tab w:val="left" w:pos="360"/>
              </w:tabs>
              <w:spacing w:before="0" w:after="0"/>
              <w:rPr>
                <w:rFonts w:cs="Arial"/>
                <w:sz w:val="20"/>
                <w:szCs w:val="20"/>
                <w:lang w:val="sl-SI" w:eastAsia="sl-SI"/>
              </w:rPr>
            </w:pPr>
          </w:p>
        </w:tc>
      </w:tr>
      <w:tr w:rsidR="005553CB" w:rsidRPr="00B95D04" w14:paraId="6D88C935" w14:textId="77777777" w:rsidTr="00587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34"/>
        </w:trPr>
        <w:tc>
          <w:tcPr>
            <w:tcW w:w="9200" w:type="dxa"/>
            <w:gridSpan w:val="11"/>
          </w:tcPr>
          <w:p w14:paraId="6D88C92D" w14:textId="77777777" w:rsidR="005553CB" w:rsidRPr="00B95D04" w:rsidRDefault="005553CB" w:rsidP="00CA689C">
            <w:pPr>
              <w:widowControl w:val="0"/>
              <w:rPr>
                <w:rFonts w:ascii="Arial" w:hAnsi="Arial" w:cs="Arial"/>
                <w:b/>
                <w:sz w:val="20"/>
                <w:szCs w:val="20"/>
              </w:rPr>
            </w:pPr>
            <w:r w:rsidRPr="00B95D04">
              <w:rPr>
                <w:rFonts w:ascii="Arial" w:hAnsi="Arial" w:cs="Arial"/>
                <w:b/>
                <w:sz w:val="20"/>
                <w:szCs w:val="20"/>
              </w:rPr>
              <w:lastRenderedPageBreak/>
              <w:t>OBRAZLOŽITEV:</w:t>
            </w:r>
          </w:p>
          <w:p w14:paraId="6D88C92E" w14:textId="77777777" w:rsidR="005553CB" w:rsidRPr="00B95D04" w:rsidRDefault="005553CB" w:rsidP="00E77BB7">
            <w:pPr>
              <w:widowControl w:val="0"/>
              <w:numPr>
                <w:ilvl w:val="0"/>
                <w:numId w:val="9"/>
              </w:numPr>
              <w:suppressAutoHyphens/>
              <w:spacing w:after="0" w:line="260" w:lineRule="exact"/>
              <w:ind w:left="284" w:hanging="284"/>
              <w:jc w:val="both"/>
              <w:rPr>
                <w:rFonts w:ascii="Arial" w:hAnsi="Arial" w:cs="Arial"/>
                <w:b/>
                <w:sz w:val="20"/>
                <w:szCs w:val="20"/>
                <w:lang w:eastAsia="sl-SI"/>
              </w:rPr>
            </w:pPr>
            <w:r w:rsidRPr="00B95D04">
              <w:rPr>
                <w:rFonts w:ascii="Arial" w:hAnsi="Arial" w:cs="Arial"/>
                <w:b/>
                <w:sz w:val="20"/>
                <w:szCs w:val="20"/>
                <w:lang w:eastAsia="sl-SI"/>
              </w:rPr>
              <w:t>Ocena finančnih posledic, ki niso načrtovane v sprejetem proračunu</w:t>
            </w:r>
          </w:p>
          <w:p w14:paraId="2193089A" w14:textId="77777777" w:rsidR="006A2218" w:rsidRPr="00B95D04" w:rsidRDefault="006A2218" w:rsidP="00751F71">
            <w:pPr>
              <w:widowControl w:val="0"/>
              <w:suppressAutoHyphens/>
              <w:spacing w:after="0" w:line="260" w:lineRule="exact"/>
              <w:jc w:val="both"/>
              <w:rPr>
                <w:rFonts w:ascii="Arial" w:hAnsi="Arial" w:cs="Arial"/>
                <w:sz w:val="20"/>
                <w:szCs w:val="20"/>
              </w:rPr>
            </w:pPr>
          </w:p>
          <w:p w14:paraId="6D88C930" w14:textId="77777777" w:rsidR="005553CB" w:rsidRPr="00B95D04" w:rsidRDefault="005553CB" w:rsidP="00E77BB7">
            <w:pPr>
              <w:widowControl w:val="0"/>
              <w:numPr>
                <w:ilvl w:val="0"/>
                <w:numId w:val="9"/>
              </w:numPr>
              <w:suppressAutoHyphens/>
              <w:spacing w:after="0" w:line="260" w:lineRule="exact"/>
              <w:ind w:left="284" w:hanging="284"/>
              <w:jc w:val="both"/>
              <w:rPr>
                <w:rFonts w:ascii="Arial" w:hAnsi="Arial" w:cs="Arial"/>
                <w:b/>
                <w:sz w:val="20"/>
                <w:szCs w:val="20"/>
                <w:lang w:eastAsia="sl-SI"/>
              </w:rPr>
            </w:pPr>
            <w:r w:rsidRPr="00B95D04">
              <w:rPr>
                <w:rFonts w:ascii="Arial" w:hAnsi="Arial" w:cs="Arial"/>
                <w:b/>
                <w:sz w:val="20"/>
                <w:szCs w:val="20"/>
                <w:lang w:eastAsia="sl-SI"/>
              </w:rPr>
              <w:t>Finančne posledice za državni proračun</w:t>
            </w:r>
          </w:p>
          <w:p w14:paraId="6D88C932" w14:textId="77777777" w:rsidR="005553CB" w:rsidRPr="00B95D04" w:rsidRDefault="005553CB" w:rsidP="00CA689C">
            <w:pPr>
              <w:widowControl w:val="0"/>
              <w:suppressAutoHyphens/>
              <w:ind w:left="720"/>
              <w:jc w:val="both"/>
              <w:rPr>
                <w:rFonts w:ascii="Arial" w:hAnsi="Arial" w:cs="Arial"/>
                <w:b/>
                <w:sz w:val="20"/>
                <w:szCs w:val="20"/>
                <w:lang w:eastAsia="sl-SI"/>
              </w:rPr>
            </w:pPr>
            <w:proofErr w:type="spellStart"/>
            <w:r w:rsidRPr="00B95D04">
              <w:rPr>
                <w:rFonts w:ascii="Arial" w:hAnsi="Arial" w:cs="Arial"/>
                <w:b/>
                <w:sz w:val="20"/>
                <w:szCs w:val="20"/>
                <w:lang w:eastAsia="sl-SI"/>
              </w:rPr>
              <w:t>II.a</w:t>
            </w:r>
            <w:proofErr w:type="spellEnd"/>
            <w:r w:rsidRPr="00B95D04">
              <w:rPr>
                <w:rFonts w:ascii="Arial" w:hAnsi="Arial" w:cs="Arial"/>
                <w:b/>
                <w:sz w:val="20"/>
                <w:szCs w:val="20"/>
                <w:lang w:eastAsia="sl-SI"/>
              </w:rPr>
              <w:t xml:space="preserve"> Pravice porabe za izvedbo predlaganih rešitev so zagotovljene:</w:t>
            </w:r>
          </w:p>
          <w:p w14:paraId="6D88C933" w14:textId="77777777" w:rsidR="005553CB" w:rsidRPr="00B95D04" w:rsidRDefault="005553CB" w:rsidP="00CA689C">
            <w:pPr>
              <w:widowControl w:val="0"/>
              <w:suppressAutoHyphens/>
              <w:ind w:left="714"/>
              <w:jc w:val="both"/>
              <w:rPr>
                <w:rFonts w:ascii="Arial" w:hAnsi="Arial" w:cs="Arial"/>
                <w:b/>
                <w:sz w:val="20"/>
                <w:szCs w:val="20"/>
                <w:lang w:eastAsia="sl-SI"/>
              </w:rPr>
            </w:pPr>
            <w:proofErr w:type="spellStart"/>
            <w:r w:rsidRPr="00B95D04">
              <w:rPr>
                <w:rFonts w:ascii="Arial" w:hAnsi="Arial" w:cs="Arial"/>
                <w:b/>
                <w:sz w:val="20"/>
                <w:szCs w:val="20"/>
                <w:lang w:eastAsia="sl-SI"/>
              </w:rPr>
              <w:t>II.b</w:t>
            </w:r>
            <w:proofErr w:type="spellEnd"/>
            <w:r w:rsidRPr="00B95D04">
              <w:rPr>
                <w:rFonts w:ascii="Arial" w:hAnsi="Arial" w:cs="Arial"/>
                <w:b/>
                <w:sz w:val="20"/>
                <w:szCs w:val="20"/>
                <w:lang w:eastAsia="sl-SI"/>
              </w:rPr>
              <w:t xml:space="preserve"> Manjkajoče pravice porabe bodo zagotovljene s prerazporeditvijo:</w:t>
            </w:r>
          </w:p>
          <w:p w14:paraId="6D88C934" w14:textId="77777777" w:rsidR="005553CB" w:rsidRPr="00B95D04" w:rsidRDefault="005553CB" w:rsidP="00F55DDF">
            <w:pPr>
              <w:widowControl w:val="0"/>
              <w:suppressAutoHyphens/>
              <w:ind w:left="714"/>
              <w:jc w:val="both"/>
              <w:rPr>
                <w:rFonts w:ascii="Arial" w:hAnsi="Arial" w:cs="Arial"/>
                <w:sz w:val="20"/>
                <w:szCs w:val="20"/>
              </w:rPr>
            </w:pPr>
            <w:proofErr w:type="spellStart"/>
            <w:r w:rsidRPr="00B95D04">
              <w:rPr>
                <w:rFonts w:ascii="Arial" w:hAnsi="Arial" w:cs="Arial"/>
                <w:b/>
                <w:sz w:val="20"/>
                <w:szCs w:val="20"/>
                <w:lang w:eastAsia="sl-SI"/>
              </w:rPr>
              <w:t>II.c</w:t>
            </w:r>
            <w:proofErr w:type="spellEnd"/>
            <w:r w:rsidRPr="00B95D04">
              <w:rPr>
                <w:rFonts w:ascii="Arial" w:hAnsi="Arial" w:cs="Arial"/>
                <w:b/>
                <w:sz w:val="20"/>
                <w:szCs w:val="20"/>
                <w:lang w:eastAsia="sl-SI"/>
              </w:rPr>
              <w:t xml:space="preserve"> Načrtovana nadomestitev zmanjšanih prihodkov in povečanih odhodkov proračuna:</w:t>
            </w:r>
          </w:p>
        </w:tc>
      </w:tr>
      <w:tr w:rsidR="005553CB" w:rsidRPr="00B95D04" w14:paraId="6D88C938" w14:textId="77777777" w:rsidTr="00587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62"/>
        </w:trPr>
        <w:tc>
          <w:tcPr>
            <w:tcW w:w="9200" w:type="dxa"/>
            <w:gridSpan w:val="11"/>
            <w:tcBorders>
              <w:top w:val="single" w:sz="4" w:space="0" w:color="000000"/>
              <w:left w:val="single" w:sz="4" w:space="0" w:color="000000"/>
              <w:bottom w:val="single" w:sz="4" w:space="0" w:color="000000"/>
              <w:right w:val="single" w:sz="4" w:space="0" w:color="000000"/>
            </w:tcBorders>
          </w:tcPr>
          <w:p w14:paraId="6D88C936" w14:textId="0B5613CD" w:rsidR="005553CB" w:rsidRPr="00B95D04" w:rsidRDefault="005553CB" w:rsidP="00CA689C">
            <w:pPr>
              <w:rPr>
                <w:rFonts w:ascii="Arial" w:hAnsi="Arial" w:cs="Arial"/>
                <w:sz w:val="20"/>
                <w:szCs w:val="20"/>
              </w:rPr>
            </w:pPr>
            <w:proofErr w:type="spellStart"/>
            <w:r w:rsidRPr="00B95D04">
              <w:rPr>
                <w:rFonts w:ascii="Arial" w:hAnsi="Arial" w:cs="Arial"/>
                <w:b/>
                <w:sz w:val="20"/>
                <w:szCs w:val="20"/>
              </w:rPr>
              <w:t>7.b</w:t>
            </w:r>
            <w:proofErr w:type="spellEnd"/>
            <w:r w:rsidRPr="00B95D04">
              <w:rPr>
                <w:rFonts w:ascii="Arial" w:hAnsi="Arial" w:cs="Arial"/>
                <w:b/>
                <w:sz w:val="20"/>
                <w:szCs w:val="20"/>
              </w:rPr>
              <w:t xml:space="preserve"> Predstavitev ocene finančnih posledic pod 40.000 EUR:</w:t>
            </w:r>
            <w:r w:rsidR="00B454E5" w:rsidRPr="00B95D04">
              <w:rPr>
                <w:rFonts w:ascii="Arial" w:hAnsi="Arial" w:cs="Arial"/>
                <w:b/>
                <w:sz w:val="20"/>
                <w:szCs w:val="20"/>
              </w:rPr>
              <w:t xml:space="preserve"> </w:t>
            </w:r>
            <w:r w:rsidR="00587A2E">
              <w:rPr>
                <w:rFonts w:ascii="Arial" w:hAnsi="Arial" w:cs="Arial"/>
                <w:b/>
                <w:sz w:val="20"/>
                <w:szCs w:val="20"/>
              </w:rPr>
              <w:t>/</w:t>
            </w:r>
          </w:p>
          <w:p w14:paraId="6D88C937" w14:textId="77777777" w:rsidR="005553CB" w:rsidRPr="00B95D04" w:rsidRDefault="005553CB" w:rsidP="00B454E5">
            <w:pPr>
              <w:rPr>
                <w:rFonts w:ascii="Arial" w:hAnsi="Arial" w:cs="Arial"/>
                <w:b/>
                <w:sz w:val="20"/>
                <w:szCs w:val="20"/>
              </w:rPr>
            </w:pPr>
            <w:r w:rsidRPr="00B95D04">
              <w:rPr>
                <w:rFonts w:ascii="Arial" w:hAnsi="Arial" w:cs="Arial"/>
                <w:b/>
                <w:sz w:val="20"/>
                <w:szCs w:val="20"/>
              </w:rPr>
              <w:t>Kratka obrazložitev</w:t>
            </w:r>
          </w:p>
        </w:tc>
      </w:tr>
      <w:tr w:rsidR="005553CB" w:rsidRPr="00B95D04" w14:paraId="6D88C93A"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1"/>
            <w:tcBorders>
              <w:top w:val="single" w:sz="4" w:space="0" w:color="000000"/>
              <w:left w:val="single" w:sz="4" w:space="0" w:color="000000"/>
              <w:bottom w:val="single" w:sz="4" w:space="0" w:color="000000"/>
              <w:right w:val="single" w:sz="4" w:space="0" w:color="000000"/>
            </w:tcBorders>
          </w:tcPr>
          <w:p w14:paraId="6D88C939" w14:textId="77777777" w:rsidR="005553CB" w:rsidRPr="00B95D04" w:rsidRDefault="005553CB" w:rsidP="00CA689C">
            <w:pPr>
              <w:rPr>
                <w:rFonts w:ascii="Arial" w:hAnsi="Arial" w:cs="Arial"/>
                <w:b/>
                <w:sz w:val="20"/>
                <w:szCs w:val="20"/>
              </w:rPr>
            </w:pPr>
            <w:r w:rsidRPr="00B95D04">
              <w:rPr>
                <w:rFonts w:ascii="Arial" w:hAnsi="Arial" w:cs="Arial"/>
                <w:b/>
                <w:sz w:val="20"/>
                <w:szCs w:val="20"/>
              </w:rPr>
              <w:t>8. Predstavitev sodelovanja z združenji občin:</w:t>
            </w:r>
          </w:p>
        </w:tc>
      </w:tr>
      <w:tr w:rsidR="005553CB" w:rsidRPr="00B95D04" w14:paraId="6D88C941"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tcPr>
          <w:p w14:paraId="6D88C93B" w14:textId="77777777" w:rsidR="005553CB" w:rsidRPr="00B95D04" w:rsidRDefault="005553CB" w:rsidP="00CA689C">
            <w:pPr>
              <w:pStyle w:val="Neotevilenodstavek"/>
              <w:widowControl w:val="0"/>
              <w:spacing w:before="0" w:after="0" w:line="260" w:lineRule="exact"/>
              <w:rPr>
                <w:rFonts w:cs="Arial"/>
                <w:iCs/>
                <w:sz w:val="20"/>
                <w:szCs w:val="20"/>
                <w:lang w:val="sl-SI" w:eastAsia="sl-SI"/>
              </w:rPr>
            </w:pPr>
            <w:r w:rsidRPr="00B95D04">
              <w:rPr>
                <w:rFonts w:cs="Arial"/>
                <w:iCs/>
                <w:sz w:val="20"/>
                <w:szCs w:val="20"/>
                <w:lang w:val="sl-SI" w:eastAsia="sl-SI"/>
              </w:rPr>
              <w:t>Vsebina predloženega gradiva (predpisa) vpliva na:</w:t>
            </w:r>
          </w:p>
          <w:p w14:paraId="6D88C93C" w14:textId="77777777" w:rsidR="005553CB" w:rsidRPr="00B95D04" w:rsidRDefault="005553CB" w:rsidP="00E77BB7">
            <w:pPr>
              <w:pStyle w:val="Neotevilenodstavek"/>
              <w:widowControl w:val="0"/>
              <w:numPr>
                <w:ilvl w:val="1"/>
                <w:numId w:val="12"/>
              </w:numPr>
              <w:spacing w:before="0" w:after="0" w:line="260" w:lineRule="exact"/>
              <w:rPr>
                <w:rFonts w:cs="Arial"/>
                <w:iCs/>
                <w:sz w:val="20"/>
                <w:szCs w:val="20"/>
                <w:lang w:val="sl-SI" w:eastAsia="sl-SI"/>
              </w:rPr>
            </w:pPr>
            <w:r w:rsidRPr="00B95D04">
              <w:rPr>
                <w:rFonts w:cs="Arial"/>
                <w:iCs/>
                <w:sz w:val="20"/>
                <w:szCs w:val="20"/>
                <w:lang w:val="sl-SI" w:eastAsia="sl-SI"/>
              </w:rPr>
              <w:t>pristojnosti občin,</w:t>
            </w:r>
          </w:p>
          <w:p w14:paraId="6D88C93D" w14:textId="77777777" w:rsidR="005553CB" w:rsidRPr="00B95D04" w:rsidRDefault="005553CB" w:rsidP="00E77BB7">
            <w:pPr>
              <w:pStyle w:val="Neotevilenodstavek"/>
              <w:widowControl w:val="0"/>
              <w:numPr>
                <w:ilvl w:val="1"/>
                <w:numId w:val="12"/>
              </w:numPr>
              <w:spacing w:before="0" w:after="0" w:line="260" w:lineRule="exact"/>
              <w:rPr>
                <w:rFonts w:cs="Arial"/>
                <w:iCs/>
                <w:sz w:val="20"/>
                <w:szCs w:val="20"/>
                <w:lang w:val="sl-SI" w:eastAsia="sl-SI"/>
              </w:rPr>
            </w:pPr>
            <w:r w:rsidRPr="00B95D04">
              <w:rPr>
                <w:rFonts w:cs="Arial"/>
                <w:iCs/>
                <w:sz w:val="20"/>
                <w:szCs w:val="20"/>
                <w:lang w:val="sl-SI" w:eastAsia="sl-SI"/>
              </w:rPr>
              <w:t>delovanje občin,</w:t>
            </w:r>
          </w:p>
          <w:p w14:paraId="6D88C93F" w14:textId="2FB09BCC" w:rsidR="005553CB" w:rsidRPr="00B95D04" w:rsidRDefault="005553CB" w:rsidP="00587A2E">
            <w:pPr>
              <w:pStyle w:val="Neotevilenodstavek"/>
              <w:widowControl w:val="0"/>
              <w:numPr>
                <w:ilvl w:val="1"/>
                <w:numId w:val="12"/>
              </w:numPr>
              <w:spacing w:before="0" w:after="0" w:line="260" w:lineRule="exact"/>
              <w:rPr>
                <w:rFonts w:cs="Arial"/>
                <w:iCs/>
                <w:sz w:val="20"/>
                <w:szCs w:val="20"/>
                <w:lang w:val="sl-SI" w:eastAsia="sl-SI"/>
              </w:rPr>
            </w:pPr>
            <w:r w:rsidRPr="00B95D04">
              <w:rPr>
                <w:rFonts w:cs="Arial"/>
                <w:iCs/>
                <w:sz w:val="20"/>
                <w:szCs w:val="20"/>
                <w:lang w:val="sl-SI" w:eastAsia="sl-SI"/>
              </w:rPr>
              <w:t>financiranje občin.</w:t>
            </w:r>
          </w:p>
        </w:tc>
        <w:tc>
          <w:tcPr>
            <w:tcW w:w="2431" w:type="dxa"/>
            <w:gridSpan w:val="3"/>
          </w:tcPr>
          <w:p w14:paraId="6D88C940" w14:textId="77777777" w:rsidR="005553CB" w:rsidRPr="00B95D04" w:rsidRDefault="005553CB" w:rsidP="00CA689C">
            <w:pPr>
              <w:pStyle w:val="Neotevilenodstavek"/>
              <w:widowControl w:val="0"/>
              <w:spacing w:before="0" w:after="0" w:line="260" w:lineRule="exact"/>
              <w:jc w:val="center"/>
              <w:rPr>
                <w:rFonts w:cs="Arial"/>
                <w:sz w:val="20"/>
                <w:szCs w:val="20"/>
                <w:lang w:val="sl-SI" w:eastAsia="sl-SI"/>
              </w:rPr>
            </w:pPr>
            <w:r w:rsidRPr="00B95D04">
              <w:rPr>
                <w:rFonts w:cs="Arial"/>
                <w:sz w:val="20"/>
                <w:szCs w:val="20"/>
                <w:lang w:val="sl-SI" w:eastAsia="sl-SI"/>
              </w:rPr>
              <w:t>NE</w:t>
            </w:r>
          </w:p>
        </w:tc>
      </w:tr>
      <w:tr w:rsidR="005553CB" w:rsidRPr="00B95D04" w14:paraId="6D88C949"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14:paraId="6D88C942" w14:textId="77777777" w:rsidR="005553CB" w:rsidRPr="00B95D04" w:rsidRDefault="005553CB" w:rsidP="00CA689C">
            <w:pPr>
              <w:pStyle w:val="Neotevilenodstavek"/>
              <w:widowControl w:val="0"/>
              <w:spacing w:before="0" w:after="0" w:line="260" w:lineRule="exact"/>
              <w:rPr>
                <w:rFonts w:cs="Arial"/>
                <w:iCs/>
                <w:sz w:val="20"/>
                <w:szCs w:val="20"/>
                <w:lang w:val="sl-SI" w:eastAsia="sl-SI"/>
              </w:rPr>
            </w:pPr>
            <w:r w:rsidRPr="00B95D04">
              <w:rPr>
                <w:rFonts w:cs="Arial"/>
                <w:iCs/>
                <w:sz w:val="20"/>
                <w:szCs w:val="20"/>
                <w:lang w:val="sl-SI" w:eastAsia="sl-SI"/>
              </w:rPr>
              <w:t xml:space="preserve">Gradivo (predpis) je bilo poslano v mnenje: </w:t>
            </w:r>
          </w:p>
          <w:p w14:paraId="6D88C943" w14:textId="487BA73E" w:rsidR="005553CB" w:rsidRPr="00B95D04" w:rsidRDefault="005553CB" w:rsidP="00E77BB7">
            <w:pPr>
              <w:pStyle w:val="Neotevilenodstavek"/>
              <w:widowControl w:val="0"/>
              <w:numPr>
                <w:ilvl w:val="0"/>
                <w:numId w:val="14"/>
              </w:numPr>
              <w:spacing w:before="0" w:after="0" w:line="260" w:lineRule="exact"/>
              <w:rPr>
                <w:rFonts w:cs="Arial"/>
                <w:iCs/>
                <w:sz w:val="20"/>
                <w:szCs w:val="20"/>
                <w:lang w:val="sl-SI" w:eastAsia="sl-SI"/>
              </w:rPr>
            </w:pPr>
            <w:r w:rsidRPr="00B95D04">
              <w:rPr>
                <w:rFonts w:cs="Arial"/>
                <w:iCs/>
                <w:sz w:val="20"/>
                <w:szCs w:val="20"/>
                <w:lang w:val="sl-SI" w:eastAsia="sl-SI"/>
              </w:rPr>
              <w:t xml:space="preserve">Skupnosti občin Slovenije SOS: </w:t>
            </w:r>
            <w:r w:rsidR="005E4578" w:rsidRPr="00B95D04">
              <w:rPr>
                <w:rFonts w:cs="Arial"/>
                <w:iCs/>
                <w:sz w:val="20"/>
                <w:szCs w:val="20"/>
                <w:lang w:val="sl-SI" w:eastAsia="sl-SI"/>
              </w:rPr>
              <w:t>DA</w:t>
            </w:r>
          </w:p>
          <w:p w14:paraId="6D88C944" w14:textId="1E8803E3" w:rsidR="005553CB" w:rsidRPr="00B95D04" w:rsidRDefault="005553CB" w:rsidP="00E77BB7">
            <w:pPr>
              <w:pStyle w:val="Neotevilenodstavek"/>
              <w:widowControl w:val="0"/>
              <w:numPr>
                <w:ilvl w:val="0"/>
                <w:numId w:val="14"/>
              </w:numPr>
              <w:spacing w:before="0" w:after="0" w:line="260" w:lineRule="exact"/>
              <w:rPr>
                <w:rFonts w:cs="Arial"/>
                <w:iCs/>
                <w:sz w:val="20"/>
                <w:szCs w:val="20"/>
                <w:lang w:val="sl-SI" w:eastAsia="sl-SI"/>
              </w:rPr>
            </w:pPr>
            <w:r w:rsidRPr="00B95D04">
              <w:rPr>
                <w:rFonts w:cs="Arial"/>
                <w:iCs/>
                <w:sz w:val="20"/>
                <w:szCs w:val="20"/>
                <w:lang w:val="sl-SI" w:eastAsia="sl-SI"/>
              </w:rPr>
              <w:t xml:space="preserve">Združenju občin Slovenije ZOS: </w:t>
            </w:r>
            <w:r w:rsidR="005E4578" w:rsidRPr="00B95D04">
              <w:rPr>
                <w:rFonts w:cs="Arial"/>
                <w:iCs/>
                <w:sz w:val="20"/>
                <w:szCs w:val="20"/>
                <w:lang w:val="sl-SI" w:eastAsia="sl-SI"/>
              </w:rPr>
              <w:t>DA</w:t>
            </w:r>
          </w:p>
          <w:p w14:paraId="6D88C945" w14:textId="613AD73B" w:rsidR="005553CB" w:rsidRPr="00B95D04" w:rsidRDefault="005553CB" w:rsidP="00E77BB7">
            <w:pPr>
              <w:pStyle w:val="Neotevilenodstavek"/>
              <w:widowControl w:val="0"/>
              <w:numPr>
                <w:ilvl w:val="0"/>
                <w:numId w:val="14"/>
              </w:numPr>
              <w:spacing w:before="0" w:after="0" w:line="260" w:lineRule="exact"/>
              <w:rPr>
                <w:rFonts w:cs="Arial"/>
                <w:iCs/>
                <w:sz w:val="20"/>
                <w:szCs w:val="20"/>
                <w:lang w:val="sl-SI" w:eastAsia="sl-SI"/>
              </w:rPr>
            </w:pPr>
            <w:r w:rsidRPr="00B95D04">
              <w:rPr>
                <w:rFonts w:cs="Arial"/>
                <w:iCs/>
                <w:sz w:val="20"/>
                <w:szCs w:val="20"/>
                <w:lang w:val="sl-SI" w:eastAsia="sl-SI"/>
              </w:rPr>
              <w:t xml:space="preserve">Združenju mestnih občin Slovenije ZMOS: </w:t>
            </w:r>
            <w:r w:rsidR="005E4578" w:rsidRPr="00B95D04">
              <w:rPr>
                <w:rFonts w:cs="Arial"/>
                <w:iCs/>
                <w:sz w:val="20"/>
                <w:szCs w:val="20"/>
                <w:lang w:val="sl-SI" w:eastAsia="sl-SI"/>
              </w:rPr>
              <w:t>DA</w:t>
            </w:r>
          </w:p>
          <w:p w14:paraId="6D88C946" w14:textId="77777777" w:rsidR="005553CB" w:rsidRPr="00B95D04" w:rsidRDefault="005553CB" w:rsidP="00CA689C">
            <w:pPr>
              <w:pStyle w:val="Neotevilenodstavek"/>
              <w:widowControl w:val="0"/>
              <w:spacing w:before="0" w:after="0" w:line="260" w:lineRule="exact"/>
              <w:rPr>
                <w:rFonts w:cs="Arial"/>
                <w:iCs/>
                <w:sz w:val="20"/>
                <w:szCs w:val="20"/>
                <w:lang w:val="sl-SI" w:eastAsia="sl-SI"/>
              </w:rPr>
            </w:pPr>
          </w:p>
          <w:p w14:paraId="6D88C948" w14:textId="516C422B" w:rsidR="005553CB" w:rsidRPr="00B95D04" w:rsidRDefault="005553CB" w:rsidP="00587A2E">
            <w:pPr>
              <w:pStyle w:val="Neotevilenodstavek"/>
              <w:widowControl w:val="0"/>
              <w:spacing w:before="0" w:after="0" w:line="260" w:lineRule="exact"/>
              <w:rPr>
                <w:rFonts w:cs="Arial"/>
                <w:iCs/>
                <w:sz w:val="20"/>
                <w:szCs w:val="20"/>
                <w:lang w:val="sl-SI" w:eastAsia="sl-SI"/>
              </w:rPr>
            </w:pPr>
            <w:r w:rsidRPr="00B95D04">
              <w:rPr>
                <w:rFonts w:cs="Arial"/>
                <w:iCs/>
                <w:sz w:val="20"/>
                <w:szCs w:val="20"/>
                <w:lang w:val="sl-SI" w:eastAsia="sl-SI"/>
              </w:rPr>
              <w:t>Predlogi in pripombe združenj so bili upoštevani:</w:t>
            </w:r>
            <w:r w:rsidR="00B454E5" w:rsidRPr="00B95D04">
              <w:rPr>
                <w:rFonts w:cs="Arial"/>
                <w:iCs/>
                <w:sz w:val="20"/>
                <w:szCs w:val="20"/>
                <w:lang w:val="sl-SI" w:eastAsia="sl-SI"/>
              </w:rPr>
              <w:t xml:space="preserve"> </w:t>
            </w:r>
            <w:r w:rsidR="00D14445" w:rsidRPr="00B95D04">
              <w:rPr>
                <w:rFonts w:cs="Arial"/>
                <w:iCs/>
                <w:sz w:val="20"/>
                <w:szCs w:val="20"/>
                <w:lang w:val="sl-SI" w:eastAsia="sl-SI"/>
              </w:rPr>
              <w:t xml:space="preserve">združenja </w:t>
            </w:r>
            <w:r w:rsidR="006B1D24" w:rsidRPr="00B95D04">
              <w:rPr>
                <w:rFonts w:cs="Arial"/>
                <w:iCs/>
                <w:sz w:val="20"/>
                <w:szCs w:val="20"/>
                <w:lang w:val="sl-SI" w:eastAsia="sl-SI"/>
              </w:rPr>
              <w:t xml:space="preserve">občin </w:t>
            </w:r>
            <w:r w:rsidR="00D14445" w:rsidRPr="00B95D04">
              <w:rPr>
                <w:rFonts w:cs="Arial"/>
                <w:iCs/>
                <w:sz w:val="20"/>
                <w:szCs w:val="20"/>
                <w:lang w:val="sl-SI" w:eastAsia="sl-SI"/>
              </w:rPr>
              <w:t>niso podala predlogov in pripomb</w:t>
            </w:r>
          </w:p>
        </w:tc>
      </w:tr>
      <w:tr w:rsidR="005553CB" w:rsidRPr="00B95D04" w14:paraId="6D88C94B"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vAlign w:val="center"/>
          </w:tcPr>
          <w:p w14:paraId="6D88C94A" w14:textId="77777777" w:rsidR="005553CB" w:rsidRPr="00B95D04" w:rsidRDefault="005553CB" w:rsidP="00CA689C">
            <w:pPr>
              <w:pStyle w:val="Neotevilenodstavek"/>
              <w:widowControl w:val="0"/>
              <w:spacing w:before="0" w:after="0" w:line="260" w:lineRule="exact"/>
              <w:jc w:val="left"/>
              <w:rPr>
                <w:rFonts w:cs="Arial"/>
                <w:b/>
                <w:sz w:val="20"/>
                <w:szCs w:val="20"/>
                <w:lang w:val="sl-SI" w:eastAsia="sl-SI"/>
              </w:rPr>
            </w:pPr>
            <w:r w:rsidRPr="00B95D04">
              <w:rPr>
                <w:rFonts w:cs="Arial"/>
                <w:b/>
                <w:sz w:val="20"/>
                <w:szCs w:val="20"/>
                <w:lang w:val="sl-SI" w:eastAsia="sl-SI"/>
              </w:rPr>
              <w:t>9. Predstavitev sodelovanja javnosti:</w:t>
            </w:r>
          </w:p>
        </w:tc>
      </w:tr>
      <w:tr w:rsidR="005553CB" w:rsidRPr="00B95D04" w14:paraId="6D88C94E"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tcPr>
          <w:p w14:paraId="6D88C94C" w14:textId="77777777" w:rsidR="005553CB" w:rsidRPr="00B95D04" w:rsidRDefault="005553CB" w:rsidP="00CA689C">
            <w:pPr>
              <w:pStyle w:val="Neotevilenodstavek"/>
              <w:widowControl w:val="0"/>
              <w:spacing w:before="0" w:after="0" w:line="260" w:lineRule="exact"/>
              <w:rPr>
                <w:rFonts w:cs="Arial"/>
                <w:sz w:val="20"/>
                <w:szCs w:val="20"/>
                <w:lang w:val="sl-SI" w:eastAsia="sl-SI"/>
              </w:rPr>
            </w:pPr>
            <w:r w:rsidRPr="00B95D04">
              <w:rPr>
                <w:rFonts w:cs="Arial"/>
                <w:iCs/>
                <w:sz w:val="20"/>
                <w:szCs w:val="20"/>
                <w:lang w:val="sl-SI" w:eastAsia="sl-SI"/>
              </w:rPr>
              <w:t>Gradivo je bilo predhodno objavljeno na spletni strani predlagatelja:</w:t>
            </w:r>
          </w:p>
        </w:tc>
        <w:tc>
          <w:tcPr>
            <w:tcW w:w="2431" w:type="dxa"/>
            <w:gridSpan w:val="3"/>
          </w:tcPr>
          <w:p w14:paraId="6D88C94D" w14:textId="77777777" w:rsidR="005553CB" w:rsidRPr="00B95D04" w:rsidRDefault="005553CB" w:rsidP="00B454E5">
            <w:pPr>
              <w:pStyle w:val="Neotevilenodstavek"/>
              <w:widowControl w:val="0"/>
              <w:spacing w:before="0" w:after="0" w:line="260" w:lineRule="exact"/>
              <w:jc w:val="center"/>
              <w:rPr>
                <w:rFonts w:cs="Arial"/>
                <w:iCs/>
                <w:sz w:val="20"/>
                <w:szCs w:val="20"/>
                <w:lang w:val="sl-SI" w:eastAsia="sl-SI"/>
              </w:rPr>
            </w:pPr>
            <w:r w:rsidRPr="00B95D04">
              <w:rPr>
                <w:rFonts w:cs="Arial"/>
                <w:sz w:val="20"/>
                <w:szCs w:val="20"/>
                <w:lang w:val="sl-SI" w:eastAsia="sl-SI"/>
              </w:rPr>
              <w:t>DA</w:t>
            </w:r>
          </w:p>
        </w:tc>
      </w:tr>
      <w:tr w:rsidR="005553CB" w:rsidRPr="00B95D04" w14:paraId="6D88C950"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14:paraId="6D88C94F" w14:textId="77777777" w:rsidR="005553CB" w:rsidRPr="00B95D04" w:rsidRDefault="005553CB" w:rsidP="00CA689C">
            <w:pPr>
              <w:pStyle w:val="Neotevilenodstavek"/>
              <w:widowControl w:val="0"/>
              <w:spacing w:before="0" w:after="0" w:line="260" w:lineRule="exact"/>
              <w:rPr>
                <w:rFonts w:cs="Arial"/>
                <w:iCs/>
                <w:color w:val="A6A6A6"/>
                <w:sz w:val="20"/>
                <w:szCs w:val="20"/>
                <w:lang w:val="sl-SI" w:eastAsia="sl-SI"/>
              </w:rPr>
            </w:pPr>
          </w:p>
        </w:tc>
      </w:tr>
      <w:tr w:rsidR="005553CB" w:rsidRPr="00B95D04" w14:paraId="6D88C961"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14:paraId="6D88C951" w14:textId="0A303D2D" w:rsidR="00476FC4" w:rsidRPr="00B95D04" w:rsidRDefault="005553CB" w:rsidP="006B1D24">
            <w:pPr>
              <w:pStyle w:val="Neotevilenodstavek"/>
              <w:widowControl w:val="0"/>
              <w:spacing w:before="0" w:after="0" w:line="260" w:lineRule="exact"/>
              <w:rPr>
                <w:rFonts w:cs="Arial"/>
                <w:iCs/>
                <w:sz w:val="20"/>
                <w:szCs w:val="20"/>
                <w:lang w:val="sl-SI" w:eastAsia="sl-SI"/>
              </w:rPr>
            </w:pPr>
            <w:r w:rsidRPr="00B95D04">
              <w:rPr>
                <w:rFonts w:cs="Arial"/>
                <w:iCs/>
                <w:sz w:val="20"/>
                <w:szCs w:val="20"/>
                <w:lang w:val="sl-SI" w:eastAsia="sl-SI"/>
              </w:rPr>
              <w:t xml:space="preserve">Datum objave: </w:t>
            </w:r>
            <w:r w:rsidR="00D14445" w:rsidRPr="00B95D04">
              <w:rPr>
                <w:rFonts w:cs="Arial"/>
                <w:iCs/>
                <w:sz w:val="20"/>
                <w:szCs w:val="20"/>
                <w:lang w:val="sl-SI" w:eastAsia="sl-SI"/>
              </w:rPr>
              <w:t>21.</w:t>
            </w:r>
            <w:r w:rsidR="00F67111" w:rsidRPr="00B95D04">
              <w:rPr>
                <w:rFonts w:cs="Arial"/>
                <w:iCs/>
                <w:sz w:val="20"/>
                <w:szCs w:val="20"/>
                <w:lang w:val="sl-SI" w:eastAsia="sl-SI"/>
              </w:rPr>
              <w:t xml:space="preserve"> </w:t>
            </w:r>
            <w:r w:rsidR="00D14445" w:rsidRPr="00B95D04">
              <w:rPr>
                <w:rFonts w:cs="Arial"/>
                <w:iCs/>
                <w:sz w:val="20"/>
                <w:szCs w:val="20"/>
                <w:lang w:val="sl-SI" w:eastAsia="sl-SI"/>
              </w:rPr>
              <w:t>7. 2017</w:t>
            </w:r>
          </w:p>
          <w:p w14:paraId="6D88C952" w14:textId="77777777" w:rsidR="00D6486E" w:rsidRPr="00B95D04" w:rsidRDefault="00D6486E">
            <w:pPr>
              <w:pStyle w:val="Neotevilenodstavek"/>
              <w:widowControl w:val="0"/>
              <w:spacing w:before="0" w:after="0" w:line="260" w:lineRule="exact"/>
              <w:rPr>
                <w:rFonts w:cs="Arial"/>
                <w:iCs/>
                <w:sz w:val="20"/>
                <w:szCs w:val="20"/>
                <w:lang w:val="sl-SI" w:eastAsia="sl-SI"/>
              </w:rPr>
            </w:pPr>
          </w:p>
          <w:p w14:paraId="6D88C953" w14:textId="77777777" w:rsidR="005553CB" w:rsidRPr="00B95D04" w:rsidRDefault="005553CB">
            <w:pPr>
              <w:pStyle w:val="Neotevilenodstavek"/>
              <w:widowControl w:val="0"/>
              <w:spacing w:before="0" w:after="0" w:line="260" w:lineRule="exact"/>
              <w:rPr>
                <w:rFonts w:cs="Arial"/>
                <w:iCs/>
                <w:sz w:val="20"/>
                <w:szCs w:val="20"/>
                <w:lang w:val="sl-SI" w:eastAsia="sl-SI"/>
              </w:rPr>
            </w:pPr>
            <w:r w:rsidRPr="00B95D04">
              <w:rPr>
                <w:rFonts w:cs="Arial"/>
                <w:iCs/>
                <w:sz w:val="20"/>
                <w:szCs w:val="20"/>
                <w:lang w:val="sl-SI" w:eastAsia="sl-SI"/>
              </w:rPr>
              <w:t xml:space="preserve">V razpravo so bili vključeni: </w:t>
            </w:r>
          </w:p>
          <w:p w14:paraId="6D88C954" w14:textId="77777777" w:rsidR="00AB777C" w:rsidRPr="00B95D04" w:rsidRDefault="00AB777C">
            <w:pPr>
              <w:pStyle w:val="Neotevilenodstavek"/>
              <w:widowControl w:val="0"/>
              <w:numPr>
                <w:ilvl w:val="0"/>
                <w:numId w:val="14"/>
              </w:numPr>
              <w:spacing w:before="0" w:after="0" w:line="260" w:lineRule="exact"/>
              <w:rPr>
                <w:rFonts w:cs="Arial"/>
                <w:iCs/>
                <w:sz w:val="20"/>
                <w:szCs w:val="20"/>
                <w:lang w:val="sl-SI" w:eastAsia="sl-SI"/>
              </w:rPr>
            </w:pPr>
            <w:r w:rsidRPr="00B95D04">
              <w:rPr>
                <w:rFonts w:cs="Arial"/>
                <w:iCs/>
                <w:sz w:val="20"/>
                <w:szCs w:val="20"/>
                <w:lang w:val="sl-SI" w:eastAsia="sl-SI"/>
              </w:rPr>
              <w:t xml:space="preserve">nevladne organizacije, </w:t>
            </w:r>
          </w:p>
          <w:p w14:paraId="6D88C955" w14:textId="77777777" w:rsidR="005553CB" w:rsidRPr="00B95D04" w:rsidRDefault="005553CB">
            <w:pPr>
              <w:pStyle w:val="Neotevilenodstavek"/>
              <w:widowControl w:val="0"/>
              <w:numPr>
                <w:ilvl w:val="0"/>
                <w:numId w:val="14"/>
              </w:numPr>
              <w:spacing w:before="0" w:after="0" w:line="260" w:lineRule="exact"/>
              <w:rPr>
                <w:rFonts w:cs="Arial"/>
                <w:iCs/>
                <w:sz w:val="20"/>
                <w:szCs w:val="20"/>
                <w:lang w:val="sl-SI" w:eastAsia="sl-SI"/>
              </w:rPr>
            </w:pPr>
            <w:r w:rsidRPr="00B95D04">
              <w:rPr>
                <w:rFonts w:cs="Arial"/>
                <w:iCs/>
                <w:sz w:val="20"/>
                <w:szCs w:val="20"/>
                <w:lang w:val="sl-SI" w:eastAsia="sl-SI"/>
              </w:rPr>
              <w:t>predstavniki zainteresirane javnosti,</w:t>
            </w:r>
          </w:p>
          <w:p w14:paraId="6D88C956" w14:textId="77777777" w:rsidR="005553CB" w:rsidRPr="00B95D04" w:rsidRDefault="005553CB">
            <w:pPr>
              <w:pStyle w:val="Neotevilenodstavek"/>
              <w:widowControl w:val="0"/>
              <w:numPr>
                <w:ilvl w:val="0"/>
                <w:numId w:val="14"/>
              </w:numPr>
              <w:spacing w:before="0" w:after="0" w:line="260" w:lineRule="exact"/>
              <w:rPr>
                <w:rFonts w:cs="Arial"/>
                <w:iCs/>
                <w:color w:val="A6A6A6"/>
                <w:sz w:val="20"/>
                <w:szCs w:val="20"/>
                <w:lang w:val="sl-SI" w:eastAsia="sl-SI"/>
              </w:rPr>
            </w:pPr>
            <w:r w:rsidRPr="00B95D04">
              <w:rPr>
                <w:rFonts w:cs="Arial"/>
                <w:iCs/>
                <w:sz w:val="20"/>
                <w:szCs w:val="20"/>
                <w:lang w:val="sl-SI" w:eastAsia="sl-SI"/>
              </w:rPr>
              <w:t>predstavniki strokovne javnosti</w:t>
            </w:r>
            <w:r w:rsidRPr="00B95D04">
              <w:rPr>
                <w:rFonts w:cs="Arial"/>
                <w:iCs/>
                <w:color w:val="A6A6A6"/>
                <w:sz w:val="20"/>
                <w:szCs w:val="20"/>
                <w:lang w:val="sl-SI" w:eastAsia="sl-SI"/>
              </w:rPr>
              <w:t>.</w:t>
            </w:r>
          </w:p>
          <w:p w14:paraId="6D88C957" w14:textId="77777777" w:rsidR="005553CB" w:rsidRPr="00B95D04" w:rsidRDefault="005553CB">
            <w:pPr>
              <w:pStyle w:val="Neotevilenodstavek"/>
              <w:widowControl w:val="0"/>
              <w:spacing w:before="0" w:after="0" w:line="260" w:lineRule="exact"/>
              <w:ind w:left="360"/>
              <w:rPr>
                <w:rFonts w:cs="Arial"/>
                <w:iCs/>
                <w:color w:val="A6A6A6"/>
                <w:sz w:val="20"/>
                <w:szCs w:val="20"/>
                <w:lang w:val="sl-SI" w:eastAsia="sl-SI"/>
              </w:rPr>
            </w:pPr>
          </w:p>
          <w:p w14:paraId="6D88C958" w14:textId="77777777" w:rsidR="007810AD" w:rsidRPr="00B95D04" w:rsidRDefault="005553CB">
            <w:pPr>
              <w:pStyle w:val="Neotevilenodstavek"/>
              <w:widowControl w:val="0"/>
              <w:spacing w:before="0" w:after="0" w:line="260" w:lineRule="exact"/>
              <w:rPr>
                <w:rFonts w:cs="Arial"/>
                <w:iCs/>
                <w:sz w:val="20"/>
                <w:szCs w:val="20"/>
                <w:lang w:val="sl-SI" w:eastAsia="sl-SI"/>
              </w:rPr>
            </w:pPr>
            <w:r w:rsidRPr="00B95D04">
              <w:rPr>
                <w:rFonts w:cs="Arial"/>
                <w:iCs/>
                <w:sz w:val="20"/>
                <w:szCs w:val="20"/>
                <w:lang w:val="sl-SI" w:eastAsia="sl-SI"/>
              </w:rPr>
              <w:t>Mnenja, predlogi in pripombe z navedbo predlagateljev</w:t>
            </w:r>
            <w:r w:rsidR="007810AD" w:rsidRPr="00B95D04">
              <w:rPr>
                <w:rFonts w:cs="Arial"/>
                <w:iCs/>
                <w:sz w:val="20"/>
                <w:szCs w:val="20"/>
                <w:lang w:val="sl-SI" w:eastAsia="sl-SI"/>
              </w:rPr>
              <w:t>:</w:t>
            </w:r>
            <w:r w:rsidRPr="00B95D04">
              <w:rPr>
                <w:rFonts w:cs="Arial"/>
                <w:iCs/>
                <w:sz w:val="20"/>
                <w:szCs w:val="20"/>
                <w:lang w:val="sl-SI" w:eastAsia="sl-SI"/>
              </w:rPr>
              <w:t xml:space="preserve"> </w:t>
            </w:r>
          </w:p>
          <w:p w14:paraId="369C2D4C" w14:textId="58767516" w:rsidR="00D14445" w:rsidRPr="00B95D04" w:rsidRDefault="00D14445" w:rsidP="006B1D24">
            <w:pPr>
              <w:pStyle w:val="ListParagraph"/>
              <w:numPr>
                <w:ilvl w:val="0"/>
                <w:numId w:val="39"/>
              </w:numPr>
              <w:tabs>
                <w:tab w:val="right" w:pos="418"/>
              </w:tabs>
              <w:spacing w:line="260" w:lineRule="exact"/>
              <w:ind w:left="-8" w:hanging="19"/>
              <w:jc w:val="both"/>
              <w:rPr>
                <w:rFonts w:ascii="Arial" w:hAnsi="Arial" w:cs="Arial"/>
                <w:color w:val="000000"/>
                <w:sz w:val="20"/>
                <w:szCs w:val="20"/>
              </w:rPr>
            </w:pPr>
            <w:proofErr w:type="spellStart"/>
            <w:r w:rsidRPr="00B95D04">
              <w:rPr>
                <w:rFonts w:ascii="Arial" w:hAnsi="Arial" w:cs="Arial"/>
                <w:color w:val="000000"/>
                <w:sz w:val="20"/>
                <w:szCs w:val="20"/>
              </w:rPr>
              <w:t>Taxgroup</w:t>
            </w:r>
            <w:proofErr w:type="spellEnd"/>
            <w:r w:rsidRPr="00B95D04">
              <w:rPr>
                <w:rFonts w:ascii="Arial" w:hAnsi="Arial" w:cs="Arial"/>
                <w:color w:val="000000"/>
                <w:sz w:val="20"/>
                <w:szCs w:val="20"/>
              </w:rPr>
              <w:t xml:space="preserve"> d.o.o.: predlog za oprostitev kapitalskih dobičkov, ki jih pri prodaji deležev v odvisnih družbah ustvarijo pravne osebe s sedežem v Sloveniji, </w:t>
            </w:r>
            <w:r w:rsidR="00451321" w:rsidRPr="00B95D04">
              <w:rPr>
                <w:rFonts w:ascii="Arial" w:hAnsi="Arial" w:cs="Arial"/>
                <w:color w:val="000000"/>
                <w:sz w:val="20"/>
                <w:szCs w:val="20"/>
              </w:rPr>
              <w:t xml:space="preserve">predlog </w:t>
            </w:r>
            <w:r w:rsidRPr="00B95D04">
              <w:rPr>
                <w:rFonts w:ascii="Arial" w:hAnsi="Arial" w:cs="Arial"/>
                <w:color w:val="000000"/>
                <w:sz w:val="20"/>
                <w:szCs w:val="20"/>
              </w:rPr>
              <w:t xml:space="preserve">za črtanje seštevanja prihodkov povezanih oseb za vstop v sistem normiranih odhodkov in </w:t>
            </w:r>
            <w:r w:rsidR="00451321" w:rsidRPr="00B95D04">
              <w:rPr>
                <w:rFonts w:ascii="Arial" w:hAnsi="Arial" w:cs="Arial"/>
                <w:color w:val="000000"/>
                <w:sz w:val="20"/>
                <w:szCs w:val="20"/>
              </w:rPr>
              <w:t xml:space="preserve">predlog </w:t>
            </w:r>
            <w:r w:rsidRPr="00B95D04">
              <w:rPr>
                <w:rFonts w:ascii="Arial" w:hAnsi="Arial" w:cs="Arial"/>
                <w:color w:val="000000"/>
                <w:sz w:val="20"/>
                <w:szCs w:val="20"/>
              </w:rPr>
              <w:t>za črtanje kriterija za obvezen izstop iz sistema normiranih odhodkov, če povprečni prihodki v dveh zaporednih letih presežejo 150.000 EUR;</w:t>
            </w:r>
          </w:p>
          <w:p w14:paraId="3820A815" w14:textId="1C8162E5" w:rsidR="00D14445" w:rsidRPr="00B95D04" w:rsidRDefault="00D14445" w:rsidP="006B1D24">
            <w:pPr>
              <w:pStyle w:val="ListParagraph"/>
              <w:numPr>
                <w:ilvl w:val="0"/>
                <w:numId w:val="39"/>
              </w:numPr>
              <w:tabs>
                <w:tab w:val="right" w:pos="418"/>
              </w:tabs>
              <w:spacing w:line="260" w:lineRule="exact"/>
              <w:ind w:left="-8" w:hanging="19"/>
              <w:jc w:val="both"/>
              <w:rPr>
                <w:rFonts w:ascii="Arial" w:hAnsi="Arial" w:cs="Arial"/>
                <w:color w:val="000000"/>
                <w:sz w:val="20"/>
                <w:szCs w:val="20"/>
              </w:rPr>
            </w:pPr>
            <w:r w:rsidRPr="00B95D04">
              <w:rPr>
                <w:rFonts w:ascii="Arial" w:hAnsi="Arial" w:cs="Arial"/>
                <w:color w:val="000000"/>
                <w:sz w:val="20"/>
                <w:szCs w:val="20"/>
              </w:rPr>
              <w:t>Simič &amp; partnerji d.o.o.: predlog za dopolnitev 61. člena ZDDPO-2 z določbo, na podlagi katere bi tudi za investicijske sklade, ustanovljene po ZUAIS</w:t>
            </w:r>
            <w:r w:rsidR="00451321" w:rsidRPr="00B95D04">
              <w:rPr>
                <w:rFonts w:ascii="Arial" w:hAnsi="Arial" w:cs="Arial"/>
                <w:color w:val="000000"/>
                <w:sz w:val="20"/>
                <w:szCs w:val="20"/>
              </w:rPr>
              <w:t>,</w:t>
            </w:r>
            <w:r w:rsidRPr="00B95D04">
              <w:rPr>
                <w:rFonts w:ascii="Arial" w:hAnsi="Arial" w:cs="Arial"/>
                <w:color w:val="000000"/>
                <w:sz w:val="20"/>
                <w:szCs w:val="20"/>
              </w:rPr>
              <w:t xml:space="preserve"> veljala posebna, ničelna stopnja</w:t>
            </w:r>
            <w:r w:rsidR="00451321" w:rsidRPr="00B95D04">
              <w:rPr>
                <w:rFonts w:ascii="Arial" w:hAnsi="Arial" w:cs="Arial"/>
                <w:color w:val="000000"/>
                <w:sz w:val="20"/>
                <w:szCs w:val="20"/>
              </w:rPr>
              <w:t>;</w:t>
            </w:r>
          </w:p>
          <w:p w14:paraId="167EF5AE" w14:textId="3DC3F5DC" w:rsidR="00D14445" w:rsidRPr="00B95D04" w:rsidRDefault="00D14445" w:rsidP="006B1D24">
            <w:pPr>
              <w:pStyle w:val="ListParagraph"/>
              <w:numPr>
                <w:ilvl w:val="0"/>
                <w:numId w:val="39"/>
              </w:numPr>
              <w:tabs>
                <w:tab w:val="right" w:pos="418"/>
              </w:tabs>
              <w:spacing w:line="260" w:lineRule="exact"/>
              <w:ind w:left="-8" w:hanging="19"/>
              <w:jc w:val="both"/>
              <w:rPr>
                <w:rFonts w:ascii="Arial" w:hAnsi="Arial" w:cs="Arial"/>
                <w:color w:val="000000"/>
                <w:sz w:val="20"/>
                <w:szCs w:val="20"/>
              </w:rPr>
            </w:pPr>
            <w:r w:rsidRPr="00B95D04">
              <w:rPr>
                <w:rFonts w:ascii="Arial" w:hAnsi="Arial" w:cs="Arial"/>
                <w:color w:val="000000"/>
                <w:sz w:val="20"/>
                <w:szCs w:val="20"/>
              </w:rPr>
              <w:t xml:space="preserve">Obrtno-podjetniška zbornica Slovenije: </w:t>
            </w:r>
            <w:r w:rsidR="001B0447" w:rsidRPr="00B95D04">
              <w:rPr>
                <w:rFonts w:ascii="Arial" w:hAnsi="Arial" w:cs="Arial"/>
                <w:color w:val="000000"/>
                <w:sz w:val="20"/>
                <w:szCs w:val="20"/>
              </w:rPr>
              <w:t xml:space="preserve">pripomba glede nejasnosti in dvoumnosti predloga sedmega odstavka </w:t>
            </w:r>
            <w:proofErr w:type="spellStart"/>
            <w:r w:rsidR="001B0447" w:rsidRPr="00B95D04">
              <w:rPr>
                <w:rFonts w:ascii="Arial" w:hAnsi="Arial" w:cs="Arial"/>
                <w:color w:val="000000"/>
                <w:sz w:val="20"/>
                <w:szCs w:val="20"/>
              </w:rPr>
              <w:t>67.d</w:t>
            </w:r>
            <w:proofErr w:type="spellEnd"/>
            <w:r w:rsidR="001B0447" w:rsidRPr="00B95D04">
              <w:rPr>
                <w:rFonts w:ascii="Arial" w:hAnsi="Arial" w:cs="Arial"/>
                <w:color w:val="000000"/>
                <w:sz w:val="20"/>
                <w:szCs w:val="20"/>
              </w:rPr>
              <w:t xml:space="preserve"> člena, kar postavlja pod vprašaj pravno varnost zavezancev, predlog za konkretizacijo postopkov dokazovanja in dokaznega gradiva v podzakonskem aktu, nestrinjanje z nižanjem višine normiranih odhodkov in določitvijo absolutne višine normiranih odhodkov;</w:t>
            </w:r>
          </w:p>
          <w:p w14:paraId="21BBD383" w14:textId="02FC6E5D" w:rsidR="001B0447" w:rsidRPr="00B95D04" w:rsidRDefault="001B0447" w:rsidP="006B1D24">
            <w:pPr>
              <w:pStyle w:val="ListParagraph"/>
              <w:numPr>
                <w:ilvl w:val="0"/>
                <w:numId w:val="39"/>
              </w:numPr>
              <w:tabs>
                <w:tab w:val="right" w:pos="418"/>
              </w:tabs>
              <w:spacing w:line="260" w:lineRule="exact"/>
              <w:ind w:left="-8" w:hanging="19"/>
              <w:jc w:val="both"/>
              <w:rPr>
                <w:rFonts w:ascii="Arial" w:hAnsi="Arial" w:cs="Arial"/>
                <w:color w:val="000000"/>
                <w:sz w:val="20"/>
                <w:szCs w:val="20"/>
              </w:rPr>
            </w:pPr>
            <w:r w:rsidRPr="00B95D04">
              <w:rPr>
                <w:rFonts w:ascii="Arial" w:hAnsi="Arial" w:cs="Arial"/>
                <w:color w:val="000000"/>
                <w:sz w:val="20"/>
                <w:szCs w:val="20"/>
              </w:rPr>
              <w:t>Trgovinska zbornica Slovenije: pripomba, da predlog ne širi možnosti vstopa v sistem subjektom v trgovinski dejavnosti, ki ima visok delež stroškov nabave blaga v prihodkih, predlog za razširitev obstoječih oziroma uveljavitev novih investicijskih olajšav;</w:t>
            </w:r>
          </w:p>
          <w:p w14:paraId="2922A64D" w14:textId="012844F7" w:rsidR="001B0447" w:rsidRPr="00B95D04" w:rsidRDefault="001B0447" w:rsidP="006B1D24">
            <w:pPr>
              <w:pStyle w:val="ListParagraph"/>
              <w:numPr>
                <w:ilvl w:val="0"/>
                <w:numId w:val="39"/>
              </w:numPr>
              <w:tabs>
                <w:tab w:val="right" w:pos="418"/>
              </w:tabs>
              <w:spacing w:line="260" w:lineRule="exact"/>
              <w:ind w:left="-8" w:hanging="19"/>
              <w:jc w:val="both"/>
              <w:rPr>
                <w:rFonts w:ascii="Arial" w:hAnsi="Arial" w:cs="Arial"/>
                <w:color w:val="000000"/>
                <w:sz w:val="20"/>
                <w:szCs w:val="20"/>
              </w:rPr>
            </w:pPr>
            <w:r w:rsidRPr="00B95D04">
              <w:rPr>
                <w:rFonts w:ascii="Arial" w:hAnsi="Arial" w:cs="Arial"/>
                <w:color w:val="000000"/>
                <w:sz w:val="20"/>
                <w:szCs w:val="20"/>
              </w:rPr>
              <w:t xml:space="preserve">Gospodarska zbornica Slovenije, Zbornica računovodskih servisov, Zbornica davčnih </w:t>
            </w:r>
            <w:r w:rsidRPr="00B95D04">
              <w:rPr>
                <w:rFonts w:ascii="Arial" w:hAnsi="Arial" w:cs="Arial"/>
                <w:color w:val="000000"/>
                <w:sz w:val="20"/>
                <w:szCs w:val="20"/>
              </w:rPr>
              <w:lastRenderedPageBreak/>
              <w:t>svetovalcev Slovenije: pripomba k nejasni določb</w:t>
            </w:r>
            <w:r w:rsidR="00451321" w:rsidRPr="00B95D04">
              <w:rPr>
                <w:rFonts w:ascii="Arial" w:hAnsi="Arial" w:cs="Arial"/>
                <w:color w:val="000000"/>
                <w:sz w:val="20"/>
                <w:szCs w:val="20"/>
              </w:rPr>
              <w:t>i</w:t>
            </w:r>
            <w:r w:rsidRPr="00B95D04">
              <w:rPr>
                <w:rFonts w:ascii="Arial" w:hAnsi="Arial" w:cs="Arial"/>
                <w:color w:val="000000"/>
                <w:sz w:val="20"/>
                <w:szCs w:val="20"/>
              </w:rPr>
              <w:t xml:space="preserve"> glede praga 150.000 EUR,  pripomba, da predlagana absolutna meja normiranih odhodkov deluje kaznovalno</w:t>
            </w:r>
            <w:r w:rsidR="00451321" w:rsidRPr="00B95D04">
              <w:rPr>
                <w:rFonts w:ascii="Arial" w:hAnsi="Arial" w:cs="Arial"/>
                <w:color w:val="000000"/>
                <w:sz w:val="20"/>
                <w:szCs w:val="20"/>
              </w:rPr>
              <w:t>,</w:t>
            </w:r>
            <w:r w:rsidRPr="00B95D04">
              <w:rPr>
                <w:rFonts w:ascii="Arial" w:hAnsi="Arial" w:cs="Arial"/>
                <w:color w:val="000000"/>
                <w:sz w:val="20"/>
                <w:szCs w:val="20"/>
              </w:rPr>
              <w:t xml:space="preserve"> in predlog, da se morebitna omejitev lahko postavi na določen % nad 30.000 oz. 60.000 EUR, vendar ne manj kot 50 %.</w:t>
            </w:r>
          </w:p>
          <w:p w14:paraId="6D88C959" w14:textId="6FF312B1" w:rsidR="000A6B27" w:rsidRPr="00B95D04" w:rsidRDefault="000A6B27" w:rsidP="006B1D24">
            <w:pPr>
              <w:pStyle w:val="Neotevilenodstavek"/>
              <w:widowControl w:val="0"/>
              <w:spacing w:before="0" w:after="0" w:line="260" w:lineRule="exact"/>
              <w:rPr>
                <w:rFonts w:cs="Arial"/>
                <w:iCs/>
                <w:sz w:val="20"/>
                <w:szCs w:val="20"/>
                <w:lang w:val="sl-SI" w:eastAsia="sl-SI"/>
              </w:rPr>
            </w:pPr>
          </w:p>
          <w:p w14:paraId="6D88C95B" w14:textId="77777777" w:rsidR="005553CB" w:rsidRPr="00B95D04" w:rsidRDefault="005553CB">
            <w:pPr>
              <w:pStyle w:val="Neotevilenodstavek"/>
              <w:widowControl w:val="0"/>
              <w:spacing w:before="0" w:after="0" w:line="260" w:lineRule="exact"/>
              <w:rPr>
                <w:rFonts w:cs="Arial"/>
                <w:iCs/>
                <w:sz w:val="20"/>
                <w:szCs w:val="20"/>
                <w:lang w:val="sl-SI" w:eastAsia="sl-SI"/>
              </w:rPr>
            </w:pPr>
            <w:r w:rsidRPr="00B95D04">
              <w:rPr>
                <w:rFonts w:cs="Arial"/>
                <w:iCs/>
                <w:sz w:val="20"/>
                <w:szCs w:val="20"/>
                <w:lang w:val="sl-SI" w:eastAsia="sl-SI"/>
              </w:rPr>
              <w:t>Upoštevani so bili:</w:t>
            </w:r>
          </w:p>
          <w:p w14:paraId="6D88C95D" w14:textId="57CB3B66" w:rsidR="005553CB" w:rsidRPr="00B95D04" w:rsidRDefault="00205F47">
            <w:pPr>
              <w:pStyle w:val="Neotevilenodstavek"/>
              <w:widowControl w:val="0"/>
              <w:spacing w:before="0" w:after="0" w:line="260" w:lineRule="exact"/>
              <w:rPr>
                <w:rFonts w:cs="Arial"/>
                <w:iCs/>
                <w:sz w:val="20"/>
                <w:szCs w:val="20"/>
                <w:lang w:val="sl-SI" w:eastAsia="sl-SI"/>
              </w:rPr>
            </w:pPr>
            <w:r w:rsidRPr="00B95D04">
              <w:rPr>
                <w:rFonts w:cs="Arial"/>
                <w:iCs/>
                <w:sz w:val="20"/>
                <w:szCs w:val="20"/>
                <w:lang w:val="sl-SI" w:eastAsia="sl-SI"/>
              </w:rPr>
              <w:t>Upoštevani sta bili p</w:t>
            </w:r>
            <w:r w:rsidR="001B0447" w:rsidRPr="00B95D04">
              <w:rPr>
                <w:rFonts w:cs="Arial"/>
                <w:iCs/>
                <w:sz w:val="20"/>
                <w:szCs w:val="20"/>
                <w:lang w:val="sl-SI" w:eastAsia="sl-SI"/>
              </w:rPr>
              <w:t>ripomba Gospodarske zbornice Slovenije, Zbornice računovodskih servisov in Z</w:t>
            </w:r>
            <w:r w:rsidR="003079E6" w:rsidRPr="00B95D04">
              <w:rPr>
                <w:rFonts w:cs="Arial"/>
                <w:iCs/>
                <w:sz w:val="20"/>
                <w:szCs w:val="20"/>
                <w:lang w:val="sl-SI" w:eastAsia="sl-SI"/>
              </w:rPr>
              <w:t>bornice</w:t>
            </w:r>
            <w:r w:rsidR="001B0447" w:rsidRPr="00B95D04">
              <w:rPr>
                <w:rFonts w:cs="Arial"/>
                <w:iCs/>
                <w:sz w:val="20"/>
                <w:szCs w:val="20"/>
                <w:lang w:val="sl-SI" w:eastAsia="sl-SI"/>
              </w:rPr>
              <w:t xml:space="preserve"> davčnih svetovalcev Slovenije k določbi glede praga 150.000 EUR</w:t>
            </w:r>
            <w:r w:rsidRPr="00B95D04">
              <w:rPr>
                <w:rFonts w:cs="Arial"/>
                <w:iCs/>
                <w:sz w:val="20"/>
                <w:szCs w:val="20"/>
                <w:lang w:val="sl-SI" w:eastAsia="sl-SI"/>
              </w:rPr>
              <w:t xml:space="preserve"> in pripomba Obrtno-podjetniške zbornice Slovenije glede </w:t>
            </w:r>
            <w:r w:rsidRPr="00B95D04">
              <w:rPr>
                <w:rFonts w:cs="Arial"/>
                <w:color w:val="000000"/>
                <w:sz w:val="20"/>
                <w:szCs w:val="20"/>
              </w:rPr>
              <w:t>nižanj</w:t>
            </w:r>
            <w:r w:rsidRPr="00B95D04">
              <w:rPr>
                <w:rFonts w:cs="Arial"/>
                <w:color w:val="000000"/>
                <w:sz w:val="20"/>
                <w:szCs w:val="20"/>
                <w:lang w:val="sl-SI"/>
              </w:rPr>
              <w:t>a</w:t>
            </w:r>
            <w:r w:rsidRPr="00B95D04">
              <w:rPr>
                <w:rFonts w:cs="Arial"/>
                <w:color w:val="000000"/>
                <w:sz w:val="20"/>
                <w:szCs w:val="20"/>
              </w:rPr>
              <w:t xml:space="preserve"> višine normiranih odhodkov</w:t>
            </w:r>
            <w:r w:rsidR="001B0447" w:rsidRPr="00B95D04">
              <w:rPr>
                <w:rFonts w:cs="Arial"/>
                <w:iCs/>
                <w:sz w:val="20"/>
                <w:szCs w:val="20"/>
                <w:lang w:val="sl-SI" w:eastAsia="sl-SI"/>
              </w:rPr>
              <w:t>.</w:t>
            </w:r>
          </w:p>
          <w:p w14:paraId="2994D9AF" w14:textId="77777777" w:rsidR="001B0447" w:rsidRPr="00B95D04" w:rsidRDefault="001B0447">
            <w:pPr>
              <w:pStyle w:val="Neotevilenodstavek"/>
              <w:widowControl w:val="0"/>
              <w:spacing w:before="0" w:after="0" w:line="260" w:lineRule="exact"/>
              <w:rPr>
                <w:rFonts w:cs="Arial"/>
                <w:iCs/>
                <w:sz w:val="20"/>
                <w:szCs w:val="20"/>
                <w:lang w:val="sl-SI" w:eastAsia="sl-SI"/>
              </w:rPr>
            </w:pPr>
          </w:p>
          <w:p w14:paraId="6D88C95E" w14:textId="77777777" w:rsidR="007810AD" w:rsidRPr="00B95D04" w:rsidRDefault="005553CB">
            <w:pPr>
              <w:pStyle w:val="Neotevilenodstavek"/>
              <w:widowControl w:val="0"/>
              <w:spacing w:before="0" w:after="0" w:line="260" w:lineRule="exact"/>
              <w:rPr>
                <w:rFonts w:cs="Arial"/>
                <w:iCs/>
                <w:sz w:val="20"/>
                <w:szCs w:val="20"/>
                <w:lang w:val="sl-SI" w:eastAsia="sl-SI"/>
              </w:rPr>
            </w:pPr>
            <w:r w:rsidRPr="00B95D04">
              <w:rPr>
                <w:rFonts w:cs="Arial"/>
                <w:iCs/>
                <w:sz w:val="20"/>
                <w:szCs w:val="20"/>
                <w:lang w:val="sl-SI" w:eastAsia="sl-SI"/>
              </w:rPr>
              <w:t>Bistvena mnenja, predlogi in pripombe, ki niso bili upoštevani, ter razlogi za neupoštevanje:</w:t>
            </w:r>
            <w:r w:rsidR="00F33C63" w:rsidRPr="00B95D04">
              <w:rPr>
                <w:rFonts w:cs="Arial"/>
                <w:iCs/>
                <w:sz w:val="20"/>
                <w:szCs w:val="20"/>
                <w:lang w:val="sl-SI" w:eastAsia="sl-SI"/>
              </w:rPr>
              <w:t xml:space="preserve"> </w:t>
            </w:r>
          </w:p>
          <w:p w14:paraId="796489E7" w14:textId="478E0D40" w:rsidR="00D14445" w:rsidRPr="00B95D04" w:rsidRDefault="00D14445">
            <w:pPr>
              <w:pStyle w:val="Neotevilenodstavek"/>
              <w:widowControl w:val="0"/>
              <w:spacing w:before="0" w:after="0" w:line="260" w:lineRule="exact"/>
              <w:rPr>
                <w:rFonts w:cs="Arial"/>
                <w:iCs/>
                <w:sz w:val="20"/>
                <w:szCs w:val="20"/>
                <w:lang w:val="sl-SI" w:eastAsia="sl-SI"/>
              </w:rPr>
            </w:pPr>
            <w:r w:rsidRPr="00B95D04">
              <w:rPr>
                <w:rFonts w:cs="Arial"/>
                <w:iCs/>
                <w:sz w:val="20"/>
                <w:szCs w:val="20"/>
                <w:lang w:val="sl-SI" w:eastAsia="sl-SI"/>
              </w:rPr>
              <w:t xml:space="preserve">Poročilo o prejetih pripombah in predlogih s stališči do predlogov in obrazložitvijo stališč Ministrstva za finance je vsebovano v prilogi Pripombe in predlogi na predlog </w:t>
            </w:r>
            <w:r w:rsidR="00742D37" w:rsidRPr="00B95D04">
              <w:rPr>
                <w:rFonts w:cs="Arial"/>
                <w:iCs/>
                <w:sz w:val="20"/>
                <w:szCs w:val="20"/>
                <w:lang w:val="sl-SI" w:eastAsia="sl-SI"/>
              </w:rPr>
              <w:t xml:space="preserve">novele </w:t>
            </w:r>
            <w:r w:rsidRPr="00B95D04">
              <w:rPr>
                <w:rFonts w:cs="Arial"/>
                <w:iCs/>
                <w:sz w:val="20"/>
                <w:szCs w:val="20"/>
                <w:lang w:val="sl-SI" w:eastAsia="sl-SI"/>
              </w:rPr>
              <w:t>ZDDPO-2 iz javne obravnave, ki je sestavni del tega dokumenta.</w:t>
            </w:r>
          </w:p>
          <w:p w14:paraId="6D88C960" w14:textId="77777777" w:rsidR="005553CB" w:rsidRPr="00B95D04" w:rsidRDefault="005553CB" w:rsidP="00771AB8">
            <w:pPr>
              <w:pStyle w:val="Neotevilenodstavek"/>
              <w:widowControl w:val="0"/>
              <w:spacing w:before="0" w:after="0" w:line="260" w:lineRule="exact"/>
              <w:rPr>
                <w:rFonts w:cs="Arial"/>
                <w:iCs/>
                <w:sz w:val="20"/>
                <w:szCs w:val="20"/>
                <w:lang w:val="sl-SI" w:eastAsia="sl-SI"/>
              </w:rPr>
            </w:pPr>
          </w:p>
        </w:tc>
      </w:tr>
      <w:tr w:rsidR="005553CB" w:rsidRPr="00B95D04" w14:paraId="6D88C964"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vAlign w:val="center"/>
          </w:tcPr>
          <w:p w14:paraId="6D88C962" w14:textId="77777777" w:rsidR="005553CB" w:rsidRPr="00B95D04" w:rsidRDefault="005553CB" w:rsidP="00CA689C">
            <w:pPr>
              <w:pStyle w:val="Neotevilenodstavek"/>
              <w:widowControl w:val="0"/>
              <w:spacing w:before="0" w:after="0" w:line="260" w:lineRule="exact"/>
              <w:jc w:val="left"/>
              <w:rPr>
                <w:rFonts w:cs="Arial"/>
                <w:sz w:val="20"/>
                <w:szCs w:val="20"/>
                <w:lang w:val="sl-SI" w:eastAsia="sl-SI"/>
              </w:rPr>
            </w:pPr>
            <w:r w:rsidRPr="00B95D04">
              <w:rPr>
                <w:rFonts w:cs="Arial"/>
                <w:b/>
                <w:sz w:val="20"/>
                <w:szCs w:val="20"/>
                <w:lang w:val="sl-SI" w:eastAsia="sl-SI"/>
              </w:rPr>
              <w:lastRenderedPageBreak/>
              <w:t>10. Pri pripravi gradiva so bile upoštevane zahteve iz Resolucije o normativni dejavnosti:</w:t>
            </w:r>
          </w:p>
        </w:tc>
        <w:tc>
          <w:tcPr>
            <w:tcW w:w="2431" w:type="dxa"/>
            <w:gridSpan w:val="3"/>
            <w:vAlign w:val="center"/>
          </w:tcPr>
          <w:p w14:paraId="6D88C963" w14:textId="77777777" w:rsidR="005553CB" w:rsidRPr="00B95D04" w:rsidRDefault="005553CB" w:rsidP="00C56454">
            <w:pPr>
              <w:pStyle w:val="Neotevilenodstavek"/>
              <w:widowControl w:val="0"/>
              <w:spacing w:before="0" w:after="0" w:line="260" w:lineRule="exact"/>
              <w:jc w:val="center"/>
              <w:rPr>
                <w:rFonts w:cs="Arial"/>
                <w:iCs/>
                <w:sz w:val="20"/>
                <w:szCs w:val="20"/>
                <w:lang w:val="sl-SI" w:eastAsia="sl-SI"/>
              </w:rPr>
            </w:pPr>
            <w:r w:rsidRPr="00B95D04">
              <w:rPr>
                <w:rFonts w:cs="Arial"/>
                <w:sz w:val="20"/>
                <w:szCs w:val="20"/>
                <w:lang w:val="sl-SI" w:eastAsia="sl-SI"/>
              </w:rPr>
              <w:t>DA</w:t>
            </w:r>
          </w:p>
        </w:tc>
      </w:tr>
      <w:tr w:rsidR="005553CB" w:rsidRPr="00B95D04" w14:paraId="6D88C967"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vAlign w:val="center"/>
          </w:tcPr>
          <w:p w14:paraId="6D88C965" w14:textId="77777777" w:rsidR="005553CB" w:rsidRPr="00B95D04" w:rsidRDefault="005553CB" w:rsidP="00CA689C">
            <w:pPr>
              <w:pStyle w:val="Neotevilenodstavek"/>
              <w:widowControl w:val="0"/>
              <w:spacing w:before="0" w:after="0" w:line="260" w:lineRule="exact"/>
              <w:jc w:val="left"/>
              <w:rPr>
                <w:rFonts w:cs="Arial"/>
                <w:b/>
                <w:sz w:val="20"/>
                <w:szCs w:val="20"/>
                <w:lang w:val="sl-SI" w:eastAsia="sl-SI"/>
              </w:rPr>
            </w:pPr>
            <w:r w:rsidRPr="00B95D04">
              <w:rPr>
                <w:rFonts w:cs="Arial"/>
                <w:b/>
                <w:sz w:val="20"/>
                <w:szCs w:val="20"/>
                <w:lang w:val="sl-SI" w:eastAsia="sl-SI"/>
              </w:rPr>
              <w:t>11. Gradivo je uvrščeno v delovni program vlade:</w:t>
            </w:r>
          </w:p>
        </w:tc>
        <w:tc>
          <w:tcPr>
            <w:tcW w:w="2431" w:type="dxa"/>
            <w:gridSpan w:val="3"/>
            <w:vAlign w:val="center"/>
          </w:tcPr>
          <w:p w14:paraId="6D88C966" w14:textId="77777777" w:rsidR="005553CB" w:rsidRPr="00B95D04" w:rsidRDefault="005553CB" w:rsidP="00CA689C">
            <w:pPr>
              <w:pStyle w:val="Neotevilenodstavek"/>
              <w:widowControl w:val="0"/>
              <w:spacing w:before="0" w:after="0" w:line="260" w:lineRule="exact"/>
              <w:jc w:val="center"/>
              <w:rPr>
                <w:rFonts w:cs="Arial"/>
                <w:sz w:val="20"/>
                <w:szCs w:val="20"/>
                <w:lang w:val="sl-SI" w:eastAsia="sl-SI"/>
              </w:rPr>
            </w:pPr>
            <w:r w:rsidRPr="00B95D04">
              <w:rPr>
                <w:rFonts w:cs="Arial"/>
                <w:sz w:val="20"/>
                <w:szCs w:val="20"/>
                <w:lang w:val="sl-SI" w:eastAsia="sl-SI"/>
              </w:rPr>
              <w:t>NE</w:t>
            </w:r>
          </w:p>
        </w:tc>
      </w:tr>
      <w:tr w:rsidR="005553CB" w:rsidRPr="00B95D04" w14:paraId="6D88C96D" w14:textId="77777777" w:rsidTr="00306A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15"/>
        </w:trPr>
        <w:tc>
          <w:tcPr>
            <w:tcW w:w="9200" w:type="dxa"/>
            <w:gridSpan w:val="11"/>
            <w:tcBorders>
              <w:top w:val="single" w:sz="4" w:space="0" w:color="000000"/>
              <w:left w:val="single" w:sz="4" w:space="0" w:color="000000"/>
              <w:bottom w:val="single" w:sz="4" w:space="0" w:color="000000"/>
              <w:right w:val="single" w:sz="4" w:space="0" w:color="000000"/>
            </w:tcBorders>
          </w:tcPr>
          <w:p w14:paraId="6D88C968" w14:textId="77777777" w:rsidR="005553CB" w:rsidRPr="00B95D04" w:rsidRDefault="005553CB" w:rsidP="00CA689C">
            <w:pPr>
              <w:pStyle w:val="Poglavje"/>
              <w:widowControl w:val="0"/>
              <w:spacing w:before="0" w:after="0" w:line="260" w:lineRule="exact"/>
              <w:ind w:left="3400"/>
              <w:jc w:val="left"/>
              <w:rPr>
                <w:sz w:val="20"/>
                <w:szCs w:val="20"/>
              </w:rPr>
            </w:pPr>
          </w:p>
          <w:p w14:paraId="6D88C969" w14:textId="77777777" w:rsidR="000E7828" w:rsidRPr="00B95D04" w:rsidRDefault="000E7828" w:rsidP="00CA689C">
            <w:pPr>
              <w:pStyle w:val="Poglavje"/>
              <w:widowControl w:val="0"/>
              <w:spacing w:before="0" w:after="0" w:line="260" w:lineRule="exact"/>
              <w:ind w:left="3400"/>
              <w:jc w:val="left"/>
              <w:rPr>
                <w:sz w:val="20"/>
                <w:szCs w:val="20"/>
              </w:rPr>
            </w:pPr>
          </w:p>
          <w:p w14:paraId="6D88C96A" w14:textId="77777777" w:rsidR="000E7828" w:rsidRPr="00B95D04" w:rsidRDefault="00195E8A" w:rsidP="00306A64">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sidRPr="00B95D04">
              <w:rPr>
                <w:rFonts w:ascii="Arial" w:eastAsia="Times New Roman" w:hAnsi="Arial" w:cs="Arial"/>
                <w:b/>
                <w:sz w:val="20"/>
                <w:szCs w:val="20"/>
                <w:lang w:eastAsia="sl-SI"/>
              </w:rPr>
              <w:t xml:space="preserve">                </w:t>
            </w:r>
            <w:r w:rsidR="000E7828" w:rsidRPr="00B95D04">
              <w:rPr>
                <w:rFonts w:ascii="Arial" w:eastAsia="Times New Roman" w:hAnsi="Arial" w:cs="Arial"/>
                <w:b/>
                <w:sz w:val="20"/>
                <w:szCs w:val="20"/>
                <w:lang w:eastAsia="sl-SI"/>
              </w:rPr>
              <w:t xml:space="preserve">mag. Mateja Vraničar Erman </w:t>
            </w:r>
          </w:p>
          <w:p w14:paraId="6D88C96B" w14:textId="77777777" w:rsidR="000A18CF" w:rsidRPr="00B95D04" w:rsidRDefault="000E7828" w:rsidP="000E7828">
            <w:pPr>
              <w:pStyle w:val="Poglavje"/>
              <w:widowControl w:val="0"/>
              <w:tabs>
                <w:tab w:val="left" w:pos="6270"/>
              </w:tabs>
              <w:spacing w:before="0" w:after="0" w:line="260" w:lineRule="exact"/>
              <w:ind w:left="3400"/>
              <w:jc w:val="left"/>
              <w:rPr>
                <w:sz w:val="20"/>
                <w:szCs w:val="20"/>
              </w:rPr>
            </w:pPr>
            <w:r w:rsidRPr="00B95D04">
              <w:rPr>
                <w:sz w:val="20"/>
                <w:szCs w:val="20"/>
              </w:rPr>
              <w:t xml:space="preserve">                                         </w:t>
            </w:r>
            <w:r w:rsidR="00D6486E" w:rsidRPr="00B95D04">
              <w:rPr>
                <w:sz w:val="20"/>
                <w:szCs w:val="20"/>
              </w:rPr>
              <w:t xml:space="preserve">       MINISTRICA</w:t>
            </w:r>
            <w:r w:rsidRPr="00B95D04">
              <w:rPr>
                <w:sz w:val="20"/>
                <w:szCs w:val="20"/>
              </w:rPr>
              <w:t xml:space="preserve"> </w:t>
            </w:r>
          </w:p>
          <w:p w14:paraId="6D88C96C" w14:textId="77777777" w:rsidR="000A18CF" w:rsidRPr="00B95D04" w:rsidRDefault="000A18CF" w:rsidP="00C56454">
            <w:pPr>
              <w:pStyle w:val="Poglavje"/>
              <w:widowControl w:val="0"/>
              <w:tabs>
                <w:tab w:val="left" w:pos="6270"/>
              </w:tabs>
              <w:spacing w:before="0" w:after="0" w:line="260" w:lineRule="exact"/>
              <w:ind w:left="3400"/>
              <w:jc w:val="left"/>
              <w:rPr>
                <w:sz w:val="20"/>
                <w:szCs w:val="20"/>
              </w:rPr>
            </w:pPr>
          </w:p>
        </w:tc>
      </w:tr>
    </w:tbl>
    <w:p w14:paraId="6D88C96E" w14:textId="77777777" w:rsidR="005553CB" w:rsidRPr="00B95D04" w:rsidRDefault="005553CB" w:rsidP="005553CB">
      <w:pPr>
        <w:keepLines/>
        <w:framePr w:w="9962" w:wrap="auto" w:hAnchor="text" w:x="1300"/>
        <w:rPr>
          <w:rFonts w:ascii="Arial" w:hAnsi="Arial" w:cs="Arial"/>
          <w:sz w:val="20"/>
          <w:szCs w:val="20"/>
        </w:rPr>
        <w:sectPr w:rsidR="005553CB" w:rsidRPr="00B95D04" w:rsidSect="00CA689C">
          <w:headerReference w:type="first" r:id="rId16"/>
          <w:pgSz w:w="11906" w:h="16838"/>
          <w:pgMar w:top="1418" w:right="1418" w:bottom="1418" w:left="1418" w:header="708" w:footer="708" w:gutter="0"/>
          <w:cols w:space="708"/>
          <w:docGrid w:linePitch="360"/>
        </w:sectPr>
      </w:pPr>
    </w:p>
    <w:p w14:paraId="6D88C96F" w14:textId="77777777" w:rsidR="005553CB" w:rsidRPr="00B95D04" w:rsidRDefault="005553CB" w:rsidP="005553CB">
      <w:pPr>
        <w:pStyle w:val="Naslovpredpisa"/>
        <w:spacing w:before="0" w:after="0" w:line="260" w:lineRule="exact"/>
        <w:jc w:val="both"/>
        <w:rPr>
          <w:rFonts w:cs="Arial"/>
          <w:sz w:val="20"/>
          <w:szCs w:val="20"/>
          <w:lang w:val="sl-SI"/>
        </w:rPr>
      </w:pPr>
      <w:r w:rsidRPr="00B95D04">
        <w:rPr>
          <w:rFonts w:cs="Arial"/>
          <w:sz w:val="20"/>
          <w:szCs w:val="20"/>
          <w:lang w:val="sl-SI"/>
        </w:rPr>
        <w:lastRenderedPageBreak/>
        <w:t xml:space="preserve">PRILOGA 3 </w:t>
      </w:r>
    </w:p>
    <w:p w14:paraId="6D88C971" w14:textId="77777777" w:rsidR="005553CB" w:rsidRPr="00B95D04" w:rsidRDefault="005553CB" w:rsidP="005553CB">
      <w:pPr>
        <w:pStyle w:val="Naslovpredpisa"/>
        <w:spacing w:before="0" w:after="0" w:line="260" w:lineRule="exact"/>
        <w:jc w:val="right"/>
        <w:rPr>
          <w:rFonts w:cs="Arial"/>
          <w:sz w:val="20"/>
          <w:szCs w:val="20"/>
          <w:lang w:val="sl-SI"/>
        </w:rPr>
      </w:pPr>
      <w:r w:rsidRPr="00B95D04">
        <w:rPr>
          <w:rFonts w:cs="Arial"/>
          <w:sz w:val="20"/>
          <w:szCs w:val="20"/>
          <w:lang w:val="sl-SI"/>
        </w:rPr>
        <w:t>PREDLOG</w:t>
      </w:r>
    </w:p>
    <w:p w14:paraId="6D88C972" w14:textId="5905808A" w:rsidR="005553CB" w:rsidRPr="00B95D04" w:rsidRDefault="005553CB" w:rsidP="005553CB">
      <w:pPr>
        <w:pStyle w:val="Naslovpredpisa"/>
        <w:spacing w:before="0" w:after="0" w:line="260" w:lineRule="exact"/>
        <w:jc w:val="right"/>
        <w:rPr>
          <w:rFonts w:cs="Arial"/>
          <w:sz w:val="20"/>
          <w:szCs w:val="20"/>
          <w:lang w:val="sl-SI"/>
        </w:rPr>
      </w:pPr>
      <w:r w:rsidRPr="00B95D04">
        <w:rPr>
          <w:rFonts w:cs="Arial"/>
          <w:sz w:val="20"/>
          <w:szCs w:val="20"/>
          <w:lang w:val="sl-SI"/>
        </w:rPr>
        <w:t>(</w:t>
      </w:r>
      <w:r w:rsidR="00F669F8" w:rsidRPr="00B95D04">
        <w:rPr>
          <w:rFonts w:cs="Arial"/>
          <w:sz w:val="20"/>
          <w:szCs w:val="20"/>
          <w:lang w:val="sl-SI"/>
        </w:rPr>
        <w:t xml:space="preserve">EVA </w:t>
      </w:r>
      <w:r w:rsidR="006E3FD5" w:rsidRPr="00B95D04">
        <w:rPr>
          <w:rFonts w:cs="Arial"/>
          <w:sz w:val="20"/>
          <w:szCs w:val="20"/>
          <w:lang w:val="sl-SI"/>
        </w:rPr>
        <w:t>2017-1611-0024</w:t>
      </w:r>
      <w:r w:rsidRPr="00B95D04">
        <w:rPr>
          <w:rFonts w:cs="Arial"/>
          <w:sz w:val="20"/>
          <w:szCs w:val="20"/>
          <w:lang w:val="sl-SI"/>
        </w:rPr>
        <w:t>)</w:t>
      </w:r>
    </w:p>
    <w:tbl>
      <w:tblPr>
        <w:tblW w:w="0" w:type="auto"/>
        <w:tblLook w:val="04A0" w:firstRow="1" w:lastRow="0" w:firstColumn="1" w:lastColumn="0" w:noHBand="0" w:noVBand="1"/>
      </w:tblPr>
      <w:tblGrid>
        <w:gridCol w:w="9213"/>
      </w:tblGrid>
      <w:tr w:rsidR="005553CB" w:rsidRPr="00B95D04" w14:paraId="6D88C976" w14:textId="77777777" w:rsidTr="00CA689C">
        <w:tc>
          <w:tcPr>
            <w:tcW w:w="9213" w:type="dxa"/>
          </w:tcPr>
          <w:p w14:paraId="6D88C973" w14:textId="77777777" w:rsidR="005553CB" w:rsidRPr="00B95D04" w:rsidRDefault="005553CB" w:rsidP="00CA689C">
            <w:pPr>
              <w:pStyle w:val="Naslovpredpisa"/>
              <w:spacing w:before="0" w:after="0" w:line="260" w:lineRule="exact"/>
              <w:rPr>
                <w:rFonts w:cs="Arial"/>
                <w:sz w:val="20"/>
                <w:szCs w:val="20"/>
                <w:lang w:val="sl-SI" w:eastAsia="sl-SI"/>
              </w:rPr>
            </w:pPr>
            <w:r w:rsidRPr="00B95D04">
              <w:rPr>
                <w:rFonts w:cs="Arial"/>
                <w:sz w:val="20"/>
                <w:szCs w:val="20"/>
                <w:lang w:val="sl-SI" w:eastAsia="sl-SI"/>
              </w:rPr>
              <w:t xml:space="preserve">ZAKON </w:t>
            </w:r>
          </w:p>
          <w:p w14:paraId="6D88C974" w14:textId="529F36DF" w:rsidR="00C56454" w:rsidRPr="00B95D04" w:rsidRDefault="00C56454" w:rsidP="00C56454">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B95D04">
              <w:rPr>
                <w:rFonts w:ascii="Arial" w:eastAsia="Times New Roman" w:hAnsi="Arial" w:cs="Arial"/>
                <w:b/>
                <w:sz w:val="20"/>
                <w:szCs w:val="20"/>
                <w:lang w:eastAsia="sl-SI"/>
              </w:rPr>
              <w:t xml:space="preserve">O </w:t>
            </w:r>
            <w:r w:rsidR="00823213" w:rsidRPr="00B95D04">
              <w:rPr>
                <w:rFonts w:ascii="Arial" w:eastAsia="Times New Roman" w:hAnsi="Arial" w:cs="Arial"/>
                <w:b/>
                <w:sz w:val="20"/>
                <w:szCs w:val="20"/>
                <w:lang w:eastAsia="sl-SI"/>
              </w:rPr>
              <w:t xml:space="preserve">SPREMEMBAH IN </w:t>
            </w:r>
            <w:r w:rsidRPr="00B95D04">
              <w:rPr>
                <w:rFonts w:ascii="Arial" w:eastAsia="Times New Roman" w:hAnsi="Arial" w:cs="Arial"/>
                <w:b/>
                <w:sz w:val="20"/>
                <w:szCs w:val="20"/>
                <w:lang w:eastAsia="sl-SI"/>
              </w:rPr>
              <w:t>DOPOLNITVAH ZAKONA O DAVKU OD DOHODKOV PRAVNIH OSEB</w:t>
            </w:r>
          </w:p>
          <w:p w14:paraId="6D88C975" w14:textId="77777777" w:rsidR="005553CB" w:rsidRPr="00B95D04" w:rsidRDefault="005553CB" w:rsidP="00CA689C">
            <w:pPr>
              <w:pStyle w:val="Naslovpredpisa"/>
              <w:spacing w:before="0" w:after="0" w:line="260" w:lineRule="exact"/>
              <w:rPr>
                <w:rFonts w:cs="Arial"/>
                <w:sz w:val="20"/>
                <w:szCs w:val="20"/>
                <w:lang w:val="sl-SI" w:eastAsia="sl-SI"/>
              </w:rPr>
            </w:pPr>
          </w:p>
        </w:tc>
      </w:tr>
      <w:tr w:rsidR="005553CB" w:rsidRPr="00B95D04" w14:paraId="6D88C9F1" w14:textId="77777777" w:rsidTr="00CA689C">
        <w:tc>
          <w:tcPr>
            <w:tcW w:w="9213" w:type="dxa"/>
          </w:tcPr>
          <w:tbl>
            <w:tblPr>
              <w:tblW w:w="0" w:type="auto"/>
              <w:tblLook w:val="04A0" w:firstRow="1" w:lastRow="0" w:firstColumn="1" w:lastColumn="0" w:noHBand="0" w:noVBand="1"/>
            </w:tblPr>
            <w:tblGrid>
              <w:gridCol w:w="8997"/>
            </w:tblGrid>
            <w:tr w:rsidR="00F755CB" w:rsidRPr="00B95D04" w14:paraId="6D88C978" w14:textId="77777777" w:rsidTr="008060E5">
              <w:tc>
                <w:tcPr>
                  <w:tcW w:w="9213" w:type="dxa"/>
                </w:tcPr>
                <w:p w14:paraId="6D88C977" w14:textId="77777777" w:rsidR="00F755CB" w:rsidRPr="00B95D04" w:rsidRDefault="00F755CB" w:rsidP="008060E5">
                  <w:pPr>
                    <w:pStyle w:val="Poglavje"/>
                    <w:spacing w:before="0" w:after="0" w:line="260" w:lineRule="exact"/>
                    <w:jc w:val="left"/>
                    <w:rPr>
                      <w:sz w:val="20"/>
                      <w:szCs w:val="20"/>
                    </w:rPr>
                  </w:pPr>
                  <w:r w:rsidRPr="00B95D04">
                    <w:rPr>
                      <w:sz w:val="20"/>
                      <w:szCs w:val="20"/>
                    </w:rPr>
                    <w:t>I. UVOD</w:t>
                  </w:r>
                </w:p>
              </w:tc>
            </w:tr>
            <w:tr w:rsidR="00F755CB" w:rsidRPr="00B95D04" w14:paraId="6D88C97B" w14:textId="77777777" w:rsidTr="008060E5">
              <w:tc>
                <w:tcPr>
                  <w:tcW w:w="9213" w:type="dxa"/>
                </w:tcPr>
                <w:p w14:paraId="6D88C979" w14:textId="77777777" w:rsidR="00F755CB" w:rsidRPr="00B95D04" w:rsidRDefault="00F755CB" w:rsidP="008060E5">
                  <w:pPr>
                    <w:pStyle w:val="Oddelek"/>
                    <w:numPr>
                      <w:ilvl w:val="0"/>
                      <w:numId w:val="20"/>
                    </w:numPr>
                    <w:spacing w:before="0" w:after="0" w:line="260" w:lineRule="exact"/>
                    <w:jc w:val="left"/>
                    <w:rPr>
                      <w:rFonts w:cs="Arial"/>
                      <w:sz w:val="20"/>
                      <w:szCs w:val="20"/>
                      <w:lang w:val="sl-SI" w:eastAsia="sl-SI"/>
                    </w:rPr>
                  </w:pPr>
                  <w:r w:rsidRPr="00B95D04">
                    <w:rPr>
                      <w:rFonts w:cs="Arial"/>
                      <w:sz w:val="20"/>
                      <w:szCs w:val="20"/>
                      <w:lang w:val="sl-SI" w:eastAsia="sl-SI"/>
                    </w:rPr>
                    <w:t>OCENA STANJA IN RAZLOGI ZA SPREJEM PREDLOGA ZAKONA</w:t>
                  </w:r>
                </w:p>
                <w:p w14:paraId="6D88C97A" w14:textId="77777777" w:rsidR="00F755CB" w:rsidRPr="00B95D04" w:rsidRDefault="00F755CB" w:rsidP="008060E5">
                  <w:pPr>
                    <w:pStyle w:val="Oddelek"/>
                    <w:numPr>
                      <w:ilvl w:val="0"/>
                      <w:numId w:val="0"/>
                    </w:numPr>
                    <w:spacing w:before="0" w:after="0" w:line="260" w:lineRule="exact"/>
                    <w:ind w:left="720"/>
                    <w:jc w:val="left"/>
                    <w:rPr>
                      <w:rFonts w:cs="Arial"/>
                      <w:sz w:val="20"/>
                      <w:szCs w:val="20"/>
                      <w:lang w:val="sl-SI" w:eastAsia="sl-SI"/>
                    </w:rPr>
                  </w:pPr>
                </w:p>
              </w:tc>
            </w:tr>
            <w:tr w:rsidR="00F755CB" w:rsidRPr="00B95D04" w14:paraId="6D88C983" w14:textId="77777777" w:rsidTr="008060E5">
              <w:tc>
                <w:tcPr>
                  <w:tcW w:w="9213" w:type="dxa"/>
                </w:tcPr>
                <w:p w14:paraId="49D4EA0A" w14:textId="1C9E0D01" w:rsidR="005F7F12" w:rsidRPr="00B95D04" w:rsidRDefault="002017D4" w:rsidP="00243581">
                  <w:pPr>
                    <w:spacing w:after="0" w:line="260" w:lineRule="exact"/>
                    <w:jc w:val="both"/>
                    <w:rPr>
                      <w:rFonts w:ascii="Arial" w:eastAsia="Times New Roman" w:hAnsi="Arial" w:cs="Arial"/>
                      <w:sz w:val="20"/>
                      <w:szCs w:val="20"/>
                    </w:rPr>
                  </w:pPr>
                  <w:r w:rsidRPr="00B95D04">
                    <w:rPr>
                      <w:rFonts w:ascii="Arial" w:eastAsia="Times New Roman" w:hAnsi="Arial" w:cs="Arial"/>
                      <w:sz w:val="20"/>
                      <w:szCs w:val="20"/>
                    </w:rPr>
                    <w:t>1.1</w:t>
                  </w:r>
                </w:p>
                <w:p w14:paraId="3E08366C" w14:textId="2C938856" w:rsidR="00CB634C" w:rsidRPr="00B95D04" w:rsidRDefault="00CB634C" w:rsidP="00243581">
                  <w:pPr>
                    <w:spacing w:after="0" w:line="260" w:lineRule="exact"/>
                    <w:jc w:val="both"/>
                    <w:rPr>
                      <w:rFonts w:ascii="Arial" w:eastAsia="Times New Roman" w:hAnsi="Arial" w:cs="Arial"/>
                      <w:sz w:val="20"/>
                      <w:szCs w:val="20"/>
                    </w:rPr>
                  </w:pPr>
                  <w:r w:rsidRPr="00B95D04">
                    <w:rPr>
                      <w:rFonts w:ascii="Arial" w:eastAsia="Times New Roman" w:hAnsi="Arial" w:cs="Arial"/>
                      <w:sz w:val="20"/>
                      <w:szCs w:val="20"/>
                    </w:rPr>
                    <w:t xml:space="preserve">Z Zakonom o spremembah in dopolnitvah Zakona o davku od dohodkov pravnih oseb </w:t>
                  </w:r>
                  <w:r w:rsidRPr="00B95D04">
                    <w:rPr>
                      <w:rFonts w:ascii="Arial" w:eastAsia="Times New Roman" w:hAnsi="Arial" w:cs="Arial"/>
                      <w:sz w:val="20"/>
                      <w:szCs w:val="20"/>
                      <w:lang w:eastAsia="sl-SI"/>
                    </w:rPr>
                    <w:t>(Ur</w:t>
                  </w:r>
                  <w:r w:rsidR="000D44A9" w:rsidRPr="00B95D04">
                    <w:rPr>
                      <w:rFonts w:ascii="Arial" w:eastAsia="Times New Roman" w:hAnsi="Arial" w:cs="Arial"/>
                      <w:sz w:val="20"/>
                      <w:szCs w:val="20"/>
                      <w:lang w:eastAsia="sl-SI"/>
                    </w:rPr>
                    <w:t>adni list RS, št. 94/12) je bil</w:t>
                  </w:r>
                  <w:r w:rsidRPr="00B95D04">
                    <w:rPr>
                      <w:rFonts w:ascii="Arial" w:eastAsia="Times New Roman" w:hAnsi="Arial" w:cs="Arial"/>
                      <w:sz w:val="20"/>
                      <w:szCs w:val="20"/>
                      <w:lang w:eastAsia="sl-SI"/>
                    </w:rPr>
                    <w:t xml:space="preserve"> </w:t>
                  </w:r>
                  <w:r w:rsidRPr="00B95D04">
                    <w:rPr>
                      <w:rFonts w:ascii="Arial" w:eastAsia="Times New Roman" w:hAnsi="Arial" w:cs="Arial"/>
                      <w:sz w:val="20"/>
                      <w:szCs w:val="20"/>
                    </w:rPr>
                    <w:t>določen nov način ugotavljanja davčne osnove in posledično davka za določene zavezance. Določen</w:t>
                  </w:r>
                  <w:r w:rsidR="004A639F" w:rsidRPr="00B95D04">
                    <w:rPr>
                      <w:rFonts w:ascii="Arial" w:eastAsia="Times New Roman" w:hAnsi="Arial" w:cs="Arial"/>
                      <w:sz w:val="20"/>
                      <w:szCs w:val="20"/>
                    </w:rPr>
                    <w:t>a</w:t>
                  </w:r>
                  <w:r w:rsidRPr="00B95D04">
                    <w:rPr>
                      <w:rFonts w:ascii="Arial" w:eastAsia="Times New Roman" w:hAnsi="Arial" w:cs="Arial"/>
                      <w:sz w:val="20"/>
                      <w:szCs w:val="20"/>
                    </w:rPr>
                    <w:t xml:space="preserve"> je bil</w:t>
                  </w:r>
                  <w:r w:rsidR="004A639F" w:rsidRPr="00B95D04">
                    <w:rPr>
                      <w:rFonts w:ascii="Arial" w:eastAsia="Times New Roman" w:hAnsi="Arial" w:cs="Arial"/>
                      <w:sz w:val="20"/>
                      <w:szCs w:val="20"/>
                    </w:rPr>
                    <w:t>a</w:t>
                  </w:r>
                  <w:r w:rsidRPr="00B95D04">
                    <w:rPr>
                      <w:rFonts w:ascii="Arial" w:eastAsia="Times New Roman" w:hAnsi="Arial" w:cs="Arial"/>
                      <w:sz w:val="20"/>
                      <w:szCs w:val="20"/>
                    </w:rPr>
                    <w:t xml:space="preserve"> </w:t>
                  </w:r>
                  <w:r w:rsidR="004A639F" w:rsidRPr="00B95D04">
                    <w:rPr>
                      <w:rFonts w:ascii="Arial" w:eastAsia="Times New Roman" w:hAnsi="Arial" w:cs="Arial"/>
                      <w:sz w:val="20"/>
                      <w:szCs w:val="20"/>
                    </w:rPr>
                    <w:t xml:space="preserve">posebna opcijska ureditev za ugotavljanje davčne osnove z upoštevanjem normiranih odhodkov za določen </w:t>
                  </w:r>
                  <w:r w:rsidRPr="00B95D04">
                    <w:rPr>
                      <w:rFonts w:ascii="Arial" w:eastAsia="Times New Roman" w:hAnsi="Arial" w:cs="Arial"/>
                      <w:sz w:val="20"/>
                      <w:szCs w:val="20"/>
                    </w:rPr>
                    <w:t xml:space="preserve">krog zavezancev za davek od dohodkov pravnih oseb, ki </w:t>
                  </w:r>
                  <w:r w:rsidR="000D44A9" w:rsidRPr="00B95D04">
                    <w:rPr>
                      <w:rFonts w:ascii="Arial" w:eastAsia="Times New Roman" w:hAnsi="Arial" w:cs="Arial"/>
                      <w:sz w:val="20"/>
                      <w:szCs w:val="20"/>
                    </w:rPr>
                    <w:t xml:space="preserve">so </w:t>
                  </w:r>
                  <w:r w:rsidRPr="00B95D04">
                    <w:rPr>
                      <w:rFonts w:ascii="Arial" w:eastAsia="Times New Roman" w:hAnsi="Arial" w:cs="Arial"/>
                      <w:sz w:val="20"/>
                      <w:szCs w:val="20"/>
                    </w:rPr>
                    <w:t>doseg</w:t>
                  </w:r>
                  <w:r w:rsidR="000D44A9" w:rsidRPr="00B95D04">
                    <w:rPr>
                      <w:rFonts w:ascii="Arial" w:eastAsia="Times New Roman" w:hAnsi="Arial" w:cs="Arial"/>
                      <w:sz w:val="20"/>
                      <w:szCs w:val="20"/>
                    </w:rPr>
                    <w:t>li</w:t>
                  </w:r>
                  <w:r w:rsidRPr="00B95D04">
                    <w:rPr>
                      <w:rFonts w:ascii="Arial" w:eastAsia="Times New Roman" w:hAnsi="Arial" w:cs="Arial"/>
                      <w:sz w:val="20"/>
                      <w:szCs w:val="20"/>
                    </w:rPr>
                    <w:t xml:space="preserve"> prihodke do 50.000 </w:t>
                  </w:r>
                  <w:proofErr w:type="spellStart"/>
                  <w:r w:rsidRPr="00B95D04">
                    <w:rPr>
                      <w:rFonts w:ascii="Arial" w:eastAsia="Times New Roman" w:hAnsi="Arial" w:cs="Arial"/>
                      <w:sz w:val="20"/>
                      <w:szCs w:val="20"/>
                    </w:rPr>
                    <w:t>euro</w:t>
                  </w:r>
                  <w:r w:rsidR="004A639F" w:rsidRPr="00B95D04">
                    <w:rPr>
                      <w:rFonts w:ascii="Arial" w:eastAsia="Times New Roman" w:hAnsi="Arial" w:cs="Arial"/>
                      <w:sz w:val="20"/>
                      <w:szCs w:val="20"/>
                    </w:rPr>
                    <w:t>v</w:t>
                  </w:r>
                  <w:proofErr w:type="spellEnd"/>
                  <w:r w:rsidR="004A639F" w:rsidRPr="00B95D04">
                    <w:rPr>
                      <w:rFonts w:ascii="Arial" w:eastAsia="Times New Roman" w:hAnsi="Arial" w:cs="Arial"/>
                      <w:sz w:val="20"/>
                      <w:szCs w:val="20"/>
                    </w:rPr>
                    <w:t xml:space="preserve"> v predhodnem koledarskem letu</w:t>
                  </w:r>
                  <w:r w:rsidRPr="00B95D04">
                    <w:rPr>
                      <w:rFonts w:ascii="Arial" w:eastAsia="Times New Roman" w:hAnsi="Arial" w:cs="Arial"/>
                      <w:sz w:val="20"/>
                      <w:szCs w:val="20"/>
                    </w:rPr>
                    <w:t xml:space="preserve">. Na področju ugotavljanja oziroma priznavanja prihodkov za davčne namene za te zavezance ni </w:t>
                  </w:r>
                  <w:r w:rsidR="00D55AB6" w:rsidRPr="00B95D04">
                    <w:rPr>
                      <w:rFonts w:ascii="Arial" w:eastAsia="Times New Roman" w:hAnsi="Arial" w:cs="Arial"/>
                      <w:sz w:val="20"/>
                      <w:szCs w:val="20"/>
                    </w:rPr>
                    <w:t xml:space="preserve">bilo </w:t>
                  </w:r>
                  <w:r w:rsidRPr="00B95D04">
                    <w:rPr>
                      <w:rFonts w:ascii="Arial" w:eastAsia="Times New Roman" w:hAnsi="Arial" w:cs="Arial"/>
                      <w:sz w:val="20"/>
                      <w:szCs w:val="20"/>
                    </w:rPr>
                    <w:t xml:space="preserve">sprememb, sprememba pa je bila določena </w:t>
                  </w:r>
                  <w:r w:rsidR="00582851" w:rsidRPr="00B95D04">
                    <w:rPr>
                      <w:rFonts w:ascii="Arial" w:eastAsia="Times New Roman" w:hAnsi="Arial" w:cs="Arial"/>
                      <w:sz w:val="20"/>
                      <w:szCs w:val="20"/>
                    </w:rPr>
                    <w:t>glede</w:t>
                  </w:r>
                  <w:r w:rsidRPr="00B95D04">
                    <w:rPr>
                      <w:rFonts w:ascii="Arial" w:eastAsia="Times New Roman" w:hAnsi="Arial" w:cs="Arial"/>
                      <w:sz w:val="20"/>
                      <w:szCs w:val="20"/>
                    </w:rPr>
                    <w:t xml:space="preserve"> priznavanja odhodkov za davčne namene, ki se priznajo v normiranem znesku</w:t>
                  </w:r>
                  <w:r w:rsidR="0066236B" w:rsidRPr="00B95D04">
                    <w:rPr>
                      <w:rFonts w:ascii="Arial" w:eastAsia="Times New Roman" w:hAnsi="Arial" w:cs="Arial"/>
                      <w:sz w:val="20"/>
                      <w:szCs w:val="20"/>
                    </w:rPr>
                    <w:t xml:space="preserve"> v višini </w:t>
                  </w:r>
                  <w:r w:rsidR="00D55AB6" w:rsidRPr="00B95D04">
                    <w:rPr>
                      <w:rFonts w:ascii="Arial" w:eastAsia="Times New Roman" w:hAnsi="Arial" w:cs="Arial"/>
                      <w:sz w:val="20"/>
                      <w:szCs w:val="20"/>
                    </w:rPr>
                    <w:t>7</w:t>
                  </w:r>
                  <w:r w:rsidR="0066236B" w:rsidRPr="00B95D04">
                    <w:rPr>
                      <w:rFonts w:ascii="Arial" w:eastAsia="Times New Roman" w:hAnsi="Arial" w:cs="Arial"/>
                      <w:sz w:val="20"/>
                      <w:szCs w:val="20"/>
                    </w:rPr>
                    <w:t>0</w:t>
                  </w:r>
                  <w:r w:rsidR="004A639F" w:rsidRPr="00B95D04">
                    <w:rPr>
                      <w:rFonts w:ascii="Arial" w:eastAsia="Times New Roman" w:hAnsi="Arial" w:cs="Arial"/>
                      <w:sz w:val="20"/>
                      <w:szCs w:val="20"/>
                    </w:rPr>
                    <w:t xml:space="preserve"> </w:t>
                  </w:r>
                  <w:r w:rsidR="0066236B" w:rsidRPr="00B95D04">
                    <w:rPr>
                      <w:rFonts w:ascii="Arial" w:eastAsia="Times New Roman" w:hAnsi="Arial" w:cs="Arial"/>
                      <w:sz w:val="20"/>
                      <w:szCs w:val="20"/>
                    </w:rPr>
                    <w:t xml:space="preserve">% davčno priznanih </w:t>
                  </w:r>
                  <w:r w:rsidR="004845AB" w:rsidRPr="00B95D04">
                    <w:rPr>
                      <w:rFonts w:ascii="Arial" w:eastAsia="Times New Roman" w:hAnsi="Arial" w:cs="Arial"/>
                      <w:sz w:val="20"/>
                      <w:szCs w:val="20"/>
                    </w:rPr>
                    <w:t>pri</w:t>
                  </w:r>
                  <w:r w:rsidR="0066236B" w:rsidRPr="00B95D04">
                    <w:rPr>
                      <w:rFonts w:ascii="Arial" w:eastAsia="Times New Roman" w:hAnsi="Arial" w:cs="Arial"/>
                      <w:sz w:val="20"/>
                      <w:szCs w:val="20"/>
                    </w:rPr>
                    <w:t>hodkov</w:t>
                  </w:r>
                  <w:r w:rsidRPr="00B95D04">
                    <w:rPr>
                      <w:rFonts w:ascii="Arial" w:eastAsia="Times New Roman" w:hAnsi="Arial" w:cs="Arial"/>
                      <w:sz w:val="20"/>
                      <w:szCs w:val="20"/>
                    </w:rPr>
                    <w:t xml:space="preserve">. Ocenjeno je bilo, da </w:t>
                  </w:r>
                  <w:r w:rsidR="00664411" w:rsidRPr="00B95D04">
                    <w:rPr>
                      <w:rFonts w:ascii="Arial" w:eastAsia="Times New Roman" w:hAnsi="Arial" w:cs="Arial"/>
                      <w:sz w:val="20"/>
                      <w:szCs w:val="20"/>
                    </w:rPr>
                    <w:t xml:space="preserve">gre za </w:t>
                  </w:r>
                  <w:r w:rsidRPr="00B95D04">
                    <w:rPr>
                      <w:rFonts w:ascii="Arial" w:eastAsia="Times New Roman" w:hAnsi="Arial" w:cs="Arial"/>
                      <w:sz w:val="20"/>
                      <w:szCs w:val="20"/>
                    </w:rPr>
                    <w:t>določeno razbremenitev, ki olajšuje in poenostavlja obračunavanje in plačevanje davka</w:t>
                  </w:r>
                  <w:r w:rsidR="00664411" w:rsidRPr="00B95D04">
                    <w:rPr>
                      <w:rFonts w:ascii="Arial" w:eastAsia="Times New Roman" w:hAnsi="Arial" w:cs="Arial"/>
                      <w:sz w:val="20"/>
                      <w:szCs w:val="20"/>
                    </w:rPr>
                    <w:t xml:space="preserve">, predvsem za </w:t>
                  </w:r>
                  <w:r w:rsidRPr="00B95D04">
                    <w:rPr>
                      <w:rFonts w:ascii="Arial" w:eastAsia="Times New Roman" w:hAnsi="Arial" w:cs="Arial"/>
                      <w:sz w:val="20"/>
                      <w:szCs w:val="20"/>
                    </w:rPr>
                    <w:t>mal</w:t>
                  </w:r>
                  <w:r w:rsidR="00664411" w:rsidRPr="00B95D04">
                    <w:rPr>
                      <w:rFonts w:ascii="Arial" w:eastAsia="Times New Roman" w:hAnsi="Arial" w:cs="Arial"/>
                      <w:sz w:val="20"/>
                      <w:szCs w:val="20"/>
                    </w:rPr>
                    <w:t>e</w:t>
                  </w:r>
                  <w:r w:rsidRPr="00B95D04">
                    <w:rPr>
                      <w:rFonts w:ascii="Arial" w:eastAsia="Times New Roman" w:hAnsi="Arial" w:cs="Arial"/>
                      <w:sz w:val="20"/>
                      <w:szCs w:val="20"/>
                    </w:rPr>
                    <w:t xml:space="preserve"> davčn</w:t>
                  </w:r>
                  <w:r w:rsidR="00664411" w:rsidRPr="00B95D04">
                    <w:rPr>
                      <w:rFonts w:ascii="Arial" w:eastAsia="Times New Roman" w:hAnsi="Arial" w:cs="Arial"/>
                      <w:sz w:val="20"/>
                      <w:szCs w:val="20"/>
                    </w:rPr>
                    <w:t>e</w:t>
                  </w:r>
                  <w:r w:rsidRPr="00B95D04">
                    <w:rPr>
                      <w:rFonts w:ascii="Arial" w:eastAsia="Times New Roman" w:hAnsi="Arial" w:cs="Arial"/>
                      <w:sz w:val="20"/>
                      <w:szCs w:val="20"/>
                    </w:rPr>
                    <w:t xml:space="preserve"> zavezance z nizkimi prihodki.</w:t>
                  </w:r>
                </w:p>
                <w:p w14:paraId="36BC33D4" w14:textId="77777777" w:rsidR="003B2D8B" w:rsidRPr="00B95D04" w:rsidRDefault="003B2D8B" w:rsidP="00243581">
                  <w:pPr>
                    <w:spacing w:after="0" w:line="260" w:lineRule="exact"/>
                    <w:jc w:val="both"/>
                    <w:rPr>
                      <w:rFonts w:ascii="Arial" w:eastAsia="Times New Roman" w:hAnsi="Arial" w:cs="Arial"/>
                      <w:sz w:val="20"/>
                      <w:szCs w:val="20"/>
                    </w:rPr>
                  </w:pPr>
                </w:p>
                <w:p w14:paraId="3F97062D" w14:textId="74C0C2FC" w:rsidR="00D55AB6" w:rsidRPr="00B95D04" w:rsidRDefault="0066236B" w:rsidP="00105489">
                  <w:pPr>
                    <w:jc w:val="both"/>
                    <w:rPr>
                      <w:rFonts w:ascii="Arial" w:eastAsia="Times New Roman" w:hAnsi="Arial" w:cs="Arial"/>
                      <w:sz w:val="20"/>
                      <w:szCs w:val="20"/>
                    </w:rPr>
                  </w:pPr>
                  <w:r w:rsidRPr="00B95D04">
                    <w:rPr>
                      <w:rFonts w:ascii="Arial" w:eastAsia="Times New Roman" w:hAnsi="Arial" w:cs="Arial"/>
                      <w:sz w:val="20"/>
                      <w:szCs w:val="20"/>
                    </w:rPr>
                    <w:t xml:space="preserve">Zakon o spremembah Zakona o davku od dohodkov pravnih oseb (Uradni list RS, št. 50/14) pa je določil še </w:t>
                  </w:r>
                  <w:r w:rsidR="00582851" w:rsidRPr="00B95D04">
                    <w:rPr>
                      <w:rFonts w:ascii="Arial" w:eastAsia="Times New Roman" w:hAnsi="Arial" w:cs="Arial"/>
                      <w:sz w:val="20"/>
                      <w:szCs w:val="20"/>
                    </w:rPr>
                    <w:t>mejo</w:t>
                  </w:r>
                  <w:r w:rsidRPr="00B95D04">
                    <w:rPr>
                      <w:rFonts w:ascii="Arial" w:eastAsia="Times New Roman" w:hAnsi="Arial" w:cs="Arial"/>
                      <w:sz w:val="20"/>
                      <w:szCs w:val="20"/>
                    </w:rPr>
                    <w:t xml:space="preserve"> prihodkov</w:t>
                  </w:r>
                  <w:r w:rsidR="00D55AB6" w:rsidRPr="00B95D04">
                    <w:rPr>
                      <w:rFonts w:ascii="Arial" w:eastAsia="Times New Roman" w:hAnsi="Arial" w:cs="Arial"/>
                      <w:sz w:val="20"/>
                      <w:szCs w:val="20"/>
                    </w:rPr>
                    <w:t>,</w:t>
                  </w:r>
                  <w:r w:rsidRPr="00B95D04">
                    <w:rPr>
                      <w:rFonts w:ascii="Arial" w:eastAsia="Times New Roman" w:hAnsi="Arial" w:cs="Arial"/>
                      <w:sz w:val="20"/>
                      <w:szCs w:val="20"/>
                    </w:rPr>
                    <w:t xml:space="preserve"> </w:t>
                  </w:r>
                  <w:r w:rsidR="00D55AB6" w:rsidRPr="00B95D04">
                    <w:rPr>
                      <w:rFonts w:ascii="Arial" w:eastAsia="Times New Roman" w:hAnsi="Arial" w:cs="Arial"/>
                      <w:sz w:val="20"/>
                      <w:szCs w:val="20"/>
                    </w:rPr>
                    <w:t>ki je določen</w:t>
                  </w:r>
                  <w:r w:rsidR="00582851" w:rsidRPr="00B95D04">
                    <w:rPr>
                      <w:rFonts w:ascii="Arial" w:eastAsia="Times New Roman" w:hAnsi="Arial" w:cs="Arial"/>
                      <w:sz w:val="20"/>
                      <w:szCs w:val="20"/>
                    </w:rPr>
                    <w:t>a</w:t>
                  </w:r>
                  <w:r w:rsidR="00D55AB6" w:rsidRPr="00B95D04">
                    <w:rPr>
                      <w:rFonts w:ascii="Arial" w:eastAsia="Times New Roman" w:hAnsi="Arial" w:cs="Arial"/>
                      <w:sz w:val="20"/>
                      <w:szCs w:val="20"/>
                    </w:rPr>
                    <w:t xml:space="preserve"> kot pogoj za vstop v sistem, in sicer v višini 100.000 </w:t>
                  </w:r>
                  <w:proofErr w:type="spellStart"/>
                  <w:r w:rsidR="00D55AB6" w:rsidRPr="00B95D04">
                    <w:rPr>
                      <w:rFonts w:ascii="Arial" w:eastAsia="Times New Roman" w:hAnsi="Arial" w:cs="Arial"/>
                      <w:sz w:val="20"/>
                      <w:szCs w:val="20"/>
                    </w:rPr>
                    <w:t>eurov</w:t>
                  </w:r>
                  <w:proofErr w:type="spellEnd"/>
                  <w:r w:rsidR="00D55AB6" w:rsidRPr="00B95D04">
                    <w:rPr>
                      <w:rFonts w:ascii="Arial" w:eastAsia="Times New Roman" w:hAnsi="Arial" w:cs="Arial"/>
                      <w:sz w:val="20"/>
                      <w:szCs w:val="20"/>
                    </w:rPr>
                    <w:t xml:space="preserve">, pod pogojem, da je bila pri zavezancu v skladu s predpisi, ki urejajo pokojninsko in invalidsko zavarovanje, obvezno zavarovana vsaj ena oseba za polni delovni čas neprekinjeno najmanj pet mesecev. Dodatno se je </w:t>
                  </w:r>
                  <w:r w:rsidR="00582851" w:rsidRPr="00B95D04">
                    <w:rPr>
                      <w:rFonts w:ascii="Arial" w:eastAsia="Times New Roman" w:hAnsi="Arial" w:cs="Arial"/>
                      <w:sz w:val="20"/>
                      <w:szCs w:val="20"/>
                    </w:rPr>
                    <w:t>povečala</w:t>
                  </w:r>
                  <w:r w:rsidR="00D55AB6" w:rsidRPr="00B95D04">
                    <w:rPr>
                      <w:rFonts w:ascii="Arial" w:eastAsia="Times New Roman" w:hAnsi="Arial" w:cs="Arial"/>
                      <w:sz w:val="20"/>
                      <w:szCs w:val="20"/>
                    </w:rPr>
                    <w:t xml:space="preserve"> </w:t>
                  </w:r>
                  <w:r w:rsidR="004A639F" w:rsidRPr="00B95D04">
                    <w:rPr>
                      <w:rFonts w:ascii="Arial" w:eastAsia="Times New Roman" w:hAnsi="Arial" w:cs="Arial"/>
                      <w:sz w:val="20"/>
                      <w:szCs w:val="20"/>
                    </w:rPr>
                    <w:t>tudi</w:t>
                  </w:r>
                  <w:r w:rsidR="00D55AB6" w:rsidRPr="00B95D04">
                    <w:rPr>
                      <w:rFonts w:ascii="Arial" w:eastAsia="Times New Roman" w:hAnsi="Arial" w:cs="Arial"/>
                      <w:sz w:val="20"/>
                      <w:szCs w:val="20"/>
                    </w:rPr>
                    <w:t xml:space="preserve"> višina normiranih odhodkov na 80 % davčno priznanih prihodkov.</w:t>
                  </w:r>
                </w:p>
                <w:p w14:paraId="684E84D8" w14:textId="5AFE5324" w:rsidR="00E838BC" w:rsidRPr="00B95D04" w:rsidRDefault="00E838BC" w:rsidP="00E838BC">
                  <w:pPr>
                    <w:jc w:val="both"/>
                    <w:rPr>
                      <w:rFonts w:ascii="Arial" w:eastAsia="Times New Roman" w:hAnsi="Arial" w:cs="Arial"/>
                      <w:sz w:val="20"/>
                      <w:szCs w:val="20"/>
                    </w:rPr>
                  </w:pPr>
                  <w:r w:rsidRPr="00B95D04">
                    <w:rPr>
                      <w:rFonts w:ascii="Arial" w:eastAsia="Times New Roman" w:hAnsi="Arial" w:cs="Arial"/>
                      <w:sz w:val="20"/>
                      <w:szCs w:val="20"/>
                    </w:rPr>
                    <w:t xml:space="preserve">Iz obračunskih podatkov davka od dohodkov pravnih oseb je razvidno, da so zavezanci, ki so ugotavljali davčno osnovo na podlagi normiranih odhodkov, od leta 2013 do </w:t>
                  </w:r>
                  <w:r w:rsidR="000D44A9" w:rsidRPr="00B95D04">
                    <w:rPr>
                      <w:rFonts w:ascii="Arial" w:eastAsia="Times New Roman" w:hAnsi="Arial" w:cs="Arial"/>
                      <w:sz w:val="20"/>
                      <w:szCs w:val="20"/>
                    </w:rPr>
                    <w:t xml:space="preserve">leta </w:t>
                  </w:r>
                  <w:r w:rsidRPr="00B95D04">
                    <w:rPr>
                      <w:rFonts w:ascii="Arial" w:eastAsia="Times New Roman" w:hAnsi="Arial" w:cs="Arial"/>
                      <w:sz w:val="20"/>
                      <w:szCs w:val="20"/>
                    </w:rPr>
                    <w:t>201</w:t>
                  </w:r>
                  <w:r w:rsidR="005229AC" w:rsidRPr="00B95D04">
                    <w:rPr>
                      <w:rFonts w:ascii="Arial" w:eastAsia="Times New Roman" w:hAnsi="Arial" w:cs="Arial"/>
                      <w:sz w:val="20"/>
                      <w:szCs w:val="20"/>
                    </w:rPr>
                    <w:t>6</w:t>
                  </w:r>
                  <w:r w:rsidRPr="00B95D04">
                    <w:rPr>
                      <w:rFonts w:ascii="Arial" w:eastAsia="Times New Roman" w:hAnsi="Arial" w:cs="Arial"/>
                      <w:sz w:val="20"/>
                      <w:szCs w:val="20"/>
                    </w:rPr>
                    <w:t xml:space="preserve"> v povprečju predstavljali le 0,</w:t>
                  </w:r>
                  <w:r w:rsidR="003C2F31" w:rsidRPr="00B95D04">
                    <w:rPr>
                      <w:rFonts w:ascii="Arial" w:eastAsia="Times New Roman" w:hAnsi="Arial" w:cs="Arial"/>
                      <w:sz w:val="20"/>
                      <w:szCs w:val="20"/>
                    </w:rPr>
                    <w:t>6</w:t>
                  </w:r>
                  <w:r w:rsidRPr="00B95D04">
                    <w:rPr>
                      <w:rFonts w:ascii="Arial" w:eastAsia="Times New Roman" w:hAnsi="Arial" w:cs="Arial"/>
                      <w:sz w:val="20"/>
                      <w:szCs w:val="20"/>
                    </w:rPr>
                    <w:t xml:space="preserve"> % glede na vse zavezance, ki so oddali obračun davka. V letu 201</w:t>
                  </w:r>
                  <w:r w:rsidR="005229AC" w:rsidRPr="00B95D04">
                    <w:rPr>
                      <w:rFonts w:ascii="Arial" w:eastAsia="Times New Roman" w:hAnsi="Arial" w:cs="Arial"/>
                      <w:sz w:val="20"/>
                      <w:szCs w:val="20"/>
                    </w:rPr>
                    <w:t>6</w:t>
                  </w:r>
                  <w:r w:rsidRPr="00B95D04">
                    <w:rPr>
                      <w:rFonts w:ascii="Arial" w:eastAsia="Times New Roman" w:hAnsi="Arial" w:cs="Arial"/>
                      <w:sz w:val="20"/>
                      <w:szCs w:val="20"/>
                    </w:rPr>
                    <w:t xml:space="preserve"> je bilo 1</w:t>
                  </w:r>
                  <w:r w:rsidR="005229AC" w:rsidRPr="00B95D04">
                    <w:rPr>
                      <w:rFonts w:ascii="Arial" w:eastAsia="Times New Roman" w:hAnsi="Arial" w:cs="Arial"/>
                      <w:sz w:val="20"/>
                      <w:szCs w:val="20"/>
                    </w:rPr>
                    <w:t>.044</w:t>
                  </w:r>
                  <w:r w:rsidRPr="00B95D04">
                    <w:rPr>
                      <w:rFonts w:ascii="Arial" w:eastAsia="Times New Roman" w:hAnsi="Arial" w:cs="Arial"/>
                      <w:sz w:val="20"/>
                      <w:szCs w:val="20"/>
                    </w:rPr>
                    <w:t xml:space="preserve"> zavezancev za davek od dohodkov pravnih oseb, ki so ugotavljali davčno osnovo na podlagi normiranih odhodkov, kar </w:t>
                  </w:r>
                  <w:r w:rsidR="00582851" w:rsidRPr="00B95D04">
                    <w:rPr>
                      <w:rFonts w:ascii="Arial" w:eastAsia="Times New Roman" w:hAnsi="Arial" w:cs="Arial"/>
                      <w:sz w:val="20"/>
                      <w:szCs w:val="20"/>
                    </w:rPr>
                    <w:t>je</w:t>
                  </w:r>
                  <w:r w:rsidRPr="00B95D04">
                    <w:rPr>
                      <w:rFonts w:ascii="Arial" w:eastAsia="Times New Roman" w:hAnsi="Arial" w:cs="Arial"/>
                      <w:sz w:val="20"/>
                      <w:szCs w:val="20"/>
                    </w:rPr>
                    <w:t xml:space="preserve"> </w:t>
                  </w:r>
                  <w:r w:rsidR="005229AC" w:rsidRPr="00B95D04">
                    <w:rPr>
                      <w:rFonts w:ascii="Arial" w:eastAsia="Times New Roman" w:hAnsi="Arial" w:cs="Arial"/>
                      <w:sz w:val="20"/>
                      <w:szCs w:val="20"/>
                    </w:rPr>
                    <w:t>3</w:t>
                  </w:r>
                  <w:r w:rsidRPr="00B95D04">
                    <w:rPr>
                      <w:rFonts w:ascii="Arial" w:eastAsia="Times New Roman" w:hAnsi="Arial" w:cs="Arial"/>
                      <w:sz w:val="20"/>
                      <w:szCs w:val="20"/>
                    </w:rPr>
                    <w:t xml:space="preserve"> % vseh zavezancev, ki bi lahko vstopili v ta sistem.</w:t>
                  </w:r>
                </w:p>
                <w:p w14:paraId="46EF5F93" w14:textId="2A159630" w:rsidR="00D55AB6" w:rsidRPr="00B95D04" w:rsidRDefault="00D55AB6" w:rsidP="00D55AB6">
                  <w:pPr>
                    <w:jc w:val="both"/>
                    <w:rPr>
                      <w:rFonts w:ascii="Arial" w:eastAsia="Times New Roman" w:hAnsi="Arial" w:cs="Arial"/>
                      <w:sz w:val="20"/>
                      <w:szCs w:val="20"/>
                    </w:rPr>
                  </w:pPr>
                  <w:r w:rsidRPr="00B95D04">
                    <w:rPr>
                      <w:rFonts w:ascii="Arial" w:eastAsia="Times New Roman" w:hAnsi="Arial" w:cs="Arial"/>
                      <w:sz w:val="20"/>
                      <w:szCs w:val="20"/>
                    </w:rPr>
                    <w:t>V</w:t>
                  </w:r>
                  <w:r w:rsidR="003B2D8B" w:rsidRPr="00B95D04">
                    <w:rPr>
                      <w:rFonts w:ascii="Arial" w:eastAsia="Times New Roman" w:hAnsi="Arial" w:cs="Arial"/>
                      <w:sz w:val="20"/>
                      <w:szCs w:val="20"/>
                    </w:rPr>
                    <w:t>se od uveljavitve sistema se je število zavezancev</w:t>
                  </w:r>
                  <w:r w:rsidRPr="00B95D04">
                    <w:rPr>
                      <w:rFonts w:ascii="Arial" w:eastAsia="Times New Roman" w:hAnsi="Arial" w:cs="Arial"/>
                      <w:sz w:val="20"/>
                      <w:szCs w:val="20"/>
                    </w:rPr>
                    <w:t>, ki so ugotavljali davčno osnovo na podlagi normiranih odhodkov</w:t>
                  </w:r>
                  <w:r w:rsidR="000D44A9" w:rsidRPr="00B95D04">
                    <w:rPr>
                      <w:rFonts w:ascii="Arial" w:eastAsia="Times New Roman" w:hAnsi="Arial" w:cs="Arial"/>
                      <w:sz w:val="20"/>
                      <w:szCs w:val="20"/>
                    </w:rPr>
                    <w:t>,</w:t>
                  </w:r>
                  <w:r w:rsidR="003B2D8B" w:rsidRPr="00B95D04">
                    <w:rPr>
                      <w:rFonts w:ascii="Arial" w:eastAsia="Times New Roman" w:hAnsi="Arial" w:cs="Arial"/>
                      <w:sz w:val="20"/>
                      <w:szCs w:val="20"/>
                    </w:rPr>
                    <w:t xml:space="preserve"> ves čas povečevalo</w:t>
                  </w:r>
                  <w:r w:rsidRPr="00B95D04">
                    <w:rPr>
                      <w:rFonts w:ascii="Arial" w:eastAsia="Times New Roman" w:hAnsi="Arial" w:cs="Arial"/>
                      <w:sz w:val="20"/>
                      <w:szCs w:val="20"/>
                    </w:rPr>
                    <w:t>. V letu 201</w:t>
                  </w:r>
                  <w:r w:rsidR="00A84394" w:rsidRPr="00B95D04">
                    <w:rPr>
                      <w:rFonts w:ascii="Arial" w:eastAsia="Times New Roman" w:hAnsi="Arial" w:cs="Arial"/>
                      <w:sz w:val="20"/>
                      <w:szCs w:val="20"/>
                    </w:rPr>
                    <w:t>6</w:t>
                  </w:r>
                  <w:r w:rsidRPr="00B95D04">
                    <w:rPr>
                      <w:rFonts w:ascii="Arial" w:eastAsia="Times New Roman" w:hAnsi="Arial" w:cs="Arial"/>
                      <w:sz w:val="20"/>
                      <w:szCs w:val="20"/>
                    </w:rPr>
                    <w:t xml:space="preserve"> se je kar </w:t>
                  </w:r>
                  <w:r w:rsidR="00A84394" w:rsidRPr="00B95D04">
                    <w:rPr>
                      <w:rFonts w:ascii="Arial" w:eastAsia="Times New Roman" w:hAnsi="Arial" w:cs="Arial"/>
                      <w:sz w:val="20"/>
                      <w:szCs w:val="20"/>
                    </w:rPr>
                    <w:t>43</w:t>
                  </w:r>
                  <w:r w:rsidRPr="00B95D04">
                    <w:rPr>
                      <w:rFonts w:ascii="Arial" w:eastAsia="Times New Roman" w:hAnsi="Arial" w:cs="Arial"/>
                      <w:sz w:val="20"/>
                      <w:szCs w:val="20"/>
                    </w:rPr>
                    <w:t xml:space="preserve"> % več zavezancev odločilo za ugotavljanje davčne osnove na podlagi normiranih odhodkov kot v predhodnem letu</w:t>
                  </w:r>
                  <w:r w:rsidR="00A84394" w:rsidRPr="00B95D04">
                    <w:rPr>
                      <w:rFonts w:ascii="Arial" w:eastAsia="Times New Roman" w:hAnsi="Arial" w:cs="Arial"/>
                      <w:sz w:val="20"/>
                      <w:szCs w:val="20"/>
                    </w:rPr>
                    <w:t>, glede</w:t>
                  </w:r>
                  <w:r w:rsidR="00823213" w:rsidRPr="00B95D04">
                    <w:rPr>
                      <w:rFonts w:ascii="Arial" w:eastAsia="Times New Roman" w:hAnsi="Arial" w:cs="Arial"/>
                      <w:sz w:val="20"/>
                      <w:szCs w:val="20"/>
                    </w:rPr>
                    <w:t xml:space="preserve"> </w:t>
                  </w:r>
                  <w:r w:rsidR="00A84394" w:rsidRPr="00B95D04">
                    <w:rPr>
                      <w:rFonts w:ascii="Arial" w:eastAsia="Times New Roman" w:hAnsi="Arial" w:cs="Arial"/>
                      <w:sz w:val="20"/>
                      <w:szCs w:val="20"/>
                    </w:rPr>
                    <w:t>na leto 2013 pa je zavezancev že 4,3-krat več</w:t>
                  </w:r>
                  <w:r w:rsidRPr="00B95D04">
                    <w:rPr>
                      <w:rFonts w:ascii="Arial" w:eastAsia="Times New Roman" w:hAnsi="Arial" w:cs="Arial"/>
                      <w:sz w:val="20"/>
                      <w:szCs w:val="20"/>
                    </w:rPr>
                    <w:t xml:space="preserve">. Največ </w:t>
                  </w:r>
                  <w:r w:rsidR="00823213" w:rsidRPr="00B95D04">
                    <w:rPr>
                      <w:rFonts w:ascii="Arial" w:eastAsia="Times New Roman" w:hAnsi="Arial" w:cs="Arial"/>
                      <w:sz w:val="20"/>
                      <w:szCs w:val="20"/>
                    </w:rPr>
                    <w:t xml:space="preserve">tovrstnih zavezancev </w:t>
                  </w:r>
                  <w:r w:rsidRPr="00B95D04">
                    <w:rPr>
                      <w:rFonts w:ascii="Arial" w:eastAsia="Times New Roman" w:hAnsi="Arial" w:cs="Arial"/>
                      <w:sz w:val="20"/>
                      <w:szCs w:val="20"/>
                    </w:rPr>
                    <w:t>je bil</w:t>
                  </w:r>
                  <w:r w:rsidR="00A25EF8" w:rsidRPr="00B95D04">
                    <w:rPr>
                      <w:rFonts w:ascii="Arial" w:eastAsia="Times New Roman" w:hAnsi="Arial" w:cs="Arial"/>
                      <w:sz w:val="20"/>
                      <w:szCs w:val="20"/>
                    </w:rPr>
                    <w:t xml:space="preserve">o od leta 2013 do </w:t>
                  </w:r>
                  <w:r w:rsidR="000D44A9" w:rsidRPr="00B95D04">
                    <w:rPr>
                      <w:rFonts w:ascii="Arial" w:eastAsia="Times New Roman" w:hAnsi="Arial" w:cs="Arial"/>
                      <w:sz w:val="20"/>
                      <w:szCs w:val="20"/>
                    </w:rPr>
                    <w:t xml:space="preserve">leta </w:t>
                  </w:r>
                  <w:r w:rsidR="00A25EF8" w:rsidRPr="00B95D04">
                    <w:rPr>
                      <w:rFonts w:ascii="Arial" w:eastAsia="Times New Roman" w:hAnsi="Arial" w:cs="Arial"/>
                      <w:sz w:val="20"/>
                      <w:szCs w:val="20"/>
                    </w:rPr>
                    <w:t>2016</w:t>
                  </w:r>
                  <w:r w:rsidRPr="00B95D04">
                    <w:rPr>
                      <w:rFonts w:ascii="Arial" w:eastAsia="Times New Roman" w:hAnsi="Arial" w:cs="Arial"/>
                      <w:sz w:val="20"/>
                      <w:szCs w:val="20"/>
                    </w:rPr>
                    <w:t xml:space="preserve"> na področju storitvenih dejavnost</w:t>
                  </w:r>
                  <w:r w:rsidR="00823213" w:rsidRPr="00B95D04">
                    <w:rPr>
                      <w:rFonts w:ascii="Arial" w:eastAsia="Times New Roman" w:hAnsi="Arial" w:cs="Arial"/>
                      <w:sz w:val="20"/>
                      <w:szCs w:val="20"/>
                    </w:rPr>
                    <w:t>i</w:t>
                  </w:r>
                  <w:r w:rsidR="003B2D8B" w:rsidRPr="00B95D04">
                    <w:rPr>
                      <w:rFonts w:ascii="Arial" w:eastAsia="Times New Roman" w:hAnsi="Arial" w:cs="Arial"/>
                      <w:sz w:val="20"/>
                      <w:szCs w:val="20"/>
                    </w:rPr>
                    <w:t>, in sicer prevladujejo strokovne, znanstvene in tehnične dejavnosti</w:t>
                  </w:r>
                  <w:r w:rsidR="00A25EF8" w:rsidRPr="00B95D04">
                    <w:rPr>
                      <w:rFonts w:ascii="Arial" w:eastAsia="Times New Roman" w:hAnsi="Arial" w:cs="Arial"/>
                      <w:sz w:val="20"/>
                      <w:szCs w:val="20"/>
                    </w:rPr>
                    <w:t xml:space="preserve"> (v povprečju kar okrog 51 % vseh </w:t>
                  </w:r>
                  <w:proofErr w:type="spellStart"/>
                  <w:r w:rsidR="00A25EF8" w:rsidRPr="00B95D04">
                    <w:rPr>
                      <w:rFonts w:ascii="Arial" w:eastAsia="Times New Roman" w:hAnsi="Arial" w:cs="Arial"/>
                      <w:sz w:val="20"/>
                      <w:szCs w:val="20"/>
                    </w:rPr>
                    <w:t>normirancev</w:t>
                  </w:r>
                  <w:proofErr w:type="spellEnd"/>
                  <w:r w:rsidR="00A25EF8" w:rsidRPr="00B95D04">
                    <w:rPr>
                      <w:rFonts w:ascii="Arial" w:eastAsia="Times New Roman" w:hAnsi="Arial" w:cs="Arial"/>
                      <w:sz w:val="20"/>
                      <w:szCs w:val="20"/>
                    </w:rPr>
                    <w:t>)</w:t>
                  </w:r>
                  <w:r w:rsidR="003B2D8B" w:rsidRPr="00B95D04">
                    <w:rPr>
                      <w:rFonts w:ascii="Arial" w:eastAsia="Times New Roman" w:hAnsi="Arial" w:cs="Arial"/>
                      <w:sz w:val="20"/>
                      <w:szCs w:val="20"/>
                    </w:rPr>
                    <w:t xml:space="preserve">, sledijo pa dejavnosti trgovine, </w:t>
                  </w:r>
                  <w:r w:rsidR="006954D4" w:rsidRPr="00B95D04">
                    <w:rPr>
                      <w:rFonts w:ascii="Arial" w:eastAsia="Times New Roman" w:hAnsi="Arial" w:cs="Arial"/>
                      <w:sz w:val="20"/>
                      <w:szCs w:val="20"/>
                    </w:rPr>
                    <w:t>vzdrževanje in popravilo motornih vozil</w:t>
                  </w:r>
                  <w:r w:rsidR="00A25EF8" w:rsidRPr="00B95D04">
                    <w:rPr>
                      <w:rFonts w:ascii="Arial" w:eastAsia="Times New Roman" w:hAnsi="Arial" w:cs="Arial"/>
                      <w:sz w:val="20"/>
                      <w:szCs w:val="20"/>
                    </w:rPr>
                    <w:t xml:space="preserve"> (11,5 % vseh </w:t>
                  </w:r>
                  <w:proofErr w:type="spellStart"/>
                  <w:r w:rsidR="00A25EF8" w:rsidRPr="00B95D04">
                    <w:rPr>
                      <w:rFonts w:ascii="Arial" w:eastAsia="Times New Roman" w:hAnsi="Arial" w:cs="Arial"/>
                      <w:sz w:val="20"/>
                      <w:szCs w:val="20"/>
                    </w:rPr>
                    <w:t>normirancev</w:t>
                  </w:r>
                  <w:proofErr w:type="spellEnd"/>
                  <w:r w:rsidR="00A25EF8" w:rsidRPr="00B95D04">
                    <w:rPr>
                      <w:rFonts w:ascii="Arial" w:eastAsia="Times New Roman" w:hAnsi="Arial" w:cs="Arial"/>
                      <w:sz w:val="20"/>
                      <w:szCs w:val="20"/>
                    </w:rPr>
                    <w:t>).</w:t>
                  </w:r>
                </w:p>
                <w:p w14:paraId="411E7F6C" w14:textId="0421151A" w:rsidR="00D55AB6" w:rsidRPr="00B95D04" w:rsidRDefault="00D96BE1" w:rsidP="00D55AB6">
                  <w:pPr>
                    <w:jc w:val="both"/>
                    <w:rPr>
                      <w:rFonts w:ascii="Arial" w:eastAsia="Times New Roman" w:hAnsi="Arial" w:cs="Arial"/>
                      <w:sz w:val="20"/>
                      <w:szCs w:val="20"/>
                    </w:rPr>
                  </w:pPr>
                  <w:r w:rsidRPr="00B95D04">
                    <w:rPr>
                      <w:rFonts w:ascii="Arial" w:eastAsia="Times New Roman" w:hAnsi="Arial" w:cs="Arial"/>
                      <w:sz w:val="20"/>
                      <w:szCs w:val="20"/>
                    </w:rPr>
                    <w:t>Z</w:t>
                  </w:r>
                  <w:r w:rsidR="00D55AB6" w:rsidRPr="00B95D04">
                    <w:rPr>
                      <w:rFonts w:ascii="Arial" w:eastAsia="Times New Roman" w:hAnsi="Arial" w:cs="Arial"/>
                      <w:sz w:val="20"/>
                      <w:szCs w:val="20"/>
                    </w:rPr>
                    <w:t xml:space="preserve">avezanci </w:t>
                  </w:r>
                  <w:r w:rsidRPr="00B95D04">
                    <w:rPr>
                      <w:rFonts w:ascii="Arial" w:eastAsia="Times New Roman" w:hAnsi="Arial" w:cs="Arial"/>
                      <w:sz w:val="20"/>
                      <w:szCs w:val="20"/>
                    </w:rPr>
                    <w:t xml:space="preserve">se </w:t>
                  </w:r>
                  <w:r w:rsidR="00D55AB6" w:rsidRPr="00B95D04">
                    <w:rPr>
                      <w:rFonts w:ascii="Arial" w:eastAsia="Times New Roman" w:hAnsi="Arial" w:cs="Arial"/>
                      <w:sz w:val="20"/>
                      <w:szCs w:val="20"/>
                    </w:rPr>
                    <w:t xml:space="preserve">za vstop v sistem </w:t>
                  </w:r>
                  <w:r w:rsidRPr="00B95D04">
                    <w:rPr>
                      <w:rFonts w:ascii="Arial" w:eastAsia="Times New Roman" w:hAnsi="Arial" w:cs="Arial"/>
                      <w:sz w:val="20"/>
                      <w:szCs w:val="20"/>
                    </w:rPr>
                    <w:t>odločajo</w:t>
                  </w:r>
                  <w:r w:rsidR="00D55AB6" w:rsidRPr="00B95D04">
                    <w:rPr>
                      <w:rFonts w:ascii="Arial" w:eastAsia="Times New Roman" w:hAnsi="Arial" w:cs="Arial"/>
                      <w:sz w:val="20"/>
                      <w:szCs w:val="20"/>
                    </w:rPr>
                    <w:t xml:space="preserve"> racionalno in pri odločitvi upoštevajo vse dejavnik</w:t>
                  </w:r>
                  <w:r w:rsidRPr="00B95D04">
                    <w:rPr>
                      <w:rFonts w:ascii="Arial" w:eastAsia="Times New Roman" w:hAnsi="Arial" w:cs="Arial"/>
                      <w:sz w:val="20"/>
                      <w:szCs w:val="20"/>
                    </w:rPr>
                    <w:t>e</w:t>
                  </w:r>
                  <w:r w:rsidR="00D55AB6" w:rsidRPr="00B95D04">
                    <w:rPr>
                      <w:rFonts w:ascii="Arial" w:eastAsia="Times New Roman" w:hAnsi="Arial" w:cs="Arial"/>
                      <w:sz w:val="20"/>
                      <w:szCs w:val="20"/>
                    </w:rPr>
                    <w:t xml:space="preserve">, ki vplivajo na njihovo poslovanje, in ne </w:t>
                  </w:r>
                  <w:r w:rsidRPr="00B95D04">
                    <w:rPr>
                      <w:rFonts w:ascii="Arial" w:eastAsia="Times New Roman" w:hAnsi="Arial" w:cs="Arial"/>
                      <w:sz w:val="20"/>
                      <w:szCs w:val="20"/>
                    </w:rPr>
                    <w:t>samo</w:t>
                  </w:r>
                  <w:r w:rsidR="00D55AB6" w:rsidRPr="00B95D04">
                    <w:rPr>
                      <w:rFonts w:ascii="Arial" w:eastAsia="Times New Roman" w:hAnsi="Arial" w:cs="Arial"/>
                      <w:sz w:val="20"/>
                      <w:szCs w:val="20"/>
                    </w:rPr>
                    <w:t xml:space="preserve"> davčn</w:t>
                  </w:r>
                  <w:r w:rsidRPr="00B95D04">
                    <w:rPr>
                      <w:rFonts w:ascii="Arial" w:eastAsia="Times New Roman" w:hAnsi="Arial" w:cs="Arial"/>
                      <w:sz w:val="20"/>
                      <w:szCs w:val="20"/>
                    </w:rPr>
                    <w:t>ega</w:t>
                  </w:r>
                  <w:r w:rsidR="00D55AB6" w:rsidRPr="00B95D04">
                    <w:rPr>
                      <w:rFonts w:ascii="Arial" w:eastAsia="Times New Roman" w:hAnsi="Arial" w:cs="Arial"/>
                      <w:sz w:val="20"/>
                      <w:szCs w:val="20"/>
                    </w:rPr>
                    <w:t xml:space="preserve"> vidik</w:t>
                  </w:r>
                  <w:r w:rsidRPr="00B95D04">
                    <w:rPr>
                      <w:rFonts w:ascii="Arial" w:eastAsia="Times New Roman" w:hAnsi="Arial" w:cs="Arial"/>
                      <w:sz w:val="20"/>
                      <w:szCs w:val="20"/>
                    </w:rPr>
                    <w:t>a</w:t>
                  </w:r>
                  <w:r w:rsidR="00D55AB6" w:rsidRPr="00B95D04">
                    <w:rPr>
                      <w:rFonts w:ascii="Arial" w:eastAsia="Times New Roman" w:hAnsi="Arial" w:cs="Arial"/>
                      <w:sz w:val="20"/>
                      <w:szCs w:val="20"/>
                    </w:rPr>
                    <w:t>. Sistem normiranih odhodkov na splošno za pravne osebe ni tako izrazita administrativna poenostavitev kot pri fizičnih osebah, ki opravljajo dejavnost</w:t>
                  </w:r>
                  <w:r w:rsidR="00823213" w:rsidRPr="00B95D04">
                    <w:rPr>
                      <w:rFonts w:ascii="Arial" w:eastAsia="Times New Roman" w:hAnsi="Arial" w:cs="Arial"/>
                      <w:sz w:val="20"/>
                      <w:szCs w:val="20"/>
                    </w:rPr>
                    <w:t xml:space="preserve">. Pravne osebe </w:t>
                  </w:r>
                  <w:r w:rsidRPr="00B95D04">
                    <w:rPr>
                      <w:rFonts w:ascii="Arial" w:eastAsia="Times New Roman" w:hAnsi="Arial" w:cs="Arial"/>
                      <w:sz w:val="20"/>
                      <w:szCs w:val="20"/>
                    </w:rPr>
                    <w:t>morajo</w:t>
                  </w:r>
                  <w:r w:rsidR="00823213" w:rsidRPr="00B95D04">
                    <w:rPr>
                      <w:rFonts w:ascii="Arial" w:eastAsia="Times New Roman" w:hAnsi="Arial" w:cs="Arial"/>
                      <w:sz w:val="20"/>
                      <w:szCs w:val="20"/>
                    </w:rPr>
                    <w:t xml:space="preserve"> namreč </w:t>
                  </w:r>
                  <w:r w:rsidR="00D55AB6" w:rsidRPr="00B95D04">
                    <w:rPr>
                      <w:rFonts w:ascii="Arial" w:eastAsia="Times New Roman" w:hAnsi="Arial" w:cs="Arial"/>
                      <w:sz w:val="20"/>
                      <w:szCs w:val="20"/>
                    </w:rPr>
                    <w:t>ne glede na izbran</w:t>
                  </w:r>
                  <w:r w:rsidRPr="00B95D04">
                    <w:rPr>
                      <w:rFonts w:ascii="Arial" w:eastAsia="Times New Roman" w:hAnsi="Arial" w:cs="Arial"/>
                      <w:sz w:val="20"/>
                      <w:szCs w:val="20"/>
                    </w:rPr>
                    <w:t>i</w:t>
                  </w:r>
                  <w:r w:rsidR="00D55AB6" w:rsidRPr="00B95D04">
                    <w:rPr>
                      <w:rFonts w:ascii="Arial" w:eastAsia="Times New Roman" w:hAnsi="Arial" w:cs="Arial"/>
                      <w:sz w:val="20"/>
                      <w:szCs w:val="20"/>
                    </w:rPr>
                    <w:t xml:space="preserve"> sistem obdavčitve še vedno voditi poslovne knjige in sestavljati ter predlagati letna poročila na podlagi </w:t>
                  </w:r>
                  <w:r w:rsidR="00823213" w:rsidRPr="00B95D04">
                    <w:rPr>
                      <w:rFonts w:ascii="Arial" w:eastAsia="Times New Roman" w:hAnsi="Arial" w:cs="Arial"/>
                      <w:sz w:val="20"/>
                      <w:szCs w:val="20"/>
                    </w:rPr>
                    <w:t xml:space="preserve">Zakona o gospodarskih družbah (Uradni list RS, št. 65/09 – uradno prečiščeno besedilo, 33/11, 91/11, 32/12, 57/12, 44/13 – </w:t>
                  </w:r>
                  <w:proofErr w:type="spellStart"/>
                  <w:r w:rsidR="00823213" w:rsidRPr="00B95D04">
                    <w:rPr>
                      <w:rFonts w:ascii="Arial" w:eastAsia="Times New Roman" w:hAnsi="Arial" w:cs="Arial"/>
                      <w:sz w:val="20"/>
                      <w:szCs w:val="20"/>
                    </w:rPr>
                    <w:t>odl</w:t>
                  </w:r>
                  <w:proofErr w:type="spellEnd"/>
                  <w:r w:rsidR="00823213" w:rsidRPr="00B95D04">
                    <w:rPr>
                      <w:rFonts w:ascii="Arial" w:eastAsia="Times New Roman" w:hAnsi="Arial" w:cs="Arial"/>
                      <w:sz w:val="20"/>
                      <w:szCs w:val="20"/>
                    </w:rPr>
                    <w:t>. US, 82/13, 55/15 in 15/17)</w:t>
                  </w:r>
                  <w:r w:rsidR="00D55AB6" w:rsidRPr="00B95D04">
                    <w:rPr>
                      <w:rFonts w:ascii="Arial" w:eastAsia="Times New Roman" w:hAnsi="Arial" w:cs="Arial"/>
                      <w:sz w:val="20"/>
                      <w:szCs w:val="20"/>
                    </w:rPr>
                    <w:t>.</w:t>
                  </w:r>
                </w:p>
                <w:p w14:paraId="2B4799F4" w14:textId="459A7738" w:rsidR="00D55AB6" w:rsidRPr="00B95D04" w:rsidRDefault="00105489" w:rsidP="00243581">
                  <w:pPr>
                    <w:spacing w:after="0" w:line="260" w:lineRule="exact"/>
                    <w:jc w:val="both"/>
                    <w:rPr>
                      <w:rFonts w:ascii="Arial" w:eastAsia="Times New Roman" w:hAnsi="Arial" w:cs="Arial"/>
                      <w:sz w:val="20"/>
                      <w:szCs w:val="20"/>
                    </w:rPr>
                  </w:pPr>
                  <w:r w:rsidRPr="00B95D04">
                    <w:rPr>
                      <w:rFonts w:ascii="Arial" w:eastAsia="Times New Roman" w:hAnsi="Arial" w:cs="Arial"/>
                      <w:sz w:val="20"/>
                      <w:szCs w:val="20"/>
                    </w:rPr>
                    <w:t xml:space="preserve">Analiza sistema normiranih odhodkov v okviru davka od dohodkov pravnih oseb in dohodnine </w:t>
                  </w:r>
                  <w:r w:rsidR="003B2D8B" w:rsidRPr="00B95D04">
                    <w:rPr>
                      <w:rFonts w:ascii="Arial" w:eastAsia="Times New Roman" w:hAnsi="Arial" w:cs="Arial"/>
                      <w:sz w:val="20"/>
                      <w:szCs w:val="20"/>
                    </w:rPr>
                    <w:t xml:space="preserve">(dohodki iz dejavnosti) </w:t>
                  </w:r>
                  <w:r w:rsidRPr="00B95D04">
                    <w:rPr>
                      <w:rFonts w:ascii="Arial" w:eastAsia="Times New Roman" w:hAnsi="Arial" w:cs="Arial"/>
                      <w:sz w:val="20"/>
                      <w:szCs w:val="20"/>
                    </w:rPr>
                    <w:t xml:space="preserve">je pokazala, da nameni in cilji nadgradnje sistema normiranih odhodkov za fizične osebe, ki opravljajo dejavnost, in uvedba sistema normiranih odhodkov za pravne osebe, ki se je začela uporabljati z davčnim letom 2013, niso bili doseženi. </w:t>
                  </w:r>
                  <w:r w:rsidR="00D55AB6" w:rsidRPr="00B95D04">
                    <w:rPr>
                      <w:rFonts w:ascii="Arial" w:eastAsia="Times New Roman" w:hAnsi="Arial" w:cs="Arial"/>
                      <w:sz w:val="20"/>
                      <w:szCs w:val="20"/>
                    </w:rPr>
                    <w:t xml:space="preserve">Ugotovljeno je bilo, da je za </w:t>
                  </w:r>
                  <w:r w:rsidR="00D55AB6" w:rsidRPr="00B95D04">
                    <w:rPr>
                      <w:rFonts w:ascii="Arial" w:eastAsia="Times New Roman" w:hAnsi="Arial" w:cs="Arial"/>
                      <w:sz w:val="20"/>
                      <w:szCs w:val="20"/>
                    </w:rPr>
                    <w:lastRenderedPageBreak/>
                    <w:t>zavezanca za vstop v sistem ključen njegov celo</w:t>
                  </w:r>
                  <w:r w:rsidR="000815EF" w:rsidRPr="00B95D04">
                    <w:rPr>
                      <w:rFonts w:ascii="Arial" w:eastAsia="Times New Roman" w:hAnsi="Arial" w:cs="Arial"/>
                      <w:sz w:val="20"/>
                      <w:szCs w:val="20"/>
                    </w:rPr>
                    <w:t>tni</w:t>
                  </w:r>
                  <w:r w:rsidR="00D55AB6" w:rsidRPr="00B95D04">
                    <w:rPr>
                      <w:rFonts w:ascii="Arial" w:eastAsia="Times New Roman" w:hAnsi="Arial" w:cs="Arial"/>
                      <w:sz w:val="20"/>
                      <w:szCs w:val="20"/>
                    </w:rPr>
                    <w:t xml:space="preserve"> položaj</w:t>
                  </w:r>
                  <w:r w:rsidR="000815EF" w:rsidRPr="00B95D04">
                    <w:rPr>
                      <w:rFonts w:ascii="Arial" w:eastAsia="Times New Roman" w:hAnsi="Arial" w:cs="Arial"/>
                      <w:sz w:val="20"/>
                      <w:szCs w:val="20"/>
                    </w:rPr>
                    <w:t>,</w:t>
                  </w:r>
                  <w:r w:rsidR="00D55AB6" w:rsidRPr="00B95D04">
                    <w:rPr>
                      <w:rFonts w:ascii="Arial" w:eastAsia="Times New Roman" w:hAnsi="Arial" w:cs="Arial"/>
                      <w:sz w:val="20"/>
                      <w:szCs w:val="20"/>
                    </w:rPr>
                    <w:t xml:space="preserve"> in ne samo nižji stroški administriranja oziroma nižja davčna obveznost, da je sistem nesorazmerno ugodnejši za zavezance v storitvenih dejavnostih</w:t>
                  </w:r>
                  <w:r w:rsidR="000815EF" w:rsidRPr="00B95D04">
                    <w:rPr>
                      <w:rFonts w:ascii="Arial" w:eastAsia="Times New Roman" w:hAnsi="Arial" w:cs="Arial"/>
                      <w:sz w:val="20"/>
                      <w:szCs w:val="20"/>
                    </w:rPr>
                    <w:t>,</w:t>
                  </w:r>
                  <w:r w:rsidR="00D96BE1" w:rsidRPr="00B95D04">
                    <w:rPr>
                      <w:rFonts w:ascii="Arial" w:eastAsia="Times New Roman" w:hAnsi="Arial" w:cs="Arial"/>
                      <w:sz w:val="20"/>
                      <w:szCs w:val="20"/>
                    </w:rPr>
                    <w:t xml:space="preserve"> da spodbuja </w:t>
                  </w:r>
                  <w:r w:rsidR="00D55AB6" w:rsidRPr="00B95D04">
                    <w:rPr>
                      <w:rFonts w:ascii="Arial" w:eastAsia="Times New Roman" w:hAnsi="Arial" w:cs="Arial"/>
                      <w:sz w:val="20"/>
                      <w:szCs w:val="20"/>
                    </w:rPr>
                    <w:t>pojav nezakonitih praks na trgu dela</w:t>
                  </w:r>
                  <w:r w:rsidR="000815EF" w:rsidRPr="00B95D04">
                    <w:rPr>
                      <w:rFonts w:ascii="Arial" w:eastAsia="Times New Roman" w:hAnsi="Arial" w:cs="Arial"/>
                      <w:sz w:val="20"/>
                      <w:szCs w:val="20"/>
                    </w:rPr>
                    <w:t>,</w:t>
                  </w:r>
                  <w:r w:rsidR="00D55AB6" w:rsidRPr="00B95D04">
                    <w:rPr>
                      <w:rFonts w:ascii="Arial" w:eastAsia="Times New Roman" w:hAnsi="Arial" w:cs="Arial"/>
                      <w:sz w:val="20"/>
                      <w:szCs w:val="20"/>
                    </w:rPr>
                    <w:t xml:space="preserve"> prikrivanje prihodkov</w:t>
                  </w:r>
                  <w:r w:rsidR="00026F41" w:rsidRPr="00B95D04">
                    <w:rPr>
                      <w:rFonts w:ascii="Arial" w:eastAsia="Times New Roman" w:hAnsi="Arial" w:cs="Arial"/>
                      <w:sz w:val="20"/>
                      <w:szCs w:val="20"/>
                    </w:rPr>
                    <w:t>, prelivanje prihodkov od zavezancev, ki davčno osnovo ugotavljajo na podlagi dejanskih odhodkov, k zavezance</w:t>
                  </w:r>
                  <w:r w:rsidR="00846C43" w:rsidRPr="00B95D04">
                    <w:rPr>
                      <w:rFonts w:ascii="Arial" w:eastAsia="Times New Roman" w:hAnsi="Arial" w:cs="Arial"/>
                      <w:sz w:val="20"/>
                      <w:szCs w:val="20"/>
                    </w:rPr>
                    <w:t>m</w:t>
                  </w:r>
                  <w:r w:rsidR="00026F41" w:rsidRPr="00B95D04">
                    <w:rPr>
                      <w:rFonts w:ascii="Arial" w:eastAsia="Times New Roman" w:hAnsi="Arial" w:cs="Arial"/>
                      <w:sz w:val="20"/>
                      <w:szCs w:val="20"/>
                    </w:rPr>
                    <w:t xml:space="preserve"> v sistemu normiranih odhodkov</w:t>
                  </w:r>
                  <w:r w:rsidR="000815EF" w:rsidRPr="00B95D04">
                    <w:rPr>
                      <w:rFonts w:ascii="Arial" w:eastAsia="Times New Roman" w:hAnsi="Arial" w:cs="Arial"/>
                      <w:sz w:val="20"/>
                      <w:szCs w:val="20"/>
                    </w:rPr>
                    <w:t xml:space="preserve"> ter</w:t>
                  </w:r>
                  <w:r w:rsidR="00D55AB6" w:rsidRPr="00B95D04">
                    <w:rPr>
                      <w:rFonts w:ascii="Arial" w:eastAsia="Times New Roman" w:hAnsi="Arial" w:cs="Arial"/>
                      <w:sz w:val="20"/>
                      <w:szCs w:val="20"/>
                    </w:rPr>
                    <w:t xml:space="preserve"> verižno ustanavljanje podjetij prek</w:t>
                  </w:r>
                  <w:r w:rsidR="00D96BE1" w:rsidRPr="00B95D04">
                    <w:rPr>
                      <w:rFonts w:ascii="Arial" w:eastAsia="Times New Roman" w:hAnsi="Arial" w:cs="Arial"/>
                      <w:sz w:val="20"/>
                      <w:szCs w:val="20"/>
                    </w:rPr>
                    <w:t xml:space="preserve"> </w:t>
                  </w:r>
                  <w:r w:rsidR="00D55AB6" w:rsidRPr="00B95D04">
                    <w:rPr>
                      <w:rFonts w:ascii="Arial" w:eastAsia="Times New Roman" w:hAnsi="Arial" w:cs="Arial"/>
                      <w:sz w:val="20"/>
                      <w:szCs w:val="20"/>
                    </w:rPr>
                    <w:t xml:space="preserve">različnih statusnih oblik (zlasti med povezanimi osebami) s ciljem izpolnjevanja pogojev za vstop </w:t>
                  </w:r>
                  <w:r w:rsidR="00D96BE1" w:rsidRPr="00B95D04">
                    <w:rPr>
                      <w:rFonts w:ascii="Arial" w:eastAsia="Times New Roman" w:hAnsi="Arial" w:cs="Arial"/>
                      <w:sz w:val="20"/>
                      <w:szCs w:val="20"/>
                    </w:rPr>
                    <w:t xml:space="preserve">v sistem </w:t>
                  </w:r>
                  <w:r w:rsidR="00D55AB6" w:rsidRPr="00B95D04">
                    <w:rPr>
                      <w:rFonts w:ascii="Arial" w:eastAsia="Times New Roman" w:hAnsi="Arial" w:cs="Arial"/>
                      <w:sz w:val="20"/>
                      <w:szCs w:val="20"/>
                    </w:rPr>
                    <w:t xml:space="preserve">oziroma obstanek v </w:t>
                  </w:r>
                  <w:r w:rsidR="00D96BE1" w:rsidRPr="00B95D04">
                    <w:rPr>
                      <w:rFonts w:ascii="Arial" w:eastAsia="Times New Roman" w:hAnsi="Arial" w:cs="Arial"/>
                      <w:sz w:val="20"/>
                      <w:szCs w:val="20"/>
                    </w:rPr>
                    <w:t>njem</w:t>
                  </w:r>
                  <w:r w:rsidR="00D55AB6" w:rsidRPr="00B95D04">
                    <w:rPr>
                      <w:rFonts w:ascii="Arial" w:eastAsia="Times New Roman" w:hAnsi="Arial" w:cs="Arial"/>
                      <w:sz w:val="20"/>
                      <w:szCs w:val="20"/>
                    </w:rPr>
                    <w:t>.</w:t>
                  </w:r>
                  <w:r w:rsidR="002D337F" w:rsidRPr="00B95D04">
                    <w:rPr>
                      <w:rFonts w:ascii="Arial" w:eastAsia="Times New Roman" w:hAnsi="Arial" w:cs="Arial"/>
                      <w:sz w:val="20"/>
                      <w:szCs w:val="20"/>
                    </w:rPr>
                    <w:t xml:space="preserve"> Zaznani so bili tudi primeri, ko je zavezanec znatno presegel prag prihodkov, vendar ni izpolnil pogojev za obvezen izstop iz sistema.</w:t>
                  </w:r>
                </w:p>
                <w:p w14:paraId="5242E96C" w14:textId="77777777" w:rsidR="00105489" w:rsidRPr="00B95D04" w:rsidRDefault="00105489" w:rsidP="00243581">
                  <w:pPr>
                    <w:tabs>
                      <w:tab w:val="left" w:pos="284"/>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AC3D1E1" w14:textId="38584E33" w:rsidR="00105489" w:rsidRPr="00B95D04" w:rsidRDefault="002017D4" w:rsidP="00243581">
                  <w:pPr>
                    <w:tabs>
                      <w:tab w:val="left" w:pos="284"/>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95D04">
                    <w:rPr>
                      <w:rFonts w:ascii="Arial" w:eastAsia="Times New Roman" w:hAnsi="Arial" w:cs="Arial"/>
                      <w:sz w:val="20"/>
                      <w:szCs w:val="20"/>
                      <w:lang w:eastAsia="sl-SI"/>
                    </w:rPr>
                    <w:t>1.2</w:t>
                  </w:r>
                </w:p>
                <w:p w14:paraId="6D88C97C" w14:textId="3B072983" w:rsidR="00692072" w:rsidRPr="00B95D04" w:rsidRDefault="00692072" w:rsidP="00243581">
                  <w:pPr>
                    <w:tabs>
                      <w:tab w:val="left" w:pos="284"/>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95D04">
                    <w:rPr>
                      <w:rFonts w:ascii="Arial" w:eastAsia="Times New Roman" w:hAnsi="Arial" w:cs="Arial"/>
                      <w:sz w:val="20"/>
                      <w:szCs w:val="20"/>
                      <w:lang w:eastAsia="sl-SI"/>
                    </w:rPr>
                    <w:t>Po</w:t>
                  </w:r>
                  <w:r w:rsidR="00F755CB" w:rsidRPr="00B95D04">
                    <w:rPr>
                      <w:rFonts w:ascii="Arial" w:eastAsia="Times New Roman" w:hAnsi="Arial" w:cs="Arial"/>
                      <w:sz w:val="20"/>
                      <w:szCs w:val="20"/>
                      <w:lang w:eastAsia="sl-SI"/>
                    </w:rPr>
                    <w:t xml:space="preserve"> Zakon</w:t>
                  </w:r>
                  <w:r w:rsidRPr="00B95D04">
                    <w:rPr>
                      <w:rFonts w:ascii="Arial" w:eastAsia="Times New Roman" w:hAnsi="Arial" w:cs="Arial"/>
                      <w:sz w:val="20"/>
                      <w:szCs w:val="20"/>
                      <w:lang w:eastAsia="sl-SI"/>
                    </w:rPr>
                    <w:t>u</w:t>
                  </w:r>
                  <w:r w:rsidR="00F755CB" w:rsidRPr="00B95D04">
                    <w:rPr>
                      <w:rFonts w:ascii="Arial" w:eastAsia="Times New Roman" w:hAnsi="Arial" w:cs="Arial"/>
                      <w:sz w:val="20"/>
                      <w:szCs w:val="20"/>
                      <w:lang w:eastAsia="sl-SI"/>
                    </w:rPr>
                    <w:t xml:space="preserve"> o davku od dohodkov pravnih oseb (Uradni list RS, št. 117/06, 56/08, 76/08, 5/09, 96/09, 110/09 – ZDavP-2B, 43/10, 59/11, 24/12, 30/12, 94/12, 81/13, 50/14, 23/15</w:t>
                  </w:r>
                  <w:r w:rsidR="00D6486E" w:rsidRPr="00B95D04">
                    <w:rPr>
                      <w:rFonts w:ascii="Arial" w:eastAsia="Times New Roman" w:hAnsi="Arial" w:cs="Arial"/>
                      <w:sz w:val="20"/>
                      <w:szCs w:val="20"/>
                      <w:lang w:eastAsia="sl-SI"/>
                    </w:rPr>
                    <w:t xml:space="preserve">, </w:t>
                  </w:r>
                  <w:r w:rsidR="00F755CB" w:rsidRPr="00B95D04">
                    <w:rPr>
                      <w:rFonts w:ascii="Arial" w:eastAsia="Times New Roman" w:hAnsi="Arial" w:cs="Arial"/>
                      <w:sz w:val="20"/>
                      <w:szCs w:val="20"/>
                      <w:lang w:eastAsia="sl-SI"/>
                    </w:rPr>
                    <w:t>82/15</w:t>
                  </w:r>
                  <w:r w:rsidR="00D6486E" w:rsidRPr="00B95D04">
                    <w:rPr>
                      <w:rFonts w:ascii="Arial" w:eastAsia="Times New Roman" w:hAnsi="Arial" w:cs="Arial"/>
                      <w:sz w:val="20"/>
                      <w:szCs w:val="20"/>
                      <w:lang w:eastAsia="sl-SI"/>
                    </w:rPr>
                    <w:t xml:space="preserve"> in 68/16</w:t>
                  </w:r>
                  <w:r w:rsidR="00F755CB" w:rsidRPr="00B95D04">
                    <w:rPr>
                      <w:rFonts w:ascii="Arial" w:eastAsia="Times New Roman" w:hAnsi="Arial" w:cs="Arial"/>
                      <w:sz w:val="20"/>
                      <w:szCs w:val="20"/>
                      <w:lang w:eastAsia="sl-SI"/>
                    </w:rPr>
                    <w:t>; v</w:t>
                  </w:r>
                  <w:r w:rsidRPr="00B95D04">
                    <w:rPr>
                      <w:rFonts w:ascii="Arial" w:eastAsia="Times New Roman" w:hAnsi="Arial" w:cs="Arial"/>
                      <w:sz w:val="20"/>
                      <w:szCs w:val="20"/>
                      <w:lang w:eastAsia="sl-SI"/>
                    </w:rPr>
                    <w:t xml:space="preserve"> nadaljnjem besedilu: ZDDPO-2) je ugotavljanje davčne osnove tesno povezano z ugotavljanjem dobička za poslovne namene po računovodskih standardih. ZDDPO-2 namreč v 12. členu določa, da je osnova za davek dobiček, ki je opredeljen kot presežek prihodkov nad odhodki. Če z </w:t>
                  </w:r>
                  <w:r w:rsidR="004502BB" w:rsidRPr="00B95D04">
                    <w:rPr>
                      <w:rFonts w:ascii="Arial" w:eastAsia="Times New Roman" w:hAnsi="Arial" w:cs="Arial"/>
                      <w:sz w:val="20"/>
                      <w:szCs w:val="20"/>
                      <w:lang w:eastAsia="sl-SI"/>
                    </w:rPr>
                    <w:t>navedenim</w:t>
                  </w:r>
                  <w:r w:rsidRPr="00B95D04">
                    <w:rPr>
                      <w:rFonts w:ascii="Arial" w:eastAsia="Times New Roman" w:hAnsi="Arial" w:cs="Arial"/>
                      <w:sz w:val="20"/>
                      <w:szCs w:val="20"/>
                      <w:lang w:eastAsia="sl-SI"/>
                    </w:rPr>
                    <w:t xml:space="preserve"> zakonom ni določeno drugače, se za ugotavljanje dobička priznajo prihodki in odhodki, ugotovljeni v izkazu poslovnega izida oziroma letnem poročilu, ki ustreza izkazu poslovnega izida in prikazuje prihodke, odhodke in poslovni izid, na podlagi zakona in v skladu z njim uvedenimi računovodskimi standardi. Na podlagi te določbe računovodska obravnava posameznih kategorij vpliva na višino davčne osnove.</w:t>
                  </w:r>
                </w:p>
                <w:p w14:paraId="6D88C97D" w14:textId="77777777" w:rsidR="00692072" w:rsidRPr="00B95D04" w:rsidRDefault="00692072" w:rsidP="008060E5">
                  <w:pPr>
                    <w:tabs>
                      <w:tab w:val="left" w:pos="284"/>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D88C97E" w14:textId="53462A3E" w:rsidR="00373F1A" w:rsidRPr="00B95D04" w:rsidRDefault="00D6486E" w:rsidP="00373F1A">
                  <w:pPr>
                    <w:tabs>
                      <w:tab w:val="left" w:pos="284"/>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95D04">
                    <w:rPr>
                      <w:rFonts w:ascii="Arial" w:eastAsia="Times New Roman" w:hAnsi="Arial" w:cs="Arial"/>
                      <w:sz w:val="20"/>
                      <w:szCs w:val="20"/>
                      <w:lang w:eastAsia="sl-SI"/>
                    </w:rPr>
                    <w:t xml:space="preserve">Z Uredbo Komisije 2016/2067 z dne 22. novembra 2016 o spremembi Uredbe (ES) št. 1126/2008 o sprejetju nekaterih mednarodnih računovodskih standardov v skladu z Uredbo (ES) št. 1606/2002 Evropskega parlamenta in Sveta glede Mednarodnega standarda računovodskega poročanja 9 je bil za uporabo v EU potrjen nov Mednarodni standard računovodskega poročanja (MSRP) 9 – Finančni instrumenti. Namen novega MSRP 9 je izboljšanje računovodskega poročanja o finančnih instrumentih, da se preprečijo negativne posledice, ki so se pokazale med zadnjo finančno krizo, ko so bila tveganja podcenjena. Standard določa nov način vrednotenja finančnih instrumentov, ki temelji na pripoznavanju bodočih pričakovanih izgub (letnih in vseživljenjskih) v odvisnosti od izbranega poslovnega modela za portfelj finančnih sredstev in pogodbenih denarnih tokov finančnega sredstva. </w:t>
                  </w:r>
                  <w:r w:rsidR="00373F1A" w:rsidRPr="00B95D04">
                    <w:rPr>
                      <w:rFonts w:ascii="Arial" w:eastAsia="Times New Roman" w:hAnsi="Arial" w:cs="Arial"/>
                      <w:sz w:val="20"/>
                      <w:szCs w:val="20"/>
                      <w:lang w:eastAsia="sl-SI"/>
                    </w:rPr>
                    <w:t>Standard določa, da se nekateri učinki sprememb poštene vrednosti za določena sredstva in obveznosti pripoznajo v drugem vseobsegajočem donosu in se tudi ob odpravi pripoznanja ne prenesejo v izkaz poslovnega izida. Posledično po določbah veljavne zakonodaje t</w:t>
                  </w:r>
                  <w:r w:rsidR="000F0DCD" w:rsidRPr="00B95D04">
                    <w:rPr>
                      <w:rFonts w:ascii="Arial" w:eastAsia="Times New Roman" w:hAnsi="Arial" w:cs="Arial"/>
                      <w:sz w:val="20"/>
                      <w:szCs w:val="20"/>
                      <w:lang w:eastAsia="sl-SI"/>
                    </w:rPr>
                    <w:t>i</w:t>
                  </w:r>
                  <w:r w:rsidR="00373F1A" w:rsidRPr="00B95D04">
                    <w:rPr>
                      <w:rFonts w:ascii="Arial" w:eastAsia="Times New Roman" w:hAnsi="Arial" w:cs="Arial"/>
                      <w:sz w:val="20"/>
                      <w:szCs w:val="20"/>
                      <w:lang w:eastAsia="sl-SI"/>
                    </w:rPr>
                    <w:t xml:space="preserve"> učinki n</w:t>
                  </w:r>
                  <w:r w:rsidR="000F0DCD" w:rsidRPr="00B95D04">
                    <w:rPr>
                      <w:rFonts w:ascii="Arial" w:eastAsia="Times New Roman" w:hAnsi="Arial" w:cs="Arial"/>
                      <w:sz w:val="20"/>
                      <w:szCs w:val="20"/>
                      <w:lang w:eastAsia="sl-SI"/>
                    </w:rPr>
                    <w:t>e</w:t>
                  </w:r>
                  <w:r w:rsidR="00373F1A" w:rsidRPr="00B95D04">
                    <w:rPr>
                      <w:rFonts w:ascii="Arial" w:eastAsia="Times New Roman" w:hAnsi="Arial" w:cs="Arial"/>
                      <w:sz w:val="20"/>
                      <w:szCs w:val="20"/>
                      <w:lang w:eastAsia="sl-SI"/>
                    </w:rPr>
                    <w:t xml:space="preserve"> vpliva</w:t>
                  </w:r>
                  <w:r w:rsidR="000F0DCD" w:rsidRPr="00B95D04">
                    <w:rPr>
                      <w:rFonts w:ascii="Arial" w:eastAsia="Times New Roman" w:hAnsi="Arial" w:cs="Arial"/>
                      <w:sz w:val="20"/>
                      <w:szCs w:val="20"/>
                      <w:lang w:eastAsia="sl-SI"/>
                    </w:rPr>
                    <w:t>jo</w:t>
                  </w:r>
                  <w:r w:rsidR="00373F1A" w:rsidRPr="00B95D04">
                    <w:rPr>
                      <w:rFonts w:ascii="Arial" w:eastAsia="Times New Roman" w:hAnsi="Arial" w:cs="Arial"/>
                      <w:sz w:val="20"/>
                      <w:szCs w:val="20"/>
                      <w:lang w:eastAsia="sl-SI"/>
                    </w:rPr>
                    <w:t xml:space="preserve"> na davčno osnovo. Nov MSRP 9 se uporablja najpozneje z začetkom prvega poslovnega leta, ki se začne 1. januarja 2018 ali pozneje.</w:t>
                  </w:r>
                </w:p>
                <w:p w14:paraId="6D88C97F" w14:textId="77777777" w:rsidR="00AB0983" w:rsidRPr="00B95D04" w:rsidRDefault="00AB0983" w:rsidP="00AB0983">
                  <w:pPr>
                    <w:tabs>
                      <w:tab w:val="left" w:pos="284"/>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D88C982" w14:textId="77777777" w:rsidR="00F755CB" w:rsidRPr="00B95D04" w:rsidRDefault="00F755CB" w:rsidP="008060E5">
                  <w:pPr>
                    <w:spacing w:after="0" w:line="260" w:lineRule="exact"/>
                    <w:jc w:val="both"/>
                    <w:rPr>
                      <w:rFonts w:ascii="Arial" w:hAnsi="Arial" w:cs="Arial"/>
                      <w:sz w:val="20"/>
                      <w:szCs w:val="20"/>
                    </w:rPr>
                  </w:pPr>
                </w:p>
              </w:tc>
            </w:tr>
            <w:tr w:rsidR="00F755CB" w:rsidRPr="00B95D04" w14:paraId="6D88C985" w14:textId="77777777" w:rsidTr="008060E5">
              <w:tc>
                <w:tcPr>
                  <w:tcW w:w="9213" w:type="dxa"/>
                </w:tcPr>
                <w:p w14:paraId="6D88C984" w14:textId="77777777" w:rsidR="00F755CB" w:rsidRPr="00B95D04" w:rsidRDefault="00F755CB" w:rsidP="008060E5">
                  <w:pPr>
                    <w:pStyle w:val="Oddelek"/>
                    <w:numPr>
                      <w:ilvl w:val="0"/>
                      <w:numId w:val="0"/>
                    </w:numPr>
                    <w:spacing w:before="0" w:after="0" w:line="260" w:lineRule="exact"/>
                    <w:jc w:val="left"/>
                    <w:rPr>
                      <w:rFonts w:cs="Arial"/>
                      <w:sz w:val="20"/>
                      <w:szCs w:val="20"/>
                      <w:lang w:val="sl-SI" w:eastAsia="sl-SI"/>
                    </w:rPr>
                  </w:pPr>
                  <w:r w:rsidRPr="00B95D04">
                    <w:rPr>
                      <w:rFonts w:cs="Arial"/>
                      <w:sz w:val="20"/>
                      <w:szCs w:val="20"/>
                      <w:lang w:val="sl-SI" w:eastAsia="sl-SI"/>
                    </w:rPr>
                    <w:lastRenderedPageBreak/>
                    <w:t>2. CILJI, NAČELA IN POGLAVITNE REŠITVE PREDLOGA ZAKONA</w:t>
                  </w:r>
                </w:p>
              </w:tc>
            </w:tr>
            <w:tr w:rsidR="00F755CB" w:rsidRPr="00B95D04" w14:paraId="6D88C987" w14:textId="77777777" w:rsidTr="008060E5">
              <w:tc>
                <w:tcPr>
                  <w:tcW w:w="9213" w:type="dxa"/>
                </w:tcPr>
                <w:p w14:paraId="6D88C986" w14:textId="77777777" w:rsidR="00F755CB" w:rsidRPr="00B95D04" w:rsidRDefault="00F755CB" w:rsidP="008060E5">
                  <w:pPr>
                    <w:pStyle w:val="Odsek"/>
                    <w:numPr>
                      <w:ilvl w:val="0"/>
                      <w:numId w:val="0"/>
                    </w:numPr>
                    <w:spacing w:before="0" w:after="0" w:line="260" w:lineRule="exact"/>
                    <w:jc w:val="left"/>
                    <w:rPr>
                      <w:rFonts w:cs="Arial"/>
                      <w:sz w:val="20"/>
                      <w:szCs w:val="20"/>
                      <w:lang w:val="sl-SI" w:eastAsia="sl-SI"/>
                    </w:rPr>
                  </w:pPr>
                  <w:r w:rsidRPr="00B95D04">
                    <w:rPr>
                      <w:rFonts w:cs="Arial"/>
                      <w:sz w:val="20"/>
                      <w:szCs w:val="20"/>
                      <w:lang w:val="sl-SI" w:eastAsia="sl-SI"/>
                    </w:rPr>
                    <w:t>2.1 Cilji</w:t>
                  </w:r>
                </w:p>
              </w:tc>
            </w:tr>
            <w:tr w:rsidR="00F755CB" w:rsidRPr="00B95D04" w14:paraId="6D88C98A" w14:textId="77777777" w:rsidTr="008060E5">
              <w:tc>
                <w:tcPr>
                  <w:tcW w:w="9213" w:type="dxa"/>
                </w:tcPr>
                <w:p w14:paraId="6D88C988" w14:textId="5D36591E" w:rsidR="00934A39" w:rsidRPr="00B95D04" w:rsidRDefault="00F755CB" w:rsidP="008060E5">
                  <w:pPr>
                    <w:pStyle w:val="Neotevilenodstavek"/>
                    <w:spacing w:before="0" w:after="0" w:line="260" w:lineRule="exact"/>
                    <w:rPr>
                      <w:rFonts w:cs="Arial"/>
                      <w:sz w:val="20"/>
                      <w:szCs w:val="20"/>
                      <w:lang w:val="sl-SI" w:eastAsia="sl-SI"/>
                    </w:rPr>
                  </w:pPr>
                  <w:r w:rsidRPr="00B95D04">
                    <w:rPr>
                      <w:rFonts w:cs="Arial"/>
                      <w:sz w:val="20"/>
                      <w:szCs w:val="20"/>
                      <w:lang w:val="sl-SI" w:eastAsia="sl-SI"/>
                    </w:rPr>
                    <w:t>Cilj predlog</w:t>
                  </w:r>
                  <w:r w:rsidR="00934A39" w:rsidRPr="00B95D04">
                    <w:rPr>
                      <w:rFonts w:cs="Arial"/>
                      <w:sz w:val="20"/>
                      <w:szCs w:val="20"/>
                      <w:lang w:val="sl-SI" w:eastAsia="sl-SI"/>
                    </w:rPr>
                    <w:t>a</w:t>
                  </w:r>
                  <w:r w:rsidRPr="00B95D04">
                    <w:rPr>
                      <w:rFonts w:cs="Arial"/>
                      <w:sz w:val="20"/>
                      <w:szCs w:val="20"/>
                      <w:lang w:val="sl-SI" w:eastAsia="sl-SI"/>
                    </w:rPr>
                    <w:t xml:space="preserve"> zakona </w:t>
                  </w:r>
                  <w:r w:rsidR="00934A39" w:rsidRPr="00B95D04">
                    <w:rPr>
                      <w:rFonts w:cs="Arial"/>
                      <w:sz w:val="20"/>
                      <w:szCs w:val="20"/>
                      <w:lang w:val="sl-SI" w:eastAsia="sl-SI"/>
                    </w:rPr>
                    <w:t>je</w:t>
                  </w:r>
                  <w:r w:rsidR="00404541" w:rsidRPr="00B95D04">
                    <w:rPr>
                      <w:rFonts w:cs="Arial"/>
                      <w:sz w:val="20"/>
                      <w:szCs w:val="20"/>
                      <w:lang w:val="sl-SI" w:eastAsia="sl-SI"/>
                    </w:rPr>
                    <w:t xml:space="preserve"> </w:t>
                  </w:r>
                  <w:r w:rsidR="00E838BC" w:rsidRPr="00B95D04">
                    <w:rPr>
                      <w:rFonts w:cs="Arial"/>
                      <w:sz w:val="20"/>
                      <w:szCs w:val="20"/>
                      <w:lang w:val="sl-SI" w:eastAsia="sl-SI"/>
                    </w:rPr>
                    <w:t xml:space="preserve">zajezitev zlorab sistema in </w:t>
                  </w:r>
                  <w:r w:rsidR="00404541" w:rsidRPr="00B95D04">
                    <w:rPr>
                      <w:rFonts w:cs="Arial"/>
                      <w:sz w:val="20"/>
                      <w:szCs w:val="20"/>
                      <w:lang w:val="sl-SI" w:eastAsia="sl-SI"/>
                    </w:rPr>
                    <w:t xml:space="preserve">zagotovitev </w:t>
                  </w:r>
                  <w:r w:rsidR="00934A39" w:rsidRPr="00B95D04">
                    <w:rPr>
                      <w:rFonts w:cs="Arial"/>
                      <w:sz w:val="20"/>
                      <w:szCs w:val="20"/>
                      <w:lang w:val="sl-SI" w:eastAsia="sl-SI"/>
                    </w:rPr>
                    <w:t>sistemske konsistentnosti oziroma vključit</w:t>
                  </w:r>
                  <w:r w:rsidR="00404541" w:rsidRPr="00B95D04">
                    <w:rPr>
                      <w:rFonts w:cs="Arial"/>
                      <w:sz w:val="20"/>
                      <w:szCs w:val="20"/>
                      <w:lang w:val="sl-SI" w:eastAsia="sl-SI"/>
                    </w:rPr>
                    <w:t>ve</w:t>
                  </w:r>
                  <w:r w:rsidR="00934A39" w:rsidRPr="00B95D04">
                    <w:rPr>
                      <w:rFonts w:cs="Arial"/>
                      <w:sz w:val="20"/>
                      <w:szCs w:val="20"/>
                      <w:lang w:val="sl-SI" w:eastAsia="sl-SI"/>
                    </w:rPr>
                    <w:t xml:space="preserve"> vseh učinkov prevrednotenj in prerazvrstitev vseh finančnih instrumentov v davčno osnovo.</w:t>
                  </w:r>
                </w:p>
                <w:p w14:paraId="6D88C989" w14:textId="77777777" w:rsidR="00F755CB" w:rsidRPr="00B95D04" w:rsidRDefault="00F755CB" w:rsidP="00404541">
                  <w:pPr>
                    <w:pStyle w:val="Neotevilenodstavek"/>
                    <w:spacing w:before="0" w:after="0" w:line="260" w:lineRule="exact"/>
                    <w:rPr>
                      <w:rFonts w:cs="Arial"/>
                      <w:sz w:val="20"/>
                      <w:szCs w:val="20"/>
                      <w:lang w:val="sl-SI" w:eastAsia="sl-SI"/>
                    </w:rPr>
                  </w:pPr>
                </w:p>
              </w:tc>
            </w:tr>
            <w:tr w:rsidR="00F755CB" w:rsidRPr="00B95D04" w14:paraId="6D88C98C" w14:textId="77777777" w:rsidTr="008060E5">
              <w:tc>
                <w:tcPr>
                  <w:tcW w:w="9213" w:type="dxa"/>
                </w:tcPr>
                <w:p w14:paraId="6D88C98B" w14:textId="77777777" w:rsidR="00F755CB" w:rsidRPr="00B95D04" w:rsidRDefault="00F755CB" w:rsidP="008060E5">
                  <w:pPr>
                    <w:pStyle w:val="Odsek"/>
                    <w:numPr>
                      <w:ilvl w:val="0"/>
                      <w:numId w:val="0"/>
                    </w:numPr>
                    <w:spacing w:before="0" w:after="0" w:line="260" w:lineRule="exact"/>
                    <w:jc w:val="left"/>
                    <w:rPr>
                      <w:rFonts w:cs="Arial"/>
                      <w:sz w:val="20"/>
                      <w:szCs w:val="20"/>
                      <w:lang w:val="sl-SI" w:eastAsia="sl-SI"/>
                    </w:rPr>
                  </w:pPr>
                  <w:r w:rsidRPr="00B95D04">
                    <w:rPr>
                      <w:rFonts w:cs="Arial"/>
                      <w:sz w:val="20"/>
                      <w:szCs w:val="20"/>
                      <w:lang w:val="sl-SI" w:eastAsia="sl-SI"/>
                    </w:rPr>
                    <w:t>2.2 Načela</w:t>
                  </w:r>
                </w:p>
              </w:tc>
            </w:tr>
            <w:tr w:rsidR="00F755CB" w:rsidRPr="00B95D04" w14:paraId="6D88C98F" w14:textId="77777777" w:rsidTr="008060E5">
              <w:tc>
                <w:tcPr>
                  <w:tcW w:w="9213" w:type="dxa"/>
                </w:tcPr>
                <w:p w14:paraId="6D88C98D" w14:textId="7B4FB6DB" w:rsidR="00404541" w:rsidRPr="00B95D04" w:rsidRDefault="00F755CB" w:rsidP="008E7875">
                  <w:pPr>
                    <w:pStyle w:val="Neotevilenodstavek"/>
                    <w:spacing w:before="0" w:after="0" w:line="260" w:lineRule="exact"/>
                    <w:rPr>
                      <w:rFonts w:cs="Arial"/>
                      <w:sz w:val="20"/>
                      <w:szCs w:val="20"/>
                      <w:lang w:val="sl-SI" w:eastAsia="sl-SI"/>
                    </w:rPr>
                  </w:pPr>
                  <w:r w:rsidRPr="00B95D04">
                    <w:rPr>
                      <w:rFonts w:cs="Arial"/>
                      <w:sz w:val="20"/>
                      <w:szCs w:val="20"/>
                      <w:lang w:val="sl-SI" w:eastAsia="sl-SI"/>
                    </w:rPr>
                    <w:t>Predlog zakona ne odstopa od temeljnih načel, na katerih temelji osnovni zakon</w:t>
                  </w:r>
                  <w:r w:rsidR="008E7875" w:rsidRPr="00B95D04">
                    <w:rPr>
                      <w:rFonts w:cs="Arial"/>
                      <w:sz w:val="20"/>
                      <w:szCs w:val="20"/>
                      <w:lang w:val="sl-SI" w:eastAsia="sl-SI"/>
                    </w:rPr>
                    <w:t xml:space="preserve">, in izhaja iz načela splošne davčne obveznosti. Pri vključitvi vseh učinkov prevrednotenj in prerazvrstitev je upoštevano </w:t>
                  </w:r>
                  <w:r w:rsidRPr="00B95D04">
                    <w:rPr>
                      <w:rFonts w:cs="Arial"/>
                      <w:sz w:val="20"/>
                      <w:szCs w:val="20"/>
                      <w:lang w:val="sl-SI" w:eastAsia="sl-SI"/>
                    </w:rPr>
                    <w:t>predvsem načel</w:t>
                  </w:r>
                  <w:r w:rsidR="00404541" w:rsidRPr="00B95D04">
                    <w:rPr>
                      <w:rFonts w:cs="Arial"/>
                      <w:sz w:val="20"/>
                      <w:szCs w:val="20"/>
                      <w:lang w:val="sl-SI" w:eastAsia="sl-SI"/>
                    </w:rPr>
                    <w:t xml:space="preserve">o </w:t>
                  </w:r>
                  <w:r w:rsidR="008E7875" w:rsidRPr="00B95D04">
                    <w:rPr>
                      <w:rFonts w:cs="Arial"/>
                      <w:sz w:val="20"/>
                      <w:szCs w:val="20"/>
                      <w:lang w:val="sl-SI"/>
                    </w:rPr>
                    <w:t xml:space="preserve">enake oziroma primerljive davčne obravnave davčnih zavezancev v enakem oziroma primerljivem položaju, torej načelo horizontalne enakosti davčnih zavezancev, </w:t>
                  </w:r>
                  <w:r w:rsidR="000A738F" w:rsidRPr="00B95D04">
                    <w:rPr>
                      <w:rFonts w:cs="Arial"/>
                      <w:sz w:val="20"/>
                      <w:szCs w:val="20"/>
                      <w:lang w:val="sl-SI" w:eastAsia="sl-SI"/>
                    </w:rPr>
                    <w:t xml:space="preserve">načelo celovitosti oziroma  </w:t>
                  </w:r>
                  <w:r w:rsidR="00404541" w:rsidRPr="00B95D04">
                    <w:rPr>
                      <w:rFonts w:cs="Arial"/>
                      <w:sz w:val="20"/>
                      <w:szCs w:val="20"/>
                      <w:lang w:val="sl-SI" w:eastAsia="sl-SI"/>
                    </w:rPr>
                    <w:t>konsistentnosti</w:t>
                  </w:r>
                  <w:r w:rsidR="003D2537" w:rsidRPr="00B95D04">
                    <w:rPr>
                      <w:rFonts w:cs="Arial"/>
                      <w:sz w:val="20"/>
                      <w:szCs w:val="20"/>
                      <w:lang w:val="sl-SI" w:eastAsia="sl-SI"/>
                    </w:rPr>
                    <w:t>.</w:t>
                  </w:r>
                </w:p>
                <w:p w14:paraId="6D88C98E" w14:textId="508111FD" w:rsidR="008E7875" w:rsidRPr="00B95D04" w:rsidRDefault="008E7875" w:rsidP="00404541">
                  <w:pPr>
                    <w:pStyle w:val="Neotevilenodstavek"/>
                    <w:spacing w:before="0" w:after="0" w:line="260" w:lineRule="exact"/>
                    <w:rPr>
                      <w:rFonts w:cs="Arial"/>
                      <w:sz w:val="20"/>
                      <w:szCs w:val="20"/>
                      <w:lang w:val="sl-SI" w:eastAsia="sl-SI"/>
                    </w:rPr>
                  </w:pPr>
                </w:p>
              </w:tc>
            </w:tr>
            <w:tr w:rsidR="00F755CB" w:rsidRPr="00B95D04" w14:paraId="6D88C991" w14:textId="77777777" w:rsidTr="008060E5">
              <w:tc>
                <w:tcPr>
                  <w:tcW w:w="9213" w:type="dxa"/>
                </w:tcPr>
                <w:p w14:paraId="6D88C990" w14:textId="77777777" w:rsidR="00F755CB" w:rsidRPr="00B95D04" w:rsidRDefault="00F755CB" w:rsidP="008060E5">
                  <w:pPr>
                    <w:pStyle w:val="Odsek"/>
                    <w:numPr>
                      <w:ilvl w:val="0"/>
                      <w:numId w:val="0"/>
                    </w:numPr>
                    <w:spacing w:before="0" w:after="0" w:line="260" w:lineRule="exact"/>
                    <w:jc w:val="left"/>
                    <w:rPr>
                      <w:rFonts w:cs="Arial"/>
                      <w:sz w:val="20"/>
                      <w:szCs w:val="20"/>
                      <w:lang w:val="sl-SI" w:eastAsia="sl-SI"/>
                    </w:rPr>
                  </w:pPr>
                  <w:r w:rsidRPr="00B95D04">
                    <w:rPr>
                      <w:rFonts w:cs="Arial"/>
                      <w:sz w:val="20"/>
                      <w:szCs w:val="20"/>
                      <w:lang w:val="sl-SI" w:eastAsia="sl-SI"/>
                    </w:rPr>
                    <w:t>2.3 Poglavitne rešitve</w:t>
                  </w:r>
                </w:p>
              </w:tc>
            </w:tr>
            <w:tr w:rsidR="00F755CB" w:rsidRPr="00B95D04" w14:paraId="6D88C997" w14:textId="77777777" w:rsidTr="008060E5">
              <w:trPr>
                <w:trHeight w:val="434"/>
              </w:trPr>
              <w:tc>
                <w:tcPr>
                  <w:tcW w:w="9213" w:type="dxa"/>
                </w:tcPr>
                <w:p w14:paraId="5D527BCD" w14:textId="1AFD2F8B" w:rsidR="008E7875" w:rsidRPr="00B95D04" w:rsidRDefault="008E7875" w:rsidP="008E787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95D04">
                    <w:rPr>
                      <w:rFonts w:ascii="Arial" w:eastAsia="Times New Roman" w:hAnsi="Arial" w:cs="Arial"/>
                      <w:sz w:val="20"/>
                      <w:szCs w:val="20"/>
                      <w:lang w:eastAsia="sl-SI"/>
                    </w:rPr>
                    <w:t>S predlogom zakona se vzpostav</w:t>
                  </w:r>
                  <w:r w:rsidR="007215C6" w:rsidRPr="00B95D04">
                    <w:rPr>
                      <w:rFonts w:ascii="Arial" w:eastAsia="Times New Roman" w:hAnsi="Arial" w:cs="Arial"/>
                      <w:sz w:val="20"/>
                      <w:szCs w:val="20"/>
                      <w:lang w:eastAsia="sl-SI"/>
                    </w:rPr>
                    <w:t>lja</w:t>
                  </w:r>
                  <w:r w:rsidRPr="00B95D04">
                    <w:rPr>
                      <w:rFonts w:ascii="Arial" w:eastAsia="Times New Roman" w:hAnsi="Arial" w:cs="Arial"/>
                      <w:sz w:val="20"/>
                      <w:szCs w:val="20"/>
                      <w:lang w:eastAsia="sl-SI"/>
                    </w:rPr>
                    <w:t xml:space="preserve"> mehanizm</w:t>
                  </w:r>
                  <w:r w:rsidR="007215C6" w:rsidRPr="00B95D04">
                    <w:rPr>
                      <w:rFonts w:ascii="Arial" w:eastAsia="Times New Roman" w:hAnsi="Arial" w:cs="Arial"/>
                      <w:sz w:val="20"/>
                      <w:szCs w:val="20"/>
                      <w:lang w:eastAsia="sl-SI"/>
                    </w:rPr>
                    <w:t>e</w:t>
                  </w:r>
                  <w:r w:rsidRPr="00B95D04">
                    <w:rPr>
                      <w:rFonts w:ascii="Arial" w:eastAsia="Times New Roman" w:hAnsi="Arial" w:cs="Arial"/>
                      <w:sz w:val="20"/>
                      <w:szCs w:val="20"/>
                      <w:lang w:eastAsia="sl-SI"/>
                    </w:rPr>
                    <w:t xml:space="preserve"> </w:t>
                  </w:r>
                  <w:r w:rsidR="005C0E20" w:rsidRPr="00B95D04">
                    <w:rPr>
                      <w:rFonts w:ascii="Arial" w:eastAsia="Times New Roman" w:hAnsi="Arial" w:cs="Arial"/>
                      <w:sz w:val="20"/>
                      <w:szCs w:val="20"/>
                      <w:lang w:eastAsia="sl-SI"/>
                    </w:rPr>
                    <w:t xml:space="preserve">za preprečevanje </w:t>
                  </w:r>
                  <w:r w:rsidRPr="00B95D04">
                    <w:rPr>
                      <w:rFonts w:ascii="Arial" w:eastAsia="Times New Roman" w:hAnsi="Arial" w:cs="Arial"/>
                      <w:sz w:val="20"/>
                      <w:szCs w:val="20"/>
                      <w:lang w:eastAsia="sl-SI"/>
                    </w:rPr>
                    <w:t xml:space="preserve">zlorab. Tako se </w:t>
                  </w:r>
                  <w:r w:rsidR="005C0E20" w:rsidRPr="00B95D04">
                    <w:rPr>
                      <w:rFonts w:ascii="Arial" w:eastAsia="Times New Roman" w:hAnsi="Arial" w:cs="Arial"/>
                      <w:sz w:val="20"/>
                      <w:szCs w:val="20"/>
                      <w:lang w:eastAsia="sl-SI"/>
                    </w:rPr>
                    <w:t xml:space="preserve">nadgrajuje določba o ugotavljanju prihodkov, ki predstavljajo zgornjo mejo za možnost ugotavljanja davčne </w:t>
                  </w:r>
                  <w:r w:rsidR="005C0E20" w:rsidRPr="00B95D04">
                    <w:rPr>
                      <w:rFonts w:ascii="Arial" w:eastAsia="Times New Roman" w:hAnsi="Arial" w:cs="Arial"/>
                      <w:sz w:val="20"/>
                      <w:szCs w:val="20"/>
                      <w:lang w:eastAsia="sl-SI"/>
                    </w:rPr>
                    <w:lastRenderedPageBreak/>
                    <w:t>osnove z upoštevanjem normiranih odhodkov. P</w:t>
                  </w:r>
                  <w:r w:rsidRPr="00B95D04">
                    <w:rPr>
                      <w:rFonts w:ascii="Arial" w:eastAsia="Times New Roman" w:hAnsi="Arial" w:cs="Arial"/>
                      <w:sz w:val="20"/>
                      <w:szCs w:val="20"/>
                      <w:lang w:eastAsia="sl-SI"/>
                    </w:rPr>
                    <w:t>redlaga</w:t>
                  </w:r>
                  <w:r w:rsidR="005C0E20" w:rsidRPr="00B95D04">
                    <w:rPr>
                      <w:rFonts w:ascii="Arial" w:eastAsia="Times New Roman" w:hAnsi="Arial" w:cs="Arial"/>
                      <w:sz w:val="20"/>
                      <w:szCs w:val="20"/>
                      <w:lang w:eastAsia="sl-SI"/>
                    </w:rPr>
                    <w:t xml:space="preserve"> se</w:t>
                  </w:r>
                  <w:r w:rsidRPr="00B95D04">
                    <w:rPr>
                      <w:rFonts w:ascii="Arial" w:eastAsia="Times New Roman" w:hAnsi="Arial" w:cs="Arial"/>
                      <w:sz w:val="20"/>
                      <w:szCs w:val="20"/>
                      <w:lang w:eastAsia="sl-SI"/>
                    </w:rPr>
                    <w:t xml:space="preserve">, da se </w:t>
                  </w:r>
                  <w:r w:rsidR="005C0E20" w:rsidRPr="00B95D04">
                    <w:rPr>
                      <w:rFonts w:ascii="Arial" w:eastAsia="Times New Roman" w:hAnsi="Arial" w:cs="Arial"/>
                      <w:sz w:val="20"/>
                      <w:szCs w:val="20"/>
                      <w:lang w:eastAsia="sl-SI"/>
                    </w:rPr>
                    <w:t xml:space="preserve">kot poseben primer poleg veljavnega primera novo ustanovljenih zavezancev določi povezanost oseb v povezavi </w:t>
                  </w:r>
                  <w:r w:rsidR="002C6BFB" w:rsidRPr="00B95D04">
                    <w:rPr>
                      <w:rFonts w:ascii="Arial" w:eastAsia="Times New Roman" w:hAnsi="Arial" w:cs="Arial"/>
                      <w:sz w:val="20"/>
                      <w:szCs w:val="20"/>
                      <w:lang w:eastAsia="sl-SI"/>
                    </w:rPr>
                    <w:t xml:space="preserve">z ravnanjem </w:t>
                  </w:r>
                  <w:r w:rsidR="005C0E20" w:rsidRPr="00B95D04">
                    <w:rPr>
                      <w:rFonts w:ascii="Arial" w:eastAsia="Times New Roman" w:hAnsi="Arial" w:cs="Arial"/>
                      <w:sz w:val="20"/>
                      <w:szCs w:val="20"/>
                      <w:lang w:eastAsia="sl-SI"/>
                    </w:rPr>
                    <w:t>zavezanca, ki ni v skl</w:t>
                  </w:r>
                  <w:r w:rsidR="002F540D" w:rsidRPr="00B95D04">
                    <w:rPr>
                      <w:rFonts w:ascii="Arial" w:eastAsia="Times New Roman" w:hAnsi="Arial" w:cs="Arial"/>
                      <w:sz w:val="20"/>
                      <w:szCs w:val="20"/>
                      <w:lang w:eastAsia="sl-SI"/>
                    </w:rPr>
                    <w:t>a</w:t>
                  </w:r>
                  <w:r w:rsidR="005C0E20" w:rsidRPr="00B95D04">
                    <w:rPr>
                      <w:rFonts w:ascii="Arial" w:eastAsia="Times New Roman" w:hAnsi="Arial" w:cs="Arial"/>
                      <w:sz w:val="20"/>
                      <w:szCs w:val="20"/>
                      <w:lang w:eastAsia="sl-SI"/>
                    </w:rPr>
                    <w:t xml:space="preserve">du s cilji in nameni takšnega ugotavljanja davčne osnove. </w:t>
                  </w:r>
                  <w:r w:rsidR="002F540D" w:rsidRPr="00B95D04">
                    <w:rPr>
                      <w:rFonts w:ascii="Arial" w:eastAsia="Times New Roman" w:hAnsi="Arial" w:cs="Arial"/>
                      <w:sz w:val="20"/>
                      <w:szCs w:val="20"/>
                      <w:lang w:eastAsia="sl-SI"/>
                    </w:rPr>
                    <w:t xml:space="preserve">Določeno je, da se v primeru povezanih oseb prihodki seštevajo. Zavezanec pa vedno lahko dokazuje, da je njegov primer oziroma situacija </w:t>
                  </w:r>
                  <w:r w:rsidR="00461A5B" w:rsidRPr="00B95D04">
                    <w:rPr>
                      <w:rFonts w:ascii="Arial" w:eastAsia="Times New Roman" w:hAnsi="Arial" w:cs="Arial"/>
                      <w:sz w:val="20"/>
                      <w:szCs w:val="20"/>
                      <w:lang w:eastAsia="sl-SI"/>
                    </w:rPr>
                    <w:t xml:space="preserve">v skladu s cilji in nameni takšnega ugotavljanja davčne osnove </w:t>
                  </w:r>
                  <w:r w:rsidR="002E7252" w:rsidRPr="00B95D04">
                    <w:rPr>
                      <w:rFonts w:ascii="Arial" w:eastAsia="Times New Roman" w:hAnsi="Arial" w:cs="Arial"/>
                      <w:sz w:val="20"/>
                      <w:szCs w:val="20"/>
                      <w:lang w:eastAsia="sl-SI"/>
                    </w:rPr>
                    <w:t xml:space="preserve">(dopolnitev </w:t>
                  </w:r>
                  <w:proofErr w:type="spellStart"/>
                  <w:r w:rsidR="002E7252" w:rsidRPr="00B95D04">
                    <w:rPr>
                      <w:rFonts w:ascii="Arial" w:eastAsia="Times New Roman" w:hAnsi="Arial" w:cs="Arial"/>
                      <w:sz w:val="20"/>
                      <w:szCs w:val="20"/>
                      <w:lang w:eastAsia="sl-SI"/>
                    </w:rPr>
                    <w:t>67.d</w:t>
                  </w:r>
                  <w:proofErr w:type="spellEnd"/>
                  <w:r w:rsidR="002E7252" w:rsidRPr="00B95D04">
                    <w:rPr>
                      <w:rFonts w:ascii="Arial" w:eastAsia="Times New Roman" w:hAnsi="Arial" w:cs="Arial"/>
                      <w:sz w:val="20"/>
                      <w:szCs w:val="20"/>
                      <w:lang w:eastAsia="sl-SI"/>
                    </w:rPr>
                    <w:t xml:space="preserve"> člena ZDDPO-2)</w:t>
                  </w:r>
                  <w:r w:rsidR="001D248E" w:rsidRPr="00B95D04">
                    <w:rPr>
                      <w:rFonts w:ascii="Arial" w:eastAsia="Times New Roman" w:hAnsi="Arial" w:cs="Arial"/>
                      <w:sz w:val="20"/>
                      <w:szCs w:val="20"/>
                      <w:lang w:eastAsia="sl-SI"/>
                    </w:rPr>
                    <w:t>.</w:t>
                  </w:r>
                  <w:r w:rsidRPr="00B95D04">
                    <w:rPr>
                      <w:rFonts w:ascii="Arial" w:eastAsia="Times New Roman" w:hAnsi="Arial" w:cs="Arial"/>
                      <w:sz w:val="20"/>
                      <w:szCs w:val="20"/>
                      <w:lang w:eastAsia="sl-SI"/>
                    </w:rPr>
                    <w:t xml:space="preserve"> </w:t>
                  </w:r>
                  <w:r w:rsidR="0031090A" w:rsidRPr="00B95D04">
                    <w:rPr>
                      <w:rFonts w:ascii="Arial" w:eastAsia="Times New Roman" w:hAnsi="Arial" w:cs="Arial"/>
                      <w:sz w:val="20"/>
                      <w:szCs w:val="20"/>
                      <w:lang w:eastAsia="sl-SI"/>
                    </w:rPr>
                    <w:t>P</w:t>
                  </w:r>
                  <w:r w:rsidRPr="00B95D04">
                    <w:rPr>
                      <w:rFonts w:ascii="Arial" w:eastAsia="Times New Roman" w:hAnsi="Arial" w:cs="Arial"/>
                      <w:sz w:val="20"/>
                      <w:szCs w:val="20"/>
                      <w:lang w:eastAsia="sl-SI"/>
                    </w:rPr>
                    <w:t>ogoj za obvez</w:t>
                  </w:r>
                  <w:r w:rsidR="00535294" w:rsidRPr="00B95D04">
                    <w:rPr>
                      <w:rFonts w:ascii="Arial" w:eastAsia="Times New Roman" w:hAnsi="Arial" w:cs="Arial"/>
                      <w:sz w:val="20"/>
                      <w:szCs w:val="20"/>
                      <w:lang w:eastAsia="sl-SI"/>
                    </w:rPr>
                    <w:t>e</w:t>
                  </w:r>
                  <w:r w:rsidRPr="00B95D04">
                    <w:rPr>
                      <w:rFonts w:ascii="Arial" w:eastAsia="Times New Roman" w:hAnsi="Arial" w:cs="Arial"/>
                      <w:sz w:val="20"/>
                      <w:szCs w:val="20"/>
                      <w:lang w:eastAsia="sl-SI"/>
                    </w:rPr>
                    <w:t xml:space="preserve">n izstop iz sistema </w:t>
                  </w:r>
                  <w:r w:rsidR="0031090A" w:rsidRPr="00B95D04">
                    <w:rPr>
                      <w:rFonts w:ascii="Arial" w:eastAsia="Times New Roman" w:hAnsi="Arial" w:cs="Arial"/>
                      <w:sz w:val="20"/>
                      <w:szCs w:val="20"/>
                      <w:lang w:eastAsia="sl-SI"/>
                    </w:rPr>
                    <w:t>se prenavlja</w:t>
                  </w:r>
                  <w:r w:rsidR="006C581C" w:rsidRPr="00B95D04">
                    <w:rPr>
                      <w:rFonts w:ascii="Arial" w:eastAsia="Times New Roman" w:hAnsi="Arial" w:cs="Arial"/>
                      <w:sz w:val="20"/>
                      <w:szCs w:val="20"/>
                      <w:lang w:eastAsia="sl-SI"/>
                    </w:rPr>
                    <w:t xml:space="preserve"> na način, da mora zavezanec izstopiti iz sistema</w:t>
                  </w:r>
                  <w:r w:rsidRPr="00B95D04">
                    <w:rPr>
                      <w:rFonts w:ascii="Arial" w:eastAsia="Times New Roman" w:hAnsi="Arial" w:cs="Arial"/>
                      <w:sz w:val="20"/>
                      <w:szCs w:val="20"/>
                      <w:lang w:eastAsia="sl-SI"/>
                    </w:rPr>
                    <w:t xml:space="preserve">, </w:t>
                  </w:r>
                  <w:r w:rsidR="00B85692" w:rsidRPr="00B95D04">
                    <w:rPr>
                      <w:rFonts w:ascii="Arial" w:eastAsia="Times New Roman" w:hAnsi="Arial" w:cs="Arial"/>
                      <w:sz w:val="20"/>
                      <w:szCs w:val="20"/>
                      <w:lang w:eastAsia="sl-SI"/>
                    </w:rPr>
                    <w:t xml:space="preserve">če </w:t>
                  </w:r>
                  <w:r w:rsidR="003F6B78" w:rsidRPr="00B95D04">
                    <w:rPr>
                      <w:rFonts w:ascii="Arial" w:eastAsia="Times New Roman" w:hAnsi="Arial" w:cs="Arial"/>
                      <w:sz w:val="20"/>
                      <w:szCs w:val="20"/>
                      <w:lang w:eastAsia="sl-SI"/>
                    </w:rPr>
                    <w:t xml:space="preserve">njegovo povprečje prihodkov </w:t>
                  </w:r>
                  <w:r w:rsidRPr="00B95D04">
                    <w:rPr>
                      <w:rFonts w:ascii="Arial" w:eastAsia="Times New Roman" w:hAnsi="Arial" w:cs="Arial"/>
                      <w:sz w:val="20"/>
                      <w:szCs w:val="20"/>
                      <w:lang w:eastAsia="sl-SI"/>
                    </w:rPr>
                    <w:t xml:space="preserve">dveh zaporednih preteklih </w:t>
                  </w:r>
                  <w:r w:rsidR="004F780A" w:rsidRPr="00B95D04">
                    <w:rPr>
                      <w:rFonts w:ascii="Arial" w:eastAsia="Times New Roman" w:hAnsi="Arial" w:cs="Arial"/>
                      <w:sz w:val="20"/>
                      <w:szCs w:val="20"/>
                      <w:lang w:eastAsia="sl-SI"/>
                    </w:rPr>
                    <w:t>davčnih obdobij</w:t>
                  </w:r>
                  <w:r w:rsidRPr="00B95D04">
                    <w:rPr>
                      <w:rFonts w:ascii="Arial" w:eastAsia="Times New Roman" w:hAnsi="Arial" w:cs="Arial"/>
                      <w:sz w:val="20"/>
                      <w:szCs w:val="20"/>
                      <w:lang w:eastAsia="sl-SI"/>
                    </w:rPr>
                    <w:t xml:space="preserve"> presega znesek 150.000 </w:t>
                  </w:r>
                  <w:proofErr w:type="spellStart"/>
                  <w:r w:rsidRPr="00B95D04">
                    <w:rPr>
                      <w:rFonts w:ascii="Arial" w:eastAsia="Times New Roman" w:hAnsi="Arial" w:cs="Arial"/>
                      <w:sz w:val="20"/>
                      <w:szCs w:val="20"/>
                      <w:lang w:eastAsia="sl-SI"/>
                    </w:rPr>
                    <w:t>e</w:t>
                  </w:r>
                  <w:r w:rsidR="00EA6B75" w:rsidRPr="00B95D04">
                    <w:rPr>
                      <w:rFonts w:ascii="Arial" w:eastAsia="Times New Roman" w:hAnsi="Arial" w:cs="Arial"/>
                      <w:sz w:val="20"/>
                      <w:szCs w:val="20"/>
                      <w:lang w:eastAsia="sl-SI"/>
                    </w:rPr>
                    <w:t>u</w:t>
                  </w:r>
                  <w:r w:rsidRPr="00B95D04">
                    <w:rPr>
                      <w:rFonts w:ascii="Arial" w:eastAsia="Times New Roman" w:hAnsi="Arial" w:cs="Arial"/>
                      <w:sz w:val="20"/>
                      <w:szCs w:val="20"/>
                      <w:lang w:eastAsia="sl-SI"/>
                    </w:rPr>
                    <w:t>rov</w:t>
                  </w:r>
                  <w:proofErr w:type="spellEnd"/>
                  <w:r w:rsidRPr="00B95D04">
                    <w:rPr>
                      <w:rFonts w:ascii="Arial" w:eastAsia="Times New Roman" w:hAnsi="Arial" w:cs="Arial"/>
                      <w:sz w:val="20"/>
                      <w:szCs w:val="20"/>
                      <w:lang w:eastAsia="sl-SI"/>
                    </w:rPr>
                    <w:t xml:space="preserve">, </w:t>
                  </w:r>
                  <w:r w:rsidR="00B85692" w:rsidRPr="00B95D04">
                    <w:rPr>
                      <w:rFonts w:ascii="Arial" w:eastAsia="Times New Roman" w:hAnsi="Arial" w:cs="Arial"/>
                      <w:sz w:val="20"/>
                      <w:szCs w:val="20"/>
                      <w:lang w:eastAsia="sl-SI"/>
                    </w:rPr>
                    <w:t>kar je drugače kot v</w:t>
                  </w:r>
                  <w:r w:rsidRPr="00B95D04">
                    <w:rPr>
                      <w:rFonts w:ascii="Arial" w:eastAsia="Times New Roman" w:hAnsi="Arial" w:cs="Arial"/>
                      <w:sz w:val="20"/>
                      <w:szCs w:val="20"/>
                      <w:lang w:eastAsia="sl-SI"/>
                    </w:rPr>
                    <w:t xml:space="preserve"> sedanj</w:t>
                  </w:r>
                  <w:r w:rsidR="00B85692" w:rsidRPr="00B95D04">
                    <w:rPr>
                      <w:rFonts w:ascii="Arial" w:eastAsia="Times New Roman" w:hAnsi="Arial" w:cs="Arial"/>
                      <w:sz w:val="20"/>
                      <w:szCs w:val="20"/>
                      <w:lang w:eastAsia="sl-SI"/>
                    </w:rPr>
                    <w:t>i</w:t>
                  </w:r>
                  <w:r w:rsidRPr="00B95D04">
                    <w:rPr>
                      <w:rFonts w:ascii="Arial" w:eastAsia="Times New Roman" w:hAnsi="Arial" w:cs="Arial"/>
                      <w:sz w:val="20"/>
                      <w:szCs w:val="20"/>
                      <w:lang w:eastAsia="sl-SI"/>
                    </w:rPr>
                    <w:t xml:space="preserve"> ureditv</w:t>
                  </w:r>
                  <w:r w:rsidR="00B85692" w:rsidRPr="00B95D04">
                    <w:rPr>
                      <w:rFonts w:ascii="Arial" w:eastAsia="Times New Roman" w:hAnsi="Arial" w:cs="Arial"/>
                      <w:sz w:val="20"/>
                      <w:szCs w:val="20"/>
                      <w:lang w:eastAsia="sl-SI"/>
                    </w:rPr>
                    <w:t>i</w:t>
                  </w:r>
                  <w:r w:rsidRPr="00B95D04">
                    <w:rPr>
                      <w:rFonts w:ascii="Arial" w:eastAsia="Times New Roman" w:hAnsi="Arial" w:cs="Arial"/>
                      <w:sz w:val="20"/>
                      <w:szCs w:val="20"/>
                      <w:lang w:eastAsia="sl-SI"/>
                    </w:rPr>
                    <w:t>, ko</w:t>
                  </w:r>
                  <w:r w:rsidR="00B85692" w:rsidRPr="00B95D04">
                    <w:rPr>
                      <w:rFonts w:ascii="Arial" w:eastAsia="Times New Roman" w:hAnsi="Arial" w:cs="Arial"/>
                      <w:sz w:val="20"/>
                      <w:szCs w:val="20"/>
                      <w:lang w:eastAsia="sl-SI"/>
                    </w:rPr>
                    <w:t xml:space="preserve"> je</w:t>
                  </w:r>
                  <w:r w:rsidRPr="00B95D04">
                    <w:rPr>
                      <w:rFonts w:ascii="Arial" w:eastAsia="Times New Roman" w:hAnsi="Arial" w:cs="Arial"/>
                      <w:sz w:val="20"/>
                      <w:szCs w:val="20"/>
                      <w:lang w:eastAsia="sl-SI"/>
                    </w:rPr>
                    <w:t xml:space="preserve"> izstop iz sistema</w:t>
                  </w:r>
                  <w:r w:rsidR="00B85692" w:rsidRPr="00B95D04">
                    <w:rPr>
                      <w:rFonts w:ascii="Arial" w:eastAsia="Times New Roman" w:hAnsi="Arial" w:cs="Arial"/>
                      <w:sz w:val="20"/>
                      <w:szCs w:val="20"/>
                      <w:lang w:eastAsia="sl-SI"/>
                    </w:rPr>
                    <w:t xml:space="preserve"> obvezen</w:t>
                  </w:r>
                  <w:r w:rsidRPr="00B95D04">
                    <w:rPr>
                      <w:rFonts w:ascii="Arial" w:eastAsia="Times New Roman" w:hAnsi="Arial" w:cs="Arial"/>
                      <w:sz w:val="20"/>
                      <w:szCs w:val="20"/>
                      <w:lang w:eastAsia="sl-SI"/>
                    </w:rPr>
                    <w:t>, če zavezanec dve zaporedni</w:t>
                  </w:r>
                  <w:r w:rsidR="00EA6B75" w:rsidRPr="00B95D04">
                    <w:rPr>
                      <w:rFonts w:ascii="Arial" w:eastAsia="Times New Roman" w:hAnsi="Arial" w:cs="Arial"/>
                      <w:sz w:val="20"/>
                      <w:szCs w:val="20"/>
                      <w:lang w:eastAsia="sl-SI"/>
                    </w:rPr>
                    <w:t xml:space="preserve"> davčni obdobji</w:t>
                  </w:r>
                  <w:r w:rsidRPr="00B95D04">
                    <w:rPr>
                      <w:rFonts w:ascii="Arial" w:eastAsia="Times New Roman" w:hAnsi="Arial" w:cs="Arial"/>
                      <w:sz w:val="20"/>
                      <w:szCs w:val="20"/>
                      <w:lang w:eastAsia="sl-SI"/>
                    </w:rPr>
                    <w:t xml:space="preserve"> ne izpolnjuje pogojev za vstop v sistem</w:t>
                  </w:r>
                  <w:r w:rsidR="000376FD" w:rsidRPr="00B95D04">
                    <w:rPr>
                      <w:rFonts w:ascii="Arial" w:eastAsia="Times New Roman" w:hAnsi="Arial" w:cs="Arial"/>
                      <w:sz w:val="20"/>
                      <w:szCs w:val="20"/>
                      <w:lang w:eastAsia="sl-SI"/>
                    </w:rPr>
                    <w:t xml:space="preserve"> (sprememba </w:t>
                  </w:r>
                  <w:proofErr w:type="spellStart"/>
                  <w:r w:rsidR="000376FD" w:rsidRPr="00B95D04">
                    <w:rPr>
                      <w:rFonts w:ascii="Arial" w:eastAsia="Times New Roman" w:hAnsi="Arial" w:cs="Arial"/>
                      <w:sz w:val="20"/>
                      <w:szCs w:val="20"/>
                      <w:lang w:eastAsia="sl-SI"/>
                    </w:rPr>
                    <w:t>67.c</w:t>
                  </w:r>
                  <w:proofErr w:type="spellEnd"/>
                  <w:r w:rsidR="000376FD" w:rsidRPr="00B95D04">
                    <w:rPr>
                      <w:rFonts w:ascii="Arial" w:eastAsia="Times New Roman" w:hAnsi="Arial" w:cs="Arial"/>
                      <w:sz w:val="20"/>
                      <w:szCs w:val="20"/>
                      <w:lang w:eastAsia="sl-SI"/>
                    </w:rPr>
                    <w:t xml:space="preserve"> člena ZDDPO-2)</w:t>
                  </w:r>
                  <w:r w:rsidRPr="00B95D04">
                    <w:rPr>
                      <w:rFonts w:ascii="Arial" w:eastAsia="Times New Roman" w:hAnsi="Arial" w:cs="Arial"/>
                      <w:sz w:val="20"/>
                      <w:szCs w:val="20"/>
                      <w:lang w:eastAsia="sl-SI"/>
                    </w:rPr>
                    <w:t xml:space="preserve">. </w:t>
                  </w:r>
                  <w:r w:rsidR="004A5340" w:rsidRPr="00B95D04">
                    <w:rPr>
                      <w:rFonts w:ascii="Arial" w:hAnsi="Arial" w:cs="Arial"/>
                      <w:sz w:val="20"/>
                      <w:szCs w:val="20"/>
                    </w:rPr>
                    <w:t>Z</w:t>
                  </w:r>
                  <w:r w:rsidR="004A5340" w:rsidRPr="00B95D04">
                    <w:rPr>
                      <w:rFonts w:ascii="Arial" w:eastAsia="Times New Roman" w:hAnsi="Arial" w:cs="Arial"/>
                      <w:sz w:val="20"/>
                      <w:szCs w:val="20"/>
                      <w:lang w:eastAsia="sl-SI"/>
                    </w:rPr>
                    <w:t xml:space="preserve">avezanec tako lahko ostane v sistemu, če ima v dveh zaporednih davčnih obdobjih skupno do 300.000 </w:t>
                  </w:r>
                  <w:proofErr w:type="spellStart"/>
                  <w:r w:rsidR="004A5340" w:rsidRPr="00B95D04">
                    <w:rPr>
                      <w:rFonts w:ascii="Arial" w:eastAsia="Times New Roman" w:hAnsi="Arial" w:cs="Arial"/>
                      <w:sz w:val="20"/>
                      <w:szCs w:val="20"/>
                      <w:lang w:eastAsia="sl-SI"/>
                    </w:rPr>
                    <w:t>eurov</w:t>
                  </w:r>
                  <w:proofErr w:type="spellEnd"/>
                  <w:r w:rsidR="004A5340" w:rsidRPr="00B95D04">
                    <w:rPr>
                      <w:rFonts w:ascii="Arial" w:eastAsia="Times New Roman" w:hAnsi="Arial" w:cs="Arial"/>
                      <w:sz w:val="20"/>
                      <w:szCs w:val="20"/>
                      <w:lang w:eastAsia="sl-SI"/>
                    </w:rPr>
                    <w:t xml:space="preserve"> prihodkov, torej kljub prekoračitvi letnih prihodkovnih pragov, s čimer bo sistem pridobil na fleksibilnosti. </w:t>
                  </w:r>
                  <w:r w:rsidRPr="00B95D04">
                    <w:rPr>
                      <w:rFonts w:ascii="Arial" w:eastAsia="Times New Roman" w:hAnsi="Arial" w:cs="Arial"/>
                      <w:sz w:val="20"/>
                      <w:szCs w:val="20"/>
                      <w:lang w:eastAsia="sl-SI"/>
                    </w:rPr>
                    <w:t xml:space="preserve">Višina normiranih odhodkov se omeji tudi z absolutno višino, in sicer ti ne morejo biti višji od </w:t>
                  </w:r>
                  <w:r w:rsidR="007215C6" w:rsidRPr="00B95D04">
                    <w:rPr>
                      <w:rFonts w:ascii="Arial" w:eastAsia="Times New Roman" w:hAnsi="Arial" w:cs="Arial"/>
                      <w:sz w:val="20"/>
                      <w:szCs w:val="20"/>
                      <w:lang w:eastAsia="sl-SI"/>
                    </w:rPr>
                    <w:t>40</w:t>
                  </w:r>
                  <w:r w:rsidRPr="00B95D04">
                    <w:rPr>
                      <w:rFonts w:ascii="Arial" w:eastAsia="Times New Roman" w:hAnsi="Arial" w:cs="Arial"/>
                      <w:sz w:val="20"/>
                      <w:szCs w:val="20"/>
                      <w:lang w:eastAsia="sl-SI"/>
                    </w:rPr>
                    <w:t xml:space="preserve">.000 </w:t>
                  </w:r>
                  <w:proofErr w:type="spellStart"/>
                  <w:r w:rsidRPr="00B95D04">
                    <w:rPr>
                      <w:rFonts w:ascii="Arial" w:eastAsia="Times New Roman" w:hAnsi="Arial" w:cs="Arial"/>
                      <w:sz w:val="20"/>
                      <w:szCs w:val="20"/>
                      <w:lang w:eastAsia="sl-SI"/>
                    </w:rPr>
                    <w:t>e</w:t>
                  </w:r>
                  <w:r w:rsidR="00EA6B75" w:rsidRPr="00B95D04">
                    <w:rPr>
                      <w:rFonts w:ascii="Arial" w:eastAsia="Times New Roman" w:hAnsi="Arial" w:cs="Arial"/>
                      <w:sz w:val="20"/>
                      <w:szCs w:val="20"/>
                      <w:lang w:eastAsia="sl-SI"/>
                    </w:rPr>
                    <w:t>u</w:t>
                  </w:r>
                  <w:r w:rsidRPr="00B95D04">
                    <w:rPr>
                      <w:rFonts w:ascii="Arial" w:eastAsia="Times New Roman" w:hAnsi="Arial" w:cs="Arial"/>
                      <w:sz w:val="20"/>
                      <w:szCs w:val="20"/>
                      <w:lang w:eastAsia="sl-SI"/>
                    </w:rPr>
                    <w:t>rov</w:t>
                  </w:r>
                  <w:proofErr w:type="spellEnd"/>
                  <w:r w:rsidRPr="00B95D04">
                    <w:rPr>
                      <w:rFonts w:ascii="Arial" w:eastAsia="Times New Roman" w:hAnsi="Arial" w:cs="Arial"/>
                      <w:sz w:val="20"/>
                      <w:szCs w:val="20"/>
                      <w:lang w:eastAsia="sl-SI"/>
                    </w:rPr>
                    <w:t xml:space="preserve"> </w:t>
                  </w:r>
                  <w:r w:rsidR="00487047" w:rsidRPr="00B95D04">
                    <w:rPr>
                      <w:rFonts w:ascii="Arial" w:eastAsia="Times New Roman" w:hAnsi="Arial" w:cs="Arial"/>
                      <w:sz w:val="20"/>
                      <w:szCs w:val="20"/>
                      <w:lang w:eastAsia="sl-SI"/>
                    </w:rPr>
                    <w:t xml:space="preserve">ali </w:t>
                  </w:r>
                  <w:r w:rsidRPr="00B95D04">
                    <w:rPr>
                      <w:rFonts w:ascii="Arial" w:eastAsia="Times New Roman" w:hAnsi="Arial" w:cs="Arial"/>
                      <w:sz w:val="20"/>
                      <w:szCs w:val="20"/>
                      <w:lang w:eastAsia="sl-SI"/>
                    </w:rPr>
                    <w:t xml:space="preserve">ne morejo biti višji od </w:t>
                  </w:r>
                  <w:r w:rsidR="007215C6" w:rsidRPr="00B95D04">
                    <w:rPr>
                      <w:rFonts w:ascii="Arial" w:eastAsia="Times New Roman" w:hAnsi="Arial" w:cs="Arial"/>
                      <w:sz w:val="20"/>
                      <w:szCs w:val="20"/>
                      <w:lang w:eastAsia="sl-SI"/>
                    </w:rPr>
                    <w:t>8</w:t>
                  </w:r>
                  <w:r w:rsidRPr="00B95D04">
                    <w:rPr>
                      <w:rFonts w:ascii="Arial" w:eastAsia="Times New Roman" w:hAnsi="Arial" w:cs="Arial"/>
                      <w:sz w:val="20"/>
                      <w:szCs w:val="20"/>
                      <w:lang w:eastAsia="sl-SI"/>
                    </w:rPr>
                    <w:t xml:space="preserve">0.000 </w:t>
                  </w:r>
                  <w:proofErr w:type="spellStart"/>
                  <w:r w:rsidRPr="00B95D04">
                    <w:rPr>
                      <w:rFonts w:ascii="Arial" w:eastAsia="Times New Roman" w:hAnsi="Arial" w:cs="Arial"/>
                      <w:sz w:val="20"/>
                      <w:szCs w:val="20"/>
                      <w:lang w:eastAsia="sl-SI"/>
                    </w:rPr>
                    <w:t>e</w:t>
                  </w:r>
                  <w:r w:rsidR="00EA6B75" w:rsidRPr="00B95D04">
                    <w:rPr>
                      <w:rFonts w:ascii="Arial" w:eastAsia="Times New Roman" w:hAnsi="Arial" w:cs="Arial"/>
                      <w:sz w:val="20"/>
                      <w:szCs w:val="20"/>
                      <w:lang w:eastAsia="sl-SI"/>
                    </w:rPr>
                    <w:t>u</w:t>
                  </w:r>
                  <w:r w:rsidRPr="00B95D04">
                    <w:rPr>
                      <w:rFonts w:ascii="Arial" w:eastAsia="Times New Roman" w:hAnsi="Arial" w:cs="Arial"/>
                      <w:sz w:val="20"/>
                      <w:szCs w:val="20"/>
                      <w:lang w:eastAsia="sl-SI"/>
                    </w:rPr>
                    <w:t>rov</w:t>
                  </w:r>
                  <w:proofErr w:type="spellEnd"/>
                  <w:r w:rsidRPr="00B95D04">
                    <w:rPr>
                      <w:rFonts w:ascii="Arial" w:eastAsia="Times New Roman" w:hAnsi="Arial" w:cs="Arial"/>
                      <w:sz w:val="20"/>
                      <w:szCs w:val="20"/>
                      <w:lang w:eastAsia="sl-SI"/>
                    </w:rPr>
                    <w:t xml:space="preserve"> za zavezance z vsaj eno </w:t>
                  </w:r>
                  <w:r w:rsidR="00EA6B75" w:rsidRPr="00B95D04">
                    <w:rPr>
                      <w:rFonts w:ascii="Arial" w:eastAsia="Times New Roman" w:hAnsi="Arial" w:cs="Arial"/>
                      <w:sz w:val="20"/>
                      <w:szCs w:val="20"/>
                      <w:lang w:eastAsia="sl-SI"/>
                    </w:rPr>
                    <w:t xml:space="preserve">obvezno </w:t>
                  </w:r>
                  <w:r w:rsidRPr="00B95D04">
                    <w:rPr>
                      <w:rFonts w:ascii="Arial" w:eastAsia="Times New Roman" w:hAnsi="Arial" w:cs="Arial"/>
                      <w:sz w:val="20"/>
                      <w:szCs w:val="20"/>
                      <w:lang w:eastAsia="sl-SI"/>
                    </w:rPr>
                    <w:t xml:space="preserve">zavarovano osebo pri zavezancu v </w:t>
                  </w:r>
                  <w:r w:rsidR="00946953" w:rsidRPr="00B95D04">
                    <w:rPr>
                      <w:rFonts w:ascii="Arial" w:eastAsia="Times New Roman" w:hAnsi="Arial" w:cs="Arial"/>
                      <w:sz w:val="20"/>
                      <w:szCs w:val="20"/>
                      <w:lang w:eastAsia="sl-SI"/>
                    </w:rPr>
                    <w:t>tekočem davčnem obdobju</w:t>
                  </w:r>
                  <w:r w:rsidRPr="00B95D04">
                    <w:rPr>
                      <w:rFonts w:ascii="Arial" w:eastAsia="Times New Roman" w:hAnsi="Arial" w:cs="Arial"/>
                      <w:sz w:val="20"/>
                      <w:szCs w:val="20"/>
                      <w:lang w:eastAsia="sl-SI"/>
                    </w:rPr>
                    <w:t xml:space="preserve"> za polni delovni čas neprekinjeno najmanj pet mesecev</w:t>
                  </w:r>
                  <w:r w:rsidR="000376FD" w:rsidRPr="00B95D04">
                    <w:rPr>
                      <w:rFonts w:ascii="Arial" w:eastAsia="Times New Roman" w:hAnsi="Arial" w:cs="Arial"/>
                      <w:sz w:val="20"/>
                      <w:szCs w:val="20"/>
                      <w:lang w:eastAsia="sl-SI"/>
                    </w:rPr>
                    <w:t xml:space="preserve"> (sprememba </w:t>
                  </w:r>
                  <w:proofErr w:type="spellStart"/>
                  <w:r w:rsidR="000376FD" w:rsidRPr="00B95D04">
                    <w:rPr>
                      <w:rFonts w:ascii="Arial" w:eastAsia="Times New Roman" w:hAnsi="Arial" w:cs="Arial"/>
                      <w:sz w:val="20"/>
                      <w:szCs w:val="20"/>
                      <w:lang w:eastAsia="sl-SI"/>
                    </w:rPr>
                    <w:t>67.e</w:t>
                  </w:r>
                  <w:proofErr w:type="spellEnd"/>
                  <w:r w:rsidR="000376FD" w:rsidRPr="00B95D04">
                    <w:rPr>
                      <w:rFonts w:ascii="Arial" w:eastAsia="Times New Roman" w:hAnsi="Arial" w:cs="Arial"/>
                      <w:sz w:val="20"/>
                      <w:szCs w:val="20"/>
                      <w:lang w:eastAsia="sl-SI"/>
                    </w:rPr>
                    <w:t xml:space="preserve"> člena ZDDPO-2)</w:t>
                  </w:r>
                  <w:r w:rsidRPr="00B95D04">
                    <w:rPr>
                      <w:rFonts w:ascii="Arial" w:eastAsia="Times New Roman" w:hAnsi="Arial" w:cs="Arial"/>
                      <w:sz w:val="20"/>
                      <w:szCs w:val="20"/>
                      <w:lang w:eastAsia="sl-SI"/>
                    </w:rPr>
                    <w:t>.</w:t>
                  </w:r>
                </w:p>
                <w:p w14:paraId="6020CF64" w14:textId="77777777" w:rsidR="008E7875" w:rsidRPr="00B95D04" w:rsidRDefault="008E7875" w:rsidP="00942C8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D88C992" w14:textId="1FDB4B99" w:rsidR="00373F1A" w:rsidRPr="00B95D04" w:rsidRDefault="00F755CB" w:rsidP="00942C8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95D04">
                    <w:rPr>
                      <w:rFonts w:ascii="Arial" w:eastAsia="Times New Roman" w:hAnsi="Arial" w:cs="Arial"/>
                      <w:sz w:val="20"/>
                      <w:szCs w:val="20"/>
                      <w:lang w:eastAsia="sl-SI"/>
                    </w:rPr>
                    <w:t xml:space="preserve">S predlogom zakona se predlagajo </w:t>
                  </w:r>
                  <w:r w:rsidR="008E7875" w:rsidRPr="00B95D04">
                    <w:rPr>
                      <w:rFonts w:ascii="Arial" w:eastAsia="Times New Roman" w:hAnsi="Arial" w:cs="Arial"/>
                      <w:sz w:val="20"/>
                      <w:szCs w:val="20"/>
                      <w:lang w:eastAsia="sl-SI"/>
                    </w:rPr>
                    <w:t xml:space="preserve">tudi </w:t>
                  </w:r>
                  <w:r w:rsidRPr="00B95D04">
                    <w:rPr>
                      <w:rFonts w:ascii="Arial" w:eastAsia="Times New Roman" w:hAnsi="Arial" w:cs="Arial"/>
                      <w:sz w:val="20"/>
                      <w:szCs w:val="20"/>
                      <w:lang w:eastAsia="sl-SI"/>
                    </w:rPr>
                    <w:t xml:space="preserve">ukrepi za </w:t>
                  </w:r>
                  <w:r w:rsidR="00965CBF" w:rsidRPr="00B95D04">
                    <w:rPr>
                      <w:rFonts w:ascii="Arial" w:eastAsia="Times New Roman" w:hAnsi="Arial" w:cs="Arial"/>
                      <w:sz w:val="20"/>
                      <w:szCs w:val="20"/>
                      <w:lang w:eastAsia="sl-SI"/>
                    </w:rPr>
                    <w:t>vključitev vseh učinkov prevrednotenj in prerazvrstitev vseh finančnih instrumentov v davčno osnovo</w:t>
                  </w:r>
                  <w:r w:rsidR="004B1901" w:rsidRPr="00B95D04">
                    <w:rPr>
                      <w:rFonts w:ascii="Arial" w:eastAsia="Times New Roman" w:hAnsi="Arial" w:cs="Arial"/>
                      <w:sz w:val="20"/>
                      <w:szCs w:val="20"/>
                      <w:lang w:eastAsia="sl-SI"/>
                    </w:rPr>
                    <w:t xml:space="preserve"> (dopolnitev </w:t>
                  </w:r>
                  <w:r w:rsidR="00D876CA" w:rsidRPr="00B95D04">
                    <w:rPr>
                      <w:rFonts w:ascii="Arial" w:eastAsia="Times New Roman" w:hAnsi="Arial" w:cs="Arial"/>
                      <w:sz w:val="20"/>
                      <w:szCs w:val="20"/>
                      <w:lang w:eastAsia="sl-SI"/>
                    </w:rPr>
                    <w:t>ZDDPO-2</w:t>
                  </w:r>
                  <w:r w:rsidR="004B1901" w:rsidRPr="00B95D04">
                    <w:rPr>
                      <w:rFonts w:ascii="Arial" w:eastAsia="Times New Roman" w:hAnsi="Arial" w:cs="Arial"/>
                      <w:sz w:val="20"/>
                      <w:szCs w:val="20"/>
                      <w:lang w:eastAsia="sl-SI"/>
                    </w:rPr>
                    <w:t xml:space="preserve"> z novim </w:t>
                  </w:r>
                  <w:proofErr w:type="spellStart"/>
                  <w:r w:rsidR="004B1901" w:rsidRPr="00B95D04">
                    <w:rPr>
                      <w:rFonts w:ascii="Arial" w:eastAsia="Times New Roman" w:hAnsi="Arial" w:cs="Arial"/>
                      <w:sz w:val="20"/>
                      <w:szCs w:val="20"/>
                      <w:lang w:eastAsia="sl-SI"/>
                    </w:rPr>
                    <w:t>15.b</w:t>
                  </w:r>
                  <w:proofErr w:type="spellEnd"/>
                  <w:r w:rsidR="004B1901" w:rsidRPr="00B95D04">
                    <w:rPr>
                      <w:rFonts w:ascii="Arial" w:eastAsia="Times New Roman" w:hAnsi="Arial" w:cs="Arial"/>
                      <w:sz w:val="20"/>
                      <w:szCs w:val="20"/>
                      <w:lang w:eastAsia="sl-SI"/>
                    </w:rPr>
                    <w:t xml:space="preserve"> členom)</w:t>
                  </w:r>
                  <w:r w:rsidR="00965CBF" w:rsidRPr="00B95D04">
                    <w:rPr>
                      <w:rFonts w:ascii="Arial" w:eastAsia="Times New Roman" w:hAnsi="Arial" w:cs="Arial"/>
                      <w:sz w:val="20"/>
                      <w:szCs w:val="20"/>
                      <w:lang w:eastAsia="sl-SI"/>
                    </w:rPr>
                    <w:t>.</w:t>
                  </w:r>
                  <w:r w:rsidR="00942C82" w:rsidRPr="00B95D04">
                    <w:rPr>
                      <w:rFonts w:ascii="Arial" w:eastAsia="Times New Roman" w:hAnsi="Arial" w:cs="Arial"/>
                      <w:sz w:val="20"/>
                      <w:szCs w:val="20"/>
                      <w:lang w:eastAsia="sl-SI"/>
                    </w:rPr>
                    <w:t xml:space="preserve"> Predlaga se vključitev </w:t>
                  </w:r>
                  <w:r w:rsidR="00373F1A" w:rsidRPr="00B95D04">
                    <w:rPr>
                      <w:rFonts w:ascii="Arial" w:eastAsia="Times New Roman" w:hAnsi="Arial" w:cs="Arial"/>
                      <w:sz w:val="20"/>
                      <w:szCs w:val="20"/>
                      <w:lang w:eastAsia="sl-SI"/>
                    </w:rPr>
                    <w:t>naslednji</w:t>
                  </w:r>
                  <w:r w:rsidR="00942C82" w:rsidRPr="00B95D04">
                    <w:rPr>
                      <w:rFonts w:ascii="Arial" w:eastAsia="Times New Roman" w:hAnsi="Arial" w:cs="Arial"/>
                      <w:sz w:val="20"/>
                      <w:szCs w:val="20"/>
                      <w:lang w:eastAsia="sl-SI"/>
                    </w:rPr>
                    <w:t>h</w:t>
                  </w:r>
                  <w:r w:rsidR="00373F1A" w:rsidRPr="00B95D04">
                    <w:rPr>
                      <w:rFonts w:ascii="Arial" w:eastAsia="Times New Roman" w:hAnsi="Arial" w:cs="Arial"/>
                      <w:sz w:val="20"/>
                      <w:szCs w:val="20"/>
                      <w:lang w:eastAsia="sl-SI"/>
                    </w:rPr>
                    <w:t xml:space="preserve"> učink</w:t>
                  </w:r>
                  <w:r w:rsidR="00942C82" w:rsidRPr="00B95D04">
                    <w:rPr>
                      <w:rFonts w:ascii="Arial" w:eastAsia="Times New Roman" w:hAnsi="Arial" w:cs="Arial"/>
                      <w:sz w:val="20"/>
                      <w:szCs w:val="20"/>
                      <w:lang w:eastAsia="sl-SI"/>
                    </w:rPr>
                    <w:t>ov</w:t>
                  </w:r>
                  <w:r w:rsidR="00373F1A" w:rsidRPr="00B95D04">
                    <w:rPr>
                      <w:rFonts w:ascii="Arial" w:eastAsia="Times New Roman" w:hAnsi="Arial" w:cs="Arial"/>
                      <w:sz w:val="20"/>
                      <w:szCs w:val="20"/>
                      <w:lang w:eastAsia="sl-SI"/>
                    </w:rPr>
                    <w:t>, ki po določbah veljavne davčne zakonodaje nimajo vpliva na davčno osnovo:</w:t>
                  </w:r>
                </w:p>
                <w:p w14:paraId="6D88C993" w14:textId="07701E55" w:rsidR="00373F1A" w:rsidRPr="00B95D04" w:rsidRDefault="00373F1A" w:rsidP="00373F1A">
                  <w:pPr>
                    <w:tabs>
                      <w:tab w:val="left" w:pos="284"/>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95D04">
                    <w:rPr>
                      <w:rFonts w:ascii="Arial" w:eastAsia="Times New Roman" w:hAnsi="Arial" w:cs="Arial"/>
                      <w:sz w:val="20"/>
                      <w:szCs w:val="20"/>
                      <w:lang w:eastAsia="sl-SI"/>
                    </w:rPr>
                    <w:t>1.</w:t>
                  </w:r>
                  <w:r w:rsidRPr="00B95D04">
                    <w:rPr>
                      <w:rFonts w:ascii="Arial" w:eastAsia="Times New Roman" w:hAnsi="Arial" w:cs="Arial"/>
                      <w:sz w:val="20"/>
                      <w:szCs w:val="20"/>
                      <w:lang w:eastAsia="sl-SI"/>
                    </w:rPr>
                    <w:tab/>
                    <w:t>učinki sprememb poštene vrednosti lastniških finančnih sredstev, ki se merijo po pošteni vrednosti z učinki v drugem vseobsegajočem donosu, če se podjetje tako nepreklicno odloči ob začetnem pripoznanju in če niso v posesti za trgovanje niti pogojno nadomestilo prevzemnika v poslovni združitvi</w:t>
                  </w:r>
                  <w:r w:rsidR="00862B07" w:rsidRPr="00B95D04">
                    <w:rPr>
                      <w:rFonts w:ascii="Arial" w:eastAsia="Times New Roman" w:hAnsi="Arial" w:cs="Arial"/>
                      <w:sz w:val="20"/>
                      <w:szCs w:val="20"/>
                      <w:lang w:eastAsia="sl-SI"/>
                    </w:rPr>
                    <w:t>,</w:t>
                  </w:r>
                  <w:r w:rsidRPr="00B95D04">
                    <w:rPr>
                      <w:rFonts w:ascii="Arial" w:eastAsia="Times New Roman" w:hAnsi="Arial" w:cs="Arial"/>
                      <w:sz w:val="20"/>
                      <w:szCs w:val="20"/>
                      <w:lang w:eastAsia="sl-SI"/>
                    </w:rPr>
                    <w:t xml:space="preserve"> </w:t>
                  </w:r>
                  <w:r w:rsidR="002E7252" w:rsidRPr="00B95D04">
                    <w:rPr>
                      <w:rFonts w:ascii="Arial" w:eastAsia="Times New Roman" w:hAnsi="Arial" w:cs="Arial"/>
                      <w:sz w:val="20"/>
                      <w:szCs w:val="20"/>
                      <w:lang w:eastAsia="sl-SI"/>
                    </w:rPr>
                    <w:t>in</w:t>
                  </w:r>
                </w:p>
                <w:p w14:paraId="6D88C994" w14:textId="3BFFE8E0" w:rsidR="00373F1A" w:rsidRPr="00B95D04" w:rsidRDefault="00373F1A" w:rsidP="00373F1A">
                  <w:pPr>
                    <w:tabs>
                      <w:tab w:val="left" w:pos="284"/>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95D04">
                    <w:rPr>
                      <w:rFonts w:ascii="Arial" w:eastAsia="Times New Roman" w:hAnsi="Arial" w:cs="Arial"/>
                      <w:sz w:val="20"/>
                      <w:szCs w:val="20"/>
                      <w:lang w:eastAsia="sl-SI"/>
                    </w:rPr>
                    <w:t>2.</w:t>
                  </w:r>
                  <w:r w:rsidRPr="00B95D04">
                    <w:rPr>
                      <w:rFonts w:ascii="Arial" w:eastAsia="Times New Roman" w:hAnsi="Arial" w:cs="Arial"/>
                      <w:sz w:val="20"/>
                      <w:szCs w:val="20"/>
                      <w:lang w:eastAsia="sl-SI"/>
                    </w:rPr>
                    <w:tab/>
                    <w:t>učinki sprememb poštene vrednosti zaradi spremembe lastnega kreditnega tveganja pri finančnih obveznostih, mer</w:t>
                  </w:r>
                  <w:r w:rsidR="00862B07" w:rsidRPr="00B95D04">
                    <w:rPr>
                      <w:rFonts w:ascii="Arial" w:eastAsia="Times New Roman" w:hAnsi="Arial" w:cs="Arial"/>
                      <w:sz w:val="20"/>
                      <w:szCs w:val="20"/>
                      <w:lang w:eastAsia="sl-SI"/>
                    </w:rPr>
                    <w:t>jenih po pošteni vrednosti prek</w:t>
                  </w:r>
                  <w:r w:rsidRPr="00B95D04">
                    <w:rPr>
                      <w:rFonts w:ascii="Arial" w:eastAsia="Times New Roman" w:hAnsi="Arial" w:cs="Arial"/>
                      <w:sz w:val="20"/>
                      <w:szCs w:val="20"/>
                      <w:lang w:eastAsia="sl-SI"/>
                    </w:rPr>
                    <w:t xml:space="preserve"> izkaza poslovnega izida.</w:t>
                  </w:r>
                </w:p>
                <w:p w14:paraId="6D88C995" w14:textId="77777777" w:rsidR="00373F1A" w:rsidRPr="00B95D04" w:rsidRDefault="00373F1A" w:rsidP="00373F1A">
                  <w:pPr>
                    <w:tabs>
                      <w:tab w:val="left" w:pos="284"/>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D88C996" w14:textId="77777777" w:rsidR="00F755CB" w:rsidRPr="00B95D04" w:rsidRDefault="00F755CB" w:rsidP="008060E5">
                  <w:pPr>
                    <w:pStyle w:val="rkovnatokazaodstavkom"/>
                    <w:numPr>
                      <w:ilvl w:val="0"/>
                      <w:numId w:val="0"/>
                    </w:numPr>
                    <w:spacing w:line="260" w:lineRule="exact"/>
                    <w:rPr>
                      <w:rFonts w:cs="Arial"/>
                      <w:lang w:val="sl-SI" w:eastAsia="sl-SI"/>
                    </w:rPr>
                  </w:pPr>
                </w:p>
              </w:tc>
            </w:tr>
            <w:tr w:rsidR="00F755CB" w:rsidRPr="00B95D04" w14:paraId="6D88C999" w14:textId="77777777" w:rsidTr="008060E5">
              <w:tc>
                <w:tcPr>
                  <w:tcW w:w="9213" w:type="dxa"/>
                </w:tcPr>
                <w:p w14:paraId="6D88C998" w14:textId="77777777" w:rsidR="00F755CB" w:rsidRPr="00B95D04" w:rsidRDefault="00F755CB" w:rsidP="008060E5">
                  <w:pPr>
                    <w:pStyle w:val="Oddelek"/>
                    <w:numPr>
                      <w:ilvl w:val="0"/>
                      <w:numId w:val="0"/>
                    </w:numPr>
                    <w:spacing w:before="0" w:after="0" w:line="260" w:lineRule="exact"/>
                    <w:jc w:val="both"/>
                    <w:rPr>
                      <w:rFonts w:cs="Arial"/>
                      <w:sz w:val="20"/>
                      <w:szCs w:val="20"/>
                      <w:lang w:val="sl-SI" w:eastAsia="sl-SI"/>
                    </w:rPr>
                  </w:pPr>
                  <w:r w:rsidRPr="00B95D04">
                    <w:rPr>
                      <w:rFonts w:cs="Arial"/>
                      <w:sz w:val="20"/>
                      <w:szCs w:val="20"/>
                      <w:lang w:val="sl-SI" w:eastAsia="sl-SI"/>
                    </w:rPr>
                    <w:lastRenderedPageBreak/>
                    <w:t>3. OCENA FINANČNIH POSLEDIC PREDLOGA ZAKONA ZA DRŽAVNI PRORAČUN IN DRUGA JAVNA FINANČNA SREDSTVA</w:t>
                  </w:r>
                </w:p>
              </w:tc>
            </w:tr>
            <w:tr w:rsidR="00F755CB" w:rsidRPr="00B95D04" w14:paraId="6D88C99F" w14:textId="77777777" w:rsidTr="008060E5">
              <w:tc>
                <w:tcPr>
                  <w:tcW w:w="9213" w:type="dxa"/>
                </w:tcPr>
                <w:p w14:paraId="6D88C99A" w14:textId="72A65D9D" w:rsidR="00F755CB" w:rsidRPr="00B95D04" w:rsidRDefault="00F755CB" w:rsidP="008060E5">
                  <w:pPr>
                    <w:pStyle w:val="Alineazaodstavkom"/>
                    <w:numPr>
                      <w:ilvl w:val="0"/>
                      <w:numId w:val="0"/>
                    </w:numPr>
                    <w:spacing w:line="260" w:lineRule="exact"/>
                    <w:rPr>
                      <w:rFonts w:cs="Arial"/>
                      <w:color w:val="A6A6A6"/>
                      <w:sz w:val="20"/>
                      <w:szCs w:val="20"/>
                      <w:lang w:val="sl-SI" w:eastAsia="sl-SI"/>
                    </w:rPr>
                  </w:pPr>
                </w:p>
                <w:p w14:paraId="464D1C0F" w14:textId="77777777" w:rsidR="005711B9" w:rsidRPr="00B95D04" w:rsidRDefault="005711B9" w:rsidP="001A5CF9">
                  <w:pPr>
                    <w:pStyle w:val="Alineazaodstavkom"/>
                    <w:numPr>
                      <w:ilvl w:val="0"/>
                      <w:numId w:val="0"/>
                    </w:numPr>
                    <w:spacing w:line="260" w:lineRule="exact"/>
                    <w:rPr>
                      <w:rFonts w:cs="Arial"/>
                      <w:sz w:val="20"/>
                      <w:szCs w:val="20"/>
                      <w:lang w:val="sl-SI" w:eastAsia="sl-SI"/>
                    </w:rPr>
                  </w:pPr>
                  <w:r w:rsidRPr="00B95D04">
                    <w:rPr>
                      <w:rFonts w:cs="Arial"/>
                      <w:sz w:val="20"/>
                      <w:szCs w:val="20"/>
                      <w:lang w:val="sl-SI" w:eastAsia="sl-SI"/>
                    </w:rPr>
                    <w:t>3.1</w:t>
                  </w:r>
                </w:p>
                <w:p w14:paraId="39609C7E" w14:textId="29331F63" w:rsidR="009675C7" w:rsidRPr="00B95D04" w:rsidRDefault="009675C7" w:rsidP="009675C7">
                  <w:pPr>
                    <w:pStyle w:val="Alineazaodstavkom"/>
                    <w:numPr>
                      <w:ilvl w:val="0"/>
                      <w:numId w:val="0"/>
                    </w:numPr>
                    <w:spacing w:line="260" w:lineRule="exact"/>
                    <w:rPr>
                      <w:rFonts w:cs="Arial"/>
                      <w:sz w:val="20"/>
                      <w:szCs w:val="20"/>
                      <w:lang w:val="sl-SI" w:eastAsia="sl-SI"/>
                    </w:rPr>
                  </w:pPr>
                  <w:r w:rsidRPr="00B95D04">
                    <w:rPr>
                      <w:rFonts w:cs="Arial"/>
                      <w:sz w:val="20"/>
                      <w:szCs w:val="20"/>
                      <w:lang w:val="sl-SI" w:eastAsia="sl-SI"/>
                    </w:rPr>
                    <w:t>Iz obračunskih podatkov davka od dohodkov pravnih oseb, ki so jih zavezanci predložili Finančni upravi RS v letu 2016, izhaja, da je 1.044 zavezancev ugotavljalo davčno osnovo na podlagi normiranih odhodkov. Njihova davčna</w:t>
                  </w:r>
                  <w:r w:rsidR="006A2218" w:rsidRPr="00B95D04">
                    <w:rPr>
                      <w:rFonts w:cs="Arial"/>
                      <w:sz w:val="20"/>
                      <w:szCs w:val="20"/>
                      <w:lang w:val="sl-SI" w:eastAsia="sl-SI"/>
                    </w:rPr>
                    <w:t xml:space="preserve"> obveznost je znašala 1,3 mio </w:t>
                  </w:r>
                  <w:proofErr w:type="spellStart"/>
                  <w:r w:rsidR="006A2218" w:rsidRPr="00B95D04">
                    <w:rPr>
                      <w:rFonts w:cs="Arial"/>
                      <w:sz w:val="20"/>
                      <w:szCs w:val="20"/>
                      <w:lang w:val="sl-SI" w:eastAsia="sl-SI"/>
                    </w:rPr>
                    <w:t>eu</w:t>
                  </w:r>
                  <w:r w:rsidRPr="00B95D04">
                    <w:rPr>
                      <w:rFonts w:cs="Arial"/>
                      <w:sz w:val="20"/>
                      <w:szCs w:val="20"/>
                      <w:lang w:val="sl-SI" w:eastAsia="sl-SI"/>
                    </w:rPr>
                    <w:t>rov</w:t>
                  </w:r>
                  <w:proofErr w:type="spellEnd"/>
                  <w:r w:rsidRPr="00B95D04">
                    <w:rPr>
                      <w:rFonts w:cs="Arial"/>
                      <w:sz w:val="20"/>
                      <w:szCs w:val="20"/>
                      <w:lang w:val="sl-SI" w:eastAsia="sl-SI"/>
                    </w:rPr>
                    <w:t>, ob upoštevanju 19</w:t>
                  </w:r>
                  <w:r w:rsidR="000279EF" w:rsidRPr="00B95D04">
                    <w:rPr>
                      <w:rFonts w:cs="Arial"/>
                      <w:sz w:val="20"/>
                      <w:szCs w:val="20"/>
                      <w:lang w:val="sl-SI" w:eastAsia="sl-SI"/>
                    </w:rPr>
                    <w:t>-odstotne</w:t>
                  </w:r>
                  <w:r w:rsidRPr="00B95D04">
                    <w:rPr>
                      <w:rFonts w:cs="Arial"/>
                      <w:sz w:val="20"/>
                      <w:szCs w:val="20"/>
                      <w:lang w:val="sl-SI" w:eastAsia="sl-SI"/>
                    </w:rPr>
                    <w:t xml:space="preserve"> davčne stopnje, ki velja v letu 2017</w:t>
                  </w:r>
                  <w:r w:rsidR="000279EF" w:rsidRPr="00B95D04">
                    <w:rPr>
                      <w:rFonts w:cs="Arial"/>
                      <w:sz w:val="20"/>
                      <w:szCs w:val="20"/>
                      <w:lang w:val="sl-SI" w:eastAsia="sl-SI"/>
                    </w:rPr>
                    <w:t>,</w:t>
                  </w:r>
                  <w:r w:rsidRPr="00B95D04">
                    <w:rPr>
                      <w:rFonts w:cs="Arial"/>
                      <w:sz w:val="20"/>
                      <w:szCs w:val="20"/>
                      <w:lang w:val="sl-SI" w:eastAsia="sl-SI"/>
                    </w:rPr>
                    <w:t xml:space="preserve"> pa bi bila 1,5 mio </w:t>
                  </w:r>
                  <w:proofErr w:type="spellStart"/>
                  <w:r w:rsidRPr="00B95D04">
                    <w:rPr>
                      <w:rFonts w:cs="Arial"/>
                      <w:sz w:val="20"/>
                      <w:szCs w:val="20"/>
                      <w:lang w:val="sl-SI" w:eastAsia="sl-SI"/>
                    </w:rPr>
                    <w:t>e</w:t>
                  </w:r>
                  <w:r w:rsidR="006A2218" w:rsidRPr="00B95D04">
                    <w:rPr>
                      <w:rFonts w:cs="Arial"/>
                      <w:sz w:val="20"/>
                      <w:szCs w:val="20"/>
                      <w:lang w:val="sl-SI" w:eastAsia="sl-SI"/>
                    </w:rPr>
                    <w:t>u</w:t>
                  </w:r>
                  <w:r w:rsidRPr="00B95D04">
                    <w:rPr>
                      <w:rFonts w:cs="Arial"/>
                      <w:sz w:val="20"/>
                      <w:szCs w:val="20"/>
                      <w:lang w:val="sl-SI" w:eastAsia="sl-SI"/>
                    </w:rPr>
                    <w:t>rov</w:t>
                  </w:r>
                  <w:proofErr w:type="spellEnd"/>
                  <w:r w:rsidRPr="00B95D04">
                    <w:rPr>
                      <w:rFonts w:cs="Arial"/>
                      <w:sz w:val="20"/>
                      <w:szCs w:val="20"/>
                      <w:lang w:val="sl-SI" w:eastAsia="sl-SI"/>
                    </w:rPr>
                    <w:t xml:space="preserve">. </w:t>
                  </w:r>
                  <w:r w:rsidR="00CC50A0" w:rsidRPr="00B95D04">
                    <w:rPr>
                      <w:rFonts w:cs="Arial"/>
                      <w:sz w:val="20"/>
                      <w:szCs w:val="20"/>
                      <w:lang w:val="sl-SI" w:eastAsia="sl-SI"/>
                    </w:rPr>
                    <w:t xml:space="preserve">Izmed navedenega števila zavezancev je 46 zavezancev imelo prihodke, ki so presegali 100.000 </w:t>
                  </w:r>
                  <w:proofErr w:type="spellStart"/>
                  <w:r w:rsidR="00CC50A0" w:rsidRPr="00B95D04">
                    <w:rPr>
                      <w:rFonts w:cs="Arial"/>
                      <w:sz w:val="20"/>
                      <w:szCs w:val="20"/>
                      <w:lang w:val="sl-SI" w:eastAsia="sl-SI"/>
                    </w:rPr>
                    <w:t>eurov</w:t>
                  </w:r>
                  <w:proofErr w:type="spellEnd"/>
                  <w:r w:rsidR="00CC50A0" w:rsidRPr="00B95D04">
                    <w:rPr>
                      <w:rFonts w:cs="Arial"/>
                      <w:sz w:val="20"/>
                      <w:szCs w:val="20"/>
                      <w:lang w:val="sl-SI" w:eastAsia="sl-SI"/>
                    </w:rPr>
                    <w:t xml:space="preserve">. </w:t>
                  </w:r>
                  <w:r w:rsidRPr="00B95D04">
                    <w:rPr>
                      <w:rFonts w:cs="Arial"/>
                      <w:sz w:val="20"/>
                      <w:szCs w:val="20"/>
                      <w:lang w:val="sl-SI" w:eastAsia="sl-SI"/>
                    </w:rPr>
                    <w:t xml:space="preserve">Simulacija </w:t>
                  </w:r>
                  <w:r w:rsidR="00CB11AA" w:rsidRPr="00B95D04">
                    <w:rPr>
                      <w:rFonts w:cs="Arial"/>
                      <w:sz w:val="20"/>
                      <w:szCs w:val="20"/>
                      <w:lang w:val="sl-SI" w:eastAsia="sl-SI"/>
                    </w:rPr>
                    <w:t xml:space="preserve">predlagane </w:t>
                  </w:r>
                  <w:r w:rsidRPr="00B95D04">
                    <w:rPr>
                      <w:rFonts w:cs="Arial"/>
                      <w:sz w:val="20"/>
                      <w:szCs w:val="20"/>
                      <w:lang w:val="sl-SI" w:eastAsia="sl-SI"/>
                    </w:rPr>
                    <w:t>rešitve vzpostavitv</w:t>
                  </w:r>
                  <w:r w:rsidR="00CC50A0" w:rsidRPr="00B95D04">
                    <w:rPr>
                      <w:rFonts w:cs="Arial"/>
                      <w:sz w:val="20"/>
                      <w:szCs w:val="20"/>
                      <w:lang w:val="sl-SI" w:eastAsia="sl-SI"/>
                    </w:rPr>
                    <w:t>e</w:t>
                  </w:r>
                  <w:r w:rsidRPr="00B95D04">
                    <w:rPr>
                      <w:rFonts w:cs="Arial"/>
                      <w:sz w:val="20"/>
                      <w:szCs w:val="20"/>
                      <w:lang w:val="sl-SI" w:eastAsia="sl-SI"/>
                    </w:rPr>
                    <w:t xml:space="preserve"> mehanizmov za preprečevanje zlorab</w:t>
                  </w:r>
                  <w:r w:rsidR="00135E29" w:rsidRPr="00B95D04">
                    <w:rPr>
                      <w:rFonts w:cs="Arial"/>
                      <w:sz w:val="20"/>
                      <w:szCs w:val="20"/>
                      <w:lang w:val="sl-SI" w:eastAsia="sl-SI"/>
                    </w:rPr>
                    <w:t>,</w:t>
                  </w:r>
                  <w:r w:rsidRPr="00B95D04">
                    <w:rPr>
                      <w:rFonts w:cs="Arial"/>
                      <w:sz w:val="20"/>
                      <w:szCs w:val="20"/>
                      <w:lang w:val="sl-SI" w:eastAsia="sl-SI"/>
                    </w:rPr>
                    <w:t xml:space="preserve"> </w:t>
                  </w:r>
                  <w:r w:rsidR="00CB11AA" w:rsidRPr="00B95D04">
                    <w:rPr>
                      <w:rFonts w:cs="Arial"/>
                      <w:sz w:val="20"/>
                      <w:szCs w:val="20"/>
                      <w:lang w:val="sl-SI" w:eastAsia="sl-SI"/>
                    </w:rPr>
                    <w:t>je ob</w:t>
                  </w:r>
                  <w:r w:rsidRPr="00B95D04">
                    <w:rPr>
                      <w:rFonts w:cs="Arial"/>
                      <w:sz w:val="20"/>
                      <w:szCs w:val="20"/>
                      <w:lang w:val="sl-SI" w:eastAsia="sl-SI"/>
                    </w:rPr>
                    <w:t xml:space="preserve"> predpostavki, da bodo vsi zavezanci ostali v sistemu normiranih odhodkov, </w:t>
                  </w:r>
                  <w:r w:rsidR="006A2218" w:rsidRPr="00B95D04">
                    <w:rPr>
                      <w:rFonts w:cs="Arial"/>
                      <w:sz w:val="20"/>
                      <w:szCs w:val="20"/>
                      <w:lang w:val="sl-SI" w:eastAsia="sl-SI"/>
                    </w:rPr>
                    <w:t xml:space="preserve">pokazala, da bi bila </w:t>
                  </w:r>
                  <w:r w:rsidRPr="00B95D04">
                    <w:rPr>
                      <w:rFonts w:cs="Arial"/>
                      <w:sz w:val="20"/>
                      <w:szCs w:val="20"/>
                      <w:lang w:val="sl-SI" w:eastAsia="sl-SI"/>
                    </w:rPr>
                    <w:t>davčna obveznost višja za</w:t>
                  </w:r>
                  <w:r w:rsidR="00742D37" w:rsidRPr="00B95D04">
                    <w:rPr>
                      <w:rFonts w:cs="Arial"/>
                      <w:sz w:val="20"/>
                      <w:szCs w:val="20"/>
                      <w:lang w:val="sl-SI" w:eastAsia="sl-SI"/>
                    </w:rPr>
                    <w:t xml:space="preserve"> </w:t>
                  </w:r>
                  <w:r w:rsidR="009012CD" w:rsidRPr="00B95D04">
                    <w:rPr>
                      <w:rFonts w:cs="Arial"/>
                      <w:sz w:val="20"/>
                      <w:szCs w:val="20"/>
                      <w:lang w:val="sl-SI" w:eastAsia="sl-SI"/>
                    </w:rPr>
                    <w:t>1</w:t>
                  </w:r>
                  <w:r w:rsidRPr="00B95D04">
                    <w:rPr>
                      <w:rFonts w:cs="Arial"/>
                      <w:sz w:val="20"/>
                      <w:szCs w:val="20"/>
                      <w:lang w:val="sl-SI" w:eastAsia="sl-SI"/>
                    </w:rPr>
                    <w:t>,</w:t>
                  </w:r>
                  <w:r w:rsidR="00CC50A0" w:rsidRPr="00B95D04">
                    <w:rPr>
                      <w:rFonts w:cs="Arial"/>
                      <w:sz w:val="20"/>
                      <w:szCs w:val="20"/>
                      <w:lang w:val="sl-SI" w:eastAsia="sl-SI"/>
                    </w:rPr>
                    <w:t>0</w:t>
                  </w:r>
                  <w:r w:rsidRPr="00B95D04">
                    <w:rPr>
                      <w:rFonts w:cs="Arial"/>
                      <w:sz w:val="20"/>
                      <w:szCs w:val="20"/>
                      <w:lang w:val="sl-SI" w:eastAsia="sl-SI"/>
                    </w:rPr>
                    <w:t xml:space="preserve"> mio </w:t>
                  </w:r>
                  <w:proofErr w:type="spellStart"/>
                  <w:r w:rsidRPr="00B95D04">
                    <w:rPr>
                      <w:rFonts w:cs="Arial"/>
                      <w:sz w:val="20"/>
                      <w:szCs w:val="20"/>
                      <w:lang w:val="sl-SI" w:eastAsia="sl-SI"/>
                    </w:rPr>
                    <w:t>e</w:t>
                  </w:r>
                  <w:r w:rsidR="006A2218" w:rsidRPr="00B95D04">
                    <w:rPr>
                      <w:rFonts w:cs="Arial"/>
                      <w:sz w:val="20"/>
                      <w:szCs w:val="20"/>
                      <w:lang w:val="sl-SI" w:eastAsia="sl-SI"/>
                    </w:rPr>
                    <w:t>u</w:t>
                  </w:r>
                  <w:r w:rsidRPr="00B95D04">
                    <w:rPr>
                      <w:rFonts w:cs="Arial"/>
                      <w:sz w:val="20"/>
                      <w:szCs w:val="20"/>
                      <w:lang w:val="sl-SI" w:eastAsia="sl-SI"/>
                    </w:rPr>
                    <w:t>rov</w:t>
                  </w:r>
                  <w:proofErr w:type="spellEnd"/>
                  <w:r w:rsidR="00C360D3" w:rsidRPr="00B95D04">
                    <w:rPr>
                      <w:rFonts w:cs="Arial"/>
                      <w:sz w:val="20"/>
                      <w:szCs w:val="20"/>
                      <w:lang w:val="sl-SI" w:eastAsia="sl-SI"/>
                    </w:rPr>
                    <w:t xml:space="preserve">, od tega bi </w:t>
                  </w:r>
                  <w:r w:rsidR="00CC50A0" w:rsidRPr="00B95D04">
                    <w:rPr>
                      <w:rFonts w:cs="Arial"/>
                      <w:sz w:val="20"/>
                      <w:szCs w:val="20"/>
                      <w:lang w:val="sl-SI" w:eastAsia="sl-SI"/>
                    </w:rPr>
                    <w:t>3</w:t>
                  </w:r>
                  <w:r w:rsidR="00C360D3" w:rsidRPr="00B95D04">
                    <w:rPr>
                      <w:rFonts w:cs="Arial"/>
                      <w:sz w:val="20"/>
                      <w:szCs w:val="20"/>
                      <w:lang w:val="sl-SI" w:eastAsia="sl-SI"/>
                    </w:rPr>
                    <w:t>/</w:t>
                  </w:r>
                  <w:r w:rsidR="00CC50A0" w:rsidRPr="00B95D04">
                    <w:rPr>
                      <w:rFonts w:cs="Arial"/>
                      <w:sz w:val="20"/>
                      <w:szCs w:val="20"/>
                      <w:lang w:val="sl-SI" w:eastAsia="sl-SI"/>
                    </w:rPr>
                    <w:t>4</w:t>
                  </w:r>
                  <w:r w:rsidR="00C360D3" w:rsidRPr="00B95D04">
                    <w:rPr>
                      <w:rFonts w:cs="Arial"/>
                      <w:sz w:val="20"/>
                      <w:szCs w:val="20"/>
                      <w:lang w:val="sl-SI" w:eastAsia="sl-SI"/>
                    </w:rPr>
                    <w:t xml:space="preserve"> </w:t>
                  </w:r>
                  <w:r w:rsidR="00742D37" w:rsidRPr="00B95D04">
                    <w:rPr>
                      <w:rFonts w:cs="Arial"/>
                      <w:sz w:val="20"/>
                      <w:szCs w:val="20"/>
                      <w:lang w:val="sl-SI" w:eastAsia="sl-SI"/>
                    </w:rPr>
                    <w:t xml:space="preserve">učinka </w:t>
                  </w:r>
                  <w:r w:rsidR="00C360D3" w:rsidRPr="00B95D04">
                    <w:rPr>
                      <w:rFonts w:cs="Arial"/>
                      <w:sz w:val="20"/>
                      <w:szCs w:val="20"/>
                      <w:lang w:val="sl-SI" w:eastAsia="sl-SI"/>
                    </w:rPr>
                    <w:t xml:space="preserve">odpadlo na zavezance, katerih prihodki so presegli </w:t>
                  </w:r>
                  <w:r w:rsidR="00CC50A0" w:rsidRPr="00B95D04">
                    <w:rPr>
                      <w:rFonts w:cs="Arial"/>
                      <w:sz w:val="20"/>
                      <w:szCs w:val="20"/>
                      <w:lang w:val="sl-SI" w:eastAsia="sl-SI"/>
                    </w:rPr>
                    <w:t>2</w:t>
                  </w:r>
                  <w:r w:rsidR="00C360D3" w:rsidRPr="00B95D04">
                    <w:rPr>
                      <w:rFonts w:cs="Arial"/>
                      <w:sz w:val="20"/>
                      <w:szCs w:val="20"/>
                      <w:lang w:val="sl-SI" w:eastAsia="sl-SI"/>
                    </w:rPr>
                    <w:t xml:space="preserve">00.000 </w:t>
                  </w:r>
                  <w:proofErr w:type="spellStart"/>
                  <w:r w:rsidR="00C360D3" w:rsidRPr="00B95D04">
                    <w:rPr>
                      <w:rFonts w:cs="Arial"/>
                      <w:sz w:val="20"/>
                      <w:szCs w:val="20"/>
                      <w:lang w:val="sl-SI" w:eastAsia="sl-SI"/>
                    </w:rPr>
                    <w:t>eurov</w:t>
                  </w:r>
                  <w:proofErr w:type="spellEnd"/>
                  <w:r w:rsidRPr="00B95D04">
                    <w:rPr>
                      <w:rFonts w:cs="Arial"/>
                      <w:sz w:val="20"/>
                      <w:szCs w:val="20"/>
                      <w:lang w:val="sl-SI" w:eastAsia="sl-SI"/>
                    </w:rPr>
                    <w:t>.</w:t>
                  </w:r>
                </w:p>
                <w:p w14:paraId="4A605F38" w14:textId="77777777" w:rsidR="009675C7" w:rsidRPr="00B95D04" w:rsidRDefault="009675C7" w:rsidP="009675C7">
                  <w:pPr>
                    <w:pStyle w:val="Alineazaodstavkom"/>
                    <w:numPr>
                      <w:ilvl w:val="0"/>
                      <w:numId w:val="0"/>
                    </w:numPr>
                    <w:spacing w:line="260" w:lineRule="exact"/>
                    <w:rPr>
                      <w:rFonts w:cs="Arial"/>
                      <w:sz w:val="20"/>
                      <w:szCs w:val="20"/>
                      <w:lang w:val="sl-SI" w:eastAsia="sl-SI"/>
                    </w:rPr>
                  </w:pPr>
                </w:p>
                <w:p w14:paraId="2C9BF4B8" w14:textId="13C82A2C" w:rsidR="005711B9" w:rsidRPr="00B95D04" w:rsidRDefault="009675C7" w:rsidP="001A5CF9">
                  <w:pPr>
                    <w:pStyle w:val="Alineazaodstavkom"/>
                    <w:numPr>
                      <w:ilvl w:val="0"/>
                      <w:numId w:val="0"/>
                    </w:numPr>
                    <w:spacing w:line="260" w:lineRule="exact"/>
                    <w:rPr>
                      <w:rFonts w:cs="Arial"/>
                      <w:sz w:val="20"/>
                      <w:szCs w:val="20"/>
                      <w:lang w:val="sl-SI" w:eastAsia="sl-SI"/>
                    </w:rPr>
                  </w:pPr>
                  <w:r w:rsidRPr="00B95D04">
                    <w:rPr>
                      <w:rFonts w:cs="Arial"/>
                      <w:sz w:val="20"/>
                      <w:szCs w:val="20"/>
                      <w:lang w:val="sl-SI" w:eastAsia="sl-SI"/>
                    </w:rPr>
                    <w:t>Ocenjujemo, da bo del zavezancev</w:t>
                  </w:r>
                  <w:r w:rsidR="00C360D3" w:rsidRPr="00B95D04">
                    <w:rPr>
                      <w:rFonts w:cs="Arial"/>
                      <w:sz w:val="20"/>
                      <w:szCs w:val="20"/>
                      <w:lang w:val="sl-SI" w:eastAsia="sl-SI"/>
                    </w:rPr>
                    <w:t xml:space="preserve"> (predvsem tisti</w:t>
                  </w:r>
                  <w:r w:rsidR="00742D37" w:rsidRPr="00B95D04">
                    <w:rPr>
                      <w:rFonts w:cs="Arial"/>
                      <w:sz w:val="20"/>
                      <w:szCs w:val="20"/>
                      <w:lang w:val="sl-SI" w:eastAsia="sl-SI"/>
                    </w:rPr>
                    <w:t>h,</w:t>
                  </w:r>
                  <w:r w:rsidR="00C360D3" w:rsidRPr="00B95D04">
                    <w:rPr>
                      <w:rFonts w:cs="Arial"/>
                      <w:sz w:val="20"/>
                      <w:szCs w:val="20"/>
                      <w:lang w:val="sl-SI" w:eastAsia="sl-SI"/>
                    </w:rPr>
                    <w:t xml:space="preserve"> s prihodki nad </w:t>
                  </w:r>
                  <w:r w:rsidR="00CC50A0" w:rsidRPr="00B95D04">
                    <w:rPr>
                      <w:rFonts w:cs="Arial"/>
                      <w:sz w:val="20"/>
                      <w:szCs w:val="20"/>
                      <w:lang w:val="sl-SI" w:eastAsia="sl-SI"/>
                    </w:rPr>
                    <w:t>2</w:t>
                  </w:r>
                  <w:r w:rsidR="00C360D3" w:rsidRPr="00B95D04">
                    <w:rPr>
                      <w:rFonts w:cs="Arial"/>
                      <w:sz w:val="20"/>
                      <w:szCs w:val="20"/>
                      <w:lang w:val="sl-SI" w:eastAsia="sl-SI"/>
                    </w:rPr>
                    <w:t xml:space="preserve">00.000 </w:t>
                  </w:r>
                  <w:proofErr w:type="spellStart"/>
                  <w:r w:rsidR="00C360D3" w:rsidRPr="00B95D04">
                    <w:rPr>
                      <w:rFonts w:cs="Arial"/>
                      <w:sz w:val="20"/>
                      <w:szCs w:val="20"/>
                      <w:lang w:val="sl-SI" w:eastAsia="sl-SI"/>
                    </w:rPr>
                    <w:t>eurov</w:t>
                  </w:r>
                  <w:proofErr w:type="spellEnd"/>
                  <w:r w:rsidR="00C360D3" w:rsidRPr="00B95D04">
                    <w:rPr>
                      <w:rFonts w:cs="Arial"/>
                      <w:sz w:val="20"/>
                      <w:szCs w:val="20"/>
                      <w:lang w:val="sl-SI" w:eastAsia="sl-SI"/>
                    </w:rPr>
                    <w:t>)</w:t>
                  </w:r>
                  <w:r w:rsidRPr="00B95D04">
                    <w:rPr>
                      <w:rFonts w:cs="Arial"/>
                      <w:sz w:val="20"/>
                      <w:szCs w:val="20"/>
                      <w:lang w:val="sl-SI" w:eastAsia="sl-SI"/>
                    </w:rPr>
                    <w:t xml:space="preserve"> zaradi vzpostavitve mehanizmov za preprečeva</w:t>
                  </w:r>
                  <w:r w:rsidR="00135E29" w:rsidRPr="00B95D04">
                    <w:rPr>
                      <w:rFonts w:cs="Arial"/>
                      <w:sz w:val="20"/>
                      <w:szCs w:val="20"/>
                      <w:lang w:val="sl-SI" w:eastAsia="sl-SI"/>
                    </w:rPr>
                    <w:t>nje zlorab izstopil iz sistema</w:t>
                  </w:r>
                  <w:r w:rsidR="00A47509" w:rsidRPr="00B95D04">
                    <w:rPr>
                      <w:rFonts w:cs="Arial"/>
                      <w:sz w:val="20"/>
                      <w:szCs w:val="20"/>
                      <w:lang w:val="sl-SI" w:eastAsia="sl-SI"/>
                    </w:rPr>
                    <w:t xml:space="preserve"> ter</w:t>
                  </w:r>
                  <w:r w:rsidR="00135E29" w:rsidRPr="00B95D04">
                    <w:rPr>
                      <w:rFonts w:cs="Arial"/>
                      <w:sz w:val="20"/>
                      <w:szCs w:val="20"/>
                      <w:lang w:val="sl-SI" w:eastAsia="sl-SI"/>
                    </w:rPr>
                    <w:t xml:space="preserve"> da se bo v sistem vključilo </w:t>
                  </w:r>
                  <w:r w:rsidRPr="00B95D04">
                    <w:rPr>
                      <w:rFonts w:cs="Arial"/>
                      <w:sz w:val="20"/>
                      <w:szCs w:val="20"/>
                      <w:lang w:val="sl-SI" w:eastAsia="sl-SI"/>
                    </w:rPr>
                    <w:t xml:space="preserve">manj novih zavezancev. Na podlagi obračunskih podatkov in </w:t>
                  </w:r>
                  <w:r w:rsidR="00CB11AA" w:rsidRPr="00B95D04">
                    <w:rPr>
                      <w:rFonts w:cs="Arial"/>
                      <w:sz w:val="20"/>
                      <w:szCs w:val="20"/>
                      <w:lang w:val="sl-SI" w:eastAsia="sl-SI"/>
                    </w:rPr>
                    <w:t xml:space="preserve">ob </w:t>
                  </w:r>
                  <w:r w:rsidRPr="00B95D04">
                    <w:rPr>
                      <w:rFonts w:cs="Arial"/>
                      <w:sz w:val="20"/>
                      <w:szCs w:val="20"/>
                      <w:lang w:val="sl-SI" w:eastAsia="sl-SI"/>
                    </w:rPr>
                    <w:t xml:space="preserve">upoštevanju vseh omenjenih predpostavk ocenjujemo, da bodo prihodki iz naslova davka od dohodkov pravnih oseb višji za okoli </w:t>
                  </w:r>
                  <w:r w:rsidR="009012CD" w:rsidRPr="00B95D04">
                    <w:rPr>
                      <w:rFonts w:cs="Arial"/>
                      <w:sz w:val="20"/>
                      <w:szCs w:val="20"/>
                      <w:lang w:val="sl-SI" w:eastAsia="sl-SI"/>
                    </w:rPr>
                    <w:t>0,</w:t>
                  </w:r>
                  <w:r w:rsidR="00CC50A0" w:rsidRPr="00B95D04">
                    <w:rPr>
                      <w:rFonts w:cs="Arial"/>
                      <w:sz w:val="20"/>
                      <w:szCs w:val="20"/>
                      <w:lang w:val="sl-SI" w:eastAsia="sl-SI"/>
                    </w:rPr>
                    <w:t>2</w:t>
                  </w:r>
                  <w:r w:rsidRPr="00B95D04">
                    <w:rPr>
                      <w:rFonts w:cs="Arial"/>
                      <w:sz w:val="20"/>
                      <w:szCs w:val="20"/>
                      <w:lang w:val="sl-SI" w:eastAsia="sl-SI"/>
                    </w:rPr>
                    <w:t xml:space="preserve"> mio </w:t>
                  </w:r>
                  <w:proofErr w:type="spellStart"/>
                  <w:r w:rsidRPr="00B95D04">
                    <w:rPr>
                      <w:rFonts w:cs="Arial"/>
                      <w:sz w:val="20"/>
                      <w:szCs w:val="20"/>
                      <w:lang w:val="sl-SI" w:eastAsia="sl-SI"/>
                    </w:rPr>
                    <w:t>e</w:t>
                  </w:r>
                  <w:r w:rsidR="006A2218" w:rsidRPr="00B95D04">
                    <w:rPr>
                      <w:rFonts w:cs="Arial"/>
                      <w:sz w:val="20"/>
                      <w:szCs w:val="20"/>
                      <w:lang w:val="sl-SI" w:eastAsia="sl-SI"/>
                    </w:rPr>
                    <w:t>u</w:t>
                  </w:r>
                  <w:r w:rsidRPr="00B95D04">
                    <w:rPr>
                      <w:rFonts w:cs="Arial"/>
                      <w:sz w:val="20"/>
                      <w:szCs w:val="20"/>
                      <w:lang w:val="sl-SI" w:eastAsia="sl-SI"/>
                    </w:rPr>
                    <w:t>rov</w:t>
                  </w:r>
                  <w:proofErr w:type="spellEnd"/>
                  <w:r w:rsidR="006A2218" w:rsidRPr="00B95D04">
                    <w:rPr>
                      <w:rFonts w:cs="Arial"/>
                      <w:sz w:val="20"/>
                      <w:szCs w:val="20"/>
                      <w:lang w:val="sl-SI" w:eastAsia="sl-SI"/>
                    </w:rPr>
                    <w:t xml:space="preserve"> letno</w:t>
                  </w:r>
                  <w:r w:rsidRPr="00B95D04">
                    <w:rPr>
                      <w:rFonts w:cs="Arial"/>
                      <w:sz w:val="20"/>
                      <w:szCs w:val="20"/>
                      <w:lang w:val="sl-SI" w:eastAsia="sl-SI"/>
                    </w:rPr>
                    <w:t>. Zar</w:t>
                  </w:r>
                  <w:r w:rsidR="00A47509" w:rsidRPr="00B95D04">
                    <w:rPr>
                      <w:rFonts w:cs="Arial"/>
                      <w:sz w:val="20"/>
                      <w:szCs w:val="20"/>
                      <w:lang w:val="sl-SI" w:eastAsia="sl-SI"/>
                    </w:rPr>
                    <w:t>adi načina pobiranja davka prek</w:t>
                  </w:r>
                  <w:r w:rsidRPr="00B95D04">
                    <w:rPr>
                      <w:rFonts w:cs="Arial"/>
                      <w:sz w:val="20"/>
                      <w:szCs w:val="20"/>
                      <w:lang w:val="sl-SI" w:eastAsia="sl-SI"/>
                    </w:rPr>
                    <w:t xml:space="preserve"> akontacij za tekoče leto in naknadnega por</w:t>
                  </w:r>
                  <w:r w:rsidR="00CB11AA" w:rsidRPr="00B95D04">
                    <w:rPr>
                      <w:rFonts w:cs="Arial"/>
                      <w:sz w:val="20"/>
                      <w:szCs w:val="20"/>
                      <w:lang w:val="sl-SI" w:eastAsia="sl-SI"/>
                    </w:rPr>
                    <w:t>a</w:t>
                  </w:r>
                  <w:r w:rsidRPr="00B95D04">
                    <w:rPr>
                      <w:rFonts w:cs="Arial"/>
                      <w:sz w:val="20"/>
                      <w:szCs w:val="20"/>
                      <w:lang w:val="sl-SI" w:eastAsia="sl-SI"/>
                    </w:rPr>
                    <w:t>čuna</w:t>
                  </w:r>
                  <w:r w:rsidR="00A47509" w:rsidRPr="00B95D04">
                    <w:rPr>
                      <w:rFonts w:cs="Arial"/>
                      <w:sz w:val="20"/>
                      <w:szCs w:val="20"/>
                      <w:lang w:val="sl-SI" w:eastAsia="sl-SI"/>
                    </w:rPr>
                    <w:t xml:space="preserve"> davka po koncu poslovnega leta</w:t>
                  </w:r>
                  <w:r w:rsidRPr="00B95D04">
                    <w:rPr>
                      <w:rFonts w:cs="Arial"/>
                      <w:sz w:val="20"/>
                      <w:szCs w:val="20"/>
                      <w:lang w:val="sl-SI" w:eastAsia="sl-SI"/>
                    </w:rPr>
                    <w:t xml:space="preserve"> se bo finančni učinek v prihodkih državnega proračuna iz naslova DDPO</w:t>
                  </w:r>
                  <w:r w:rsidR="00CB11AA" w:rsidRPr="00B95D04">
                    <w:rPr>
                      <w:rFonts w:cs="Arial"/>
                      <w:sz w:val="20"/>
                      <w:szCs w:val="20"/>
                      <w:lang w:val="sl-SI" w:eastAsia="sl-SI"/>
                    </w:rPr>
                    <w:t>,</w:t>
                  </w:r>
                  <w:r w:rsidRPr="00B95D04">
                    <w:rPr>
                      <w:rFonts w:cs="Arial"/>
                      <w:sz w:val="20"/>
                      <w:szCs w:val="20"/>
                      <w:lang w:val="sl-SI" w:eastAsia="sl-SI"/>
                    </w:rPr>
                    <w:t xml:space="preserve"> merjen</w:t>
                  </w:r>
                  <w:r w:rsidR="00A47509" w:rsidRPr="00B95D04">
                    <w:rPr>
                      <w:rFonts w:cs="Arial"/>
                      <w:sz w:val="20"/>
                      <w:szCs w:val="20"/>
                      <w:lang w:val="sl-SI" w:eastAsia="sl-SI"/>
                    </w:rPr>
                    <w:t>em</w:t>
                  </w:r>
                  <w:r w:rsidRPr="00B95D04">
                    <w:rPr>
                      <w:rFonts w:cs="Arial"/>
                      <w:sz w:val="20"/>
                      <w:szCs w:val="20"/>
                      <w:lang w:val="sl-SI" w:eastAsia="sl-SI"/>
                    </w:rPr>
                    <w:t xml:space="preserve"> po denarnem toku</w:t>
                  </w:r>
                  <w:r w:rsidR="00CB11AA" w:rsidRPr="00B95D04">
                    <w:rPr>
                      <w:rFonts w:cs="Arial"/>
                      <w:sz w:val="20"/>
                      <w:szCs w:val="20"/>
                      <w:lang w:val="sl-SI" w:eastAsia="sl-SI"/>
                    </w:rPr>
                    <w:t>,</w:t>
                  </w:r>
                  <w:r w:rsidRPr="00B95D04">
                    <w:rPr>
                      <w:rFonts w:cs="Arial"/>
                      <w:sz w:val="20"/>
                      <w:szCs w:val="20"/>
                      <w:lang w:val="sl-SI" w:eastAsia="sl-SI"/>
                    </w:rPr>
                    <w:t xml:space="preserve"> izrazil z enoletnim zamikom</w:t>
                  </w:r>
                  <w:r w:rsidR="00A47509" w:rsidRPr="00B95D04">
                    <w:rPr>
                      <w:rFonts w:cs="Arial"/>
                      <w:sz w:val="20"/>
                      <w:szCs w:val="20"/>
                      <w:lang w:val="sl-SI" w:eastAsia="sl-SI"/>
                    </w:rPr>
                    <w:t>, torej</w:t>
                  </w:r>
                  <w:r w:rsidRPr="00B95D04">
                    <w:rPr>
                      <w:rFonts w:cs="Arial"/>
                      <w:sz w:val="20"/>
                      <w:szCs w:val="20"/>
                      <w:lang w:val="sl-SI" w:eastAsia="sl-SI"/>
                    </w:rPr>
                    <w:t xml:space="preserve"> v letu 2019. V tem letu bo</w:t>
                  </w:r>
                  <w:r w:rsidR="006A2218" w:rsidRPr="00B95D04">
                    <w:rPr>
                      <w:rFonts w:cs="Arial"/>
                      <w:sz w:val="20"/>
                      <w:szCs w:val="20"/>
                      <w:lang w:val="sl-SI" w:eastAsia="sl-SI"/>
                    </w:rPr>
                    <w:t>do prihodki zaradi višjih doplačil za pre</w:t>
                  </w:r>
                  <w:r w:rsidR="00503E21" w:rsidRPr="00B95D04">
                    <w:rPr>
                      <w:rFonts w:cs="Arial"/>
                      <w:sz w:val="20"/>
                      <w:szCs w:val="20"/>
                      <w:lang w:val="sl-SI" w:eastAsia="sl-SI"/>
                    </w:rPr>
                    <w:t>dhodno</w:t>
                  </w:r>
                  <w:r w:rsidR="006A2218" w:rsidRPr="00B95D04">
                    <w:rPr>
                      <w:rFonts w:cs="Arial"/>
                      <w:sz w:val="20"/>
                      <w:szCs w:val="20"/>
                      <w:lang w:val="sl-SI" w:eastAsia="sl-SI"/>
                    </w:rPr>
                    <w:t xml:space="preserve"> leto in višjih akontacij za tekoče leto višji za </w:t>
                  </w:r>
                  <w:r w:rsidR="00CC50A0" w:rsidRPr="00B95D04">
                    <w:rPr>
                      <w:rFonts w:cs="Arial"/>
                      <w:sz w:val="20"/>
                      <w:szCs w:val="20"/>
                      <w:lang w:val="sl-SI" w:eastAsia="sl-SI"/>
                    </w:rPr>
                    <w:t>0</w:t>
                  </w:r>
                  <w:r w:rsidR="006A2218" w:rsidRPr="00B95D04">
                    <w:rPr>
                      <w:rFonts w:cs="Arial"/>
                      <w:sz w:val="20"/>
                      <w:szCs w:val="20"/>
                      <w:lang w:val="sl-SI" w:eastAsia="sl-SI"/>
                    </w:rPr>
                    <w:t>,</w:t>
                  </w:r>
                  <w:r w:rsidR="00CC50A0" w:rsidRPr="00B95D04">
                    <w:rPr>
                      <w:rFonts w:cs="Arial"/>
                      <w:sz w:val="20"/>
                      <w:szCs w:val="20"/>
                      <w:lang w:val="sl-SI" w:eastAsia="sl-SI"/>
                    </w:rPr>
                    <w:t>4</w:t>
                  </w:r>
                  <w:r w:rsidR="006A2218" w:rsidRPr="00B95D04">
                    <w:rPr>
                      <w:rFonts w:cs="Arial"/>
                      <w:sz w:val="20"/>
                      <w:szCs w:val="20"/>
                      <w:lang w:val="sl-SI" w:eastAsia="sl-SI"/>
                    </w:rPr>
                    <w:t xml:space="preserve"> mio </w:t>
                  </w:r>
                  <w:proofErr w:type="spellStart"/>
                  <w:r w:rsidR="006A2218" w:rsidRPr="00B95D04">
                    <w:rPr>
                      <w:rFonts w:cs="Arial"/>
                      <w:sz w:val="20"/>
                      <w:szCs w:val="20"/>
                      <w:lang w:val="sl-SI" w:eastAsia="sl-SI"/>
                    </w:rPr>
                    <w:t>eurov</w:t>
                  </w:r>
                  <w:proofErr w:type="spellEnd"/>
                  <w:r w:rsidRPr="00B95D04">
                    <w:rPr>
                      <w:rFonts w:cs="Arial"/>
                      <w:sz w:val="20"/>
                      <w:szCs w:val="20"/>
                      <w:lang w:val="sl-SI" w:eastAsia="sl-SI"/>
                    </w:rPr>
                    <w:t>.</w:t>
                  </w:r>
                </w:p>
                <w:p w14:paraId="455842CD" w14:textId="77777777" w:rsidR="002556B6" w:rsidRPr="00B95D04" w:rsidRDefault="002556B6" w:rsidP="001A5CF9">
                  <w:pPr>
                    <w:pStyle w:val="Alineazaodstavkom"/>
                    <w:numPr>
                      <w:ilvl w:val="0"/>
                      <w:numId w:val="0"/>
                    </w:numPr>
                    <w:spacing w:line="260" w:lineRule="exact"/>
                    <w:rPr>
                      <w:rFonts w:cs="Arial"/>
                      <w:sz w:val="20"/>
                      <w:szCs w:val="20"/>
                      <w:highlight w:val="green"/>
                      <w:lang w:val="sl-SI" w:eastAsia="sl-SI"/>
                    </w:rPr>
                  </w:pPr>
                </w:p>
                <w:p w14:paraId="2FE5EC0D" w14:textId="7FAA9662" w:rsidR="005711B9" w:rsidRPr="00B95D04" w:rsidRDefault="005711B9" w:rsidP="001A5CF9">
                  <w:pPr>
                    <w:pStyle w:val="Alineazaodstavkom"/>
                    <w:numPr>
                      <w:ilvl w:val="0"/>
                      <w:numId w:val="0"/>
                    </w:numPr>
                    <w:spacing w:line="260" w:lineRule="exact"/>
                    <w:rPr>
                      <w:rFonts w:cs="Arial"/>
                      <w:sz w:val="20"/>
                      <w:szCs w:val="20"/>
                      <w:lang w:val="sl-SI" w:eastAsia="sl-SI"/>
                    </w:rPr>
                  </w:pPr>
                  <w:r w:rsidRPr="00B95D04">
                    <w:rPr>
                      <w:rFonts w:cs="Arial"/>
                      <w:sz w:val="20"/>
                      <w:szCs w:val="20"/>
                      <w:lang w:val="sl-SI" w:eastAsia="sl-SI"/>
                    </w:rPr>
                    <w:lastRenderedPageBreak/>
                    <w:t>3.2</w:t>
                  </w:r>
                </w:p>
                <w:p w14:paraId="432737B0" w14:textId="4158FD7E" w:rsidR="00135E29" w:rsidRPr="00B95D04" w:rsidRDefault="004B1901" w:rsidP="008060E5">
                  <w:pPr>
                    <w:pStyle w:val="Alineazaodstavkom"/>
                    <w:numPr>
                      <w:ilvl w:val="0"/>
                      <w:numId w:val="0"/>
                    </w:numPr>
                    <w:spacing w:line="260" w:lineRule="exact"/>
                    <w:rPr>
                      <w:rFonts w:cs="Arial"/>
                      <w:sz w:val="20"/>
                      <w:szCs w:val="20"/>
                      <w:lang w:val="sl-SI" w:eastAsia="sl-SI"/>
                    </w:rPr>
                  </w:pPr>
                  <w:r w:rsidRPr="00B95D04">
                    <w:rPr>
                      <w:rFonts w:cs="Arial"/>
                      <w:sz w:val="20"/>
                      <w:szCs w:val="20"/>
                      <w:lang w:val="sl-SI" w:eastAsia="sl-SI"/>
                    </w:rPr>
                    <w:t>Obravnavane posledice MSRP 9 so v praksi značilne predvsem za bančni sektor, kjer je z</w:t>
                  </w:r>
                  <w:r w:rsidR="001A5CF9" w:rsidRPr="00B95D04">
                    <w:rPr>
                      <w:rFonts w:cs="Arial"/>
                      <w:sz w:val="20"/>
                      <w:szCs w:val="20"/>
                      <w:lang w:val="sl-SI" w:eastAsia="sl-SI"/>
                    </w:rPr>
                    <w:t>nesek lastniških vrednostnih papirjev, ki se vredn</w:t>
                  </w:r>
                  <w:r w:rsidR="00A47509" w:rsidRPr="00B95D04">
                    <w:rPr>
                      <w:rFonts w:cs="Arial"/>
                      <w:sz w:val="20"/>
                      <w:szCs w:val="20"/>
                      <w:lang w:val="sl-SI" w:eastAsia="sl-SI"/>
                    </w:rPr>
                    <w:t>otijo po pošteni vrednosti prek</w:t>
                  </w:r>
                  <w:r w:rsidR="001A5CF9" w:rsidRPr="00B95D04">
                    <w:rPr>
                      <w:rFonts w:cs="Arial"/>
                      <w:sz w:val="20"/>
                      <w:szCs w:val="20"/>
                      <w:lang w:val="sl-SI" w:eastAsia="sl-SI"/>
                    </w:rPr>
                    <w:t xml:space="preserve"> drugega vseobsegajočega donosa, in finančnih obvez</w:t>
                  </w:r>
                  <w:r w:rsidR="00A47509" w:rsidRPr="00B95D04">
                    <w:rPr>
                      <w:rFonts w:cs="Arial"/>
                      <w:sz w:val="20"/>
                      <w:szCs w:val="20"/>
                      <w:lang w:val="sl-SI" w:eastAsia="sl-SI"/>
                    </w:rPr>
                    <w:t>nosti po pošteni vrednosti prek</w:t>
                  </w:r>
                  <w:r w:rsidR="001A5CF9" w:rsidRPr="00B95D04">
                    <w:rPr>
                      <w:rFonts w:cs="Arial"/>
                      <w:sz w:val="20"/>
                      <w:szCs w:val="20"/>
                      <w:lang w:val="sl-SI" w:eastAsia="sl-SI"/>
                    </w:rPr>
                    <w:t xml:space="preserve"> izkaza poslovnega izida glede na znesek vseh finančnih instrumentov</w:t>
                  </w:r>
                  <w:r w:rsidR="00A47509" w:rsidRPr="00B95D04">
                    <w:rPr>
                      <w:rFonts w:cs="Arial"/>
                      <w:sz w:val="20"/>
                      <w:szCs w:val="20"/>
                      <w:lang w:val="sl-SI" w:eastAsia="sl-SI"/>
                    </w:rPr>
                    <w:t>,</w:t>
                  </w:r>
                  <w:r w:rsidR="001A5CF9" w:rsidRPr="00B95D04">
                    <w:rPr>
                      <w:rFonts w:cs="Arial"/>
                      <w:sz w:val="20"/>
                      <w:szCs w:val="20"/>
                      <w:lang w:val="sl-SI" w:eastAsia="sl-SI"/>
                    </w:rPr>
                    <w:t xml:space="preserve"> relativno majhen, relevantni učinki pa posledično (</w:t>
                  </w:r>
                  <w:proofErr w:type="spellStart"/>
                  <w:r w:rsidR="001A5CF9" w:rsidRPr="00B95D04">
                    <w:rPr>
                      <w:rFonts w:cs="Arial"/>
                      <w:sz w:val="20"/>
                      <w:szCs w:val="20"/>
                      <w:lang w:val="sl-SI" w:eastAsia="sl-SI"/>
                    </w:rPr>
                    <w:t>zneskovno</w:t>
                  </w:r>
                  <w:proofErr w:type="spellEnd"/>
                  <w:r w:rsidR="001A5CF9" w:rsidRPr="00B95D04">
                    <w:rPr>
                      <w:rFonts w:cs="Arial"/>
                      <w:sz w:val="20"/>
                      <w:szCs w:val="20"/>
                      <w:lang w:val="sl-SI" w:eastAsia="sl-SI"/>
                    </w:rPr>
                    <w:t xml:space="preserve">) nepomembni. </w:t>
                  </w:r>
                  <w:r w:rsidRPr="00B95D04">
                    <w:rPr>
                      <w:rFonts w:cs="Arial"/>
                      <w:sz w:val="20"/>
                      <w:szCs w:val="20"/>
                      <w:lang w:val="sl-SI" w:eastAsia="sl-SI"/>
                    </w:rPr>
                    <w:t>Iz p</w:t>
                  </w:r>
                  <w:r w:rsidR="001A5CF9" w:rsidRPr="00B95D04">
                    <w:rPr>
                      <w:rFonts w:cs="Arial"/>
                      <w:sz w:val="20"/>
                      <w:szCs w:val="20"/>
                      <w:lang w:val="sl-SI" w:eastAsia="sl-SI"/>
                    </w:rPr>
                    <w:t>reliminarn</w:t>
                  </w:r>
                  <w:r w:rsidRPr="00B95D04">
                    <w:rPr>
                      <w:rFonts w:cs="Arial"/>
                      <w:sz w:val="20"/>
                      <w:szCs w:val="20"/>
                      <w:lang w:val="sl-SI" w:eastAsia="sl-SI"/>
                    </w:rPr>
                    <w:t>ih</w:t>
                  </w:r>
                  <w:r w:rsidR="001A5CF9" w:rsidRPr="00B95D04">
                    <w:rPr>
                      <w:rFonts w:cs="Arial"/>
                      <w:sz w:val="20"/>
                      <w:szCs w:val="20"/>
                      <w:lang w:val="sl-SI" w:eastAsia="sl-SI"/>
                    </w:rPr>
                    <w:t xml:space="preserve"> ocen za bančni sektor </w:t>
                  </w:r>
                  <w:r w:rsidRPr="00B95D04">
                    <w:rPr>
                      <w:rFonts w:cs="Arial"/>
                      <w:sz w:val="20"/>
                      <w:szCs w:val="20"/>
                      <w:lang w:val="sl-SI" w:eastAsia="sl-SI"/>
                    </w:rPr>
                    <w:t>izhaja</w:t>
                  </w:r>
                  <w:r w:rsidR="001A5CF9" w:rsidRPr="00B95D04">
                    <w:rPr>
                      <w:rFonts w:cs="Arial"/>
                      <w:sz w:val="20"/>
                      <w:szCs w:val="20"/>
                      <w:lang w:val="sl-SI" w:eastAsia="sl-SI"/>
                    </w:rPr>
                    <w:t>, da bo</w:t>
                  </w:r>
                  <w:r w:rsidR="005711B9" w:rsidRPr="00B95D04">
                    <w:rPr>
                      <w:rFonts w:cs="Arial"/>
                      <w:sz w:val="20"/>
                      <w:szCs w:val="20"/>
                      <w:lang w:val="sl-SI" w:eastAsia="sl-SI"/>
                    </w:rPr>
                    <w:t>do</w:t>
                  </w:r>
                  <w:r w:rsidR="001A5CF9" w:rsidRPr="00B95D04">
                    <w:rPr>
                      <w:rFonts w:cs="Arial"/>
                      <w:sz w:val="20"/>
                      <w:szCs w:val="20"/>
                      <w:lang w:val="sl-SI" w:eastAsia="sl-SI"/>
                    </w:rPr>
                    <w:t xml:space="preserve"> za lastniške vrednostne papirje iz skupine finančnih sredstev, razpoložljivih za prodajo, neto učink</w:t>
                  </w:r>
                  <w:r w:rsidR="005711B9" w:rsidRPr="00B95D04">
                    <w:rPr>
                      <w:rFonts w:cs="Arial"/>
                      <w:sz w:val="20"/>
                      <w:szCs w:val="20"/>
                      <w:lang w:val="sl-SI" w:eastAsia="sl-SI"/>
                    </w:rPr>
                    <w:t>i</w:t>
                  </w:r>
                  <w:r w:rsidR="001A5CF9" w:rsidRPr="00B95D04">
                    <w:rPr>
                      <w:rFonts w:cs="Arial"/>
                      <w:sz w:val="20"/>
                      <w:szCs w:val="20"/>
                      <w:lang w:val="sl-SI" w:eastAsia="sl-SI"/>
                    </w:rPr>
                    <w:t xml:space="preserve"> iz prevrednotenj in oslabitev minimal</w:t>
                  </w:r>
                  <w:r w:rsidR="005711B9" w:rsidRPr="00B95D04">
                    <w:rPr>
                      <w:rFonts w:cs="Arial"/>
                      <w:sz w:val="20"/>
                      <w:szCs w:val="20"/>
                      <w:lang w:val="sl-SI" w:eastAsia="sl-SI"/>
                    </w:rPr>
                    <w:t>ni</w:t>
                  </w:r>
                  <w:r w:rsidR="001A5CF9" w:rsidRPr="00B95D04">
                    <w:rPr>
                      <w:rFonts w:cs="Arial"/>
                      <w:sz w:val="20"/>
                      <w:szCs w:val="20"/>
                      <w:lang w:val="sl-SI" w:eastAsia="sl-SI"/>
                    </w:rPr>
                    <w:t xml:space="preserve">, za finančne obveznosti pa relevantni učinki v praksi trenutno ne nastajajo. </w:t>
                  </w:r>
                  <w:r w:rsidRPr="00B95D04">
                    <w:rPr>
                      <w:rFonts w:cs="Arial"/>
                      <w:sz w:val="20"/>
                      <w:szCs w:val="20"/>
                      <w:lang w:val="sl-SI" w:eastAsia="sl-SI"/>
                    </w:rPr>
                    <w:t>S predlagano dopolnitvijo zakona bodo učinki zaradi spremembe računovodskih standardov v celoti nevtralizirani, zato ocenjujemo, da predlog zakona ne bo imel finančnih posledic za državni proračun in druga javn</w:t>
                  </w:r>
                  <w:r w:rsidR="00AD6B2F" w:rsidRPr="00B95D04">
                    <w:rPr>
                      <w:rFonts w:cs="Arial"/>
                      <w:sz w:val="20"/>
                      <w:szCs w:val="20"/>
                      <w:lang w:val="sl-SI" w:eastAsia="sl-SI"/>
                    </w:rPr>
                    <w:t>o</w:t>
                  </w:r>
                  <w:r w:rsidRPr="00B95D04">
                    <w:rPr>
                      <w:rFonts w:cs="Arial"/>
                      <w:sz w:val="20"/>
                      <w:szCs w:val="20"/>
                      <w:lang w:val="sl-SI" w:eastAsia="sl-SI"/>
                    </w:rPr>
                    <w:t xml:space="preserve"> finančna sredstva. </w:t>
                  </w:r>
                </w:p>
                <w:p w14:paraId="71F5B885" w14:textId="77777777" w:rsidR="00F755CB" w:rsidRPr="00B95D04" w:rsidRDefault="00F755CB" w:rsidP="00D876CA">
                  <w:pPr>
                    <w:autoSpaceDE w:val="0"/>
                    <w:autoSpaceDN w:val="0"/>
                    <w:adjustRightInd w:val="0"/>
                    <w:spacing w:after="0" w:line="260" w:lineRule="exact"/>
                    <w:jc w:val="both"/>
                    <w:rPr>
                      <w:rFonts w:ascii="Arial" w:hAnsi="Arial" w:cs="Arial"/>
                      <w:color w:val="A6A6A6"/>
                      <w:sz w:val="20"/>
                      <w:szCs w:val="20"/>
                      <w:lang w:eastAsia="sl-SI"/>
                    </w:rPr>
                  </w:pPr>
                </w:p>
                <w:p w14:paraId="72AD0504" w14:textId="77777777" w:rsidR="00543F88" w:rsidRPr="00B95D04" w:rsidRDefault="00D5688B" w:rsidP="00D876CA">
                  <w:pPr>
                    <w:autoSpaceDE w:val="0"/>
                    <w:autoSpaceDN w:val="0"/>
                    <w:adjustRightInd w:val="0"/>
                    <w:spacing w:after="0" w:line="260" w:lineRule="exact"/>
                    <w:jc w:val="both"/>
                    <w:rPr>
                      <w:rFonts w:ascii="Arial" w:eastAsia="Times New Roman" w:hAnsi="Arial" w:cs="Arial"/>
                      <w:sz w:val="20"/>
                      <w:szCs w:val="20"/>
                      <w:lang w:eastAsia="sl-SI"/>
                    </w:rPr>
                  </w:pPr>
                  <w:r w:rsidRPr="00B95D04">
                    <w:rPr>
                      <w:rFonts w:ascii="Arial" w:eastAsia="Times New Roman" w:hAnsi="Arial" w:cs="Arial"/>
                      <w:sz w:val="20"/>
                      <w:szCs w:val="20"/>
                      <w:lang w:eastAsia="sl-SI"/>
                    </w:rPr>
                    <w:t>Predlog zakona nima vpliva na druga javnofinančna sredstva.</w:t>
                  </w:r>
                </w:p>
                <w:p w14:paraId="4B983EBC" w14:textId="77777777" w:rsidR="00D5688B" w:rsidRPr="00B95D04" w:rsidRDefault="00D5688B" w:rsidP="00D876CA">
                  <w:pPr>
                    <w:autoSpaceDE w:val="0"/>
                    <w:autoSpaceDN w:val="0"/>
                    <w:adjustRightInd w:val="0"/>
                    <w:spacing w:after="0" w:line="260" w:lineRule="exact"/>
                    <w:jc w:val="both"/>
                    <w:rPr>
                      <w:rFonts w:ascii="Arial" w:hAnsi="Arial" w:cs="Arial"/>
                      <w:color w:val="A6A6A6"/>
                      <w:sz w:val="20"/>
                      <w:szCs w:val="20"/>
                      <w:lang w:eastAsia="sl-SI"/>
                    </w:rPr>
                  </w:pPr>
                </w:p>
                <w:p w14:paraId="6D88C99E" w14:textId="25CCE22E" w:rsidR="001354F7" w:rsidRPr="00B95D04" w:rsidRDefault="001354F7" w:rsidP="00D876CA">
                  <w:pPr>
                    <w:autoSpaceDE w:val="0"/>
                    <w:autoSpaceDN w:val="0"/>
                    <w:adjustRightInd w:val="0"/>
                    <w:spacing w:after="0" w:line="260" w:lineRule="exact"/>
                    <w:jc w:val="both"/>
                    <w:rPr>
                      <w:rFonts w:ascii="Arial" w:hAnsi="Arial" w:cs="Arial"/>
                      <w:color w:val="A6A6A6"/>
                      <w:sz w:val="20"/>
                      <w:szCs w:val="20"/>
                      <w:lang w:eastAsia="sl-SI"/>
                    </w:rPr>
                  </w:pPr>
                </w:p>
              </w:tc>
            </w:tr>
            <w:tr w:rsidR="00F755CB" w:rsidRPr="00B95D04" w14:paraId="6D88C9A1" w14:textId="77777777" w:rsidTr="008060E5">
              <w:tc>
                <w:tcPr>
                  <w:tcW w:w="9213" w:type="dxa"/>
                </w:tcPr>
                <w:p w14:paraId="6D88C9A0" w14:textId="77777777" w:rsidR="00F755CB" w:rsidRPr="00B95D04" w:rsidRDefault="00F755CB" w:rsidP="008060E5">
                  <w:pPr>
                    <w:pStyle w:val="Oddelek"/>
                    <w:numPr>
                      <w:ilvl w:val="0"/>
                      <w:numId w:val="0"/>
                    </w:numPr>
                    <w:spacing w:before="0" w:after="0" w:line="260" w:lineRule="exact"/>
                    <w:jc w:val="both"/>
                    <w:rPr>
                      <w:rFonts w:cs="Arial"/>
                      <w:sz w:val="20"/>
                      <w:szCs w:val="20"/>
                      <w:lang w:val="sl-SI" w:eastAsia="sl-SI"/>
                    </w:rPr>
                  </w:pPr>
                  <w:r w:rsidRPr="00B95D04">
                    <w:rPr>
                      <w:rFonts w:cs="Arial"/>
                      <w:sz w:val="20"/>
                      <w:szCs w:val="20"/>
                      <w:lang w:val="sl-SI" w:eastAsia="sl-SI"/>
                    </w:rPr>
                    <w:lastRenderedPageBreak/>
                    <w:t>4. NAVEDBA, DA SO SREDSTVA ZA IZVAJANJE ZAKONA V DRŽAVNEM PRORAČUNU ZAGOTOVLJENA, ČE PREDLOG ZAKONA PREDVIDEVA PORABO PRORAČUNSKIH SREDSTEV V OBDOBJU, ZA KATERO JE BIL DRŽAVNI PRORAČUN ŽE SPREJET</w:t>
                  </w:r>
                </w:p>
              </w:tc>
            </w:tr>
            <w:tr w:rsidR="00F755CB" w:rsidRPr="00B95D04" w14:paraId="6D88C9A6" w14:textId="77777777" w:rsidTr="008060E5">
              <w:tc>
                <w:tcPr>
                  <w:tcW w:w="9213" w:type="dxa"/>
                </w:tcPr>
                <w:p w14:paraId="6D88C9A2" w14:textId="77777777" w:rsidR="00F755CB" w:rsidRPr="00B95D04" w:rsidRDefault="00F755CB" w:rsidP="008060E5">
                  <w:pPr>
                    <w:pStyle w:val="Alineazaodstavkom"/>
                    <w:numPr>
                      <w:ilvl w:val="0"/>
                      <w:numId w:val="0"/>
                    </w:numPr>
                    <w:spacing w:line="260" w:lineRule="exact"/>
                    <w:rPr>
                      <w:rFonts w:cs="Arial"/>
                      <w:color w:val="A6A6A6"/>
                      <w:sz w:val="20"/>
                      <w:szCs w:val="20"/>
                      <w:lang w:val="sl-SI" w:eastAsia="sl-SI"/>
                    </w:rPr>
                  </w:pPr>
                </w:p>
                <w:p w14:paraId="6D88C9A3" w14:textId="77777777" w:rsidR="00F755CB" w:rsidRPr="00B95D04" w:rsidRDefault="00F755CB" w:rsidP="008060E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95D04">
                    <w:rPr>
                      <w:rFonts w:ascii="Arial" w:eastAsia="Times New Roman" w:hAnsi="Arial" w:cs="Arial"/>
                      <w:sz w:val="20"/>
                      <w:szCs w:val="20"/>
                      <w:lang w:eastAsia="sl-SI"/>
                    </w:rPr>
                    <w:t>Za izvajanje zakona ne bodo potrebna dodatna proračunska sredstva.</w:t>
                  </w:r>
                  <w:r w:rsidRPr="00B95D04">
                    <w:rPr>
                      <w:rFonts w:ascii="Arial" w:eastAsia="Times New Roman" w:hAnsi="Arial" w:cs="Arial"/>
                      <w:sz w:val="20"/>
                      <w:szCs w:val="20"/>
                      <w:lang w:eastAsia="sl-SI"/>
                    </w:rPr>
                    <w:tab/>
                  </w:r>
                </w:p>
                <w:p w14:paraId="6D88C9A4" w14:textId="77777777" w:rsidR="00F755CB" w:rsidRPr="00B95D04" w:rsidRDefault="00F755CB" w:rsidP="008060E5">
                  <w:pPr>
                    <w:pStyle w:val="Alineazaodstavkom"/>
                    <w:numPr>
                      <w:ilvl w:val="0"/>
                      <w:numId w:val="0"/>
                    </w:numPr>
                    <w:spacing w:line="260" w:lineRule="exact"/>
                    <w:rPr>
                      <w:rFonts w:cs="Arial"/>
                      <w:color w:val="A6A6A6"/>
                      <w:sz w:val="20"/>
                      <w:szCs w:val="20"/>
                      <w:lang w:val="sl-SI" w:eastAsia="sl-SI"/>
                    </w:rPr>
                  </w:pPr>
                </w:p>
                <w:p w14:paraId="6D88C9A5" w14:textId="77777777" w:rsidR="00F755CB" w:rsidRPr="00B95D04" w:rsidRDefault="00F755CB" w:rsidP="008060E5">
                  <w:pPr>
                    <w:pStyle w:val="Alineazaodstavkom"/>
                    <w:numPr>
                      <w:ilvl w:val="0"/>
                      <w:numId w:val="0"/>
                    </w:numPr>
                    <w:spacing w:line="260" w:lineRule="exact"/>
                    <w:ind w:left="709"/>
                    <w:rPr>
                      <w:rFonts w:cs="Arial"/>
                      <w:color w:val="A6A6A6"/>
                      <w:sz w:val="20"/>
                      <w:szCs w:val="20"/>
                      <w:lang w:val="sl-SI" w:eastAsia="sl-SI"/>
                    </w:rPr>
                  </w:pPr>
                </w:p>
              </w:tc>
            </w:tr>
            <w:tr w:rsidR="00F755CB" w:rsidRPr="00B95D04" w14:paraId="6D88C9AB" w14:textId="77777777" w:rsidTr="008060E5">
              <w:tc>
                <w:tcPr>
                  <w:tcW w:w="9213" w:type="dxa"/>
                </w:tcPr>
                <w:p w14:paraId="6D88C9A7" w14:textId="3BC8AEE9" w:rsidR="00F755CB" w:rsidRPr="00B95D04" w:rsidRDefault="00F755CB" w:rsidP="008060E5">
                  <w:pPr>
                    <w:pStyle w:val="Oddelek"/>
                    <w:numPr>
                      <w:ilvl w:val="0"/>
                      <w:numId w:val="0"/>
                    </w:numPr>
                    <w:spacing w:before="0" w:after="0" w:line="260" w:lineRule="exact"/>
                    <w:jc w:val="both"/>
                    <w:rPr>
                      <w:rFonts w:cs="Arial"/>
                      <w:sz w:val="20"/>
                      <w:szCs w:val="20"/>
                      <w:lang w:val="sl-SI" w:eastAsia="sl-SI"/>
                    </w:rPr>
                  </w:pPr>
                  <w:r w:rsidRPr="00B95D04">
                    <w:rPr>
                      <w:rFonts w:cs="Arial"/>
                      <w:sz w:val="20"/>
                      <w:szCs w:val="20"/>
                      <w:lang w:val="sl-SI" w:eastAsia="sl-SI"/>
                    </w:rPr>
                    <w:t>5. PRIKAZ UREDITVE V DRUGIH PRAVNIH SISTEMIH IN PRILAGOJENOSTI PREDLAGANE UREDITVE PRAVU EVROPSKE UNIJE</w:t>
                  </w:r>
                </w:p>
                <w:p w14:paraId="6D88C9A8" w14:textId="77777777" w:rsidR="00F755CB" w:rsidRPr="00B95D04" w:rsidRDefault="00F755CB" w:rsidP="008060E5">
                  <w:pPr>
                    <w:pStyle w:val="Oddelek"/>
                    <w:numPr>
                      <w:ilvl w:val="0"/>
                      <w:numId w:val="0"/>
                    </w:numPr>
                    <w:spacing w:before="0" w:after="0" w:line="260" w:lineRule="exact"/>
                    <w:jc w:val="both"/>
                    <w:rPr>
                      <w:rFonts w:cs="Arial"/>
                      <w:sz w:val="20"/>
                      <w:szCs w:val="20"/>
                      <w:lang w:val="sl-SI" w:eastAsia="sl-SI"/>
                    </w:rPr>
                  </w:pPr>
                </w:p>
                <w:p w14:paraId="6D88C9A9" w14:textId="77777777" w:rsidR="009F119E" w:rsidRPr="00B95D04" w:rsidRDefault="009F119E" w:rsidP="008060E5">
                  <w:pPr>
                    <w:pStyle w:val="Oddelek"/>
                    <w:numPr>
                      <w:ilvl w:val="0"/>
                      <w:numId w:val="0"/>
                    </w:numPr>
                    <w:spacing w:before="0" w:after="0" w:line="260" w:lineRule="exact"/>
                    <w:jc w:val="both"/>
                    <w:rPr>
                      <w:rFonts w:cs="Arial"/>
                      <w:b w:val="0"/>
                      <w:sz w:val="20"/>
                      <w:szCs w:val="20"/>
                      <w:lang w:val="sl-SI" w:eastAsia="sl-SI"/>
                    </w:rPr>
                  </w:pPr>
                  <w:r w:rsidRPr="00B95D04">
                    <w:rPr>
                      <w:rFonts w:cs="Arial"/>
                      <w:b w:val="0"/>
                      <w:sz w:val="20"/>
                      <w:szCs w:val="20"/>
                      <w:lang w:val="sl-SI" w:eastAsia="sl-SI"/>
                    </w:rPr>
                    <w:t>Predlog zakona ni predmet usklajevanja s pravom Evropske unije.</w:t>
                  </w:r>
                </w:p>
                <w:p w14:paraId="315F9E4E" w14:textId="77777777" w:rsidR="009F119E" w:rsidRPr="00B95D04" w:rsidRDefault="009F119E" w:rsidP="008060E5">
                  <w:pPr>
                    <w:pStyle w:val="Oddelek"/>
                    <w:numPr>
                      <w:ilvl w:val="0"/>
                      <w:numId w:val="0"/>
                    </w:numPr>
                    <w:spacing w:before="0" w:after="0" w:line="260" w:lineRule="exact"/>
                    <w:jc w:val="both"/>
                    <w:rPr>
                      <w:rFonts w:cs="Arial"/>
                      <w:sz w:val="20"/>
                      <w:szCs w:val="20"/>
                      <w:lang w:val="sl-SI" w:eastAsia="sl-SI"/>
                    </w:rPr>
                  </w:pPr>
                </w:p>
                <w:p w14:paraId="6D88C9AA" w14:textId="0694FEB2" w:rsidR="00D30A8D" w:rsidRPr="00B95D04" w:rsidRDefault="002017D4" w:rsidP="002017D4">
                  <w:pPr>
                    <w:pStyle w:val="Oddelek"/>
                    <w:numPr>
                      <w:ilvl w:val="0"/>
                      <w:numId w:val="0"/>
                    </w:numPr>
                    <w:spacing w:before="0" w:after="0" w:line="260" w:lineRule="exact"/>
                    <w:jc w:val="both"/>
                    <w:rPr>
                      <w:rFonts w:cs="Arial"/>
                      <w:b w:val="0"/>
                      <w:sz w:val="20"/>
                      <w:szCs w:val="20"/>
                      <w:lang w:val="sl-SI" w:eastAsia="sl-SI"/>
                    </w:rPr>
                  </w:pPr>
                  <w:r w:rsidRPr="00B95D04">
                    <w:rPr>
                      <w:rFonts w:cs="Arial"/>
                      <w:b w:val="0"/>
                      <w:sz w:val="20"/>
                      <w:szCs w:val="20"/>
                      <w:lang w:val="sl-SI" w:eastAsia="sl-SI"/>
                    </w:rPr>
                    <w:t>5.1</w:t>
                  </w:r>
                </w:p>
              </w:tc>
            </w:tr>
            <w:tr w:rsidR="00F755CB" w:rsidRPr="00B95D04" w14:paraId="6D88C9B1" w14:textId="77777777" w:rsidTr="008060E5">
              <w:tc>
                <w:tcPr>
                  <w:tcW w:w="9213" w:type="dxa"/>
                </w:tcPr>
                <w:p w14:paraId="7AB2BEC0" w14:textId="306BB2F6" w:rsidR="002017D4" w:rsidRPr="00B95D04" w:rsidRDefault="002017D4" w:rsidP="002017D4">
                  <w:pPr>
                    <w:autoSpaceDE w:val="0"/>
                    <w:autoSpaceDN w:val="0"/>
                    <w:adjustRightInd w:val="0"/>
                    <w:spacing w:after="0" w:line="260" w:lineRule="exact"/>
                    <w:jc w:val="both"/>
                    <w:rPr>
                      <w:rFonts w:ascii="Arial" w:eastAsia="Times New Roman" w:hAnsi="Arial" w:cs="Arial"/>
                      <w:sz w:val="20"/>
                      <w:szCs w:val="20"/>
                      <w:lang w:eastAsia="sl-SI"/>
                    </w:rPr>
                  </w:pPr>
                  <w:r w:rsidRPr="00B95D04">
                    <w:rPr>
                      <w:rFonts w:ascii="Arial" w:eastAsia="Times New Roman" w:hAnsi="Arial" w:cs="Arial"/>
                      <w:b/>
                      <w:sz w:val="20"/>
                      <w:szCs w:val="20"/>
                      <w:lang w:eastAsia="sl-SI"/>
                    </w:rPr>
                    <w:t>Hrvaška</w:t>
                  </w:r>
                  <w:r w:rsidR="00AD6B2F" w:rsidRPr="00B95D04">
                    <w:rPr>
                      <w:rFonts w:ascii="Arial" w:eastAsia="Times New Roman" w:hAnsi="Arial" w:cs="Arial"/>
                      <w:sz w:val="20"/>
                      <w:szCs w:val="20"/>
                      <w:lang w:eastAsia="sl-SI"/>
                    </w:rPr>
                    <w:t xml:space="preserve"> (</w:t>
                  </w:r>
                  <w:r w:rsidR="00DD193E" w:rsidRPr="00B95D04">
                    <w:rPr>
                      <w:rFonts w:ascii="Arial" w:eastAsia="Times New Roman" w:hAnsi="Arial" w:cs="Arial"/>
                      <w:sz w:val="20"/>
                      <w:szCs w:val="20"/>
                      <w:lang w:eastAsia="sl-SI"/>
                    </w:rPr>
                    <w:t>V</w:t>
                  </w:r>
                  <w:r w:rsidRPr="00B95D04">
                    <w:rPr>
                      <w:rFonts w:ascii="Arial" w:eastAsia="Times New Roman" w:hAnsi="Arial" w:cs="Arial"/>
                      <w:sz w:val="20"/>
                      <w:szCs w:val="20"/>
                      <w:lang w:eastAsia="sl-SI"/>
                    </w:rPr>
                    <w:t>ir: zbirka IBFD)</w:t>
                  </w:r>
                </w:p>
                <w:p w14:paraId="7B52BF39" w14:textId="37ADFB31" w:rsidR="002017D4" w:rsidRPr="00B95D04" w:rsidRDefault="002017D4" w:rsidP="002017D4">
                  <w:pPr>
                    <w:autoSpaceDE w:val="0"/>
                    <w:autoSpaceDN w:val="0"/>
                    <w:adjustRightInd w:val="0"/>
                    <w:spacing w:after="0" w:line="260" w:lineRule="exact"/>
                    <w:jc w:val="both"/>
                    <w:rPr>
                      <w:rFonts w:ascii="Arial" w:eastAsia="Times New Roman" w:hAnsi="Arial" w:cs="Arial"/>
                      <w:sz w:val="20"/>
                      <w:szCs w:val="20"/>
                      <w:lang w:eastAsia="sl-SI"/>
                    </w:rPr>
                  </w:pPr>
                  <w:r w:rsidRPr="00B95D04">
                    <w:rPr>
                      <w:rFonts w:ascii="Arial" w:eastAsia="Times New Roman" w:hAnsi="Arial" w:cs="Arial"/>
                      <w:sz w:val="20"/>
                      <w:szCs w:val="20"/>
                      <w:lang w:eastAsia="sl-SI"/>
                    </w:rPr>
                    <w:t>Za zavezance z obdavčljivimi prihodki do 3 mio HRK znaša davčna stopnja podjetniškega davka 12 %, za zavezance z obdavčljivimi prihodki 3 mio HRK in več pa znaša 18</w:t>
                  </w:r>
                  <w:r w:rsidR="00CC6A2F" w:rsidRPr="00B95D04">
                    <w:rPr>
                      <w:rFonts w:ascii="Arial" w:eastAsia="Times New Roman" w:hAnsi="Arial" w:cs="Arial"/>
                      <w:sz w:val="20"/>
                      <w:szCs w:val="20"/>
                      <w:lang w:eastAsia="sl-SI"/>
                    </w:rPr>
                    <w:t xml:space="preserve"> </w:t>
                  </w:r>
                  <w:r w:rsidRPr="00B95D04">
                    <w:rPr>
                      <w:rFonts w:ascii="Arial" w:eastAsia="Times New Roman" w:hAnsi="Arial" w:cs="Arial"/>
                      <w:sz w:val="20"/>
                      <w:szCs w:val="20"/>
                      <w:lang w:eastAsia="sl-SI"/>
                    </w:rPr>
                    <w:t>%.</w:t>
                  </w:r>
                </w:p>
                <w:p w14:paraId="171449EA" w14:textId="77777777" w:rsidR="002017D4" w:rsidRPr="00B95D04" w:rsidRDefault="002017D4" w:rsidP="002017D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79CCA4B0" w14:textId="74FF14EA" w:rsidR="002017D4" w:rsidRPr="00B95D04" w:rsidRDefault="002017D4" w:rsidP="002017D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95D04">
                    <w:rPr>
                      <w:rFonts w:ascii="Arial" w:eastAsia="Times New Roman" w:hAnsi="Arial" w:cs="Arial"/>
                      <w:b/>
                      <w:sz w:val="20"/>
                      <w:szCs w:val="20"/>
                      <w:lang w:eastAsia="sl-SI"/>
                    </w:rPr>
                    <w:t xml:space="preserve">Luksemburg </w:t>
                  </w:r>
                  <w:r w:rsidR="00AD6B2F" w:rsidRPr="00B95D04">
                    <w:rPr>
                      <w:rFonts w:ascii="Arial" w:eastAsia="Times New Roman" w:hAnsi="Arial" w:cs="Arial"/>
                      <w:sz w:val="20"/>
                      <w:szCs w:val="20"/>
                      <w:lang w:eastAsia="sl-SI"/>
                    </w:rPr>
                    <w:t>(</w:t>
                  </w:r>
                  <w:r w:rsidR="00DD193E" w:rsidRPr="00B95D04">
                    <w:rPr>
                      <w:rFonts w:ascii="Arial" w:eastAsia="Times New Roman" w:hAnsi="Arial" w:cs="Arial"/>
                      <w:sz w:val="20"/>
                      <w:szCs w:val="20"/>
                      <w:lang w:eastAsia="sl-SI"/>
                    </w:rPr>
                    <w:t>V</w:t>
                  </w:r>
                  <w:r w:rsidRPr="00B95D04">
                    <w:rPr>
                      <w:rFonts w:ascii="Arial" w:eastAsia="Times New Roman" w:hAnsi="Arial" w:cs="Arial"/>
                      <w:sz w:val="20"/>
                      <w:szCs w:val="20"/>
                      <w:lang w:eastAsia="sl-SI"/>
                    </w:rPr>
                    <w:t>ir: zbirka IBFD)</w:t>
                  </w:r>
                </w:p>
                <w:p w14:paraId="596A05DF" w14:textId="00B8414E" w:rsidR="002017D4" w:rsidRPr="00B95D04" w:rsidRDefault="002017D4" w:rsidP="002017D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Davčna stopnja podjetniškega davka za leto 2017 znaša 19 %, solidarnostno doplačilo za zaposlitveni sklad pa 7 % davčne obveznosti za podjetniški davek (skupaj efektivno 20,33 %). Podjetja dodatno plačujejo še občinske podjetniške davke, za mesto Luksemburg npr. 6,75 % (skupaj efektivno 27,08 %).</w:t>
                  </w:r>
                  <w:r w:rsidR="00CC6A2F" w:rsidRPr="00B95D04">
                    <w:rPr>
                      <w:rFonts w:ascii="Arial" w:eastAsia="Times New Roman" w:hAnsi="Arial" w:cs="Arial"/>
                      <w:sz w:val="20"/>
                      <w:szCs w:val="20"/>
                      <w:lang w:eastAsia="sl-SI"/>
                    </w:rPr>
                    <w:t xml:space="preserve"> Zavezanci z obdavčljivim dobičkom pod 25.000 </w:t>
                  </w:r>
                  <w:proofErr w:type="spellStart"/>
                  <w:r w:rsidR="00CC6A2F" w:rsidRPr="00B95D04">
                    <w:rPr>
                      <w:rFonts w:ascii="Arial" w:eastAsia="Times New Roman" w:hAnsi="Arial" w:cs="Arial"/>
                      <w:sz w:val="20"/>
                      <w:szCs w:val="20"/>
                      <w:lang w:eastAsia="sl-SI"/>
                    </w:rPr>
                    <w:t>eurov</w:t>
                  </w:r>
                  <w:proofErr w:type="spellEnd"/>
                  <w:r w:rsidR="00CC6A2F" w:rsidRPr="00B95D04">
                    <w:rPr>
                      <w:rFonts w:ascii="Arial" w:eastAsia="Times New Roman" w:hAnsi="Arial" w:cs="Arial"/>
                      <w:sz w:val="20"/>
                      <w:szCs w:val="20"/>
                      <w:lang w:eastAsia="sl-SI"/>
                    </w:rPr>
                    <w:t xml:space="preserve"> plačujejo podjetniški davek po stopnji 15 %, zavezanci z  obdavčljivim dobičkom med 25.000 </w:t>
                  </w:r>
                  <w:proofErr w:type="spellStart"/>
                  <w:r w:rsidR="00CC6A2F" w:rsidRPr="00B95D04">
                    <w:rPr>
                      <w:rFonts w:ascii="Arial" w:eastAsia="Times New Roman" w:hAnsi="Arial" w:cs="Arial"/>
                      <w:sz w:val="20"/>
                      <w:szCs w:val="20"/>
                      <w:lang w:eastAsia="sl-SI"/>
                    </w:rPr>
                    <w:t>eurov</w:t>
                  </w:r>
                  <w:proofErr w:type="spellEnd"/>
                  <w:r w:rsidR="00CC6A2F" w:rsidRPr="00B95D04">
                    <w:rPr>
                      <w:rFonts w:ascii="Arial" w:eastAsia="Times New Roman" w:hAnsi="Arial" w:cs="Arial"/>
                      <w:sz w:val="20"/>
                      <w:szCs w:val="20"/>
                      <w:lang w:eastAsia="sl-SI"/>
                    </w:rPr>
                    <w:t xml:space="preserve"> in 30.000 </w:t>
                  </w:r>
                  <w:proofErr w:type="spellStart"/>
                  <w:r w:rsidR="00CC6A2F" w:rsidRPr="00B95D04">
                    <w:rPr>
                      <w:rFonts w:ascii="Arial" w:eastAsia="Times New Roman" w:hAnsi="Arial" w:cs="Arial"/>
                      <w:sz w:val="20"/>
                      <w:szCs w:val="20"/>
                      <w:lang w:eastAsia="sl-SI"/>
                    </w:rPr>
                    <w:t>eurov</w:t>
                  </w:r>
                  <w:proofErr w:type="spellEnd"/>
                  <w:r w:rsidR="00CC6A2F" w:rsidRPr="00B95D04">
                    <w:rPr>
                      <w:rFonts w:ascii="Arial" w:eastAsia="Times New Roman" w:hAnsi="Arial" w:cs="Arial"/>
                      <w:sz w:val="20"/>
                      <w:szCs w:val="20"/>
                      <w:lang w:eastAsia="sl-SI"/>
                    </w:rPr>
                    <w:t xml:space="preserve"> pa plačajo podjetniški davek v višini 3.750 </w:t>
                  </w:r>
                  <w:proofErr w:type="spellStart"/>
                  <w:r w:rsidR="00CC6A2F" w:rsidRPr="00B95D04">
                    <w:rPr>
                      <w:rFonts w:ascii="Arial" w:eastAsia="Times New Roman" w:hAnsi="Arial" w:cs="Arial"/>
                      <w:sz w:val="20"/>
                      <w:szCs w:val="20"/>
                      <w:lang w:eastAsia="sl-SI"/>
                    </w:rPr>
                    <w:t>eurov</w:t>
                  </w:r>
                  <w:proofErr w:type="spellEnd"/>
                  <w:r w:rsidR="00CC6A2F" w:rsidRPr="00B95D04">
                    <w:rPr>
                      <w:rFonts w:ascii="Arial" w:eastAsia="Times New Roman" w:hAnsi="Arial" w:cs="Arial"/>
                      <w:sz w:val="20"/>
                      <w:szCs w:val="20"/>
                      <w:lang w:eastAsia="sl-SI"/>
                    </w:rPr>
                    <w:t xml:space="preserve"> plus 39 % od dobička nad 25.000 </w:t>
                  </w:r>
                  <w:proofErr w:type="spellStart"/>
                  <w:r w:rsidR="00CC6A2F" w:rsidRPr="00B95D04">
                    <w:rPr>
                      <w:rFonts w:ascii="Arial" w:eastAsia="Times New Roman" w:hAnsi="Arial" w:cs="Arial"/>
                      <w:sz w:val="20"/>
                      <w:szCs w:val="20"/>
                      <w:lang w:eastAsia="sl-SI"/>
                    </w:rPr>
                    <w:t>eurov</w:t>
                  </w:r>
                  <w:proofErr w:type="spellEnd"/>
                  <w:r w:rsidR="00CC6A2F" w:rsidRPr="00B95D04">
                    <w:rPr>
                      <w:rFonts w:ascii="Arial" w:eastAsia="Times New Roman" w:hAnsi="Arial" w:cs="Arial"/>
                      <w:sz w:val="20"/>
                      <w:szCs w:val="20"/>
                      <w:lang w:eastAsia="sl-SI"/>
                    </w:rPr>
                    <w:t>.</w:t>
                  </w:r>
                </w:p>
                <w:p w14:paraId="4E4298C3" w14:textId="77777777" w:rsidR="0003547D" w:rsidRPr="00B95D04" w:rsidRDefault="0003547D" w:rsidP="0003547D">
                  <w:pPr>
                    <w:spacing w:after="0" w:line="260" w:lineRule="atLeast"/>
                    <w:rPr>
                      <w:rFonts w:ascii="Arial" w:eastAsia="Times New Roman" w:hAnsi="Arial" w:cs="Arial"/>
                      <w:sz w:val="20"/>
                      <w:szCs w:val="20"/>
                      <w:highlight w:val="yellow"/>
                    </w:rPr>
                  </w:pPr>
                </w:p>
                <w:p w14:paraId="1533529B" w14:textId="6A562B81" w:rsidR="00D7039F" w:rsidRPr="00B95D04" w:rsidRDefault="00D7039F" w:rsidP="00D7039F">
                  <w:pPr>
                    <w:spacing w:after="0" w:line="260" w:lineRule="exact"/>
                    <w:jc w:val="both"/>
                    <w:rPr>
                      <w:rFonts w:ascii="Arial" w:eastAsia="Times New Roman" w:hAnsi="Arial" w:cs="Arial"/>
                      <w:sz w:val="20"/>
                      <w:szCs w:val="20"/>
                      <w:lang w:eastAsia="sl-SI"/>
                    </w:rPr>
                  </w:pPr>
                  <w:r w:rsidRPr="00B95D04">
                    <w:rPr>
                      <w:rFonts w:ascii="Arial" w:eastAsia="Times New Roman" w:hAnsi="Arial" w:cs="Arial"/>
                      <w:b/>
                      <w:sz w:val="20"/>
                      <w:szCs w:val="20"/>
                      <w:lang w:eastAsia="sl-SI"/>
                    </w:rPr>
                    <w:t xml:space="preserve">Belgija </w:t>
                  </w:r>
                  <w:r w:rsidR="00AD6B2F" w:rsidRPr="00B95D04">
                    <w:rPr>
                      <w:rFonts w:ascii="Arial" w:eastAsia="Times New Roman" w:hAnsi="Arial" w:cs="Arial"/>
                      <w:sz w:val="20"/>
                      <w:szCs w:val="20"/>
                      <w:lang w:eastAsia="sl-SI"/>
                    </w:rPr>
                    <w:t>(</w:t>
                  </w:r>
                  <w:r w:rsidR="00DD193E" w:rsidRPr="00B95D04">
                    <w:rPr>
                      <w:rFonts w:ascii="Arial" w:eastAsia="Times New Roman" w:hAnsi="Arial" w:cs="Arial"/>
                      <w:sz w:val="20"/>
                      <w:szCs w:val="20"/>
                      <w:lang w:eastAsia="sl-SI"/>
                    </w:rPr>
                    <w:t>V</w:t>
                  </w:r>
                  <w:r w:rsidRPr="00B95D04">
                    <w:rPr>
                      <w:rFonts w:ascii="Arial" w:eastAsia="Times New Roman" w:hAnsi="Arial" w:cs="Arial"/>
                      <w:sz w:val="20"/>
                      <w:szCs w:val="20"/>
                      <w:lang w:eastAsia="sl-SI"/>
                    </w:rPr>
                    <w:t>ir: zbirka IBFD)</w:t>
                  </w:r>
                </w:p>
                <w:p w14:paraId="65DCEC12" w14:textId="4D23EC6F" w:rsidR="00D7039F" w:rsidRPr="00B95D04" w:rsidRDefault="00D7039F" w:rsidP="00D7039F">
                  <w:pPr>
                    <w:autoSpaceDE w:val="0"/>
                    <w:autoSpaceDN w:val="0"/>
                    <w:adjustRightInd w:val="0"/>
                    <w:spacing w:after="0" w:line="260" w:lineRule="exact"/>
                    <w:jc w:val="both"/>
                    <w:rPr>
                      <w:rFonts w:ascii="Arial" w:eastAsia="Times New Roman" w:hAnsi="Arial" w:cs="Arial"/>
                      <w:b/>
                      <w:sz w:val="20"/>
                      <w:szCs w:val="20"/>
                      <w:lang w:eastAsia="sl-SI"/>
                    </w:rPr>
                  </w:pPr>
                  <w:r w:rsidRPr="00B95D04">
                    <w:rPr>
                      <w:rFonts w:ascii="Arial" w:eastAsia="Times New Roman" w:hAnsi="Arial" w:cs="Arial"/>
                      <w:sz w:val="20"/>
                      <w:szCs w:val="20"/>
                      <w:lang w:eastAsia="sl-SI"/>
                    </w:rPr>
                    <w:t xml:space="preserve">Davčna stopnja davka na dobiček podjetij znaša 33 %, ki skupaj z dodatnim davkom v višini 3 % znaša do 33,99 %. Za podjetja z letnim obdavčljivim prihodkom do 322.500 </w:t>
                  </w:r>
                  <w:proofErr w:type="spellStart"/>
                  <w:r w:rsidRPr="00B95D04">
                    <w:rPr>
                      <w:rFonts w:ascii="Arial" w:eastAsia="Times New Roman" w:hAnsi="Arial" w:cs="Arial"/>
                      <w:sz w:val="20"/>
                      <w:szCs w:val="20"/>
                      <w:lang w:eastAsia="sl-SI"/>
                    </w:rPr>
                    <w:t>eurov</w:t>
                  </w:r>
                  <w:proofErr w:type="spellEnd"/>
                  <w:r w:rsidRPr="00B95D04">
                    <w:rPr>
                      <w:rFonts w:ascii="Arial" w:eastAsia="Times New Roman" w:hAnsi="Arial" w:cs="Arial"/>
                      <w:sz w:val="20"/>
                      <w:szCs w:val="20"/>
                      <w:lang w:eastAsia="sl-SI"/>
                    </w:rPr>
                    <w:t xml:space="preserve"> se uporablja progresivna lestvica: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3"/>
                    <w:gridCol w:w="2339"/>
                  </w:tblGrid>
                  <w:tr w:rsidR="00D7039F" w:rsidRPr="00B95D04" w14:paraId="793C2B50" w14:textId="77777777" w:rsidTr="002F540D">
                    <w:tc>
                      <w:tcPr>
                        <w:tcW w:w="3073" w:type="dxa"/>
                        <w:shd w:val="clear" w:color="auto" w:fill="auto"/>
                      </w:tcPr>
                      <w:p w14:paraId="67596706" w14:textId="77777777" w:rsidR="00D7039F" w:rsidRPr="00B95D04" w:rsidRDefault="00D7039F" w:rsidP="00D7039F">
                        <w:pPr>
                          <w:spacing w:after="0" w:line="260" w:lineRule="exact"/>
                          <w:jc w:val="center"/>
                          <w:rPr>
                            <w:rFonts w:ascii="Arial" w:eastAsia="Times New Roman" w:hAnsi="Arial" w:cs="Arial"/>
                            <w:b/>
                            <w:sz w:val="20"/>
                            <w:szCs w:val="20"/>
                            <w:lang w:eastAsia="sl-SI"/>
                          </w:rPr>
                        </w:pPr>
                        <w:r w:rsidRPr="00B95D04">
                          <w:rPr>
                            <w:rFonts w:ascii="Arial" w:eastAsia="Times New Roman" w:hAnsi="Arial" w:cs="Arial"/>
                            <w:b/>
                            <w:sz w:val="20"/>
                            <w:szCs w:val="20"/>
                            <w:lang w:eastAsia="sl-SI"/>
                          </w:rPr>
                          <w:t xml:space="preserve">Obdavčljivi prihodek (v </w:t>
                        </w:r>
                        <w:proofErr w:type="spellStart"/>
                        <w:r w:rsidRPr="00B95D04">
                          <w:rPr>
                            <w:rFonts w:ascii="Arial" w:eastAsia="Times New Roman" w:hAnsi="Arial" w:cs="Arial"/>
                            <w:b/>
                            <w:sz w:val="20"/>
                            <w:szCs w:val="20"/>
                            <w:lang w:eastAsia="sl-SI"/>
                          </w:rPr>
                          <w:t>eurih</w:t>
                        </w:r>
                        <w:proofErr w:type="spellEnd"/>
                        <w:r w:rsidRPr="00B95D04">
                          <w:rPr>
                            <w:rFonts w:ascii="Arial" w:eastAsia="Times New Roman" w:hAnsi="Arial" w:cs="Arial"/>
                            <w:b/>
                            <w:sz w:val="20"/>
                            <w:szCs w:val="20"/>
                            <w:lang w:eastAsia="sl-SI"/>
                          </w:rPr>
                          <w:t>)</w:t>
                        </w:r>
                      </w:p>
                    </w:tc>
                    <w:tc>
                      <w:tcPr>
                        <w:tcW w:w="2339" w:type="dxa"/>
                        <w:shd w:val="clear" w:color="auto" w:fill="auto"/>
                      </w:tcPr>
                      <w:p w14:paraId="6BD22E03" w14:textId="77777777" w:rsidR="00D7039F" w:rsidRPr="00B95D04" w:rsidRDefault="00D7039F" w:rsidP="00D7039F">
                        <w:pPr>
                          <w:spacing w:after="0" w:line="260" w:lineRule="exact"/>
                          <w:jc w:val="center"/>
                          <w:rPr>
                            <w:rFonts w:ascii="Arial" w:eastAsia="Times New Roman" w:hAnsi="Arial" w:cs="Arial"/>
                            <w:b/>
                            <w:sz w:val="20"/>
                            <w:szCs w:val="20"/>
                            <w:lang w:eastAsia="sl-SI"/>
                          </w:rPr>
                        </w:pPr>
                        <w:r w:rsidRPr="00B95D04">
                          <w:rPr>
                            <w:rFonts w:ascii="Arial" w:eastAsia="Times New Roman" w:hAnsi="Arial" w:cs="Arial"/>
                            <w:b/>
                            <w:sz w:val="20"/>
                            <w:szCs w:val="20"/>
                            <w:lang w:eastAsia="sl-SI"/>
                          </w:rPr>
                          <w:t>Davčna stopnja (v %)</w:t>
                        </w:r>
                      </w:p>
                    </w:tc>
                  </w:tr>
                  <w:tr w:rsidR="00D7039F" w:rsidRPr="00B95D04" w14:paraId="7709CB30" w14:textId="77777777" w:rsidTr="002F540D">
                    <w:tc>
                      <w:tcPr>
                        <w:tcW w:w="3073" w:type="dxa"/>
                        <w:shd w:val="clear" w:color="auto" w:fill="auto"/>
                      </w:tcPr>
                      <w:p w14:paraId="14569094" w14:textId="77777777" w:rsidR="00D7039F" w:rsidRPr="00B95D04" w:rsidRDefault="00D7039F" w:rsidP="00D7039F">
                        <w:pPr>
                          <w:spacing w:after="0" w:line="260" w:lineRule="exact"/>
                          <w:jc w:val="center"/>
                          <w:rPr>
                            <w:rFonts w:ascii="Arial" w:eastAsia="Times New Roman" w:hAnsi="Arial" w:cs="Arial"/>
                            <w:sz w:val="20"/>
                            <w:szCs w:val="20"/>
                            <w:lang w:eastAsia="sl-SI"/>
                          </w:rPr>
                        </w:pPr>
                        <w:r w:rsidRPr="00B95D04">
                          <w:rPr>
                            <w:rFonts w:ascii="Arial" w:eastAsia="Times New Roman" w:hAnsi="Arial" w:cs="Arial"/>
                            <w:sz w:val="20"/>
                            <w:szCs w:val="20"/>
                            <w:lang w:eastAsia="sl-SI"/>
                          </w:rPr>
                          <w:t>do 25.000</w:t>
                        </w:r>
                      </w:p>
                    </w:tc>
                    <w:tc>
                      <w:tcPr>
                        <w:tcW w:w="2339" w:type="dxa"/>
                        <w:shd w:val="clear" w:color="auto" w:fill="auto"/>
                      </w:tcPr>
                      <w:p w14:paraId="57F542A0" w14:textId="77777777" w:rsidR="00D7039F" w:rsidRPr="00B95D04" w:rsidRDefault="00D7039F" w:rsidP="00D7039F">
                        <w:pPr>
                          <w:spacing w:after="0" w:line="260" w:lineRule="exact"/>
                          <w:jc w:val="center"/>
                          <w:rPr>
                            <w:rFonts w:ascii="Arial" w:eastAsia="Times New Roman" w:hAnsi="Arial" w:cs="Arial"/>
                            <w:sz w:val="20"/>
                            <w:szCs w:val="20"/>
                            <w:lang w:eastAsia="sl-SI"/>
                          </w:rPr>
                        </w:pPr>
                        <w:r w:rsidRPr="00B95D04">
                          <w:rPr>
                            <w:rFonts w:ascii="Arial" w:eastAsia="Times New Roman" w:hAnsi="Arial" w:cs="Arial"/>
                            <w:sz w:val="20"/>
                            <w:szCs w:val="20"/>
                            <w:lang w:eastAsia="sl-SI"/>
                          </w:rPr>
                          <w:t>25,25</w:t>
                        </w:r>
                      </w:p>
                    </w:tc>
                  </w:tr>
                  <w:tr w:rsidR="00D7039F" w:rsidRPr="00B95D04" w14:paraId="2ED781CB" w14:textId="77777777" w:rsidTr="002F540D">
                    <w:tc>
                      <w:tcPr>
                        <w:tcW w:w="3073" w:type="dxa"/>
                        <w:shd w:val="clear" w:color="auto" w:fill="auto"/>
                      </w:tcPr>
                      <w:p w14:paraId="4DC4F330" w14:textId="77777777" w:rsidR="00D7039F" w:rsidRPr="00B95D04" w:rsidRDefault="00D7039F" w:rsidP="00D7039F">
                        <w:pPr>
                          <w:spacing w:after="0" w:line="260" w:lineRule="exact"/>
                          <w:jc w:val="center"/>
                          <w:rPr>
                            <w:rFonts w:ascii="Arial" w:eastAsia="Times New Roman" w:hAnsi="Arial" w:cs="Arial"/>
                            <w:sz w:val="20"/>
                            <w:szCs w:val="20"/>
                            <w:lang w:eastAsia="sl-SI"/>
                          </w:rPr>
                        </w:pPr>
                        <w:r w:rsidRPr="00B95D04">
                          <w:rPr>
                            <w:rFonts w:ascii="Arial" w:eastAsia="Times New Roman" w:hAnsi="Arial" w:cs="Arial"/>
                            <w:sz w:val="20"/>
                            <w:szCs w:val="20"/>
                            <w:lang w:eastAsia="sl-SI"/>
                          </w:rPr>
                          <w:t>25.000–90.000</w:t>
                        </w:r>
                      </w:p>
                    </w:tc>
                    <w:tc>
                      <w:tcPr>
                        <w:tcW w:w="2339" w:type="dxa"/>
                        <w:shd w:val="clear" w:color="auto" w:fill="auto"/>
                      </w:tcPr>
                      <w:p w14:paraId="17B250EE" w14:textId="77777777" w:rsidR="00D7039F" w:rsidRPr="00B95D04" w:rsidRDefault="00D7039F" w:rsidP="00D7039F">
                        <w:pPr>
                          <w:spacing w:after="0" w:line="260" w:lineRule="exact"/>
                          <w:jc w:val="center"/>
                          <w:rPr>
                            <w:rFonts w:ascii="Arial" w:eastAsia="Times New Roman" w:hAnsi="Arial" w:cs="Arial"/>
                            <w:sz w:val="20"/>
                            <w:szCs w:val="20"/>
                            <w:lang w:eastAsia="sl-SI"/>
                          </w:rPr>
                        </w:pPr>
                        <w:r w:rsidRPr="00B95D04">
                          <w:rPr>
                            <w:rFonts w:ascii="Arial" w:eastAsia="Times New Roman" w:hAnsi="Arial" w:cs="Arial"/>
                            <w:sz w:val="20"/>
                            <w:szCs w:val="20"/>
                            <w:lang w:eastAsia="sl-SI"/>
                          </w:rPr>
                          <w:t>31,00</w:t>
                        </w:r>
                      </w:p>
                    </w:tc>
                  </w:tr>
                  <w:tr w:rsidR="00D7039F" w:rsidRPr="00B95D04" w14:paraId="5514E705" w14:textId="77777777" w:rsidTr="002F540D">
                    <w:tc>
                      <w:tcPr>
                        <w:tcW w:w="3073" w:type="dxa"/>
                        <w:shd w:val="clear" w:color="auto" w:fill="auto"/>
                      </w:tcPr>
                      <w:p w14:paraId="1C9B1F97" w14:textId="77777777" w:rsidR="00D7039F" w:rsidRPr="00B95D04" w:rsidRDefault="00D7039F" w:rsidP="00D7039F">
                        <w:pPr>
                          <w:spacing w:after="0" w:line="260" w:lineRule="exact"/>
                          <w:jc w:val="center"/>
                          <w:rPr>
                            <w:rFonts w:ascii="Arial" w:eastAsia="Times New Roman" w:hAnsi="Arial" w:cs="Arial"/>
                            <w:sz w:val="20"/>
                            <w:szCs w:val="20"/>
                            <w:lang w:eastAsia="sl-SI"/>
                          </w:rPr>
                        </w:pPr>
                        <w:r w:rsidRPr="00B95D04">
                          <w:rPr>
                            <w:rFonts w:ascii="Arial" w:eastAsia="Times New Roman" w:hAnsi="Arial" w:cs="Arial"/>
                            <w:sz w:val="20"/>
                            <w:szCs w:val="20"/>
                            <w:lang w:eastAsia="sl-SI"/>
                          </w:rPr>
                          <w:t>90.000–322.500</w:t>
                        </w:r>
                      </w:p>
                    </w:tc>
                    <w:tc>
                      <w:tcPr>
                        <w:tcW w:w="2339" w:type="dxa"/>
                        <w:shd w:val="clear" w:color="auto" w:fill="auto"/>
                      </w:tcPr>
                      <w:p w14:paraId="0617AB57" w14:textId="77777777" w:rsidR="00D7039F" w:rsidRPr="00B95D04" w:rsidRDefault="00D7039F" w:rsidP="00D7039F">
                        <w:pPr>
                          <w:spacing w:after="0" w:line="260" w:lineRule="exact"/>
                          <w:jc w:val="center"/>
                          <w:rPr>
                            <w:rFonts w:ascii="Arial" w:eastAsia="Times New Roman" w:hAnsi="Arial" w:cs="Arial"/>
                            <w:sz w:val="20"/>
                            <w:szCs w:val="20"/>
                            <w:lang w:eastAsia="sl-SI"/>
                          </w:rPr>
                        </w:pPr>
                        <w:r w:rsidRPr="00B95D04">
                          <w:rPr>
                            <w:rFonts w:ascii="Arial" w:eastAsia="Times New Roman" w:hAnsi="Arial" w:cs="Arial"/>
                            <w:sz w:val="20"/>
                            <w:szCs w:val="20"/>
                            <w:lang w:eastAsia="sl-SI"/>
                          </w:rPr>
                          <w:t>34,50</w:t>
                        </w:r>
                      </w:p>
                    </w:tc>
                  </w:tr>
                </w:tbl>
                <w:p w14:paraId="1DEF906C" w14:textId="77777777" w:rsidR="00D7039F" w:rsidRPr="00B95D04" w:rsidRDefault="00D7039F" w:rsidP="00D7039F">
                  <w:pPr>
                    <w:spacing w:after="0" w:line="260" w:lineRule="exact"/>
                    <w:rPr>
                      <w:rFonts w:ascii="Arial" w:eastAsia="Times New Roman" w:hAnsi="Arial" w:cs="Arial"/>
                      <w:b/>
                      <w:sz w:val="20"/>
                      <w:szCs w:val="20"/>
                      <w:lang w:eastAsia="sl-SI"/>
                    </w:rPr>
                  </w:pPr>
                </w:p>
                <w:p w14:paraId="0A843E67" w14:textId="76324652" w:rsidR="00D7039F" w:rsidRPr="00B95D04" w:rsidRDefault="00D7039F" w:rsidP="00D7039F">
                  <w:pPr>
                    <w:spacing w:after="0" w:line="260" w:lineRule="exact"/>
                    <w:jc w:val="both"/>
                    <w:rPr>
                      <w:rFonts w:ascii="Arial" w:eastAsia="Times New Roman" w:hAnsi="Arial" w:cs="Arial"/>
                      <w:sz w:val="20"/>
                      <w:szCs w:val="20"/>
                      <w:lang w:eastAsia="sl-SI"/>
                    </w:rPr>
                  </w:pPr>
                  <w:r w:rsidRPr="00B95D04">
                    <w:rPr>
                      <w:rFonts w:ascii="Arial" w:eastAsia="Times New Roman" w:hAnsi="Arial" w:cs="Arial"/>
                      <w:sz w:val="20"/>
                      <w:szCs w:val="20"/>
                      <w:lang w:eastAsia="sl-SI"/>
                    </w:rPr>
                    <w:t xml:space="preserve">Navedene progresivne stopnje skupaj z dodatnim 3-odstotnim davkom znašajo </w:t>
                  </w:r>
                  <w:r w:rsidRPr="00B95D04">
                    <w:rPr>
                      <w:rFonts w:ascii="Arial" w:eastAsia="Times New Roman" w:hAnsi="Arial" w:cs="Arial"/>
                      <w:vanish/>
                      <w:sz w:val="20"/>
                      <w:szCs w:val="20"/>
                      <w:lang w:eastAsia="sl-SI"/>
                    </w:rPr>
                    <w:t> </w:t>
                  </w:r>
                  <w:r w:rsidRPr="00B95D04">
                    <w:rPr>
                      <w:rFonts w:ascii="Arial" w:eastAsia="Times New Roman" w:hAnsi="Arial" w:cs="Arial"/>
                      <w:sz w:val="20"/>
                      <w:szCs w:val="20"/>
                      <w:lang w:eastAsia="sl-SI"/>
                    </w:rPr>
                    <w:t xml:space="preserve">24,98 %, </w:t>
                  </w:r>
                  <w:r w:rsidR="00553CEF" w:rsidRPr="00B95D04">
                    <w:rPr>
                      <w:rFonts w:ascii="Arial" w:eastAsia="Times New Roman" w:hAnsi="Arial" w:cs="Arial"/>
                      <w:sz w:val="20"/>
                      <w:szCs w:val="20"/>
                      <w:lang w:eastAsia="sl-SI"/>
                    </w:rPr>
                    <w:t>3</w:t>
                  </w:r>
                  <w:r w:rsidRPr="00B95D04">
                    <w:rPr>
                      <w:rFonts w:ascii="Arial" w:eastAsia="Times New Roman" w:hAnsi="Arial" w:cs="Arial"/>
                      <w:sz w:val="20"/>
                      <w:szCs w:val="20"/>
                      <w:lang w:eastAsia="sl-SI"/>
                    </w:rPr>
                    <w:t>1,93 % oziroma 35,54 %. Progresivne stopnje lahko uveljavljajo le podjetja, ki izpolnjujejo dodatne pogoje, ki se nanašajo na njihovo dejavnost, lastništvo, stopnjo izplačanih dividend glede na vplačani kapital in na plačila direktorjem oziroma aktivnim partnerjem.</w:t>
                  </w:r>
                </w:p>
                <w:p w14:paraId="14F65488" w14:textId="77777777" w:rsidR="002017D4" w:rsidRPr="00B95D04" w:rsidRDefault="002017D4" w:rsidP="0003547D">
                  <w:pPr>
                    <w:spacing w:after="0" w:line="260" w:lineRule="atLeast"/>
                    <w:jc w:val="both"/>
                    <w:rPr>
                      <w:rFonts w:ascii="Arial" w:eastAsia="Times New Roman" w:hAnsi="Arial" w:cs="Arial"/>
                      <w:sz w:val="20"/>
                      <w:szCs w:val="20"/>
                    </w:rPr>
                  </w:pPr>
                </w:p>
                <w:p w14:paraId="6D88C9AE" w14:textId="2AD5AF2E" w:rsidR="00F755CB" w:rsidRPr="00B95D04" w:rsidRDefault="002017D4" w:rsidP="008060E5">
                  <w:pPr>
                    <w:spacing w:after="0" w:line="260" w:lineRule="exact"/>
                    <w:contextualSpacing/>
                    <w:jc w:val="both"/>
                    <w:rPr>
                      <w:rFonts w:ascii="Arial" w:eastAsia="Times New Roman" w:hAnsi="Arial" w:cs="Arial"/>
                      <w:sz w:val="20"/>
                      <w:szCs w:val="20"/>
                      <w:lang w:eastAsia="sl-SI"/>
                    </w:rPr>
                  </w:pPr>
                  <w:r w:rsidRPr="00B95D04">
                    <w:rPr>
                      <w:rFonts w:ascii="Arial" w:eastAsia="Times New Roman" w:hAnsi="Arial" w:cs="Arial"/>
                      <w:sz w:val="20"/>
                      <w:szCs w:val="20"/>
                      <w:lang w:eastAsia="sl-SI"/>
                    </w:rPr>
                    <w:t>5.2</w:t>
                  </w:r>
                </w:p>
                <w:p w14:paraId="52E0619D" w14:textId="7306BF84" w:rsidR="002017D4" w:rsidRPr="00B95D04" w:rsidRDefault="002017D4" w:rsidP="002017D4">
                  <w:pPr>
                    <w:autoSpaceDE w:val="0"/>
                    <w:autoSpaceDN w:val="0"/>
                    <w:adjustRightInd w:val="0"/>
                    <w:spacing w:after="0" w:line="260" w:lineRule="exact"/>
                    <w:jc w:val="both"/>
                    <w:rPr>
                      <w:rFonts w:ascii="Arial" w:eastAsia="Times New Roman" w:hAnsi="Arial" w:cs="Arial"/>
                      <w:sz w:val="20"/>
                      <w:szCs w:val="20"/>
                      <w:lang w:eastAsia="sl-SI"/>
                    </w:rPr>
                  </w:pPr>
                  <w:r w:rsidRPr="00B95D04">
                    <w:rPr>
                      <w:rFonts w:ascii="Arial" w:eastAsia="Times New Roman" w:hAnsi="Arial" w:cs="Arial"/>
                      <w:b/>
                      <w:sz w:val="20"/>
                      <w:szCs w:val="20"/>
                      <w:lang w:eastAsia="sl-SI"/>
                    </w:rPr>
                    <w:t>Hrvaška</w:t>
                  </w:r>
                  <w:r w:rsidR="00AD6B2F" w:rsidRPr="00B95D04">
                    <w:rPr>
                      <w:rFonts w:ascii="Arial" w:eastAsia="Times New Roman" w:hAnsi="Arial" w:cs="Arial"/>
                      <w:sz w:val="20"/>
                      <w:szCs w:val="20"/>
                      <w:lang w:eastAsia="sl-SI"/>
                    </w:rPr>
                    <w:t xml:space="preserve"> (</w:t>
                  </w:r>
                  <w:r w:rsidR="00DD193E" w:rsidRPr="00B95D04">
                    <w:rPr>
                      <w:rFonts w:ascii="Arial" w:eastAsia="Times New Roman" w:hAnsi="Arial" w:cs="Arial"/>
                      <w:sz w:val="20"/>
                      <w:szCs w:val="20"/>
                      <w:lang w:eastAsia="sl-SI"/>
                    </w:rPr>
                    <w:t>V</w:t>
                  </w:r>
                  <w:r w:rsidRPr="00B95D04">
                    <w:rPr>
                      <w:rFonts w:ascii="Arial" w:eastAsia="Times New Roman" w:hAnsi="Arial" w:cs="Arial"/>
                      <w:sz w:val="20"/>
                      <w:szCs w:val="20"/>
                      <w:lang w:eastAsia="sl-SI"/>
                    </w:rPr>
                    <w:t>ir: zbirka IBFD)</w:t>
                  </w:r>
                </w:p>
                <w:p w14:paraId="050D9928" w14:textId="126FB562" w:rsidR="002017D4" w:rsidRPr="00B95D04" w:rsidRDefault="002017D4" w:rsidP="002017D4">
                  <w:pPr>
                    <w:pStyle w:val="Oddelek"/>
                    <w:numPr>
                      <w:ilvl w:val="0"/>
                      <w:numId w:val="0"/>
                    </w:numPr>
                    <w:spacing w:before="0" w:after="0" w:line="260" w:lineRule="exact"/>
                    <w:jc w:val="both"/>
                    <w:rPr>
                      <w:rFonts w:cs="Arial"/>
                      <w:b w:val="0"/>
                      <w:sz w:val="20"/>
                      <w:szCs w:val="20"/>
                      <w:lang w:val="sl-SI" w:eastAsia="sl-SI"/>
                    </w:rPr>
                  </w:pPr>
                  <w:r w:rsidRPr="00B95D04">
                    <w:rPr>
                      <w:rFonts w:cs="Arial"/>
                      <w:b w:val="0"/>
                      <w:sz w:val="20"/>
                      <w:szCs w:val="20"/>
                      <w:lang w:val="sl-SI" w:eastAsia="sl-SI"/>
                    </w:rPr>
                    <w:t>Kapitalski dobički in izgube od prodaje kapitalskih sredstev so del rednega obdavčljivega dobička. Dobički od prodaje lastnih delnic so neobdavčljivi.</w:t>
                  </w:r>
                </w:p>
                <w:p w14:paraId="0AB30FBE" w14:textId="77777777" w:rsidR="002017D4" w:rsidRPr="00B95D04" w:rsidRDefault="002017D4" w:rsidP="002017D4">
                  <w:pPr>
                    <w:pStyle w:val="Oddelek"/>
                    <w:numPr>
                      <w:ilvl w:val="0"/>
                      <w:numId w:val="0"/>
                    </w:numPr>
                    <w:spacing w:before="0" w:after="0" w:line="260" w:lineRule="exact"/>
                    <w:jc w:val="both"/>
                    <w:rPr>
                      <w:rFonts w:cs="Arial"/>
                      <w:b w:val="0"/>
                      <w:sz w:val="20"/>
                      <w:szCs w:val="20"/>
                      <w:lang w:val="sl-SI" w:eastAsia="sl-SI"/>
                    </w:rPr>
                  </w:pPr>
                </w:p>
                <w:p w14:paraId="75B95431" w14:textId="1D2282F4" w:rsidR="002017D4" w:rsidRPr="00B95D04" w:rsidRDefault="002017D4" w:rsidP="002017D4">
                  <w:pPr>
                    <w:pStyle w:val="Oddelek"/>
                    <w:numPr>
                      <w:ilvl w:val="0"/>
                      <w:numId w:val="0"/>
                    </w:numPr>
                    <w:spacing w:before="0" w:after="0" w:line="260" w:lineRule="exact"/>
                    <w:jc w:val="both"/>
                    <w:rPr>
                      <w:rFonts w:cs="Arial"/>
                      <w:b w:val="0"/>
                      <w:sz w:val="20"/>
                      <w:szCs w:val="20"/>
                      <w:lang w:val="sl-SI" w:eastAsia="sl-SI"/>
                    </w:rPr>
                  </w:pPr>
                  <w:r w:rsidRPr="00B95D04">
                    <w:rPr>
                      <w:rFonts w:cs="Arial"/>
                      <w:sz w:val="20"/>
                      <w:szCs w:val="20"/>
                      <w:lang w:val="sl-SI" w:eastAsia="sl-SI"/>
                    </w:rPr>
                    <w:t xml:space="preserve">Luksemburg </w:t>
                  </w:r>
                  <w:r w:rsidRPr="00B95D04">
                    <w:rPr>
                      <w:rFonts w:cs="Arial"/>
                      <w:b w:val="0"/>
                      <w:sz w:val="20"/>
                      <w:szCs w:val="20"/>
                      <w:lang w:val="sl-SI" w:eastAsia="sl-SI"/>
                    </w:rPr>
                    <w:t>(</w:t>
                  </w:r>
                  <w:r w:rsidR="00DD193E" w:rsidRPr="00B95D04">
                    <w:rPr>
                      <w:rFonts w:cs="Arial"/>
                      <w:b w:val="0"/>
                      <w:sz w:val="20"/>
                      <w:szCs w:val="20"/>
                      <w:lang w:val="sl-SI" w:eastAsia="sl-SI"/>
                    </w:rPr>
                    <w:t>V</w:t>
                  </w:r>
                  <w:r w:rsidRPr="00B95D04">
                    <w:rPr>
                      <w:rFonts w:cs="Arial"/>
                      <w:b w:val="0"/>
                      <w:sz w:val="20"/>
                      <w:szCs w:val="20"/>
                      <w:lang w:val="sl-SI" w:eastAsia="sl-SI"/>
                    </w:rPr>
                    <w:t>ir: zbirka IBFD)</w:t>
                  </w:r>
                </w:p>
                <w:p w14:paraId="61DFD2A3" w14:textId="77777777" w:rsidR="002017D4" w:rsidRPr="00B95D04" w:rsidRDefault="002017D4" w:rsidP="002017D4">
                  <w:pPr>
                    <w:pStyle w:val="Oddelek"/>
                    <w:numPr>
                      <w:ilvl w:val="0"/>
                      <w:numId w:val="0"/>
                    </w:numPr>
                    <w:spacing w:before="0" w:after="0" w:line="260" w:lineRule="exact"/>
                    <w:jc w:val="both"/>
                    <w:rPr>
                      <w:rFonts w:cs="Arial"/>
                      <w:b w:val="0"/>
                      <w:sz w:val="20"/>
                      <w:szCs w:val="20"/>
                      <w:lang w:val="sl-SI" w:eastAsia="sl-SI"/>
                    </w:rPr>
                  </w:pPr>
                  <w:r w:rsidRPr="00B95D04">
                    <w:rPr>
                      <w:rFonts w:cs="Arial"/>
                      <w:b w:val="0"/>
                      <w:sz w:val="20"/>
                      <w:szCs w:val="20"/>
                      <w:lang w:val="sl-SI" w:eastAsia="sl-SI"/>
                    </w:rPr>
                    <w:t xml:space="preserve">Kapitalski dobički in izgube od prodaje sredstev (kapitalskih in </w:t>
                  </w:r>
                  <w:proofErr w:type="spellStart"/>
                  <w:r w:rsidRPr="00B95D04">
                    <w:rPr>
                      <w:rFonts w:cs="Arial"/>
                      <w:b w:val="0"/>
                      <w:sz w:val="20"/>
                      <w:szCs w:val="20"/>
                      <w:lang w:val="sl-SI" w:eastAsia="sl-SI"/>
                    </w:rPr>
                    <w:t>nekapitalskih</w:t>
                  </w:r>
                  <w:proofErr w:type="spellEnd"/>
                  <w:r w:rsidRPr="00B95D04">
                    <w:rPr>
                      <w:rFonts w:cs="Arial"/>
                      <w:b w:val="0"/>
                      <w:sz w:val="20"/>
                      <w:szCs w:val="20"/>
                      <w:lang w:val="sl-SI" w:eastAsia="sl-SI"/>
                    </w:rPr>
                    <w:t>) so del rednega obdavčljivega dobička. Kapitalski dobički od prodaje delnic so pod določenimi pogoji izvzeti iz obdavčitve, kapitalske izgube od odtujitve delnic pa so davčno odbitne.</w:t>
                  </w:r>
                </w:p>
                <w:p w14:paraId="14DC3BC7" w14:textId="77777777" w:rsidR="002017D4" w:rsidRPr="00B95D04" w:rsidRDefault="002017D4" w:rsidP="002017D4">
                  <w:pPr>
                    <w:pStyle w:val="Oddelek"/>
                    <w:numPr>
                      <w:ilvl w:val="0"/>
                      <w:numId w:val="0"/>
                    </w:numPr>
                    <w:spacing w:before="0" w:after="0" w:line="260" w:lineRule="exact"/>
                    <w:jc w:val="both"/>
                    <w:rPr>
                      <w:rFonts w:cs="Arial"/>
                      <w:sz w:val="20"/>
                      <w:szCs w:val="20"/>
                      <w:lang w:val="sl-SI" w:eastAsia="sl-SI"/>
                    </w:rPr>
                  </w:pPr>
                </w:p>
                <w:p w14:paraId="0E564BE9" w14:textId="50E309E4" w:rsidR="002017D4" w:rsidRPr="00B95D04" w:rsidRDefault="00EF4E10" w:rsidP="002017D4">
                  <w:pPr>
                    <w:pStyle w:val="Oddelek"/>
                    <w:numPr>
                      <w:ilvl w:val="0"/>
                      <w:numId w:val="0"/>
                    </w:numPr>
                    <w:spacing w:before="0" w:after="0" w:line="260" w:lineRule="exact"/>
                    <w:jc w:val="both"/>
                    <w:rPr>
                      <w:rFonts w:cs="Arial"/>
                      <w:b w:val="0"/>
                      <w:sz w:val="20"/>
                      <w:szCs w:val="20"/>
                      <w:lang w:val="sl-SI" w:eastAsia="sl-SI"/>
                    </w:rPr>
                  </w:pPr>
                  <w:r w:rsidRPr="00B95D04">
                    <w:rPr>
                      <w:rFonts w:cs="Arial"/>
                      <w:sz w:val="20"/>
                      <w:szCs w:val="20"/>
                      <w:lang w:val="sl-SI" w:eastAsia="sl-SI"/>
                    </w:rPr>
                    <w:t>Romunija</w:t>
                  </w:r>
                  <w:r w:rsidR="002017D4" w:rsidRPr="00B95D04">
                    <w:rPr>
                      <w:rFonts w:cs="Arial"/>
                      <w:sz w:val="20"/>
                      <w:szCs w:val="20"/>
                      <w:lang w:val="sl-SI" w:eastAsia="sl-SI"/>
                    </w:rPr>
                    <w:t xml:space="preserve"> </w:t>
                  </w:r>
                  <w:r w:rsidR="00AD6B2F" w:rsidRPr="00B95D04">
                    <w:rPr>
                      <w:rFonts w:cs="Arial"/>
                      <w:b w:val="0"/>
                      <w:sz w:val="20"/>
                      <w:szCs w:val="20"/>
                      <w:lang w:val="sl-SI" w:eastAsia="sl-SI"/>
                    </w:rPr>
                    <w:t>(</w:t>
                  </w:r>
                  <w:r w:rsidR="00DD193E" w:rsidRPr="00B95D04">
                    <w:rPr>
                      <w:rFonts w:cs="Arial"/>
                      <w:b w:val="0"/>
                      <w:sz w:val="20"/>
                      <w:szCs w:val="20"/>
                      <w:lang w:val="sl-SI" w:eastAsia="sl-SI"/>
                    </w:rPr>
                    <w:t>V</w:t>
                  </w:r>
                  <w:r w:rsidR="002017D4" w:rsidRPr="00B95D04">
                    <w:rPr>
                      <w:rFonts w:cs="Arial"/>
                      <w:b w:val="0"/>
                      <w:sz w:val="20"/>
                      <w:szCs w:val="20"/>
                      <w:lang w:val="sl-SI" w:eastAsia="sl-SI"/>
                    </w:rPr>
                    <w:t>ir: zbirka IBFD)</w:t>
                  </w:r>
                </w:p>
                <w:p w14:paraId="38DE437B" w14:textId="009B9CF6" w:rsidR="00EF4E10" w:rsidRPr="00B95D04" w:rsidRDefault="00EF4E10" w:rsidP="002017D4">
                  <w:pPr>
                    <w:pStyle w:val="Oddelek"/>
                    <w:numPr>
                      <w:ilvl w:val="0"/>
                      <w:numId w:val="0"/>
                    </w:numPr>
                    <w:spacing w:before="0" w:after="0" w:line="260" w:lineRule="exact"/>
                    <w:jc w:val="both"/>
                    <w:rPr>
                      <w:rFonts w:cs="Arial"/>
                      <w:b w:val="0"/>
                      <w:sz w:val="20"/>
                      <w:szCs w:val="20"/>
                      <w:lang w:val="sl-SI" w:eastAsia="sl-SI"/>
                    </w:rPr>
                  </w:pPr>
                  <w:r w:rsidRPr="00B95D04">
                    <w:rPr>
                      <w:rFonts w:cs="Arial"/>
                      <w:b w:val="0"/>
                      <w:sz w:val="20"/>
                      <w:szCs w:val="20"/>
                      <w:lang w:val="sl-SI" w:eastAsia="sl-SI"/>
                    </w:rPr>
                    <w:t>Kapitalski dobički in izgube so praviloma del rednega obdavčljivega dobička. Kapitalski dobički od prodaje deležev v rezidenčnih podjetjih in dobički od likvidacije podjetja so izvzeti iz obdavčitve, če udeležba zavezanca v tem podjetju znaša najmanj 10 % deležev neprekinjeno najmanj eno leto. Prevrednotenja sredstev in obveznosti zaradi tečajnih razlik (dobički in izgube) se na koncu vsakega leta obravnavajo kot realizirana in se vključijo v davčno osnovo. Prevrednotenje osnovnega kapitala ni dovoljeno.</w:t>
                  </w:r>
                </w:p>
                <w:p w14:paraId="6D88C9AF" w14:textId="77777777" w:rsidR="00F755CB" w:rsidRPr="00B95D04" w:rsidRDefault="00F755CB" w:rsidP="008060E5">
                  <w:pPr>
                    <w:pStyle w:val="Odstavekseznama1"/>
                    <w:spacing w:line="260" w:lineRule="exact"/>
                    <w:ind w:left="0"/>
                    <w:jc w:val="both"/>
                    <w:rPr>
                      <w:rFonts w:ascii="Arial" w:hAnsi="Arial" w:cs="Arial"/>
                      <w:color w:val="A6A6A6"/>
                      <w:sz w:val="20"/>
                      <w:szCs w:val="20"/>
                      <w:highlight w:val="yellow"/>
                    </w:rPr>
                  </w:pPr>
                </w:p>
                <w:p w14:paraId="6D88C9B0" w14:textId="77777777" w:rsidR="00F755CB" w:rsidRPr="00B95D04" w:rsidRDefault="00F755CB" w:rsidP="008060E5">
                  <w:pPr>
                    <w:pStyle w:val="Odstavekseznama1"/>
                    <w:spacing w:line="260" w:lineRule="exact"/>
                    <w:ind w:left="0"/>
                    <w:jc w:val="both"/>
                    <w:rPr>
                      <w:rFonts w:ascii="Arial" w:hAnsi="Arial" w:cs="Arial"/>
                      <w:color w:val="A6A6A6"/>
                      <w:sz w:val="20"/>
                      <w:szCs w:val="20"/>
                      <w:highlight w:val="yellow"/>
                    </w:rPr>
                  </w:pPr>
                </w:p>
              </w:tc>
            </w:tr>
            <w:tr w:rsidR="00F755CB" w:rsidRPr="00B95D04" w14:paraId="6D88C9B3" w14:textId="77777777" w:rsidTr="008060E5">
              <w:tc>
                <w:tcPr>
                  <w:tcW w:w="9213" w:type="dxa"/>
                </w:tcPr>
                <w:p w14:paraId="6D88C9B2" w14:textId="77777777" w:rsidR="00F755CB" w:rsidRPr="00B95D04" w:rsidRDefault="00F755CB" w:rsidP="008060E5">
                  <w:pPr>
                    <w:pStyle w:val="Oddelek"/>
                    <w:numPr>
                      <w:ilvl w:val="0"/>
                      <w:numId w:val="0"/>
                    </w:numPr>
                    <w:spacing w:before="0" w:after="0" w:line="260" w:lineRule="exact"/>
                    <w:jc w:val="left"/>
                    <w:rPr>
                      <w:rFonts w:cs="Arial"/>
                      <w:sz w:val="20"/>
                      <w:szCs w:val="20"/>
                      <w:lang w:val="sl-SI" w:eastAsia="sl-SI"/>
                    </w:rPr>
                  </w:pPr>
                  <w:r w:rsidRPr="00B95D04">
                    <w:rPr>
                      <w:rFonts w:cs="Arial"/>
                      <w:sz w:val="20"/>
                      <w:szCs w:val="20"/>
                      <w:lang w:val="sl-SI" w:eastAsia="sl-SI"/>
                    </w:rPr>
                    <w:lastRenderedPageBreak/>
                    <w:t>6. PRESOJA POSLEDIC, KI JIH BO IMEL SPREJEM ZAKONA</w:t>
                  </w:r>
                </w:p>
              </w:tc>
            </w:tr>
            <w:tr w:rsidR="00F755CB" w:rsidRPr="00B95D04" w14:paraId="6D88C9B6" w14:textId="77777777" w:rsidTr="008060E5">
              <w:tc>
                <w:tcPr>
                  <w:tcW w:w="9213" w:type="dxa"/>
                </w:tcPr>
                <w:p w14:paraId="6D88C9B4" w14:textId="77777777" w:rsidR="00F755CB" w:rsidRPr="00B95D04" w:rsidRDefault="00F755CB" w:rsidP="008060E5">
                  <w:pPr>
                    <w:pStyle w:val="Odsek"/>
                    <w:numPr>
                      <w:ilvl w:val="0"/>
                      <w:numId w:val="0"/>
                    </w:numPr>
                    <w:spacing w:before="0" w:after="0" w:line="260" w:lineRule="exact"/>
                    <w:jc w:val="left"/>
                    <w:rPr>
                      <w:rFonts w:cs="Arial"/>
                      <w:sz w:val="20"/>
                      <w:szCs w:val="20"/>
                      <w:lang w:val="sl-SI" w:eastAsia="sl-SI"/>
                    </w:rPr>
                  </w:pPr>
                  <w:r w:rsidRPr="00B95D04">
                    <w:rPr>
                      <w:rFonts w:cs="Arial"/>
                      <w:sz w:val="20"/>
                      <w:szCs w:val="20"/>
                      <w:lang w:val="sl-SI" w:eastAsia="sl-SI"/>
                    </w:rPr>
                    <w:t xml:space="preserve">6.1 Presoja administrativnih posledic </w:t>
                  </w:r>
                </w:p>
                <w:p w14:paraId="6D88C9B5" w14:textId="77777777" w:rsidR="00F755CB" w:rsidRPr="00B95D04" w:rsidRDefault="00F755CB" w:rsidP="008060E5">
                  <w:pPr>
                    <w:pStyle w:val="Odsek"/>
                    <w:numPr>
                      <w:ilvl w:val="0"/>
                      <w:numId w:val="0"/>
                    </w:numPr>
                    <w:spacing w:before="0" w:after="0" w:line="260" w:lineRule="exact"/>
                    <w:jc w:val="left"/>
                    <w:rPr>
                      <w:rFonts w:cs="Arial"/>
                      <w:sz w:val="20"/>
                      <w:szCs w:val="20"/>
                      <w:lang w:val="sl-SI" w:eastAsia="sl-SI"/>
                    </w:rPr>
                  </w:pPr>
                  <w:r w:rsidRPr="00B95D04">
                    <w:rPr>
                      <w:rFonts w:cs="Arial"/>
                      <w:sz w:val="20"/>
                      <w:szCs w:val="20"/>
                      <w:lang w:val="sl-SI" w:eastAsia="sl-SI"/>
                    </w:rPr>
                    <w:t xml:space="preserve">a) v postopkih oziroma poslovanju javne uprave ali pravosodnih organov: </w:t>
                  </w:r>
                </w:p>
              </w:tc>
            </w:tr>
            <w:tr w:rsidR="00F755CB" w:rsidRPr="00B95D04" w14:paraId="6D88C9BC" w14:textId="77777777" w:rsidTr="008060E5">
              <w:tc>
                <w:tcPr>
                  <w:tcW w:w="9213" w:type="dxa"/>
                </w:tcPr>
                <w:p w14:paraId="6D88C9B7" w14:textId="71D0B966" w:rsidR="00F755CB" w:rsidRPr="00B95D04" w:rsidRDefault="00F755CB" w:rsidP="008060E5">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 xml:space="preserve">Naloge </w:t>
                  </w:r>
                  <w:r w:rsidR="00DD193E" w:rsidRPr="00B95D04">
                    <w:rPr>
                      <w:rFonts w:ascii="Arial" w:eastAsia="Times New Roman" w:hAnsi="Arial" w:cs="Arial"/>
                      <w:sz w:val="20"/>
                      <w:szCs w:val="20"/>
                      <w:lang w:eastAsia="sl-SI"/>
                    </w:rPr>
                    <w:t xml:space="preserve">države </w:t>
                  </w:r>
                  <w:r w:rsidRPr="00B95D04">
                    <w:rPr>
                      <w:rFonts w:ascii="Arial" w:eastAsia="Times New Roman" w:hAnsi="Arial" w:cs="Arial"/>
                      <w:sz w:val="20"/>
                      <w:szCs w:val="20"/>
                      <w:lang w:eastAsia="sl-SI"/>
                    </w:rPr>
                    <w:t xml:space="preserve">v zvezi s plačevanjem in obračunavanjem davka </w:t>
                  </w:r>
                  <w:r w:rsidR="00DD193E" w:rsidRPr="00B95D04">
                    <w:rPr>
                      <w:rFonts w:ascii="Arial" w:eastAsia="Times New Roman" w:hAnsi="Arial" w:cs="Arial"/>
                      <w:sz w:val="20"/>
                      <w:szCs w:val="20"/>
                      <w:lang w:eastAsia="sl-SI"/>
                    </w:rPr>
                    <w:t>in</w:t>
                  </w:r>
                  <w:r w:rsidRPr="00B95D04">
                    <w:rPr>
                      <w:rFonts w:ascii="Arial" w:eastAsia="Times New Roman" w:hAnsi="Arial" w:cs="Arial"/>
                      <w:sz w:val="20"/>
                      <w:szCs w:val="20"/>
                      <w:lang w:eastAsia="sl-SI"/>
                    </w:rPr>
                    <w:t xml:space="preserve"> posledično z nadzorom bo opravljala Finančna uprava RS. Predlog zakona ne bo imel povečanih administrativnih posledic v postopkih oziroma pri poslovanju davčnega organa.</w:t>
                  </w:r>
                </w:p>
                <w:p w14:paraId="6D88C9B8" w14:textId="77777777" w:rsidR="00F755CB" w:rsidRPr="00B95D04" w:rsidRDefault="00F755CB" w:rsidP="008060E5">
                  <w:pPr>
                    <w:pStyle w:val="Alineazaodstavkom"/>
                    <w:numPr>
                      <w:ilvl w:val="0"/>
                      <w:numId w:val="0"/>
                    </w:numPr>
                    <w:spacing w:line="260" w:lineRule="exact"/>
                    <w:ind w:left="709"/>
                    <w:rPr>
                      <w:rFonts w:cs="Arial"/>
                      <w:sz w:val="20"/>
                      <w:szCs w:val="20"/>
                      <w:lang w:val="sl-SI" w:eastAsia="sl-SI"/>
                    </w:rPr>
                  </w:pPr>
                </w:p>
                <w:p w14:paraId="6D88C9B9" w14:textId="77777777" w:rsidR="00F755CB" w:rsidRPr="00B95D04" w:rsidRDefault="00F755CB" w:rsidP="008060E5">
                  <w:pPr>
                    <w:pStyle w:val="rkovnatokazaodstavkom"/>
                    <w:numPr>
                      <w:ilvl w:val="0"/>
                      <w:numId w:val="0"/>
                    </w:numPr>
                    <w:spacing w:line="260" w:lineRule="exact"/>
                    <w:rPr>
                      <w:rFonts w:cs="Arial"/>
                      <w:b/>
                      <w:lang w:val="sl-SI" w:eastAsia="sl-SI"/>
                    </w:rPr>
                  </w:pPr>
                  <w:r w:rsidRPr="00B95D04">
                    <w:rPr>
                      <w:rFonts w:cs="Arial"/>
                      <w:b/>
                      <w:lang w:val="sl-SI" w:eastAsia="sl-SI"/>
                    </w:rPr>
                    <w:t>b) pri obveznostih strank do javne uprave ali pravosodnih organov:</w:t>
                  </w:r>
                </w:p>
                <w:p w14:paraId="6D88C9BA" w14:textId="77777777" w:rsidR="00F755CB" w:rsidRPr="00B95D04" w:rsidRDefault="00F755CB" w:rsidP="008060E5">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 xml:space="preserve">Davčni zavezanci bodo </w:t>
                  </w:r>
                  <w:r w:rsidR="00965CBF" w:rsidRPr="00B95D04">
                    <w:rPr>
                      <w:rFonts w:ascii="Arial" w:eastAsia="Times New Roman" w:hAnsi="Arial" w:cs="Arial"/>
                      <w:sz w:val="20"/>
                      <w:szCs w:val="20"/>
                      <w:lang w:eastAsia="sl-SI"/>
                    </w:rPr>
                    <w:t xml:space="preserve">učinke na davčno osnovo ugotavljali </w:t>
                  </w:r>
                  <w:r w:rsidRPr="00B95D04">
                    <w:rPr>
                      <w:rFonts w:ascii="Arial" w:eastAsia="Times New Roman" w:hAnsi="Arial" w:cs="Arial"/>
                      <w:sz w:val="20"/>
                      <w:szCs w:val="20"/>
                      <w:lang w:eastAsia="sl-SI"/>
                    </w:rPr>
                    <w:t>enako kot doslej, to je kot posebne postavke davčnega obračuna davka od dohodkov pravnih oseb.</w:t>
                  </w:r>
                  <w:r w:rsidRPr="00B95D04">
                    <w:rPr>
                      <w:rFonts w:ascii="Arial" w:eastAsia="Times New Roman" w:hAnsi="Arial" w:cs="Arial"/>
                      <w:b/>
                      <w:sz w:val="20"/>
                      <w:szCs w:val="20"/>
                      <w:lang w:eastAsia="sl-SI"/>
                    </w:rPr>
                    <w:t xml:space="preserve"> </w:t>
                  </w:r>
                  <w:r w:rsidRPr="00B95D04">
                    <w:rPr>
                      <w:rFonts w:ascii="Arial" w:eastAsia="Times New Roman" w:hAnsi="Arial" w:cs="Arial"/>
                      <w:sz w:val="20"/>
                      <w:szCs w:val="20"/>
                      <w:lang w:eastAsia="sl-SI"/>
                    </w:rPr>
                    <w:t>Predlog zakona torej ne bo imel povečanih administrativnih posledic za obveznosti davčnih zavezancev do davčnega organa.</w:t>
                  </w:r>
                </w:p>
                <w:p w14:paraId="6D88C9BB" w14:textId="77777777" w:rsidR="00F755CB" w:rsidRPr="00B95D04" w:rsidRDefault="00F755CB" w:rsidP="008060E5">
                  <w:pPr>
                    <w:pStyle w:val="Alineazaodstavkom"/>
                    <w:numPr>
                      <w:ilvl w:val="0"/>
                      <w:numId w:val="0"/>
                    </w:numPr>
                    <w:spacing w:line="260" w:lineRule="exact"/>
                    <w:rPr>
                      <w:rFonts w:cs="Arial"/>
                      <w:sz w:val="20"/>
                      <w:szCs w:val="20"/>
                      <w:lang w:val="sl-SI" w:eastAsia="sl-SI"/>
                    </w:rPr>
                  </w:pPr>
                </w:p>
              </w:tc>
            </w:tr>
            <w:tr w:rsidR="00F755CB" w:rsidRPr="00B95D04" w14:paraId="6D88C9BE" w14:textId="77777777" w:rsidTr="008060E5">
              <w:tc>
                <w:tcPr>
                  <w:tcW w:w="9213" w:type="dxa"/>
                </w:tcPr>
                <w:p w14:paraId="6D88C9BD" w14:textId="77777777" w:rsidR="00F755CB" w:rsidRPr="00B95D04" w:rsidRDefault="00F755CB" w:rsidP="008060E5">
                  <w:pPr>
                    <w:pStyle w:val="Odsek"/>
                    <w:numPr>
                      <w:ilvl w:val="0"/>
                      <w:numId w:val="0"/>
                    </w:numPr>
                    <w:spacing w:before="0" w:after="0" w:line="260" w:lineRule="exact"/>
                    <w:jc w:val="left"/>
                    <w:rPr>
                      <w:rFonts w:cs="Arial"/>
                      <w:sz w:val="20"/>
                      <w:szCs w:val="20"/>
                      <w:lang w:val="sl-SI" w:eastAsia="sl-SI"/>
                    </w:rPr>
                  </w:pPr>
                  <w:r w:rsidRPr="00B95D04">
                    <w:rPr>
                      <w:rFonts w:cs="Arial"/>
                      <w:sz w:val="20"/>
                      <w:szCs w:val="20"/>
                      <w:lang w:val="sl-SI" w:eastAsia="sl-SI"/>
                    </w:rPr>
                    <w:t>6.2 Presoja posledic za okolje, vključno s prostorskimi in varstvenimi vidiki, in sicer za:</w:t>
                  </w:r>
                </w:p>
              </w:tc>
            </w:tr>
            <w:tr w:rsidR="00F755CB" w:rsidRPr="00B95D04" w14:paraId="6D88C9C1" w14:textId="77777777" w:rsidTr="008060E5">
              <w:tc>
                <w:tcPr>
                  <w:tcW w:w="9213" w:type="dxa"/>
                </w:tcPr>
                <w:p w14:paraId="6D88C9BF" w14:textId="77777777" w:rsidR="00F755CB" w:rsidRPr="00B95D04" w:rsidRDefault="00F755CB" w:rsidP="008060E5">
                  <w:pPr>
                    <w:pStyle w:val="Alineazatoko"/>
                    <w:spacing w:line="260" w:lineRule="exact"/>
                    <w:ind w:left="0" w:firstLine="0"/>
                    <w:rPr>
                      <w:rFonts w:cs="Arial"/>
                      <w:sz w:val="20"/>
                      <w:szCs w:val="20"/>
                      <w:lang w:val="sl-SI" w:eastAsia="sl-SI"/>
                    </w:rPr>
                  </w:pPr>
                  <w:r w:rsidRPr="00B95D04">
                    <w:rPr>
                      <w:rFonts w:cs="Arial"/>
                      <w:sz w:val="20"/>
                      <w:szCs w:val="20"/>
                      <w:lang w:val="sl-SI" w:eastAsia="sl-SI"/>
                    </w:rPr>
                    <w:t>Predlog zakona ne vpliva na okolje.</w:t>
                  </w:r>
                </w:p>
                <w:p w14:paraId="6D88C9C0" w14:textId="77777777" w:rsidR="00F755CB" w:rsidRPr="00B95D04" w:rsidRDefault="00F755CB" w:rsidP="008060E5">
                  <w:pPr>
                    <w:pStyle w:val="Alineazatoko"/>
                    <w:spacing w:line="260" w:lineRule="exact"/>
                    <w:ind w:left="0" w:firstLine="0"/>
                    <w:rPr>
                      <w:rFonts w:cs="Arial"/>
                      <w:sz w:val="20"/>
                      <w:szCs w:val="20"/>
                      <w:lang w:val="sl-SI" w:eastAsia="sl-SI"/>
                    </w:rPr>
                  </w:pPr>
                </w:p>
              </w:tc>
            </w:tr>
            <w:tr w:rsidR="00F755CB" w:rsidRPr="00B95D04" w14:paraId="6D88C9C3" w14:textId="77777777" w:rsidTr="008060E5">
              <w:tc>
                <w:tcPr>
                  <w:tcW w:w="9213" w:type="dxa"/>
                </w:tcPr>
                <w:p w14:paraId="6D88C9C2" w14:textId="77777777" w:rsidR="00F755CB" w:rsidRPr="00B95D04" w:rsidRDefault="00F755CB" w:rsidP="008060E5">
                  <w:pPr>
                    <w:pStyle w:val="Odsek"/>
                    <w:numPr>
                      <w:ilvl w:val="0"/>
                      <w:numId w:val="0"/>
                    </w:numPr>
                    <w:spacing w:before="0" w:after="0" w:line="260" w:lineRule="exact"/>
                    <w:jc w:val="left"/>
                    <w:rPr>
                      <w:rFonts w:cs="Arial"/>
                      <w:sz w:val="20"/>
                      <w:szCs w:val="20"/>
                      <w:lang w:val="sl-SI" w:eastAsia="sl-SI"/>
                    </w:rPr>
                  </w:pPr>
                  <w:r w:rsidRPr="00B95D04">
                    <w:rPr>
                      <w:rFonts w:cs="Arial"/>
                      <w:sz w:val="20"/>
                      <w:szCs w:val="20"/>
                      <w:lang w:val="sl-SI" w:eastAsia="sl-SI"/>
                    </w:rPr>
                    <w:t>6.3 Presoja posledic za gospodarstvo, in sicer za:</w:t>
                  </w:r>
                </w:p>
              </w:tc>
            </w:tr>
            <w:tr w:rsidR="00F755CB" w:rsidRPr="00B95D04" w14:paraId="6D88C9C6" w14:textId="77777777" w:rsidTr="008060E5">
              <w:tc>
                <w:tcPr>
                  <w:tcW w:w="9213" w:type="dxa"/>
                </w:tcPr>
                <w:p w14:paraId="2A58CD13" w14:textId="212CFE17" w:rsidR="00311B1D" w:rsidRPr="00B95D04" w:rsidRDefault="00B4524F" w:rsidP="00965CB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V</w:t>
                  </w:r>
                  <w:r w:rsidR="00EA334D" w:rsidRPr="00B95D04">
                    <w:rPr>
                      <w:rFonts w:ascii="Arial" w:eastAsia="Times New Roman" w:hAnsi="Arial" w:cs="Arial"/>
                      <w:sz w:val="20"/>
                      <w:szCs w:val="20"/>
                      <w:lang w:eastAsia="sl-SI"/>
                    </w:rPr>
                    <w:t xml:space="preserve"> sistemu </w:t>
                  </w:r>
                  <w:r w:rsidR="00736D4F" w:rsidRPr="00B95D04">
                    <w:rPr>
                      <w:rFonts w:ascii="Arial" w:eastAsia="Times New Roman" w:hAnsi="Arial" w:cs="Arial"/>
                      <w:sz w:val="20"/>
                      <w:szCs w:val="20"/>
                      <w:lang w:eastAsia="sl-SI"/>
                    </w:rPr>
                    <w:t xml:space="preserve">normiranih odhodkov </w:t>
                  </w:r>
                  <w:r w:rsidRPr="00B95D04">
                    <w:rPr>
                      <w:rFonts w:ascii="Arial" w:eastAsia="Times New Roman" w:hAnsi="Arial" w:cs="Arial"/>
                      <w:sz w:val="20"/>
                      <w:szCs w:val="20"/>
                      <w:lang w:eastAsia="sl-SI"/>
                    </w:rPr>
                    <w:t xml:space="preserve">je izjemno majhen delež zavezancev, to je </w:t>
                  </w:r>
                  <w:r w:rsidR="00EA334D" w:rsidRPr="00B95D04">
                    <w:rPr>
                      <w:rFonts w:ascii="Arial" w:eastAsia="Times New Roman" w:hAnsi="Arial" w:cs="Arial"/>
                      <w:sz w:val="20"/>
                      <w:szCs w:val="20"/>
                      <w:lang w:eastAsia="sl-SI"/>
                    </w:rPr>
                    <w:t>le okoli 1 % vseh zavezancev, ki so oddali obračun davka od dohodkov pravnih oseb</w:t>
                  </w:r>
                  <w:r w:rsidR="00FF0F45" w:rsidRPr="00B95D04">
                    <w:rPr>
                      <w:rFonts w:ascii="Arial" w:eastAsia="Times New Roman" w:hAnsi="Arial" w:cs="Arial"/>
                      <w:sz w:val="20"/>
                      <w:szCs w:val="20"/>
                      <w:lang w:eastAsia="sl-SI"/>
                    </w:rPr>
                    <w:t>,</w:t>
                  </w:r>
                  <w:r w:rsidR="00E656AC" w:rsidRPr="00B95D04">
                    <w:rPr>
                      <w:rFonts w:ascii="Arial" w:eastAsia="Times New Roman" w:hAnsi="Arial" w:cs="Arial"/>
                      <w:sz w:val="20"/>
                      <w:szCs w:val="20"/>
                      <w:lang w:eastAsia="sl-SI"/>
                    </w:rPr>
                    <w:t xml:space="preserve"> od tega pa </w:t>
                  </w:r>
                  <w:r w:rsidR="00BE3285" w:rsidRPr="00B95D04">
                    <w:rPr>
                      <w:rFonts w:ascii="Arial" w:eastAsia="Times New Roman" w:hAnsi="Arial" w:cs="Arial"/>
                      <w:sz w:val="20"/>
                      <w:szCs w:val="20"/>
                      <w:lang w:eastAsia="sl-SI"/>
                    </w:rPr>
                    <w:t>pri večini prihodki niso</w:t>
                  </w:r>
                  <w:r w:rsidR="00E656AC" w:rsidRPr="00B95D04">
                    <w:rPr>
                      <w:rFonts w:ascii="Arial" w:eastAsia="Times New Roman" w:hAnsi="Arial" w:cs="Arial"/>
                      <w:sz w:val="20"/>
                      <w:szCs w:val="20"/>
                      <w:lang w:eastAsia="sl-SI"/>
                    </w:rPr>
                    <w:t xml:space="preserve"> preseg</w:t>
                  </w:r>
                  <w:r w:rsidR="00BE3285" w:rsidRPr="00B95D04">
                    <w:rPr>
                      <w:rFonts w:ascii="Arial" w:eastAsia="Times New Roman" w:hAnsi="Arial" w:cs="Arial"/>
                      <w:sz w:val="20"/>
                      <w:szCs w:val="20"/>
                      <w:lang w:eastAsia="sl-SI"/>
                    </w:rPr>
                    <w:t>li</w:t>
                  </w:r>
                  <w:r w:rsidR="00E656AC" w:rsidRPr="00B95D04">
                    <w:rPr>
                      <w:rFonts w:ascii="Arial" w:eastAsia="Times New Roman" w:hAnsi="Arial" w:cs="Arial"/>
                      <w:sz w:val="20"/>
                      <w:szCs w:val="20"/>
                      <w:lang w:eastAsia="sl-SI"/>
                    </w:rPr>
                    <w:t xml:space="preserve"> </w:t>
                  </w:r>
                  <w:r w:rsidR="00776FED" w:rsidRPr="00B95D04">
                    <w:rPr>
                      <w:rFonts w:ascii="Arial" w:eastAsia="Times New Roman" w:hAnsi="Arial" w:cs="Arial"/>
                      <w:sz w:val="20"/>
                      <w:szCs w:val="20"/>
                      <w:lang w:eastAsia="sl-SI"/>
                    </w:rPr>
                    <w:t xml:space="preserve">50.000 oz. </w:t>
                  </w:r>
                  <w:r w:rsidR="00E656AC" w:rsidRPr="00B95D04">
                    <w:rPr>
                      <w:rFonts w:ascii="Arial" w:eastAsia="Times New Roman" w:hAnsi="Arial" w:cs="Arial"/>
                      <w:sz w:val="20"/>
                      <w:szCs w:val="20"/>
                      <w:lang w:eastAsia="sl-SI"/>
                    </w:rPr>
                    <w:t xml:space="preserve">100.000 </w:t>
                  </w:r>
                  <w:proofErr w:type="spellStart"/>
                  <w:r w:rsidR="00E656AC" w:rsidRPr="00B95D04">
                    <w:rPr>
                      <w:rFonts w:ascii="Arial" w:eastAsia="Times New Roman" w:hAnsi="Arial" w:cs="Arial"/>
                      <w:sz w:val="20"/>
                      <w:szCs w:val="20"/>
                      <w:lang w:eastAsia="sl-SI"/>
                    </w:rPr>
                    <w:t>eurov</w:t>
                  </w:r>
                  <w:proofErr w:type="spellEnd"/>
                  <w:r w:rsidR="00E656AC" w:rsidRPr="00B95D04">
                    <w:rPr>
                      <w:rFonts w:ascii="Arial" w:eastAsia="Times New Roman" w:hAnsi="Arial" w:cs="Arial"/>
                      <w:sz w:val="20"/>
                      <w:szCs w:val="20"/>
                      <w:lang w:eastAsia="sl-SI"/>
                    </w:rPr>
                    <w:t>.</w:t>
                  </w:r>
                  <w:r w:rsidR="00736D4F" w:rsidRPr="00B95D04">
                    <w:rPr>
                      <w:rFonts w:ascii="Arial" w:eastAsia="Times New Roman" w:hAnsi="Arial" w:cs="Arial"/>
                      <w:sz w:val="20"/>
                      <w:szCs w:val="20"/>
                      <w:lang w:eastAsia="sl-SI"/>
                    </w:rPr>
                    <w:t xml:space="preserve"> </w:t>
                  </w:r>
                  <w:r w:rsidRPr="00B95D04">
                    <w:rPr>
                      <w:rFonts w:ascii="Arial" w:eastAsia="Times New Roman" w:hAnsi="Arial" w:cs="Arial"/>
                      <w:sz w:val="20"/>
                      <w:szCs w:val="20"/>
                      <w:lang w:eastAsia="sl-SI"/>
                    </w:rPr>
                    <w:t xml:space="preserve">Predlog zakona ne bo imel vpliva na tiste davčne zavezance, ki jim je sistem normiranih odhodkov namenjen. </w:t>
                  </w:r>
                  <w:r w:rsidR="002240FB" w:rsidRPr="00B95D04">
                    <w:rPr>
                      <w:rFonts w:ascii="Arial" w:eastAsia="Times New Roman" w:hAnsi="Arial" w:cs="Arial"/>
                      <w:sz w:val="20"/>
                      <w:szCs w:val="20"/>
                      <w:lang w:eastAsia="sl-SI"/>
                    </w:rPr>
                    <w:t xml:space="preserve">Upoštevaje celotno populacijo </w:t>
                  </w:r>
                  <w:proofErr w:type="spellStart"/>
                  <w:r w:rsidR="002240FB" w:rsidRPr="00B95D04">
                    <w:rPr>
                      <w:rFonts w:ascii="Arial" w:eastAsia="Times New Roman" w:hAnsi="Arial" w:cs="Arial"/>
                      <w:sz w:val="20"/>
                      <w:szCs w:val="20"/>
                      <w:lang w:eastAsia="sl-SI"/>
                    </w:rPr>
                    <w:t>normirancev</w:t>
                  </w:r>
                  <w:proofErr w:type="spellEnd"/>
                  <w:r w:rsidR="002240FB" w:rsidRPr="00B95D04">
                    <w:rPr>
                      <w:rFonts w:ascii="Arial" w:eastAsia="Times New Roman" w:hAnsi="Arial" w:cs="Arial"/>
                      <w:sz w:val="20"/>
                      <w:szCs w:val="20"/>
                      <w:lang w:eastAsia="sl-SI"/>
                    </w:rPr>
                    <w:t xml:space="preserve"> pa je določen del zavezancev, ki bo lahko imel višjo davčno obveznost. To so predvsem zavezanci, ki </w:t>
                  </w:r>
                  <w:r w:rsidR="00311B1D" w:rsidRPr="00B95D04">
                    <w:rPr>
                      <w:rFonts w:ascii="Arial" w:eastAsia="Times New Roman" w:hAnsi="Arial" w:cs="Arial"/>
                      <w:sz w:val="20"/>
                      <w:szCs w:val="20"/>
                      <w:lang w:eastAsia="sl-SI"/>
                    </w:rPr>
                    <w:t xml:space="preserve">zaradi prenovljenih pogojev ne bodo več izpolnjevali pogojev za ugotavljanje davčne osnove z upoštevanjem normiranih odhodkov in bodo morali obvezno izstopiti iz sistema. </w:t>
                  </w:r>
                </w:p>
                <w:p w14:paraId="03AEC87B" w14:textId="77777777" w:rsidR="00311B1D" w:rsidRPr="00B95D04" w:rsidRDefault="00311B1D" w:rsidP="00965CB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34DB913" w14:textId="498D090A" w:rsidR="00311B1D" w:rsidRPr="00B95D04" w:rsidRDefault="00311B1D" w:rsidP="00965CB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Dopolnitev zakona zaradi spremembe MSRP 9 nevtralizira učinke spremenjenih računovodskih pravil in ne bo imela posledic za gospodarstvo.</w:t>
                  </w:r>
                </w:p>
                <w:p w14:paraId="6D88C9C5" w14:textId="77777777" w:rsidR="00965CBF" w:rsidRPr="00B95D04" w:rsidRDefault="00965CBF" w:rsidP="00BF71D4">
                  <w:pPr>
                    <w:suppressAutoHyphens/>
                    <w:overflowPunct w:val="0"/>
                    <w:autoSpaceDE w:val="0"/>
                    <w:autoSpaceDN w:val="0"/>
                    <w:adjustRightInd w:val="0"/>
                    <w:spacing w:after="0" w:line="260" w:lineRule="exact"/>
                    <w:jc w:val="both"/>
                    <w:textAlignment w:val="baseline"/>
                    <w:outlineLvl w:val="3"/>
                    <w:rPr>
                      <w:rFonts w:ascii="Arial" w:hAnsi="Arial" w:cs="Arial"/>
                      <w:sz w:val="20"/>
                      <w:szCs w:val="20"/>
                      <w:lang w:eastAsia="sl-SI"/>
                    </w:rPr>
                  </w:pPr>
                </w:p>
              </w:tc>
            </w:tr>
            <w:tr w:rsidR="00F755CB" w:rsidRPr="00B95D04" w14:paraId="6D88C9C9" w14:textId="77777777" w:rsidTr="008060E5">
              <w:tc>
                <w:tcPr>
                  <w:tcW w:w="9213" w:type="dxa"/>
                </w:tcPr>
                <w:p w14:paraId="6D88C9C7" w14:textId="77777777" w:rsidR="00F755CB" w:rsidRPr="00B95D04" w:rsidRDefault="00F755CB" w:rsidP="008060E5">
                  <w:pPr>
                    <w:pStyle w:val="Odsek"/>
                    <w:numPr>
                      <w:ilvl w:val="0"/>
                      <w:numId w:val="0"/>
                    </w:numPr>
                    <w:spacing w:before="0" w:after="0" w:line="260" w:lineRule="exact"/>
                    <w:jc w:val="left"/>
                    <w:rPr>
                      <w:rFonts w:cs="Arial"/>
                      <w:sz w:val="20"/>
                      <w:szCs w:val="20"/>
                      <w:lang w:val="sl-SI" w:eastAsia="sl-SI"/>
                    </w:rPr>
                  </w:pPr>
                  <w:r w:rsidRPr="00B95D04">
                    <w:rPr>
                      <w:rFonts w:cs="Arial"/>
                      <w:sz w:val="20"/>
                      <w:szCs w:val="20"/>
                      <w:lang w:val="sl-SI" w:eastAsia="sl-SI"/>
                    </w:rPr>
                    <w:t>6.4 Presoja posledic za socialno področje, in sicer za:</w:t>
                  </w:r>
                </w:p>
                <w:p w14:paraId="6D88C9C8" w14:textId="5FB76A50" w:rsidR="00F755CB" w:rsidRPr="00B95D04" w:rsidRDefault="00F755CB" w:rsidP="00FF0F45">
                  <w:pPr>
                    <w:pStyle w:val="Odsek"/>
                    <w:numPr>
                      <w:ilvl w:val="0"/>
                      <w:numId w:val="0"/>
                    </w:numPr>
                    <w:spacing w:before="0" w:after="0" w:line="260" w:lineRule="exact"/>
                    <w:jc w:val="both"/>
                    <w:rPr>
                      <w:rFonts w:cs="Arial"/>
                      <w:b w:val="0"/>
                      <w:sz w:val="20"/>
                      <w:szCs w:val="20"/>
                      <w:lang w:val="sl-SI" w:eastAsia="sl-SI"/>
                    </w:rPr>
                  </w:pPr>
                  <w:r w:rsidRPr="00B95D04">
                    <w:rPr>
                      <w:rFonts w:cs="Arial"/>
                      <w:b w:val="0"/>
                      <w:sz w:val="20"/>
                      <w:szCs w:val="20"/>
                      <w:lang w:val="sl-SI" w:eastAsia="sl-SI"/>
                    </w:rPr>
                    <w:t>Predlog zakona n</w:t>
                  </w:r>
                  <w:r w:rsidR="00FF0F45" w:rsidRPr="00B95D04">
                    <w:rPr>
                      <w:rFonts w:cs="Arial"/>
                      <w:b w:val="0"/>
                      <w:sz w:val="20"/>
                      <w:szCs w:val="20"/>
                      <w:lang w:val="sl-SI" w:eastAsia="sl-SI"/>
                    </w:rPr>
                    <w:t>e</w:t>
                  </w:r>
                  <w:r w:rsidRPr="00B95D04">
                    <w:rPr>
                      <w:rFonts w:cs="Arial"/>
                      <w:b w:val="0"/>
                      <w:sz w:val="20"/>
                      <w:szCs w:val="20"/>
                      <w:lang w:val="sl-SI" w:eastAsia="sl-SI"/>
                    </w:rPr>
                    <w:t xml:space="preserve"> vpliva </w:t>
                  </w:r>
                  <w:r w:rsidR="00FF0F45" w:rsidRPr="00B95D04">
                    <w:rPr>
                      <w:rFonts w:cs="Arial"/>
                      <w:b w:val="0"/>
                      <w:sz w:val="20"/>
                      <w:szCs w:val="20"/>
                      <w:lang w:val="sl-SI" w:eastAsia="sl-SI"/>
                    </w:rPr>
                    <w:t>n</w:t>
                  </w:r>
                  <w:r w:rsidRPr="00B95D04">
                    <w:rPr>
                      <w:rFonts w:cs="Arial"/>
                      <w:b w:val="0"/>
                      <w:sz w:val="20"/>
                      <w:szCs w:val="20"/>
                      <w:lang w:val="sl-SI" w:eastAsia="sl-SI"/>
                    </w:rPr>
                    <w:t>a socialno področje.</w:t>
                  </w:r>
                  <w:r w:rsidRPr="00B95D04">
                    <w:rPr>
                      <w:rFonts w:cs="Arial"/>
                      <w:sz w:val="20"/>
                      <w:szCs w:val="20"/>
                      <w:lang w:val="sl-SI" w:eastAsia="sl-SI"/>
                    </w:rPr>
                    <w:t xml:space="preserve"> </w:t>
                  </w:r>
                </w:p>
              </w:tc>
            </w:tr>
            <w:tr w:rsidR="00F755CB" w:rsidRPr="00B95D04" w14:paraId="6D88C9CB" w14:textId="77777777" w:rsidTr="008060E5">
              <w:tc>
                <w:tcPr>
                  <w:tcW w:w="9213" w:type="dxa"/>
                </w:tcPr>
                <w:p w14:paraId="6D88C9CA" w14:textId="77777777" w:rsidR="00F755CB" w:rsidRPr="00B95D04" w:rsidRDefault="00F755CB" w:rsidP="008060E5">
                  <w:pPr>
                    <w:pStyle w:val="Oddelek"/>
                    <w:numPr>
                      <w:ilvl w:val="0"/>
                      <w:numId w:val="0"/>
                    </w:numPr>
                    <w:spacing w:before="0" w:after="0" w:line="260" w:lineRule="exact"/>
                    <w:jc w:val="both"/>
                    <w:rPr>
                      <w:rFonts w:cs="Arial"/>
                      <w:sz w:val="20"/>
                      <w:szCs w:val="20"/>
                      <w:lang w:val="sl-SI" w:eastAsia="sl-SI"/>
                    </w:rPr>
                  </w:pPr>
                </w:p>
              </w:tc>
            </w:tr>
            <w:tr w:rsidR="00F755CB" w:rsidRPr="00B95D04" w14:paraId="6D88C9CD" w14:textId="77777777" w:rsidTr="008060E5">
              <w:tc>
                <w:tcPr>
                  <w:tcW w:w="9213" w:type="dxa"/>
                </w:tcPr>
                <w:p w14:paraId="6D88C9CC" w14:textId="77777777" w:rsidR="00F755CB" w:rsidRPr="00B95D04" w:rsidRDefault="00F755CB" w:rsidP="008060E5">
                  <w:pPr>
                    <w:pStyle w:val="Odsek"/>
                    <w:numPr>
                      <w:ilvl w:val="0"/>
                      <w:numId w:val="0"/>
                    </w:numPr>
                    <w:spacing w:before="0" w:after="0" w:line="260" w:lineRule="exact"/>
                    <w:jc w:val="left"/>
                    <w:rPr>
                      <w:rFonts w:cs="Arial"/>
                      <w:sz w:val="20"/>
                      <w:szCs w:val="20"/>
                      <w:lang w:val="sl-SI" w:eastAsia="sl-SI"/>
                    </w:rPr>
                  </w:pPr>
                  <w:r w:rsidRPr="00B95D04">
                    <w:rPr>
                      <w:rFonts w:cs="Arial"/>
                      <w:sz w:val="20"/>
                      <w:szCs w:val="20"/>
                      <w:lang w:val="sl-SI" w:eastAsia="sl-SI"/>
                    </w:rPr>
                    <w:t>6.5 Presoja posledic za dokumente razvojnega načrtovanja, in sicer za:</w:t>
                  </w:r>
                </w:p>
              </w:tc>
            </w:tr>
            <w:tr w:rsidR="00F755CB" w:rsidRPr="00B95D04" w14:paraId="6D88C9D3" w14:textId="77777777" w:rsidTr="008060E5">
              <w:tc>
                <w:tcPr>
                  <w:tcW w:w="9213" w:type="dxa"/>
                </w:tcPr>
                <w:p w14:paraId="6D88C9CE" w14:textId="77777777" w:rsidR="00F755CB" w:rsidRPr="00B95D04" w:rsidRDefault="00F755CB" w:rsidP="008060E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95D04">
                    <w:rPr>
                      <w:rFonts w:ascii="Arial" w:eastAsia="Times New Roman" w:hAnsi="Arial" w:cs="Arial"/>
                      <w:sz w:val="20"/>
                      <w:szCs w:val="20"/>
                      <w:lang w:eastAsia="sl-SI"/>
                    </w:rPr>
                    <w:t>Predlog zakona ne vpliva na dokumente razvojnega načrtovanja.</w:t>
                  </w:r>
                </w:p>
                <w:p w14:paraId="6D88C9CF" w14:textId="77777777" w:rsidR="00F755CB" w:rsidRPr="00B95D04" w:rsidRDefault="00F755CB" w:rsidP="008060E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D88C9D0" w14:textId="77777777" w:rsidR="00F755CB" w:rsidRPr="00B95D04" w:rsidRDefault="00F755CB" w:rsidP="008060E5">
                  <w:pPr>
                    <w:pStyle w:val="Alineazaodstavkom"/>
                    <w:numPr>
                      <w:ilvl w:val="0"/>
                      <w:numId w:val="0"/>
                    </w:numPr>
                    <w:spacing w:line="260" w:lineRule="exact"/>
                    <w:rPr>
                      <w:rFonts w:cs="Arial"/>
                      <w:b/>
                      <w:sz w:val="20"/>
                      <w:szCs w:val="20"/>
                      <w:lang w:val="sl-SI" w:eastAsia="sl-SI"/>
                    </w:rPr>
                  </w:pPr>
                  <w:r w:rsidRPr="00B95D04">
                    <w:rPr>
                      <w:rFonts w:cs="Arial"/>
                      <w:b/>
                      <w:sz w:val="20"/>
                      <w:szCs w:val="20"/>
                      <w:lang w:val="sl-SI" w:eastAsia="sl-SI"/>
                    </w:rPr>
                    <w:t>6.6 Presoja posledic za druga področja</w:t>
                  </w:r>
                </w:p>
                <w:p w14:paraId="6D88C9D1" w14:textId="77777777" w:rsidR="00F755CB" w:rsidRPr="00B95D04" w:rsidRDefault="00F755CB" w:rsidP="008060E5">
                  <w:pPr>
                    <w:pStyle w:val="Alineazaodstavkom"/>
                    <w:numPr>
                      <w:ilvl w:val="0"/>
                      <w:numId w:val="0"/>
                    </w:numPr>
                    <w:spacing w:line="260" w:lineRule="exact"/>
                    <w:rPr>
                      <w:rFonts w:cs="Arial"/>
                      <w:sz w:val="20"/>
                      <w:szCs w:val="20"/>
                      <w:lang w:val="sl-SI" w:eastAsia="sl-SI"/>
                    </w:rPr>
                  </w:pPr>
                  <w:r w:rsidRPr="00B95D04">
                    <w:rPr>
                      <w:rFonts w:cs="Arial"/>
                      <w:sz w:val="20"/>
                      <w:szCs w:val="20"/>
                      <w:lang w:val="sl-SI" w:eastAsia="sl-SI"/>
                    </w:rPr>
                    <w:t>Predlog zakona ne vpliva na druga področja.</w:t>
                  </w:r>
                </w:p>
                <w:p w14:paraId="6D88C9D2" w14:textId="77777777" w:rsidR="00F755CB" w:rsidRPr="00B95D04" w:rsidRDefault="00F755CB" w:rsidP="008060E5">
                  <w:pPr>
                    <w:pStyle w:val="Alineazaodstavkom"/>
                    <w:numPr>
                      <w:ilvl w:val="0"/>
                      <w:numId w:val="0"/>
                    </w:numPr>
                    <w:spacing w:line="260" w:lineRule="exact"/>
                    <w:rPr>
                      <w:rFonts w:cs="Arial"/>
                      <w:b/>
                      <w:sz w:val="20"/>
                      <w:szCs w:val="20"/>
                      <w:lang w:val="sl-SI" w:eastAsia="sl-SI"/>
                    </w:rPr>
                  </w:pPr>
                </w:p>
              </w:tc>
            </w:tr>
            <w:tr w:rsidR="00F755CB" w:rsidRPr="00B95D04" w14:paraId="6D88C9D5" w14:textId="77777777" w:rsidTr="008060E5">
              <w:tc>
                <w:tcPr>
                  <w:tcW w:w="9213" w:type="dxa"/>
                </w:tcPr>
                <w:p w14:paraId="6D88C9D4" w14:textId="77777777" w:rsidR="00F755CB" w:rsidRPr="00B95D04" w:rsidRDefault="00F755CB" w:rsidP="008060E5">
                  <w:pPr>
                    <w:pStyle w:val="Odsek"/>
                    <w:numPr>
                      <w:ilvl w:val="0"/>
                      <w:numId w:val="0"/>
                    </w:numPr>
                    <w:spacing w:before="0" w:after="0" w:line="260" w:lineRule="exact"/>
                    <w:jc w:val="left"/>
                    <w:rPr>
                      <w:rFonts w:cs="Arial"/>
                      <w:sz w:val="20"/>
                      <w:szCs w:val="20"/>
                      <w:lang w:val="sl-SI" w:eastAsia="sl-SI"/>
                    </w:rPr>
                  </w:pPr>
                  <w:r w:rsidRPr="00B95D04">
                    <w:rPr>
                      <w:rFonts w:cs="Arial"/>
                      <w:sz w:val="20"/>
                      <w:szCs w:val="20"/>
                      <w:lang w:val="sl-SI" w:eastAsia="sl-SI"/>
                    </w:rPr>
                    <w:lastRenderedPageBreak/>
                    <w:t>6.7 Izvajanje sprejetega predpisa:</w:t>
                  </w:r>
                </w:p>
              </w:tc>
            </w:tr>
            <w:tr w:rsidR="00F755CB" w:rsidRPr="00B95D04" w14:paraId="6D88C9DC" w14:textId="77777777" w:rsidTr="008060E5">
              <w:tc>
                <w:tcPr>
                  <w:tcW w:w="9213" w:type="dxa"/>
                </w:tcPr>
                <w:p w14:paraId="6D88C9D6" w14:textId="77777777" w:rsidR="00F755CB" w:rsidRPr="00B95D04" w:rsidRDefault="00F755CB" w:rsidP="008060E5">
                  <w:pPr>
                    <w:pStyle w:val="rkovnatokazaodstavkom"/>
                    <w:numPr>
                      <w:ilvl w:val="0"/>
                      <w:numId w:val="8"/>
                    </w:numPr>
                    <w:spacing w:line="260" w:lineRule="exact"/>
                    <w:rPr>
                      <w:rFonts w:cs="Arial"/>
                      <w:lang w:val="sl-SI" w:eastAsia="sl-SI"/>
                    </w:rPr>
                  </w:pPr>
                  <w:r w:rsidRPr="00B95D04">
                    <w:rPr>
                      <w:rFonts w:cs="Arial"/>
                      <w:lang w:val="sl-SI" w:eastAsia="sl-SI"/>
                    </w:rPr>
                    <w:t>Predstavitev sprejetega zakona:</w:t>
                  </w:r>
                </w:p>
                <w:p w14:paraId="6D88C9D7" w14:textId="0BD8AB85" w:rsidR="00F755CB" w:rsidRPr="00B95D04" w:rsidRDefault="00F755CB" w:rsidP="008060E5">
                  <w:pPr>
                    <w:pStyle w:val="Oddelek"/>
                    <w:numPr>
                      <w:ilvl w:val="0"/>
                      <w:numId w:val="0"/>
                    </w:numPr>
                    <w:spacing w:before="0" w:after="0" w:line="260" w:lineRule="exact"/>
                    <w:jc w:val="both"/>
                    <w:rPr>
                      <w:rFonts w:cs="Arial"/>
                      <w:b w:val="0"/>
                      <w:sz w:val="20"/>
                      <w:szCs w:val="20"/>
                      <w:lang w:val="sl-SI" w:eastAsia="sl-SI"/>
                    </w:rPr>
                  </w:pPr>
                  <w:r w:rsidRPr="00B95D04">
                    <w:rPr>
                      <w:rFonts w:cs="Arial"/>
                      <w:b w:val="0"/>
                      <w:sz w:val="20"/>
                      <w:szCs w:val="20"/>
                      <w:lang w:val="sl-SI" w:eastAsia="sl-SI"/>
                    </w:rPr>
                    <w:t xml:space="preserve">Za izvajanje zakona je pristojna Finančna uprava Republike Slovenije, ki bo na običajen način </w:t>
                  </w:r>
                  <w:r w:rsidR="00FF0F45" w:rsidRPr="00B95D04">
                    <w:rPr>
                      <w:rFonts w:cs="Arial"/>
                      <w:b w:val="0"/>
                      <w:sz w:val="20"/>
                      <w:szCs w:val="20"/>
                      <w:lang w:val="sl-SI" w:eastAsia="sl-SI"/>
                    </w:rPr>
                    <w:t>zagotovila</w:t>
                  </w:r>
                  <w:r w:rsidRPr="00B95D04">
                    <w:rPr>
                      <w:rFonts w:cs="Arial"/>
                      <w:b w:val="0"/>
                      <w:sz w:val="20"/>
                      <w:szCs w:val="20"/>
                      <w:lang w:val="sl-SI" w:eastAsia="sl-SI"/>
                    </w:rPr>
                    <w:t xml:space="preserve"> obveščanje zavezancev o novostih </w:t>
                  </w:r>
                  <w:r w:rsidR="00FF0F45" w:rsidRPr="00B95D04">
                    <w:rPr>
                      <w:rFonts w:cs="Arial"/>
                      <w:b w:val="0"/>
                      <w:sz w:val="20"/>
                      <w:szCs w:val="20"/>
                      <w:lang w:val="sl-SI" w:eastAsia="sl-SI"/>
                    </w:rPr>
                    <w:t>iz</w:t>
                  </w:r>
                  <w:r w:rsidRPr="00B95D04">
                    <w:rPr>
                      <w:rFonts w:cs="Arial"/>
                      <w:b w:val="0"/>
                      <w:sz w:val="20"/>
                      <w:szCs w:val="20"/>
                      <w:lang w:val="sl-SI" w:eastAsia="sl-SI"/>
                    </w:rPr>
                    <w:t xml:space="preserve"> predlog</w:t>
                  </w:r>
                  <w:r w:rsidR="00FF0F45" w:rsidRPr="00B95D04">
                    <w:rPr>
                      <w:rFonts w:cs="Arial"/>
                      <w:b w:val="0"/>
                      <w:sz w:val="20"/>
                      <w:szCs w:val="20"/>
                      <w:lang w:val="sl-SI" w:eastAsia="sl-SI"/>
                    </w:rPr>
                    <w:t>a</w:t>
                  </w:r>
                  <w:r w:rsidRPr="00B95D04">
                    <w:rPr>
                      <w:rFonts w:cs="Arial"/>
                      <w:b w:val="0"/>
                      <w:sz w:val="20"/>
                      <w:szCs w:val="20"/>
                      <w:lang w:val="sl-SI" w:eastAsia="sl-SI"/>
                    </w:rPr>
                    <w:t xml:space="preserve"> zakona. Za izvajanje predpisa </w:t>
                  </w:r>
                  <w:r w:rsidR="00E20713" w:rsidRPr="00B95D04">
                    <w:rPr>
                      <w:rFonts w:cs="Arial"/>
                      <w:b w:val="0"/>
                      <w:sz w:val="20"/>
                      <w:szCs w:val="20"/>
                      <w:lang w:val="sl-SI" w:eastAsia="sl-SI"/>
                    </w:rPr>
                    <w:t>pa bodo potrebne manjše</w:t>
                  </w:r>
                  <w:r w:rsidRPr="00B95D04">
                    <w:rPr>
                      <w:rFonts w:cs="Arial"/>
                      <w:b w:val="0"/>
                      <w:sz w:val="20"/>
                      <w:szCs w:val="20"/>
                      <w:lang w:val="sl-SI" w:eastAsia="sl-SI"/>
                    </w:rPr>
                    <w:t xml:space="preserve"> spremembe veljavnega Pravilnika o davčnem obračunu davka od dohodkov pravnih oseb (Uradni list RS, št. 109/13, 83/14 in 101/15).</w:t>
                  </w:r>
                </w:p>
                <w:p w14:paraId="6D88C9D8" w14:textId="77777777" w:rsidR="00F755CB" w:rsidRPr="00B95D04" w:rsidRDefault="00F755CB" w:rsidP="008060E5">
                  <w:pPr>
                    <w:pStyle w:val="Oddelek"/>
                    <w:numPr>
                      <w:ilvl w:val="0"/>
                      <w:numId w:val="0"/>
                    </w:numPr>
                    <w:spacing w:before="0" w:after="0" w:line="260" w:lineRule="exact"/>
                    <w:jc w:val="both"/>
                    <w:rPr>
                      <w:rFonts w:cs="Arial"/>
                      <w:b w:val="0"/>
                      <w:sz w:val="20"/>
                      <w:szCs w:val="20"/>
                      <w:lang w:val="sl-SI" w:eastAsia="sl-SI"/>
                    </w:rPr>
                  </w:pPr>
                </w:p>
                <w:p w14:paraId="6D88C9D9" w14:textId="77777777" w:rsidR="00F755CB" w:rsidRPr="00B95D04" w:rsidRDefault="00F755CB" w:rsidP="008060E5">
                  <w:pPr>
                    <w:pStyle w:val="rkovnatokazaodstavkom"/>
                    <w:numPr>
                      <w:ilvl w:val="0"/>
                      <w:numId w:val="8"/>
                    </w:numPr>
                    <w:spacing w:line="260" w:lineRule="exact"/>
                    <w:rPr>
                      <w:rFonts w:cs="Arial"/>
                      <w:lang w:val="sl-SI" w:eastAsia="sl-SI"/>
                    </w:rPr>
                  </w:pPr>
                  <w:r w:rsidRPr="00B95D04">
                    <w:rPr>
                      <w:rFonts w:cs="Arial"/>
                      <w:lang w:val="sl-SI" w:eastAsia="sl-SI"/>
                    </w:rPr>
                    <w:t>Spremljanje izvajanja sprejetega predpisa:</w:t>
                  </w:r>
                </w:p>
                <w:p w14:paraId="6D88C9DA" w14:textId="77777777" w:rsidR="00F755CB" w:rsidRPr="00B95D04" w:rsidRDefault="00F755CB" w:rsidP="008060E5">
                  <w:pPr>
                    <w:pStyle w:val="Alineazatoko"/>
                    <w:spacing w:line="260" w:lineRule="exact"/>
                    <w:ind w:left="0" w:firstLine="0"/>
                    <w:rPr>
                      <w:rFonts w:cs="Arial"/>
                      <w:sz w:val="20"/>
                      <w:szCs w:val="20"/>
                      <w:lang w:val="sl-SI" w:eastAsia="sl-SI"/>
                    </w:rPr>
                  </w:pPr>
                  <w:r w:rsidRPr="00B95D04">
                    <w:rPr>
                      <w:rFonts w:cs="Arial"/>
                      <w:sz w:val="20"/>
                      <w:szCs w:val="20"/>
                      <w:lang w:val="sl-SI" w:eastAsia="sl-SI"/>
                    </w:rPr>
                    <w:t>Izvajanje zakona spremlja Ministrstvo za finance v skladu s svojimi pristojnostmi.</w:t>
                  </w:r>
                </w:p>
                <w:p w14:paraId="6D88C9DB" w14:textId="77777777" w:rsidR="00F755CB" w:rsidRPr="00B95D04" w:rsidRDefault="00F755CB" w:rsidP="008060E5">
                  <w:pPr>
                    <w:pStyle w:val="Alineazatoko"/>
                    <w:spacing w:line="260" w:lineRule="exact"/>
                    <w:ind w:left="0" w:firstLine="0"/>
                    <w:rPr>
                      <w:rFonts w:cs="Arial"/>
                      <w:sz w:val="20"/>
                      <w:szCs w:val="20"/>
                      <w:lang w:val="sl-SI" w:eastAsia="sl-SI"/>
                    </w:rPr>
                  </w:pPr>
                  <w:r w:rsidRPr="00B95D04">
                    <w:rPr>
                      <w:rFonts w:cs="Arial"/>
                      <w:color w:val="A6A6A6"/>
                      <w:sz w:val="20"/>
                      <w:szCs w:val="20"/>
                      <w:lang w:val="sl-SI" w:eastAsia="sl-SI"/>
                    </w:rPr>
                    <w:t>.</w:t>
                  </w:r>
                </w:p>
              </w:tc>
            </w:tr>
            <w:tr w:rsidR="00F755CB" w:rsidRPr="00B95D04" w14:paraId="6D88C9EF" w14:textId="77777777" w:rsidTr="008060E5">
              <w:tc>
                <w:tcPr>
                  <w:tcW w:w="9213" w:type="dxa"/>
                </w:tcPr>
                <w:p w14:paraId="6D88C9DD" w14:textId="77777777" w:rsidR="00F755CB" w:rsidRPr="00B95D04" w:rsidRDefault="00F755CB" w:rsidP="008060E5">
                  <w:pPr>
                    <w:pStyle w:val="Odsek"/>
                    <w:numPr>
                      <w:ilvl w:val="0"/>
                      <w:numId w:val="0"/>
                    </w:numPr>
                    <w:spacing w:before="0" w:after="0" w:line="260" w:lineRule="exact"/>
                    <w:jc w:val="left"/>
                    <w:rPr>
                      <w:rFonts w:cs="Arial"/>
                      <w:sz w:val="20"/>
                      <w:szCs w:val="20"/>
                      <w:lang w:val="sl-SI" w:eastAsia="sl-SI"/>
                    </w:rPr>
                  </w:pPr>
                  <w:r w:rsidRPr="00B95D04">
                    <w:rPr>
                      <w:rFonts w:cs="Arial"/>
                      <w:sz w:val="20"/>
                      <w:szCs w:val="20"/>
                      <w:lang w:val="sl-SI" w:eastAsia="sl-SI"/>
                    </w:rPr>
                    <w:t>6.8 Druge pomembne okoliščine v zvezi z vprašanji, ki jih ureja predlog zakona:</w:t>
                  </w:r>
                </w:p>
                <w:p w14:paraId="6D88C9DE" w14:textId="77777777" w:rsidR="00F755CB" w:rsidRPr="00B95D04" w:rsidRDefault="00F755CB" w:rsidP="008060E5">
                  <w:pPr>
                    <w:pStyle w:val="Alineazaodstavkom"/>
                    <w:numPr>
                      <w:ilvl w:val="0"/>
                      <w:numId w:val="0"/>
                    </w:numPr>
                    <w:spacing w:line="260" w:lineRule="exact"/>
                    <w:ind w:left="709" w:hanging="284"/>
                    <w:rPr>
                      <w:rFonts w:eastAsia="@Arial Unicode MS" w:cs="Arial"/>
                      <w:iCs/>
                      <w:sz w:val="20"/>
                      <w:szCs w:val="20"/>
                      <w:lang w:val="sl-SI" w:eastAsia="sl-SI"/>
                    </w:rPr>
                  </w:pPr>
                  <w:r w:rsidRPr="00B95D04">
                    <w:rPr>
                      <w:rFonts w:eastAsia="@Arial Unicode MS" w:cs="Arial"/>
                      <w:iCs/>
                      <w:sz w:val="20"/>
                      <w:szCs w:val="20"/>
                      <w:lang w:val="sl-SI" w:eastAsia="sl-SI"/>
                    </w:rPr>
                    <w:t>/</w:t>
                  </w:r>
                </w:p>
                <w:p w14:paraId="262CFD8F" w14:textId="77777777" w:rsidR="000131B6" w:rsidRPr="00B95D04" w:rsidRDefault="000131B6" w:rsidP="008060E5">
                  <w:pPr>
                    <w:pStyle w:val="Alineazaodstavkom"/>
                    <w:numPr>
                      <w:ilvl w:val="0"/>
                      <w:numId w:val="0"/>
                    </w:numPr>
                    <w:spacing w:line="260" w:lineRule="exact"/>
                    <w:ind w:left="709" w:hanging="284"/>
                    <w:rPr>
                      <w:rFonts w:cs="Arial"/>
                      <w:sz w:val="20"/>
                      <w:szCs w:val="20"/>
                      <w:lang w:val="sl-SI" w:eastAsia="sl-SI"/>
                    </w:rPr>
                  </w:pPr>
                </w:p>
                <w:p w14:paraId="6D88C9DF" w14:textId="67EE96A3" w:rsidR="00F755CB" w:rsidRPr="00B95D04" w:rsidRDefault="000131B6" w:rsidP="000131B6">
                  <w:pPr>
                    <w:pStyle w:val="Alineazaodstavkom"/>
                    <w:numPr>
                      <w:ilvl w:val="0"/>
                      <w:numId w:val="0"/>
                    </w:numPr>
                    <w:spacing w:line="260" w:lineRule="exact"/>
                    <w:rPr>
                      <w:rFonts w:cs="Arial"/>
                      <w:b/>
                      <w:sz w:val="20"/>
                      <w:szCs w:val="20"/>
                      <w:lang w:val="sl-SI" w:eastAsia="sl-SI"/>
                    </w:rPr>
                  </w:pPr>
                  <w:r w:rsidRPr="00B95D04">
                    <w:rPr>
                      <w:rFonts w:cs="Arial"/>
                      <w:b/>
                      <w:sz w:val="20"/>
                      <w:szCs w:val="20"/>
                      <w:lang w:val="sl-SI" w:eastAsia="sl-SI"/>
                    </w:rPr>
                    <w:t>6.9 Podatek o zunanjem strokovnjaku oziroma pravni osebi, ki je sodelovala pri pripravi predloga zakona</w:t>
                  </w:r>
                </w:p>
                <w:p w14:paraId="6D265D2D" w14:textId="77777777" w:rsidR="000131B6" w:rsidRPr="00B95D04" w:rsidRDefault="000131B6" w:rsidP="000131B6">
                  <w:pPr>
                    <w:pStyle w:val="Alineazaodstavkom"/>
                    <w:numPr>
                      <w:ilvl w:val="0"/>
                      <w:numId w:val="0"/>
                    </w:numPr>
                    <w:spacing w:line="260" w:lineRule="exact"/>
                    <w:ind w:left="709" w:hanging="284"/>
                    <w:rPr>
                      <w:rFonts w:eastAsia="@Arial Unicode MS" w:cs="Arial"/>
                      <w:iCs/>
                      <w:sz w:val="20"/>
                      <w:szCs w:val="20"/>
                      <w:lang w:val="sl-SI" w:eastAsia="sl-SI"/>
                    </w:rPr>
                  </w:pPr>
                  <w:r w:rsidRPr="00B95D04">
                    <w:rPr>
                      <w:rFonts w:eastAsia="@Arial Unicode MS" w:cs="Arial"/>
                      <w:iCs/>
                      <w:sz w:val="20"/>
                      <w:szCs w:val="20"/>
                      <w:lang w:val="sl-SI" w:eastAsia="sl-SI"/>
                    </w:rPr>
                    <w:t>/</w:t>
                  </w:r>
                </w:p>
                <w:p w14:paraId="7AB4C5B1" w14:textId="77777777" w:rsidR="00543F88" w:rsidRPr="00B95D04" w:rsidRDefault="00543F88" w:rsidP="008060E5">
                  <w:pPr>
                    <w:pStyle w:val="Alineazaodstavkom"/>
                    <w:numPr>
                      <w:ilvl w:val="0"/>
                      <w:numId w:val="0"/>
                    </w:numPr>
                    <w:spacing w:line="260" w:lineRule="exact"/>
                    <w:ind w:left="709" w:hanging="284"/>
                    <w:rPr>
                      <w:rFonts w:cs="Arial"/>
                      <w:sz w:val="20"/>
                      <w:szCs w:val="20"/>
                      <w:lang w:val="sl-SI" w:eastAsia="sl-SI"/>
                    </w:rPr>
                  </w:pPr>
                </w:p>
                <w:p w14:paraId="140383B5" w14:textId="77777777" w:rsidR="000131B6" w:rsidRPr="00B95D04" w:rsidRDefault="000131B6" w:rsidP="008060E5">
                  <w:pPr>
                    <w:pStyle w:val="Alineazaodstavkom"/>
                    <w:numPr>
                      <w:ilvl w:val="0"/>
                      <w:numId w:val="0"/>
                    </w:numPr>
                    <w:spacing w:line="260" w:lineRule="exact"/>
                    <w:ind w:left="709" w:hanging="284"/>
                    <w:rPr>
                      <w:rFonts w:cs="Arial"/>
                      <w:sz w:val="20"/>
                      <w:szCs w:val="20"/>
                      <w:lang w:val="sl-SI" w:eastAsia="sl-SI"/>
                    </w:rPr>
                  </w:pPr>
                </w:p>
                <w:p w14:paraId="6D88C9E0" w14:textId="77777777" w:rsidR="00F755CB" w:rsidRPr="00B95D04" w:rsidRDefault="00F755CB" w:rsidP="00D14445">
                  <w:pPr>
                    <w:pStyle w:val="Odsek"/>
                    <w:numPr>
                      <w:ilvl w:val="0"/>
                      <w:numId w:val="0"/>
                    </w:numPr>
                    <w:spacing w:before="0" w:after="0" w:line="260" w:lineRule="exact"/>
                    <w:jc w:val="left"/>
                    <w:rPr>
                      <w:rFonts w:cs="Arial"/>
                      <w:sz w:val="20"/>
                      <w:szCs w:val="20"/>
                      <w:lang w:val="sl-SI" w:eastAsia="sl-SI"/>
                    </w:rPr>
                  </w:pPr>
                  <w:r w:rsidRPr="00B95D04">
                    <w:rPr>
                      <w:rFonts w:cs="Arial"/>
                      <w:sz w:val="20"/>
                      <w:szCs w:val="20"/>
                      <w:lang w:val="sl-SI" w:eastAsia="sl-SI"/>
                    </w:rPr>
                    <w:t>7. Prikaz sodelovanja javnosti pri pripravi predloga zakona:</w:t>
                  </w:r>
                </w:p>
                <w:p w14:paraId="4EB1F0AA" w14:textId="5073057D" w:rsidR="00303445" w:rsidRPr="00B95D04" w:rsidRDefault="00303445" w:rsidP="00D14445">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95D04">
                    <w:rPr>
                      <w:rFonts w:ascii="Arial" w:eastAsia="Times New Roman" w:hAnsi="Arial" w:cs="Arial"/>
                      <w:sz w:val="20"/>
                      <w:szCs w:val="20"/>
                      <w:lang w:eastAsia="sl-SI"/>
                    </w:rPr>
                    <w:t xml:space="preserve">Gradivo je bilo pripravljeno na podlagi sodelovanja gospodarstva, strokovne in zainteresirane javnosti. Zakon je bil 21. 7. 2017 dan v javno razpravo (objava na spletni strani </w:t>
                  </w:r>
                  <w:hyperlink r:id="rId17" w:history="1">
                    <w:r w:rsidRPr="00B95D04">
                      <w:rPr>
                        <w:rStyle w:val="Hyperlink"/>
                        <w:rFonts w:ascii="Arial" w:eastAsia="Times New Roman" w:hAnsi="Arial" w:cs="Arial"/>
                        <w:sz w:val="20"/>
                        <w:szCs w:val="20"/>
                        <w:lang w:eastAsia="sl-SI"/>
                      </w:rPr>
                      <w:t>http://www.mf.gov.si/si/delovna_podrocja/davki_in_carine/predlogi_predpisov/</w:t>
                    </w:r>
                  </w:hyperlink>
                  <w:r w:rsidRPr="00B95D04">
                    <w:rPr>
                      <w:rFonts w:ascii="Arial" w:eastAsia="Times New Roman" w:hAnsi="Arial" w:cs="Arial"/>
                      <w:sz w:val="20"/>
                      <w:szCs w:val="20"/>
                      <w:lang w:eastAsia="sl-SI"/>
                    </w:rPr>
                    <w:t xml:space="preserve">). Bistvena mnenja, predlogi in pripombe javnosti, vključno z razlogi za neupoštevanje, so povzeti v prilogi Pripombe in predlogi na predlog </w:t>
                  </w:r>
                  <w:r w:rsidR="00742D37" w:rsidRPr="00B95D04">
                    <w:rPr>
                      <w:rFonts w:ascii="Arial" w:eastAsia="Times New Roman" w:hAnsi="Arial" w:cs="Arial"/>
                      <w:sz w:val="20"/>
                      <w:szCs w:val="20"/>
                      <w:lang w:eastAsia="sl-SI"/>
                    </w:rPr>
                    <w:t xml:space="preserve">novele </w:t>
                  </w:r>
                  <w:r w:rsidRPr="00B95D04">
                    <w:rPr>
                      <w:rFonts w:ascii="Arial" w:eastAsia="Times New Roman" w:hAnsi="Arial" w:cs="Arial"/>
                      <w:sz w:val="20"/>
                      <w:szCs w:val="20"/>
                      <w:lang w:eastAsia="sl-SI"/>
                    </w:rPr>
                    <w:t xml:space="preserve">ZDDPO-2 iz javne obravnave, </w:t>
                  </w:r>
                  <w:r w:rsidRPr="00B95D04">
                    <w:rPr>
                      <w:rFonts w:ascii="Arial" w:eastAsia="Times New Roman" w:hAnsi="Arial" w:cs="Arial"/>
                      <w:iCs/>
                      <w:sz w:val="20"/>
                      <w:szCs w:val="20"/>
                      <w:lang w:eastAsia="sl-SI"/>
                    </w:rPr>
                    <w:t>ki je sestavni del tega dokumenta.</w:t>
                  </w:r>
                  <w:r w:rsidRPr="00B95D04">
                    <w:rPr>
                      <w:rFonts w:ascii="Arial" w:eastAsia="Times New Roman" w:hAnsi="Arial" w:cs="Arial"/>
                      <w:sz w:val="20"/>
                      <w:szCs w:val="20"/>
                      <w:lang w:eastAsia="sl-SI"/>
                    </w:rPr>
                    <w:t xml:space="preserve"> </w:t>
                  </w:r>
                </w:p>
                <w:p w14:paraId="6D88C9E2" w14:textId="77777777" w:rsidR="00F755CB" w:rsidRPr="00B95D04" w:rsidRDefault="00F755CB" w:rsidP="008060E5">
                  <w:pPr>
                    <w:pStyle w:val="Odsek"/>
                    <w:numPr>
                      <w:ilvl w:val="0"/>
                      <w:numId w:val="0"/>
                    </w:numPr>
                    <w:spacing w:before="0" w:after="0" w:line="260" w:lineRule="exact"/>
                    <w:jc w:val="left"/>
                    <w:rPr>
                      <w:rFonts w:cs="Arial"/>
                      <w:sz w:val="20"/>
                      <w:szCs w:val="20"/>
                      <w:lang w:val="sl-SI" w:eastAsia="sl-SI"/>
                    </w:rPr>
                  </w:pPr>
                </w:p>
                <w:p w14:paraId="5CCB26E0" w14:textId="77777777" w:rsidR="00E20713" w:rsidRPr="00B95D04" w:rsidRDefault="00E20713" w:rsidP="008060E5">
                  <w:pPr>
                    <w:pStyle w:val="Odsek"/>
                    <w:numPr>
                      <w:ilvl w:val="0"/>
                      <w:numId w:val="0"/>
                    </w:numPr>
                    <w:spacing w:before="0" w:after="0" w:line="260" w:lineRule="exact"/>
                    <w:jc w:val="left"/>
                    <w:rPr>
                      <w:rFonts w:cs="Arial"/>
                      <w:sz w:val="20"/>
                      <w:szCs w:val="20"/>
                      <w:lang w:val="sl-SI" w:eastAsia="sl-SI"/>
                    </w:rPr>
                  </w:pPr>
                </w:p>
                <w:p w14:paraId="6D88C9E3" w14:textId="77777777" w:rsidR="00F755CB" w:rsidRPr="00B95D04" w:rsidRDefault="00F755CB" w:rsidP="008060E5">
                  <w:pPr>
                    <w:pStyle w:val="Odsek"/>
                    <w:numPr>
                      <w:ilvl w:val="0"/>
                      <w:numId w:val="0"/>
                    </w:numPr>
                    <w:spacing w:before="0" w:after="0" w:line="260" w:lineRule="exact"/>
                    <w:jc w:val="both"/>
                    <w:rPr>
                      <w:rFonts w:cs="Arial"/>
                      <w:sz w:val="20"/>
                      <w:szCs w:val="20"/>
                      <w:lang w:val="sl-SI" w:eastAsia="sl-SI"/>
                    </w:rPr>
                  </w:pPr>
                  <w:r w:rsidRPr="00B95D04">
                    <w:rPr>
                      <w:rFonts w:cs="Arial"/>
                      <w:sz w:val="20"/>
                      <w:szCs w:val="20"/>
                      <w:lang w:val="sl-SI" w:eastAsia="sl-SI"/>
                    </w:rPr>
                    <w:t>8. Navedba, kateri predstavniki predlagatelja bodo sodelovali pri delu državnega zbora in delovnih teles</w:t>
                  </w:r>
                </w:p>
                <w:p w14:paraId="4E53A59B" w14:textId="77777777" w:rsidR="0013521F" w:rsidRPr="00B95D04" w:rsidRDefault="0013521F" w:rsidP="006231E5">
                  <w:pPr>
                    <w:numPr>
                      <w:ilvl w:val="0"/>
                      <w:numId w:val="21"/>
                    </w:numPr>
                    <w:overflowPunct w:val="0"/>
                    <w:autoSpaceDE w:val="0"/>
                    <w:autoSpaceDN w:val="0"/>
                    <w:adjustRightInd w:val="0"/>
                    <w:spacing w:after="0" w:line="260" w:lineRule="exact"/>
                    <w:rPr>
                      <w:rFonts w:ascii="Arial" w:eastAsia="Times New Roman" w:hAnsi="Arial" w:cs="Arial"/>
                      <w:color w:val="000000"/>
                      <w:sz w:val="20"/>
                      <w:szCs w:val="20"/>
                      <w:lang w:eastAsia="sl-SI"/>
                    </w:rPr>
                  </w:pPr>
                  <w:r w:rsidRPr="00B95D04">
                    <w:rPr>
                      <w:rFonts w:ascii="Arial" w:eastAsia="Times New Roman" w:hAnsi="Arial" w:cs="Arial"/>
                      <w:color w:val="000000"/>
                      <w:sz w:val="20"/>
                      <w:szCs w:val="20"/>
                      <w:lang w:eastAsia="sl-SI"/>
                    </w:rPr>
                    <w:t>mag. Mateja Vraničar Erman, ministrica za finance</w:t>
                  </w:r>
                </w:p>
                <w:p w14:paraId="7A04FF26" w14:textId="77777777" w:rsidR="0013521F" w:rsidRPr="00B95D04" w:rsidRDefault="0013521F" w:rsidP="006231E5">
                  <w:pPr>
                    <w:numPr>
                      <w:ilvl w:val="0"/>
                      <w:numId w:val="21"/>
                    </w:numPr>
                    <w:overflowPunct w:val="0"/>
                    <w:autoSpaceDE w:val="0"/>
                    <w:autoSpaceDN w:val="0"/>
                    <w:adjustRightInd w:val="0"/>
                    <w:spacing w:after="0" w:line="260" w:lineRule="exact"/>
                    <w:rPr>
                      <w:rFonts w:ascii="Arial" w:eastAsia="Times New Roman" w:hAnsi="Arial" w:cs="Arial"/>
                      <w:color w:val="000000"/>
                      <w:sz w:val="20"/>
                      <w:szCs w:val="20"/>
                      <w:lang w:eastAsia="sl-SI"/>
                    </w:rPr>
                  </w:pPr>
                  <w:r w:rsidRPr="00B95D04">
                    <w:rPr>
                      <w:rFonts w:ascii="Arial" w:eastAsia="Times New Roman" w:hAnsi="Arial" w:cs="Arial"/>
                      <w:color w:val="000000"/>
                      <w:sz w:val="20"/>
                      <w:szCs w:val="20"/>
                      <w:lang w:eastAsia="sl-SI"/>
                    </w:rPr>
                    <w:t>Tilen Božič, državni sekretar</w:t>
                  </w:r>
                </w:p>
                <w:p w14:paraId="2CBD5ED3" w14:textId="77777777" w:rsidR="0013521F" w:rsidRPr="00B95D04" w:rsidRDefault="0013521F" w:rsidP="006231E5">
                  <w:pPr>
                    <w:numPr>
                      <w:ilvl w:val="0"/>
                      <w:numId w:val="21"/>
                    </w:numPr>
                    <w:overflowPunct w:val="0"/>
                    <w:autoSpaceDE w:val="0"/>
                    <w:autoSpaceDN w:val="0"/>
                    <w:adjustRightInd w:val="0"/>
                    <w:spacing w:after="0" w:line="260" w:lineRule="exact"/>
                    <w:rPr>
                      <w:rFonts w:ascii="Arial" w:eastAsia="Times New Roman" w:hAnsi="Arial" w:cs="Arial"/>
                      <w:color w:val="000000"/>
                      <w:sz w:val="20"/>
                      <w:szCs w:val="20"/>
                      <w:lang w:eastAsia="sl-SI"/>
                    </w:rPr>
                  </w:pPr>
                  <w:r w:rsidRPr="00B95D04">
                    <w:rPr>
                      <w:rFonts w:ascii="Arial" w:eastAsia="Times New Roman" w:hAnsi="Arial" w:cs="Arial"/>
                      <w:color w:val="000000"/>
                      <w:sz w:val="20"/>
                      <w:szCs w:val="20"/>
                      <w:lang w:eastAsia="sl-SI"/>
                    </w:rPr>
                    <w:t>mag. Saša Jazbec, državna sekretarka</w:t>
                  </w:r>
                </w:p>
                <w:p w14:paraId="77EB8E9A" w14:textId="77777777" w:rsidR="0013521F" w:rsidRPr="00B95D04" w:rsidRDefault="0013521F" w:rsidP="006231E5">
                  <w:pPr>
                    <w:numPr>
                      <w:ilvl w:val="0"/>
                      <w:numId w:val="21"/>
                    </w:numPr>
                    <w:overflowPunct w:val="0"/>
                    <w:autoSpaceDE w:val="0"/>
                    <w:autoSpaceDN w:val="0"/>
                    <w:adjustRightInd w:val="0"/>
                    <w:spacing w:after="0" w:line="260" w:lineRule="exact"/>
                    <w:rPr>
                      <w:rFonts w:ascii="Arial" w:eastAsia="Times New Roman" w:hAnsi="Arial" w:cs="Arial"/>
                      <w:color w:val="000000"/>
                      <w:sz w:val="20"/>
                      <w:szCs w:val="20"/>
                      <w:lang w:eastAsia="sl-SI"/>
                    </w:rPr>
                  </w:pPr>
                  <w:r w:rsidRPr="00B95D04">
                    <w:rPr>
                      <w:rFonts w:ascii="Arial" w:eastAsia="Times New Roman" w:hAnsi="Arial" w:cs="Arial"/>
                      <w:color w:val="000000"/>
                      <w:sz w:val="20"/>
                      <w:szCs w:val="20"/>
                      <w:lang w:eastAsia="sl-SI"/>
                    </w:rPr>
                    <w:t xml:space="preserve">mag. Gorazd Renčelj, državni sekretar </w:t>
                  </w:r>
                </w:p>
                <w:p w14:paraId="22CAB4DD" w14:textId="77777777" w:rsidR="0013521F" w:rsidRPr="00B95D04" w:rsidRDefault="0013521F" w:rsidP="006231E5">
                  <w:pPr>
                    <w:numPr>
                      <w:ilvl w:val="0"/>
                      <w:numId w:val="21"/>
                    </w:numPr>
                    <w:overflowPunct w:val="0"/>
                    <w:autoSpaceDE w:val="0"/>
                    <w:autoSpaceDN w:val="0"/>
                    <w:adjustRightInd w:val="0"/>
                    <w:spacing w:after="0" w:line="260" w:lineRule="exact"/>
                    <w:rPr>
                      <w:rFonts w:ascii="Arial" w:eastAsia="Times New Roman" w:hAnsi="Arial" w:cs="Arial"/>
                      <w:color w:val="000000"/>
                      <w:sz w:val="20"/>
                      <w:szCs w:val="20"/>
                      <w:lang w:eastAsia="sl-SI"/>
                    </w:rPr>
                  </w:pPr>
                  <w:r w:rsidRPr="00B95D04">
                    <w:rPr>
                      <w:rFonts w:ascii="Arial" w:eastAsia="Times New Roman" w:hAnsi="Arial" w:cs="Arial"/>
                      <w:color w:val="000000"/>
                      <w:sz w:val="20"/>
                      <w:szCs w:val="20"/>
                      <w:lang w:eastAsia="sl-SI"/>
                    </w:rPr>
                    <w:t xml:space="preserve">mag. Miranda </w:t>
                  </w:r>
                  <w:proofErr w:type="spellStart"/>
                  <w:r w:rsidRPr="00B95D04">
                    <w:rPr>
                      <w:rFonts w:ascii="Arial" w:eastAsia="Times New Roman" w:hAnsi="Arial" w:cs="Arial"/>
                      <w:color w:val="000000"/>
                      <w:sz w:val="20"/>
                      <w:szCs w:val="20"/>
                      <w:lang w:eastAsia="sl-SI"/>
                    </w:rPr>
                    <w:t>Groff</w:t>
                  </w:r>
                  <w:proofErr w:type="spellEnd"/>
                  <w:r w:rsidRPr="00B95D04">
                    <w:rPr>
                      <w:rFonts w:ascii="Arial" w:eastAsia="Times New Roman" w:hAnsi="Arial" w:cs="Arial"/>
                      <w:color w:val="000000"/>
                      <w:sz w:val="20"/>
                      <w:szCs w:val="20"/>
                      <w:lang w:eastAsia="sl-SI"/>
                    </w:rPr>
                    <w:t xml:space="preserve"> Ferjančič, državna sekretarka</w:t>
                  </w:r>
                </w:p>
                <w:p w14:paraId="55895322" w14:textId="77777777" w:rsidR="0013521F" w:rsidRPr="00B95D04" w:rsidRDefault="0013521F" w:rsidP="006231E5">
                  <w:pPr>
                    <w:numPr>
                      <w:ilvl w:val="0"/>
                      <w:numId w:val="21"/>
                    </w:numPr>
                    <w:overflowPunct w:val="0"/>
                    <w:autoSpaceDE w:val="0"/>
                    <w:autoSpaceDN w:val="0"/>
                    <w:adjustRightInd w:val="0"/>
                    <w:spacing w:after="0" w:line="260" w:lineRule="exact"/>
                    <w:rPr>
                      <w:rFonts w:ascii="Arial" w:eastAsia="Times New Roman" w:hAnsi="Arial" w:cs="Arial"/>
                      <w:color w:val="000000"/>
                      <w:sz w:val="20"/>
                      <w:szCs w:val="20"/>
                      <w:lang w:eastAsia="sl-SI"/>
                    </w:rPr>
                  </w:pPr>
                  <w:r w:rsidRPr="00B95D04">
                    <w:rPr>
                      <w:rFonts w:ascii="Arial" w:eastAsia="Times New Roman" w:hAnsi="Arial" w:cs="Arial"/>
                      <w:color w:val="000000"/>
                      <w:sz w:val="20"/>
                      <w:szCs w:val="20"/>
                      <w:lang w:eastAsia="sl-SI"/>
                    </w:rPr>
                    <w:t>mag. Irena Popovič, generalna direktorica</w:t>
                  </w:r>
                </w:p>
                <w:p w14:paraId="104718D2" w14:textId="77777777" w:rsidR="0013521F" w:rsidRPr="00B95D04" w:rsidRDefault="0013521F" w:rsidP="006231E5">
                  <w:pPr>
                    <w:numPr>
                      <w:ilvl w:val="0"/>
                      <w:numId w:val="21"/>
                    </w:numPr>
                    <w:overflowPunct w:val="0"/>
                    <w:autoSpaceDE w:val="0"/>
                    <w:autoSpaceDN w:val="0"/>
                    <w:adjustRightInd w:val="0"/>
                    <w:spacing w:after="0" w:line="260" w:lineRule="exact"/>
                    <w:rPr>
                      <w:rFonts w:ascii="Arial" w:eastAsia="Times New Roman" w:hAnsi="Arial" w:cs="Arial"/>
                      <w:color w:val="000000"/>
                      <w:sz w:val="20"/>
                      <w:szCs w:val="20"/>
                      <w:lang w:eastAsia="sl-SI"/>
                    </w:rPr>
                  </w:pPr>
                  <w:r w:rsidRPr="00B95D04">
                    <w:rPr>
                      <w:rFonts w:ascii="Arial" w:eastAsia="Times New Roman" w:hAnsi="Arial" w:cs="Arial"/>
                      <w:color w:val="000000"/>
                      <w:sz w:val="20"/>
                      <w:szCs w:val="20"/>
                      <w:lang w:eastAsia="sl-SI"/>
                    </w:rPr>
                    <w:t>Jožica Kastelic, vodja sektorja</w:t>
                  </w:r>
                </w:p>
                <w:p w14:paraId="128FDF1F" w14:textId="77777777" w:rsidR="0013521F" w:rsidRPr="00B95D04" w:rsidRDefault="0013521F" w:rsidP="006231E5">
                  <w:pPr>
                    <w:numPr>
                      <w:ilvl w:val="0"/>
                      <w:numId w:val="21"/>
                    </w:numPr>
                    <w:overflowPunct w:val="0"/>
                    <w:autoSpaceDE w:val="0"/>
                    <w:autoSpaceDN w:val="0"/>
                    <w:adjustRightInd w:val="0"/>
                    <w:spacing w:after="0" w:line="260" w:lineRule="exact"/>
                    <w:rPr>
                      <w:rFonts w:ascii="Arial" w:eastAsia="Times New Roman" w:hAnsi="Arial" w:cs="Arial"/>
                      <w:color w:val="000000"/>
                      <w:sz w:val="20"/>
                      <w:szCs w:val="20"/>
                      <w:lang w:eastAsia="sl-SI"/>
                    </w:rPr>
                  </w:pPr>
                  <w:r w:rsidRPr="00B95D04">
                    <w:rPr>
                      <w:rFonts w:ascii="Arial" w:eastAsia="Times New Roman" w:hAnsi="Arial" w:cs="Arial"/>
                      <w:color w:val="000000"/>
                      <w:sz w:val="20"/>
                      <w:szCs w:val="20"/>
                      <w:lang w:eastAsia="sl-SI"/>
                    </w:rPr>
                    <w:t>mag. Tadeja Rupnik, podsekretarka</w:t>
                  </w:r>
                </w:p>
                <w:p w14:paraId="346F6FE5" w14:textId="77777777" w:rsidR="0013521F" w:rsidRPr="00B95D04" w:rsidRDefault="0013521F" w:rsidP="006231E5">
                  <w:pPr>
                    <w:numPr>
                      <w:ilvl w:val="0"/>
                      <w:numId w:val="21"/>
                    </w:numPr>
                    <w:overflowPunct w:val="0"/>
                    <w:autoSpaceDE w:val="0"/>
                    <w:autoSpaceDN w:val="0"/>
                    <w:adjustRightInd w:val="0"/>
                    <w:spacing w:after="0" w:line="260" w:lineRule="exact"/>
                    <w:rPr>
                      <w:rFonts w:ascii="Arial" w:eastAsia="Times New Roman" w:hAnsi="Arial" w:cs="Arial"/>
                      <w:color w:val="000000"/>
                      <w:sz w:val="20"/>
                      <w:szCs w:val="20"/>
                      <w:lang w:eastAsia="sl-SI"/>
                    </w:rPr>
                  </w:pPr>
                  <w:r w:rsidRPr="00B95D04">
                    <w:rPr>
                      <w:rFonts w:ascii="Arial" w:eastAsia="Times New Roman" w:hAnsi="Arial" w:cs="Arial"/>
                      <w:color w:val="000000"/>
                      <w:sz w:val="20"/>
                      <w:szCs w:val="20"/>
                      <w:lang w:eastAsia="sl-SI"/>
                    </w:rPr>
                    <w:t xml:space="preserve">Ingrid </w:t>
                  </w:r>
                  <w:proofErr w:type="spellStart"/>
                  <w:r w:rsidRPr="00B95D04">
                    <w:rPr>
                      <w:rFonts w:ascii="Arial" w:eastAsia="Times New Roman" w:hAnsi="Arial" w:cs="Arial"/>
                      <w:color w:val="000000"/>
                      <w:sz w:val="20"/>
                      <w:szCs w:val="20"/>
                      <w:lang w:eastAsia="sl-SI"/>
                    </w:rPr>
                    <w:t>Andrejasič</w:t>
                  </w:r>
                  <w:proofErr w:type="spellEnd"/>
                  <w:r w:rsidRPr="00B95D04">
                    <w:rPr>
                      <w:rFonts w:ascii="Arial" w:eastAsia="Times New Roman" w:hAnsi="Arial" w:cs="Arial"/>
                      <w:color w:val="000000"/>
                      <w:sz w:val="20"/>
                      <w:szCs w:val="20"/>
                      <w:lang w:eastAsia="sl-SI"/>
                    </w:rPr>
                    <w:t>, podsekretarka</w:t>
                  </w:r>
                </w:p>
                <w:p w14:paraId="3224708B" w14:textId="77777777" w:rsidR="0013521F" w:rsidRPr="00B95D04" w:rsidRDefault="0013521F" w:rsidP="006231E5">
                  <w:pPr>
                    <w:numPr>
                      <w:ilvl w:val="0"/>
                      <w:numId w:val="21"/>
                    </w:numPr>
                    <w:overflowPunct w:val="0"/>
                    <w:autoSpaceDE w:val="0"/>
                    <w:autoSpaceDN w:val="0"/>
                    <w:adjustRightInd w:val="0"/>
                    <w:spacing w:after="0" w:line="260" w:lineRule="exact"/>
                    <w:rPr>
                      <w:rFonts w:ascii="Arial" w:eastAsia="Times New Roman" w:hAnsi="Arial" w:cs="Arial"/>
                      <w:color w:val="000000"/>
                      <w:sz w:val="20"/>
                      <w:szCs w:val="20"/>
                      <w:lang w:eastAsia="sl-SI"/>
                    </w:rPr>
                  </w:pPr>
                  <w:r w:rsidRPr="00B95D04">
                    <w:rPr>
                      <w:rFonts w:ascii="Arial" w:eastAsia="Times New Roman" w:hAnsi="Arial" w:cs="Arial"/>
                      <w:color w:val="000000"/>
                      <w:sz w:val="20"/>
                      <w:szCs w:val="20"/>
                      <w:lang w:eastAsia="sl-SI"/>
                    </w:rPr>
                    <w:t>Larisa Eva Ramovš, podsekretarka</w:t>
                  </w:r>
                </w:p>
                <w:p w14:paraId="3AFE61DB" w14:textId="77777777" w:rsidR="0013521F" w:rsidRPr="00B95D04" w:rsidRDefault="0013521F" w:rsidP="006231E5">
                  <w:pPr>
                    <w:numPr>
                      <w:ilvl w:val="0"/>
                      <w:numId w:val="21"/>
                    </w:numPr>
                    <w:overflowPunct w:val="0"/>
                    <w:autoSpaceDE w:val="0"/>
                    <w:autoSpaceDN w:val="0"/>
                    <w:adjustRightInd w:val="0"/>
                    <w:spacing w:after="0" w:line="260" w:lineRule="exact"/>
                    <w:rPr>
                      <w:rFonts w:ascii="Arial" w:eastAsia="Times New Roman" w:hAnsi="Arial" w:cs="Arial"/>
                      <w:color w:val="000000"/>
                      <w:sz w:val="20"/>
                      <w:szCs w:val="20"/>
                      <w:lang w:eastAsia="sl-SI"/>
                    </w:rPr>
                  </w:pPr>
                  <w:r w:rsidRPr="00B95D04">
                    <w:rPr>
                      <w:rFonts w:ascii="Arial" w:eastAsia="Times New Roman" w:hAnsi="Arial" w:cs="Arial"/>
                      <w:color w:val="000000"/>
                      <w:sz w:val="20"/>
                      <w:szCs w:val="20"/>
                      <w:lang w:eastAsia="sl-SI"/>
                    </w:rPr>
                    <w:t>Tatjana Grilj Medvedšek, višja svetovalka</w:t>
                  </w:r>
                </w:p>
                <w:p w14:paraId="0CCE2D33" w14:textId="77777777" w:rsidR="006231E5" w:rsidRPr="00B95D04" w:rsidRDefault="006231E5" w:rsidP="006231E5">
                  <w:pPr>
                    <w:numPr>
                      <w:ilvl w:val="0"/>
                      <w:numId w:val="21"/>
                    </w:numPr>
                    <w:spacing w:after="0" w:line="260" w:lineRule="exact"/>
                    <w:rPr>
                      <w:rFonts w:ascii="Arial" w:eastAsia="Times New Roman" w:hAnsi="Arial" w:cs="Arial"/>
                      <w:sz w:val="20"/>
                      <w:szCs w:val="20"/>
                      <w:lang w:eastAsia="sl-SI"/>
                    </w:rPr>
                  </w:pPr>
                  <w:r w:rsidRPr="00B95D04">
                    <w:rPr>
                      <w:rFonts w:ascii="Arial" w:hAnsi="Arial" w:cs="Arial"/>
                      <w:sz w:val="20"/>
                      <w:szCs w:val="20"/>
                    </w:rPr>
                    <w:t xml:space="preserve">Meta Šinkovec, </w:t>
                  </w:r>
                  <w:r w:rsidRPr="00B95D04">
                    <w:rPr>
                      <w:rFonts w:ascii="Arial" w:hAnsi="Arial" w:cs="Arial"/>
                      <w:iCs/>
                      <w:sz w:val="20"/>
                      <w:szCs w:val="20"/>
                    </w:rPr>
                    <w:t>vodja sektorja</w:t>
                  </w:r>
                </w:p>
                <w:p w14:paraId="2889582E" w14:textId="77777777" w:rsidR="00F755CB" w:rsidRPr="00B95D04" w:rsidRDefault="0013521F" w:rsidP="006231E5">
                  <w:pPr>
                    <w:numPr>
                      <w:ilvl w:val="0"/>
                      <w:numId w:val="21"/>
                    </w:numPr>
                    <w:overflowPunct w:val="0"/>
                    <w:autoSpaceDE w:val="0"/>
                    <w:autoSpaceDN w:val="0"/>
                    <w:adjustRightInd w:val="0"/>
                    <w:spacing w:after="0" w:line="260" w:lineRule="exact"/>
                    <w:rPr>
                      <w:rFonts w:ascii="Arial" w:eastAsia="Times New Roman" w:hAnsi="Arial" w:cs="Arial"/>
                      <w:color w:val="000000"/>
                      <w:sz w:val="20"/>
                      <w:szCs w:val="20"/>
                      <w:lang w:eastAsia="sl-SI"/>
                    </w:rPr>
                  </w:pPr>
                  <w:r w:rsidRPr="00B95D04">
                    <w:rPr>
                      <w:rFonts w:ascii="Arial" w:eastAsia="Times New Roman" w:hAnsi="Arial" w:cs="Arial"/>
                      <w:color w:val="000000"/>
                      <w:sz w:val="20"/>
                      <w:szCs w:val="20"/>
                      <w:lang w:eastAsia="sl-SI"/>
                    </w:rPr>
                    <w:t>mag. Marko Potočnik, podsekretar</w:t>
                  </w:r>
                </w:p>
                <w:p w14:paraId="6D88C9EE" w14:textId="3DF5384F" w:rsidR="006231E5" w:rsidRPr="00B95D04" w:rsidRDefault="006231E5" w:rsidP="006231E5">
                  <w:pPr>
                    <w:numPr>
                      <w:ilvl w:val="0"/>
                      <w:numId w:val="21"/>
                    </w:numPr>
                    <w:overflowPunct w:val="0"/>
                    <w:autoSpaceDE w:val="0"/>
                    <w:autoSpaceDN w:val="0"/>
                    <w:adjustRightInd w:val="0"/>
                    <w:spacing w:after="0" w:line="260" w:lineRule="exact"/>
                    <w:rPr>
                      <w:rFonts w:ascii="Arial" w:eastAsia="Times New Roman" w:hAnsi="Arial" w:cs="Arial"/>
                      <w:color w:val="000000"/>
                      <w:sz w:val="20"/>
                      <w:szCs w:val="20"/>
                      <w:lang w:eastAsia="sl-SI"/>
                    </w:rPr>
                  </w:pPr>
                  <w:r w:rsidRPr="00B95D04">
                    <w:rPr>
                      <w:rFonts w:ascii="Arial" w:hAnsi="Arial" w:cs="Arial"/>
                      <w:iCs/>
                      <w:sz w:val="20"/>
                      <w:szCs w:val="20"/>
                    </w:rPr>
                    <w:t>Matej Šekoranja, svetovalec</w:t>
                  </w:r>
                </w:p>
              </w:tc>
            </w:tr>
          </w:tbl>
          <w:p w14:paraId="6D88C9F0" w14:textId="77777777" w:rsidR="005553CB" w:rsidRPr="00B95D04" w:rsidRDefault="005553CB" w:rsidP="00CA689C">
            <w:pPr>
              <w:pStyle w:val="Poglavje"/>
              <w:spacing w:before="0" w:after="0" w:line="260" w:lineRule="exact"/>
              <w:jc w:val="left"/>
              <w:rPr>
                <w:sz w:val="20"/>
                <w:szCs w:val="20"/>
              </w:rPr>
            </w:pPr>
          </w:p>
        </w:tc>
      </w:tr>
      <w:tr w:rsidR="005553CB" w:rsidRPr="00B95D04" w14:paraId="6D88C9F3" w14:textId="77777777" w:rsidTr="00CA689C">
        <w:tc>
          <w:tcPr>
            <w:tcW w:w="9213" w:type="dxa"/>
          </w:tcPr>
          <w:p w14:paraId="6D88C9F2" w14:textId="77777777" w:rsidR="00C56454" w:rsidRPr="00B95D04" w:rsidRDefault="00C56454" w:rsidP="00C56454">
            <w:pPr>
              <w:pStyle w:val="Oddelek"/>
              <w:numPr>
                <w:ilvl w:val="0"/>
                <w:numId w:val="0"/>
              </w:numPr>
              <w:spacing w:before="0" w:after="0" w:line="260" w:lineRule="exact"/>
              <w:ind w:left="720"/>
              <w:jc w:val="left"/>
              <w:rPr>
                <w:rFonts w:cs="Arial"/>
                <w:sz w:val="20"/>
                <w:szCs w:val="20"/>
                <w:lang w:val="sl-SI" w:eastAsia="sl-SI"/>
              </w:rPr>
            </w:pPr>
          </w:p>
        </w:tc>
      </w:tr>
    </w:tbl>
    <w:p w14:paraId="6D88C9F4" w14:textId="42AB294E" w:rsidR="00243581" w:rsidRPr="00B95D04" w:rsidRDefault="00243581">
      <w:pPr>
        <w:rPr>
          <w:rFonts w:ascii="Arial" w:hAnsi="Arial" w:cs="Arial"/>
          <w:b/>
          <w:sz w:val="20"/>
          <w:szCs w:val="20"/>
        </w:rPr>
      </w:pPr>
    </w:p>
    <w:p w14:paraId="3B5C6D14" w14:textId="2AAB9DAC" w:rsidR="00243581" w:rsidRPr="00B95D04" w:rsidRDefault="00243581">
      <w:pPr>
        <w:spacing w:after="0" w:line="240" w:lineRule="auto"/>
        <w:rPr>
          <w:rFonts w:ascii="Arial" w:hAnsi="Arial" w:cs="Arial"/>
          <w:b/>
          <w:sz w:val="20"/>
          <w:szCs w:val="20"/>
        </w:rPr>
      </w:pPr>
    </w:p>
    <w:p w14:paraId="50517BC8" w14:textId="77777777" w:rsidR="000C0905" w:rsidRDefault="000C0905">
      <w:r>
        <w:br w:type="page"/>
      </w:r>
    </w:p>
    <w:tbl>
      <w:tblPr>
        <w:tblW w:w="0" w:type="auto"/>
        <w:tblLook w:val="04A0" w:firstRow="1" w:lastRow="0" w:firstColumn="1" w:lastColumn="0" w:noHBand="0" w:noVBand="1"/>
      </w:tblPr>
      <w:tblGrid>
        <w:gridCol w:w="9213"/>
      </w:tblGrid>
      <w:tr w:rsidR="005553CB" w:rsidRPr="00B95D04" w14:paraId="6D88CA1A" w14:textId="77777777" w:rsidTr="00CA689C">
        <w:tc>
          <w:tcPr>
            <w:tcW w:w="9213" w:type="dxa"/>
          </w:tcPr>
          <w:tbl>
            <w:tblPr>
              <w:tblW w:w="0" w:type="auto"/>
              <w:tblLook w:val="04A0" w:firstRow="1" w:lastRow="0" w:firstColumn="1" w:lastColumn="0" w:noHBand="0" w:noVBand="1"/>
            </w:tblPr>
            <w:tblGrid>
              <w:gridCol w:w="8997"/>
            </w:tblGrid>
            <w:tr w:rsidR="00D74108" w:rsidRPr="00B95D04" w14:paraId="6D88CA0E" w14:textId="77777777" w:rsidTr="00064FC3">
              <w:tc>
                <w:tcPr>
                  <w:tcW w:w="8997" w:type="dxa"/>
                </w:tcPr>
                <w:p w14:paraId="6D88C9FB" w14:textId="3A231C98" w:rsidR="00D74108" w:rsidRPr="00B95D04" w:rsidRDefault="00D74108" w:rsidP="00D7410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95D04">
                    <w:rPr>
                      <w:rFonts w:ascii="Arial" w:eastAsia="Times New Roman" w:hAnsi="Arial" w:cs="Arial"/>
                      <w:b/>
                      <w:sz w:val="20"/>
                      <w:szCs w:val="20"/>
                      <w:lang w:eastAsia="sl-SI"/>
                    </w:rPr>
                    <w:lastRenderedPageBreak/>
                    <w:t>II. BESEDILO ČLENOV</w:t>
                  </w:r>
                </w:p>
                <w:p w14:paraId="6D88C9FC" w14:textId="77777777" w:rsidR="00D74108" w:rsidRPr="00B95D04" w:rsidRDefault="00D74108" w:rsidP="00D7410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6D88C9FD" w14:textId="77777777" w:rsidR="00D74108" w:rsidRPr="00B95D04" w:rsidRDefault="00D74108" w:rsidP="00004519">
                  <w:pPr>
                    <w:numPr>
                      <w:ilvl w:val="0"/>
                      <w:numId w:val="22"/>
                    </w:numPr>
                    <w:tabs>
                      <w:tab w:val="left" w:pos="318"/>
                    </w:tabs>
                    <w:suppressAutoHyphens/>
                    <w:overflowPunct w:val="0"/>
                    <w:autoSpaceDE w:val="0"/>
                    <w:autoSpaceDN w:val="0"/>
                    <w:adjustRightInd w:val="0"/>
                    <w:spacing w:after="0" w:line="260" w:lineRule="exact"/>
                    <w:ind w:left="34" w:firstLine="0"/>
                    <w:jc w:val="center"/>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člen</w:t>
                  </w:r>
                </w:p>
                <w:p w14:paraId="6D88C9FE" w14:textId="77777777" w:rsidR="00D74108" w:rsidRPr="00B95D04" w:rsidRDefault="00D74108" w:rsidP="00004519">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14:paraId="6D88C9FF" w14:textId="05B0BEB8" w:rsidR="00965CBF" w:rsidRPr="00B95D04" w:rsidRDefault="00D74108" w:rsidP="00004519">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 xml:space="preserve">V Zakonu o davku od dohodkov pravnih oseb (Uradni list RS, št. 117/06, 56/08, 76/08, 5/09, 96/09, 110/09 – ZDavP-2B, 43/10, 59/11, 24/12, 30/12, 94/12, 81/13, 50/14, </w:t>
                  </w:r>
                  <w:r w:rsidR="00965CBF" w:rsidRPr="00B95D04">
                    <w:rPr>
                      <w:rFonts w:ascii="Arial" w:eastAsia="Times New Roman" w:hAnsi="Arial" w:cs="Arial"/>
                      <w:sz w:val="20"/>
                      <w:szCs w:val="20"/>
                      <w:lang w:eastAsia="sl-SI"/>
                    </w:rPr>
                    <w:t>23/15, 82/15 in 68/16</w:t>
                  </w:r>
                  <w:r w:rsidRPr="00B95D04">
                    <w:rPr>
                      <w:rFonts w:ascii="Arial" w:eastAsia="Times New Roman" w:hAnsi="Arial" w:cs="Arial"/>
                      <w:sz w:val="20"/>
                      <w:szCs w:val="20"/>
                      <w:lang w:eastAsia="sl-SI"/>
                    </w:rPr>
                    <w:t xml:space="preserve">) se </w:t>
                  </w:r>
                  <w:r w:rsidR="00965CBF" w:rsidRPr="00B95D04">
                    <w:rPr>
                      <w:rFonts w:ascii="Arial" w:eastAsia="Times New Roman" w:hAnsi="Arial" w:cs="Arial"/>
                      <w:sz w:val="20"/>
                      <w:szCs w:val="20"/>
                      <w:lang w:eastAsia="sl-SI"/>
                    </w:rPr>
                    <w:t xml:space="preserve">za </w:t>
                  </w:r>
                  <w:proofErr w:type="spellStart"/>
                  <w:r w:rsidR="00965CBF" w:rsidRPr="00B95D04">
                    <w:rPr>
                      <w:rFonts w:ascii="Arial" w:eastAsia="Times New Roman" w:hAnsi="Arial" w:cs="Arial"/>
                      <w:sz w:val="20"/>
                      <w:szCs w:val="20"/>
                      <w:lang w:eastAsia="sl-SI"/>
                    </w:rPr>
                    <w:t>15.a</w:t>
                  </w:r>
                  <w:proofErr w:type="spellEnd"/>
                  <w:r w:rsidR="00965CBF" w:rsidRPr="00B95D04">
                    <w:rPr>
                      <w:rFonts w:ascii="Arial" w:eastAsia="Times New Roman" w:hAnsi="Arial" w:cs="Arial"/>
                      <w:sz w:val="20"/>
                      <w:szCs w:val="20"/>
                      <w:lang w:eastAsia="sl-SI"/>
                    </w:rPr>
                    <w:t xml:space="preserve"> členom doda nov </w:t>
                  </w:r>
                  <w:proofErr w:type="spellStart"/>
                  <w:r w:rsidR="00965CBF" w:rsidRPr="00B95D04">
                    <w:rPr>
                      <w:rFonts w:ascii="Arial" w:eastAsia="Times New Roman" w:hAnsi="Arial" w:cs="Arial"/>
                      <w:sz w:val="20"/>
                      <w:szCs w:val="20"/>
                      <w:lang w:eastAsia="sl-SI"/>
                    </w:rPr>
                    <w:t>15.b</w:t>
                  </w:r>
                  <w:proofErr w:type="spellEnd"/>
                  <w:r w:rsidR="00965CBF" w:rsidRPr="00B95D04">
                    <w:rPr>
                      <w:rFonts w:ascii="Arial" w:eastAsia="Times New Roman" w:hAnsi="Arial" w:cs="Arial"/>
                      <w:sz w:val="20"/>
                      <w:szCs w:val="20"/>
                      <w:lang w:eastAsia="sl-SI"/>
                    </w:rPr>
                    <w:t xml:space="preserve"> člen, ki se glasi:</w:t>
                  </w:r>
                </w:p>
                <w:p w14:paraId="6D88CA00" w14:textId="77777777" w:rsidR="00942C82" w:rsidRPr="00B95D04" w:rsidRDefault="00942C82" w:rsidP="00004519">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14:paraId="6D88CA01" w14:textId="04132077" w:rsidR="00942C82" w:rsidRPr="00B95D04" w:rsidRDefault="00D74108" w:rsidP="00004519">
                  <w:pPr>
                    <w:tabs>
                      <w:tab w:val="left" w:pos="0"/>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w:t>
                  </w:r>
                  <w:proofErr w:type="spellStart"/>
                  <w:r w:rsidR="00942C82" w:rsidRPr="00B95D04">
                    <w:rPr>
                      <w:rFonts w:ascii="Arial" w:eastAsia="Times New Roman" w:hAnsi="Arial" w:cs="Arial"/>
                      <w:sz w:val="20"/>
                      <w:szCs w:val="20"/>
                      <w:lang w:eastAsia="sl-SI"/>
                    </w:rPr>
                    <w:t>15.b</w:t>
                  </w:r>
                  <w:proofErr w:type="spellEnd"/>
                  <w:r w:rsidR="00942C82" w:rsidRPr="00B95D04">
                    <w:rPr>
                      <w:rFonts w:ascii="Arial" w:eastAsia="Times New Roman" w:hAnsi="Arial" w:cs="Arial"/>
                      <w:sz w:val="20"/>
                      <w:szCs w:val="20"/>
                      <w:lang w:eastAsia="sl-SI"/>
                    </w:rPr>
                    <w:t xml:space="preserve"> člen</w:t>
                  </w:r>
                </w:p>
                <w:p w14:paraId="6D88CA02" w14:textId="77777777" w:rsidR="00942C82" w:rsidRPr="00B95D04" w:rsidRDefault="00942C82" w:rsidP="00004519">
                  <w:pPr>
                    <w:tabs>
                      <w:tab w:val="left" w:pos="0"/>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(davčna osnova pri prevrednotenjih finančnih instrumentov)</w:t>
                  </w:r>
                </w:p>
                <w:p w14:paraId="6D88CA03" w14:textId="77777777" w:rsidR="00942C82" w:rsidRPr="00B95D04" w:rsidRDefault="00942C82" w:rsidP="00004519">
                  <w:pPr>
                    <w:tabs>
                      <w:tab w:val="left" w:pos="0"/>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14:paraId="6D88CA04" w14:textId="77777777" w:rsidR="00D74108" w:rsidRPr="00B95D04" w:rsidRDefault="00942C82" w:rsidP="00004519">
                  <w:pPr>
                    <w:tabs>
                      <w:tab w:val="left" w:pos="0"/>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Pri ugotavljanju davčne osnove oziroma priznavanju prihodkov in odhodkov zavezanca se zneski prevrednotenj finančnih instrumentov, ki se ne pripoznajo v izkazu poslovnega izida, temveč v izkazu drugega vseobsegajočega donosa, vključijo v davčno osnovo ob odtujitvi, zamenjavi ali drugačni poravnavi oziroma odpravi finančnega instrumenta.</w:t>
                  </w:r>
                  <w:r w:rsidR="00D74108" w:rsidRPr="00B95D04">
                    <w:rPr>
                      <w:rFonts w:ascii="Arial" w:eastAsia="Times New Roman" w:hAnsi="Arial" w:cs="Arial"/>
                      <w:sz w:val="20"/>
                      <w:szCs w:val="20"/>
                      <w:lang w:eastAsia="sl-SI"/>
                    </w:rPr>
                    <w:t>«.</w:t>
                  </w:r>
                </w:p>
                <w:p w14:paraId="6D88CA05" w14:textId="77777777" w:rsidR="00D74108" w:rsidRPr="00B95D04" w:rsidRDefault="00D74108" w:rsidP="00004519">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p>
                <w:p w14:paraId="090ACB8B" w14:textId="77777777" w:rsidR="00004519" w:rsidRPr="00B95D04" w:rsidRDefault="00004519" w:rsidP="00004519">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p>
                <w:p w14:paraId="475A342A" w14:textId="77777777" w:rsidR="00F1592E" w:rsidRPr="00B95D04" w:rsidRDefault="00F1592E" w:rsidP="00004519">
                  <w:pPr>
                    <w:numPr>
                      <w:ilvl w:val="0"/>
                      <w:numId w:val="22"/>
                    </w:numPr>
                    <w:tabs>
                      <w:tab w:val="left" w:pos="318"/>
                    </w:tabs>
                    <w:suppressAutoHyphens/>
                    <w:overflowPunct w:val="0"/>
                    <w:autoSpaceDE w:val="0"/>
                    <w:autoSpaceDN w:val="0"/>
                    <w:adjustRightInd w:val="0"/>
                    <w:spacing w:after="0" w:line="260" w:lineRule="exact"/>
                    <w:ind w:left="34" w:firstLine="0"/>
                    <w:jc w:val="center"/>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člen</w:t>
                  </w:r>
                </w:p>
                <w:p w14:paraId="6A9002F3" w14:textId="20D0E2F3" w:rsidR="00F1592E" w:rsidRPr="00B95D04" w:rsidRDefault="00F1592E" w:rsidP="00004519">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p>
                <w:p w14:paraId="721FCAB3" w14:textId="1D48E37C" w:rsidR="00F1592E" w:rsidRPr="00B95D04" w:rsidRDefault="00A97FE8" w:rsidP="00004519">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V p</w:t>
                  </w:r>
                  <w:r w:rsidR="00F1592E" w:rsidRPr="00B95D04">
                    <w:rPr>
                      <w:rFonts w:ascii="Arial" w:eastAsia="Times New Roman" w:hAnsi="Arial" w:cs="Arial"/>
                      <w:sz w:val="20"/>
                      <w:szCs w:val="20"/>
                      <w:lang w:eastAsia="sl-SI"/>
                    </w:rPr>
                    <w:t>et</w:t>
                  </w:r>
                  <w:r w:rsidRPr="00B95D04">
                    <w:rPr>
                      <w:rFonts w:ascii="Arial" w:eastAsia="Times New Roman" w:hAnsi="Arial" w:cs="Arial"/>
                      <w:sz w:val="20"/>
                      <w:szCs w:val="20"/>
                      <w:lang w:eastAsia="sl-SI"/>
                    </w:rPr>
                    <w:t>em</w:t>
                  </w:r>
                  <w:r w:rsidR="00F1592E" w:rsidRPr="00B95D04">
                    <w:rPr>
                      <w:rFonts w:ascii="Arial" w:eastAsia="Times New Roman" w:hAnsi="Arial" w:cs="Arial"/>
                      <w:sz w:val="20"/>
                      <w:szCs w:val="20"/>
                      <w:lang w:eastAsia="sl-SI"/>
                    </w:rPr>
                    <w:t xml:space="preserve"> odstavk</w:t>
                  </w:r>
                  <w:r w:rsidRPr="00B95D04">
                    <w:rPr>
                      <w:rFonts w:ascii="Arial" w:eastAsia="Times New Roman" w:hAnsi="Arial" w:cs="Arial"/>
                      <w:sz w:val="20"/>
                      <w:szCs w:val="20"/>
                      <w:lang w:eastAsia="sl-SI"/>
                    </w:rPr>
                    <w:t>u</w:t>
                  </w:r>
                  <w:r w:rsidR="00F1592E" w:rsidRPr="00B95D04">
                    <w:rPr>
                      <w:rFonts w:ascii="Arial" w:eastAsia="Times New Roman" w:hAnsi="Arial" w:cs="Arial"/>
                      <w:sz w:val="20"/>
                      <w:szCs w:val="20"/>
                      <w:lang w:eastAsia="sl-SI"/>
                    </w:rPr>
                    <w:t xml:space="preserve"> </w:t>
                  </w:r>
                  <w:proofErr w:type="spellStart"/>
                  <w:r w:rsidR="00F1592E" w:rsidRPr="00B95D04">
                    <w:rPr>
                      <w:rFonts w:ascii="Arial" w:eastAsia="Times New Roman" w:hAnsi="Arial" w:cs="Arial"/>
                      <w:sz w:val="20"/>
                      <w:szCs w:val="20"/>
                      <w:lang w:eastAsia="sl-SI"/>
                    </w:rPr>
                    <w:t>67.c</w:t>
                  </w:r>
                  <w:proofErr w:type="spellEnd"/>
                  <w:r w:rsidR="00F1592E" w:rsidRPr="00B95D04">
                    <w:rPr>
                      <w:rFonts w:ascii="Arial" w:eastAsia="Times New Roman" w:hAnsi="Arial" w:cs="Arial"/>
                      <w:sz w:val="20"/>
                      <w:szCs w:val="20"/>
                      <w:lang w:eastAsia="sl-SI"/>
                    </w:rPr>
                    <w:t xml:space="preserve"> člena se </w:t>
                  </w:r>
                  <w:r w:rsidRPr="00B95D04">
                    <w:rPr>
                      <w:rFonts w:ascii="Arial" w:eastAsia="Times New Roman" w:hAnsi="Arial" w:cs="Arial"/>
                      <w:sz w:val="20"/>
                      <w:szCs w:val="20"/>
                      <w:lang w:eastAsia="sl-SI"/>
                    </w:rPr>
                    <w:t xml:space="preserve">besedilo </w:t>
                  </w:r>
                  <w:r w:rsidR="00F1592E" w:rsidRPr="00B95D04">
                    <w:rPr>
                      <w:rFonts w:ascii="Arial" w:eastAsia="Times New Roman" w:hAnsi="Arial" w:cs="Arial"/>
                      <w:sz w:val="20"/>
                      <w:szCs w:val="20"/>
                      <w:lang w:eastAsia="sl-SI"/>
                    </w:rPr>
                    <w:t>»ki dve zaporedni davčni obdobji ne izpolnjuje pogojev po tem poglavju</w:t>
                  </w:r>
                  <w:r w:rsidRPr="00B95D04">
                    <w:rPr>
                      <w:rFonts w:ascii="Arial" w:eastAsia="Times New Roman" w:hAnsi="Arial" w:cs="Arial"/>
                      <w:sz w:val="20"/>
                      <w:szCs w:val="20"/>
                      <w:lang w:eastAsia="sl-SI"/>
                    </w:rPr>
                    <w:t>« nadomesti z besedilom »</w:t>
                  </w:r>
                  <w:r w:rsidR="00F1592E" w:rsidRPr="00B95D04">
                    <w:rPr>
                      <w:rFonts w:ascii="Arial" w:eastAsia="Times New Roman" w:hAnsi="Arial" w:cs="Arial"/>
                      <w:sz w:val="20"/>
                      <w:szCs w:val="20"/>
                      <w:lang w:eastAsia="sl-SI"/>
                    </w:rPr>
                    <w:t xml:space="preserve">katerega </w:t>
                  </w:r>
                  <w:r w:rsidR="003F6B78" w:rsidRPr="00B95D04">
                    <w:rPr>
                      <w:rFonts w:ascii="Arial" w:eastAsia="Times New Roman" w:hAnsi="Arial" w:cs="Arial"/>
                      <w:sz w:val="20"/>
                      <w:szCs w:val="20"/>
                      <w:lang w:eastAsia="sl-SI"/>
                    </w:rPr>
                    <w:t xml:space="preserve">povprečje </w:t>
                  </w:r>
                  <w:r w:rsidR="00F1592E" w:rsidRPr="00B95D04">
                    <w:rPr>
                      <w:rFonts w:ascii="Arial" w:eastAsia="Times New Roman" w:hAnsi="Arial" w:cs="Arial"/>
                      <w:sz w:val="20"/>
                      <w:szCs w:val="20"/>
                      <w:lang w:eastAsia="sl-SI"/>
                    </w:rPr>
                    <w:t>prihodk</w:t>
                  </w:r>
                  <w:r w:rsidR="003F6B78" w:rsidRPr="00B95D04">
                    <w:rPr>
                      <w:rFonts w:ascii="Arial" w:eastAsia="Times New Roman" w:hAnsi="Arial" w:cs="Arial"/>
                      <w:sz w:val="20"/>
                      <w:szCs w:val="20"/>
                      <w:lang w:eastAsia="sl-SI"/>
                    </w:rPr>
                    <w:t>ov</w:t>
                  </w:r>
                  <w:r w:rsidR="00F1592E" w:rsidRPr="00B95D04">
                    <w:rPr>
                      <w:rFonts w:ascii="Arial" w:eastAsia="Times New Roman" w:hAnsi="Arial" w:cs="Arial"/>
                      <w:sz w:val="20"/>
                      <w:szCs w:val="20"/>
                      <w:lang w:eastAsia="sl-SI"/>
                    </w:rPr>
                    <w:t>, ugotovljeni</w:t>
                  </w:r>
                  <w:r w:rsidR="003F6B78" w:rsidRPr="00B95D04">
                    <w:rPr>
                      <w:rFonts w:ascii="Arial" w:eastAsia="Times New Roman" w:hAnsi="Arial" w:cs="Arial"/>
                      <w:sz w:val="20"/>
                      <w:szCs w:val="20"/>
                      <w:lang w:eastAsia="sl-SI"/>
                    </w:rPr>
                    <w:t>h</w:t>
                  </w:r>
                  <w:r w:rsidR="00F1592E" w:rsidRPr="00B95D04">
                    <w:rPr>
                      <w:rFonts w:ascii="Arial" w:eastAsia="Times New Roman" w:hAnsi="Arial" w:cs="Arial"/>
                      <w:sz w:val="20"/>
                      <w:szCs w:val="20"/>
                      <w:lang w:eastAsia="sl-SI"/>
                    </w:rPr>
                    <w:t xml:space="preserve"> po pravilih o računovodenju, dveh zaporednih </w:t>
                  </w:r>
                  <w:r w:rsidRPr="00B95D04">
                    <w:rPr>
                      <w:rFonts w:ascii="Arial" w:eastAsia="Times New Roman" w:hAnsi="Arial" w:cs="Arial"/>
                      <w:sz w:val="20"/>
                      <w:szCs w:val="20"/>
                      <w:lang w:eastAsia="sl-SI"/>
                    </w:rPr>
                    <w:t>davčnih obdob</w:t>
                  </w:r>
                  <w:r w:rsidR="004F780A" w:rsidRPr="00B95D04">
                    <w:rPr>
                      <w:rFonts w:ascii="Arial" w:eastAsia="Times New Roman" w:hAnsi="Arial" w:cs="Arial"/>
                      <w:sz w:val="20"/>
                      <w:szCs w:val="20"/>
                      <w:lang w:eastAsia="sl-SI"/>
                    </w:rPr>
                    <w:t>ij</w:t>
                  </w:r>
                  <w:r w:rsidR="00F1592E" w:rsidRPr="00B95D04">
                    <w:rPr>
                      <w:rFonts w:ascii="Arial" w:eastAsia="Times New Roman" w:hAnsi="Arial" w:cs="Arial"/>
                      <w:sz w:val="20"/>
                      <w:szCs w:val="20"/>
                      <w:lang w:eastAsia="sl-SI"/>
                    </w:rPr>
                    <w:t xml:space="preserve"> presega 150.000 </w:t>
                  </w:r>
                  <w:proofErr w:type="spellStart"/>
                  <w:r w:rsidR="00F1592E" w:rsidRPr="00B95D04">
                    <w:rPr>
                      <w:rFonts w:ascii="Arial" w:eastAsia="Times New Roman" w:hAnsi="Arial" w:cs="Arial"/>
                      <w:sz w:val="20"/>
                      <w:szCs w:val="20"/>
                      <w:lang w:eastAsia="sl-SI"/>
                    </w:rPr>
                    <w:t>eurov</w:t>
                  </w:r>
                  <w:proofErr w:type="spellEnd"/>
                  <w:r w:rsidRPr="00B95D04">
                    <w:rPr>
                      <w:rFonts w:ascii="Arial" w:eastAsia="Times New Roman" w:hAnsi="Arial" w:cs="Arial"/>
                      <w:sz w:val="20"/>
                      <w:szCs w:val="20"/>
                      <w:lang w:eastAsia="sl-SI"/>
                    </w:rPr>
                    <w:t>«.</w:t>
                  </w:r>
                </w:p>
                <w:p w14:paraId="48B02B90" w14:textId="77777777" w:rsidR="00F1592E" w:rsidRPr="00B95D04" w:rsidRDefault="00F1592E" w:rsidP="00004519">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14:paraId="507DBBEF" w14:textId="77777777" w:rsidR="00F1592E" w:rsidRPr="00B95D04" w:rsidRDefault="00F1592E" w:rsidP="00004519">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p>
                <w:p w14:paraId="1CECDBE0" w14:textId="77777777" w:rsidR="004A768E" w:rsidRPr="00B95D04" w:rsidRDefault="004A768E" w:rsidP="00004519">
                  <w:pPr>
                    <w:numPr>
                      <w:ilvl w:val="0"/>
                      <w:numId w:val="22"/>
                    </w:numPr>
                    <w:tabs>
                      <w:tab w:val="left" w:pos="318"/>
                    </w:tabs>
                    <w:suppressAutoHyphens/>
                    <w:overflowPunct w:val="0"/>
                    <w:autoSpaceDE w:val="0"/>
                    <w:autoSpaceDN w:val="0"/>
                    <w:adjustRightInd w:val="0"/>
                    <w:spacing w:after="0" w:line="260" w:lineRule="exact"/>
                    <w:ind w:left="34" w:firstLine="0"/>
                    <w:jc w:val="center"/>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člen</w:t>
                  </w:r>
                </w:p>
                <w:p w14:paraId="344376F4" w14:textId="77777777" w:rsidR="00131F98" w:rsidRPr="00B95D04" w:rsidRDefault="00131F98" w:rsidP="004B2E14">
                  <w:pPr>
                    <w:tabs>
                      <w:tab w:val="left" w:pos="318"/>
                    </w:tabs>
                    <w:suppressAutoHyphens/>
                    <w:overflowPunct w:val="0"/>
                    <w:autoSpaceDE w:val="0"/>
                    <w:autoSpaceDN w:val="0"/>
                    <w:adjustRightInd w:val="0"/>
                    <w:spacing w:after="0" w:line="260" w:lineRule="exact"/>
                    <w:ind w:left="34"/>
                    <w:textAlignment w:val="baseline"/>
                    <w:outlineLvl w:val="3"/>
                    <w:rPr>
                      <w:rFonts w:ascii="Arial" w:eastAsia="Times New Roman" w:hAnsi="Arial" w:cs="Arial"/>
                      <w:sz w:val="20"/>
                      <w:szCs w:val="20"/>
                      <w:lang w:eastAsia="sl-SI"/>
                    </w:rPr>
                  </w:pPr>
                </w:p>
                <w:p w14:paraId="21AA70A7" w14:textId="28C68939" w:rsidR="00522575" w:rsidRPr="00B95D04" w:rsidRDefault="00522575" w:rsidP="00522575">
                  <w:pPr>
                    <w:tabs>
                      <w:tab w:val="left" w:pos="318"/>
                    </w:tabs>
                    <w:suppressAutoHyphens/>
                    <w:overflowPunct w:val="0"/>
                    <w:autoSpaceDE w:val="0"/>
                    <w:autoSpaceDN w:val="0"/>
                    <w:adjustRightInd w:val="0"/>
                    <w:spacing w:after="0" w:line="260" w:lineRule="exact"/>
                    <w:ind w:left="34"/>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 xml:space="preserve">Za tretjim odstavkom </w:t>
                  </w:r>
                  <w:proofErr w:type="spellStart"/>
                  <w:r w:rsidRPr="00B95D04">
                    <w:rPr>
                      <w:rFonts w:ascii="Arial" w:eastAsia="Times New Roman" w:hAnsi="Arial" w:cs="Arial"/>
                      <w:sz w:val="20"/>
                      <w:szCs w:val="20"/>
                      <w:lang w:eastAsia="sl-SI"/>
                    </w:rPr>
                    <w:t>67.d</w:t>
                  </w:r>
                  <w:proofErr w:type="spellEnd"/>
                  <w:r w:rsidRPr="00B95D04">
                    <w:rPr>
                      <w:rFonts w:ascii="Arial" w:eastAsia="Times New Roman" w:hAnsi="Arial" w:cs="Arial"/>
                      <w:sz w:val="20"/>
                      <w:szCs w:val="20"/>
                      <w:lang w:eastAsia="sl-SI"/>
                    </w:rPr>
                    <w:t xml:space="preserve"> člena se dodajo novi četrti, peti</w:t>
                  </w:r>
                  <w:r w:rsidR="00D11C7B" w:rsidRPr="00B95D04">
                    <w:rPr>
                      <w:rFonts w:ascii="Arial" w:eastAsia="Times New Roman" w:hAnsi="Arial" w:cs="Arial"/>
                      <w:sz w:val="20"/>
                      <w:szCs w:val="20"/>
                      <w:lang w:eastAsia="sl-SI"/>
                    </w:rPr>
                    <w:t xml:space="preserve">, šesti in sedmi </w:t>
                  </w:r>
                  <w:r w:rsidRPr="00B95D04">
                    <w:rPr>
                      <w:rFonts w:ascii="Arial" w:eastAsia="Times New Roman" w:hAnsi="Arial" w:cs="Arial"/>
                      <w:sz w:val="20"/>
                      <w:szCs w:val="20"/>
                      <w:lang w:eastAsia="sl-SI"/>
                    </w:rPr>
                    <w:t>odstavek, ki se glasijo:</w:t>
                  </w:r>
                </w:p>
                <w:p w14:paraId="61185C78" w14:textId="6A076874" w:rsidR="000B29D6" w:rsidRPr="00B95D04" w:rsidRDefault="00522575" w:rsidP="000B29D6">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 xml:space="preserve">»(4) </w:t>
                  </w:r>
                  <w:r w:rsidR="000B29D6" w:rsidRPr="00B95D04">
                    <w:rPr>
                      <w:rFonts w:ascii="Arial" w:eastAsia="Times New Roman" w:hAnsi="Arial" w:cs="Arial"/>
                      <w:sz w:val="20"/>
                      <w:szCs w:val="20"/>
                      <w:lang w:eastAsia="sl-SI"/>
                    </w:rPr>
                    <w:t xml:space="preserve">Za potrebe določanja višine prihodkov iz </w:t>
                  </w:r>
                  <w:proofErr w:type="spellStart"/>
                  <w:r w:rsidR="000B29D6" w:rsidRPr="00B95D04">
                    <w:rPr>
                      <w:rFonts w:ascii="Arial" w:eastAsia="Times New Roman" w:hAnsi="Arial" w:cs="Arial"/>
                      <w:sz w:val="20"/>
                      <w:szCs w:val="20"/>
                      <w:lang w:eastAsia="sl-SI"/>
                    </w:rPr>
                    <w:t>67.b</w:t>
                  </w:r>
                  <w:proofErr w:type="spellEnd"/>
                  <w:r w:rsidR="000B29D6" w:rsidRPr="00B95D04">
                    <w:rPr>
                      <w:rFonts w:ascii="Arial" w:eastAsia="Times New Roman" w:hAnsi="Arial" w:cs="Arial"/>
                      <w:sz w:val="20"/>
                      <w:szCs w:val="20"/>
                      <w:lang w:eastAsia="sl-SI"/>
                    </w:rPr>
                    <w:t xml:space="preserve"> člena tega zakona se za poseben primer šteje, če gre za povezanost med osebami. </w:t>
                  </w:r>
                </w:p>
                <w:p w14:paraId="7EA064CC" w14:textId="77777777" w:rsidR="000B29D6" w:rsidRPr="00B95D04" w:rsidRDefault="000B29D6" w:rsidP="000B29D6">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14:paraId="6A47D3F4" w14:textId="3D0FEC76" w:rsidR="000B29D6" w:rsidRPr="00B95D04" w:rsidRDefault="000B29D6" w:rsidP="000B29D6">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(5) Za ugotavljanje povezanih oseb po četrtem odstavku tega člena se uporabljajo opredelitve iz 16. in 17. člena tega zakona. Za družinske člane se štejejo tudi bratje in sestre.</w:t>
                  </w:r>
                </w:p>
                <w:p w14:paraId="609B1C91" w14:textId="77777777" w:rsidR="000B29D6" w:rsidRPr="00B95D04" w:rsidRDefault="000B29D6" w:rsidP="000B29D6">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14:paraId="7173ED58" w14:textId="5A3B6245" w:rsidR="00522575" w:rsidRPr="00B95D04" w:rsidRDefault="000B29D6" w:rsidP="000B29D6">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 xml:space="preserve">(6) V primeru iz četrtega in petega odstavka tega člena se v prihodke po </w:t>
                  </w:r>
                  <w:proofErr w:type="spellStart"/>
                  <w:r w:rsidRPr="00B95D04">
                    <w:rPr>
                      <w:rFonts w:ascii="Arial" w:eastAsia="Times New Roman" w:hAnsi="Arial" w:cs="Arial"/>
                      <w:sz w:val="20"/>
                      <w:szCs w:val="20"/>
                      <w:lang w:eastAsia="sl-SI"/>
                    </w:rPr>
                    <w:t>67.b</w:t>
                  </w:r>
                  <w:proofErr w:type="spellEnd"/>
                  <w:r w:rsidRPr="00B95D04">
                    <w:rPr>
                      <w:rFonts w:ascii="Arial" w:eastAsia="Times New Roman" w:hAnsi="Arial" w:cs="Arial"/>
                      <w:sz w:val="20"/>
                      <w:szCs w:val="20"/>
                      <w:lang w:eastAsia="sl-SI"/>
                    </w:rPr>
                    <w:t xml:space="preserve"> členu štejejo prihodki zavezanca in povezanih oseb.</w:t>
                  </w:r>
                </w:p>
                <w:p w14:paraId="2C613E86" w14:textId="77777777" w:rsidR="000B29D6" w:rsidRPr="00B95D04" w:rsidRDefault="000B29D6" w:rsidP="000B29D6">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14:paraId="789B0940" w14:textId="125684F0" w:rsidR="0026722F" w:rsidRPr="00B95D04" w:rsidRDefault="000B29D6" w:rsidP="000B29D6">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 xml:space="preserve">(7) </w:t>
                  </w:r>
                  <w:r w:rsidR="00E978A2" w:rsidRPr="00B95D04">
                    <w:rPr>
                      <w:rFonts w:ascii="Arial" w:eastAsia="Times New Roman" w:hAnsi="Arial" w:cs="Arial"/>
                      <w:sz w:val="20"/>
                      <w:szCs w:val="20"/>
                      <w:lang w:eastAsia="sl-SI"/>
                    </w:rPr>
                    <w:t>Prejšnji</w:t>
                  </w:r>
                  <w:r w:rsidRPr="00B95D04">
                    <w:rPr>
                      <w:rFonts w:ascii="Arial" w:eastAsia="Times New Roman" w:hAnsi="Arial" w:cs="Arial"/>
                      <w:sz w:val="20"/>
                      <w:szCs w:val="20"/>
                      <w:lang w:eastAsia="sl-SI"/>
                    </w:rPr>
                    <w:t xml:space="preserve"> odstavek se ne uporablja, če zavezanec dokaže, da glavni </w:t>
                  </w:r>
                  <w:r w:rsidR="00074902" w:rsidRPr="00B95D04">
                    <w:rPr>
                      <w:rFonts w:ascii="Arial" w:eastAsia="Times New Roman" w:hAnsi="Arial" w:cs="Arial"/>
                      <w:sz w:val="20"/>
                      <w:szCs w:val="20"/>
                      <w:lang w:eastAsia="sl-SI"/>
                    </w:rPr>
                    <w:t xml:space="preserve">namen </w:t>
                  </w:r>
                  <w:r w:rsidRPr="00B95D04">
                    <w:rPr>
                      <w:rFonts w:ascii="Arial" w:eastAsia="Times New Roman" w:hAnsi="Arial" w:cs="Arial"/>
                      <w:sz w:val="20"/>
                      <w:szCs w:val="20"/>
                      <w:lang w:eastAsia="sl-SI"/>
                    </w:rPr>
                    <w:t xml:space="preserve">ali eden </w:t>
                  </w:r>
                  <w:r w:rsidR="008C4E4E" w:rsidRPr="00B95D04">
                    <w:rPr>
                      <w:rFonts w:ascii="Arial" w:eastAsia="Times New Roman" w:hAnsi="Arial" w:cs="Arial"/>
                      <w:sz w:val="20"/>
                      <w:szCs w:val="20"/>
                      <w:lang w:eastAsia="sl-SI"/>
                    </w:rPr>
                    <w:t xml:space="preserve">od </w:t>
                  </w:r>
                  <w:r w:rsidRPr="00B95D04">
                    <w:rPr>
                      <w:rFonts w:ascii="Arial" w:eastAsia="Times New Roman" w:hAnsi="Arial" w:cs="Arial"/>
                      <w:sz w:val="20"/>
                      <w:szCs w:val="20"/>
                      <w:lang w:eastAsia="sl-SI"/>
                    </w:rPr>
                    <w:t xml:space="preserve">glavnih namenov za shemo poslovanja ni izpolnjevanje </w:t>
                  </w:r>
                  <w:r w:rsidR="008C4E4E" w:rsidRPr="00B95D04">
                    <w:rPr>
                      <w:rFonts w:ascii="Arial" w:eastAsia="Times New Roman" w:hAnsi="Arial" w:cs="Arial"/>
                      <w:sz w:val="20"/>
                      <w:szCs w:val="20"/>
                      <w:lang w:eastAsia="sl-SI"/>
                    </w:rPr>
                    <w:t>pogojev za ugotavljanje davčne osnove z upoštevanjem normiranih odhodkov</w:t>
                  </w:r>
                  <w:r w:rsidRPr="00B95D04">
                    <w:rPr>
                      <w:rFonts w:ascii="Arial" w:eastAsia="Times New Roman" w:hAnsi="Arial" w:cs="Arial"/>
                      <w:sz w:val="20"/>
                      <w:szCs w:val="20"/>
                      <w:lang w:eastAsia="sl-SI"/>
                    </w:rPr>
                    <w:t>.</w:t>
                  </w:r>
                  <w:r w:rsidR="0026722F" w:rsidRPr="00B95D04">
                    <w:rPr>
                      <w:rFonts w:ascii="Arial" w:eastAsia="Times New Roman" w:hAnsi="Arial" w:cs="Arial"/>
                      <w:sz w:val="20"/>
                      <w:szCs w:val="20"/>
                      <w:lang w:eastAsia="sl-SI"/>
                    </w:rPr>
                    <w:t>«.</w:t>
                  </w:r>
                </w:p>
                <w:p w14:paraId="4DE03CC5" w14:textId="7B7FF553" w:rsidR="00004519" w:rsidRPr="00B95D04" w:rsidRDefault="00004519" w:rsidP="00004519">
                  <w:pPr>
                    <w:tabs>
                      <w:tab w:val="left" w:pos="318"/>
                    </w:tabs>
                    <w:suppressAutoHyphens/>
                    <w:overflowPunct w:val="0"/>
                    <w:autoSpaceDE w:val="0"/>
                    <w:autoSpaceDN w:val="0"/>
                    <w:adjustRightInd w:val="0"/>
                    <w:spacing w:after="0" w:line="260" w:lineRule="exact"/>
                    <w:ind w:left="34"/>
                    <w:textAlignment w:val="baseline"/>
                    <w:outlineLvl w:val="3"/>
                    <w:rPr>
                      <w:rFonts w:ascii="Arial" w:eastAsia="Times New Roman" w:hAnsi="Arial" w:cs="Arial"/>
                      <w:sz w:val="20"/>
                      <w:szCs w:val="20"/>
                      <w:lang w:eastAsia="sl-SI"/>
                    </w:rPr>
                  </w:pPr>
                </w:p>
                <w:p w14:paraId="0A62B127" w14:textId="77777777" w:rsidR="005721E8" w:rsidRPr="00B95D04" w:rsidRDefault="005721E8" w:rsidP="00004519">
                  <w:pPr>
                    <w:tabs>
                      <w:tab w:val="left" w:pos="318"/>
                    </w:tabs>
                    <w:suppressAutoHyphens/>
                    <w:overflowPunct w:val="0"/>
                    <w:autoSpaceDE w:val="0"/>
                    <w:autoSpaceDN w:val="0"/>
                    <w:adjustRightInd w:val="0"/>
                    <w:spacing w:after="0" w:line="260" w:lineRule="exact"/>
                    <w:ind w:left="34"/>
                    <w:textAlignment w:val="baseline"/>
                    <w:outlineLvl w:val="3"/>
                    <w:rPr>
                      <w:rFonts w:ascii="Arial" w:eastAsia="Times New Roman" w:hAnsi="Arial" w:cs="Arial"/>
                      <w:sz w:val="20"/>
                      <w:szCs w:val="20"/>
                      <w:lang w:eastAsia="sl-SI"/>
                    </w:rPr>
                  </w:pPr>
                </w:p>
                <w:p w14:paraId="4F33376A" w14:textId="77777777" w:rsidR="004A768E" w:rsidRPr="00B95D04" w:rsidRDefault="004A768E" w:rsidP="00004519">
                  <w:pPr>
                    <w:numPr>
                      <w:ilvl w:val="0"/>
                      <w:numId w:val="22"/>
                    </w:numPr>
                    <w:tabs>
                      <w:tab w:val="left" w:pos="318"/>
                    </w:tabs>
                    <w:suppressAutoHyphens/>
                    <w:overflowPunct w:val="0"/>
                    <w:autoSpaceDE w:val="0"/>
                    <w:autoSpaceDN w:val="0"/>
                    <w:adjustRightInd w:val="0"/>
                    <w:spacing w:after="0" w:line="260" w:lineRule="exact"/>
                    <w:ind w:left="34" w:firstLine="0"/>
                    <w:jc w:val="center"/>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člen</w:t>
                  </w:r>
                </w:p>
                <w:p w14:paraId="108E3015" w14:textId="691D64C6" w:rsidR="004A768E" w:rsidRPr="00B95D04" w:rsidRDefault="004A768E" w:rsidP="00004519">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p>
                <w:p w14:paraId="03EE541C" w14:textId="2E9AFE69" w:rsidR="004A768E" w:rsidRPr="00B95D04" w:rsidRDefault="004A768E" w:rsidP="00004519">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hAnsi="Arial" w:cs="Arial"/>
                      <w:sz w:val="20"/>
                      <w:szCs w:val="20"/>
                    </w:rPr>
                  </w:pPr>
                  <w:r w:rsidRPr="00B95D04">
                    <w:rPr>
                      <w:rFonts w:ascii="Arial" w:hAnsi="Arial" w:cs="Arial"/>
                      <w:color w:val="000000"/>
                      <w:sz w:val="20"/>
                      <w:szCs w:val="20"/>
                    </w:rPr>
                    <w:t xml:space="preserve">V prvem odstavku </w:t>
                  </w:r>
                  <w:proofErr w:type="spellStart"/>
                  <w:r w:rsidRPr="00B95D04">
                    <w:rPr>
                      <w:rFonts w:ascii="Arial" w:hAnsi="Arial" w:cs="Arial"/>
                      <w:color w:val="000000"/>
                      <w:sz w:val="20"/>
                      <w:szCs w:val="20"/>
                    </w:rPr>
                    <w:t>67.e</w:t>
                  </w:r>
                  <w:proofErr w:type="spellEnd"/>
                  <w:r w:rsidRPr="00B95D04">
                    <w:rPr>
                      <w:rFonts w:ascii="Arial" w:hAnsi="Arial" w:cs="Arial"/>
                      <w:color w:val="000000"/>
                      <w:sz w:val="20"/>
                      <w:szCs w:val="20"/>
                    </w:rPr>
                    <w:t xml:space="preserve"> člena se </w:t>
                  </w:r>
                  <w:r w:rsidR="00D61996" w:rsidRPr="00B95D04">
                    <w:rPr>
                      <w:rFonts w:ascii="Arial" w:hAnsi="Arial" w:cs="Arial"/>
                      <w:sz w:val="20"/>
                      <w:szCs w:val="20"/>
                    </w:rPr>
                    <w:t xml:space="preserve">pred piko </w:t>
                  </w:r>
                  <w:r w:rsidRPr="00B95D04">
                    <w:rPr>
                      <w:rFonts w:ascii="Arial" w:hAnsi="Arial" w:cs="Arial"/>
                      <w:sz w:val="20"/>
                      <w:szCs w:val="20"/>
                    </w:rPr>
                    <w:t xml:space="preserve">doda besedilo »vendar ne več kot </w:t>
                  </w:r>
                  <w:r w:rsidR="00D94734" w:rsidRPr="00B95D04">
                    <w:rPr>
                      <w:rFonts w:ascii="Arial" w:hAnsi="Arial" w:cs="Arial"/>
                      <w:sz w:val="20"/>
                      <w:szCs w:val="20"/>
                    </w:rPr>
                    <w:t>40</w:t>
                  </w:r>
                  <w:r w:rsidRPr="00B95D04">
                    <w:rPr>
                      <w:rFonts w:ascii="Arial" w:hAnsi="Arial" w:cs="Arial"/>
                      <w:sz w:val="20"/>
                      <w:szCs w:val="20"/>
                    </w:rPr>
                    <w:t xml:space="preserve">.000 </w:t>
                  </w:r>
                  <w:proofErr w:type="spellStart"/>
                  <w:r w:rsidRPr="00B95D04">
                    <w:rPr>
                      <w:rFonts w:ascii="Arial" w:hAnsi="Arial" w:cs="Arial"/>
                      <w:sz w:val="20"/>
                      <w:szCs w:val="20"/>
                    </w:rPr>
                    <w:t>eurov</w:t>
                  </w:r>
                  <w:proofErr w:type="spellEnd"/>
                  <w:r w:rsidRPr="00B95D04">
                    <w:rPr>
                      <w:rFonts w:ascii="Arial" w:hAnsi="Arial" w:cs="Arial"/>
                      <w:sz w:val="20"/>
                      <w:szCs w:val="20"/>
                    </w:rPr>
                    <w:t xml:space="preserve"> ali </w:t>
                  </w:r>
                  <w:r w:rsidR="00D94734" w:rsidRPr="00B95D04">
                    <w:rPr>
                      <w:rFonts w:ascii="Arial" w:hAnsi="Arial" w:cs="Arial"/>
                      <w:sz w:val="20"/>
                      <w:szCs w:val="20"/>
                    </w:rPr>
                    <w:t>8</w:t>
                  </w:r>
                  <w:r w:rsidRPr="00B95D04">
                    <w:rPr>
                      <w:rFonts w:ascii="Arial" w:hAnsi="Arial" w:cs="Arial"/>
                      <w:sz w:val="20"/>
                      <w:szCs w:val="20"/>
                    </w:rPr>
                    <w:t xml:space="preserve">0.000 </w:t>
                  </w:r>
                  <w:proofErr w:type="spellStart"/>
                  <w:r w:rsidRPr="00B95D04">
                    <w:rPr>
                      <w:rFonts w:ascii="Arial" w:hAnsi="Arial" w:cs="Arial"/>
                      <w:sz w:val="20"/>
                      <w:szCs w:val="20"/>
                    </w:rPr>
                    <w:t>eurov</w:t>
                  </w:r>
                  <w:proofErr w:type="spellEnd"/>
                  <w:r w:rsidRPr="00B95D04">
                    <w:rPr>
                      <w:rFonts w:ascii="Arial" w:hAnsi="Arial" w:cs="Arial"/>
                      <w:sz w:val="20"/>
                      <w:szCs w:val="20"/>
                    </w:rPr>
                    <w:t xml:space="preserve">, </w:t>
                  </w:r>
                  <w:r w:rsidR="00D61996" w:rsidRPr="00B95D04">
                    <w:rPr>
                      <w:rFonts w:ascii="Arial" w:hAnsi="Arial" w:cs="Arial"/>
                      <w:sz w:val="20"/>
                      <w:szCs w:val="20"/>
                    </w:rPr>
                    <w:t xml:space="preserve">če je bila v </w:t>
                  </w:r>
                  <w:r w:rsidR="00946953" w:rsidRPr="00B95D04">
                    <w:rPr>
                      <w:rFonts w:ascii="Arial" w:hAnsi="Arial" w:cs="Arial"/>
                      <w:sz w:val="20"/>
                      <w:szCs w:val="20"/>
                    </w:rPr>
                    <w:t>davčnem obdobju</w:t>
                  </w:r>
                  <w:r w:rsidR="00D61996" w:rsidRPr="00B95D04">
                    <w:rPr>
                      <w:rFonts w:ascii="Arial" w:hAnsi="Arial" w:cs="Arial"/>
                      <w:sz w:val="20"/>
                      <w:szCs w:val="20"/>
                    </w:rPr>
                    <w:t>, za katero se uveljavlja ugotavljanje davčne osnove z upoštevanjem normiranih odhodkov</w:t>
                  </w:r>
                  <w:r w:rsidR="0024238E" w:rsidRPr="00B95D04">
                    <w:rPr>
                      <w:rFonts w:ascii="Arial" w:hAnsi="Arial" w:cs="Arial"/>
                      <w:sz w:val="20"/>
                      <w:szCs w:val="20"/>
                    </w:rPr>
                    <w:t>,</w:t>
                  </w:r>
                  <w:r w:rsidR="00D61996" w:rsidRPr="00B95D04">
                    <w:rPr>
                      <w:rFonts w:ascii="Arial" w:hAnsi="Arial" w:cs="Arial"/>
                      <w:sz w:val="20"/>
                      <w:szCs w:val="20"/>
                    </w:rPr>
                    <w:t xml:space="preserve"> </w:t>
                  </w:r>
                  <w:r w:rsidRPr="00B95D04">
                    <w:rPr>
                      <w:rFonts w:ascii="Arial" w:hAnsi="Arial" w:cs="Arial"/>
                      <w:sz w:val="20"/>
                      <w:szCs w:val="20"/>
                    </w:rPr>
                    <w:t xml:space="preserve">v skladu </w:t>
                  </w:r>
                  <w:r w:rsidR="0024238E" w:rsidRPr="00B95D04">
                    <w:rPr>
                      <w:rFonts w:ascii="Arial" w:hAnsi="Arial" w:cs="Arial"/>
                      <w:sz w:val="20"/>
                      <w:szCs w:val="20"/>
                    </w:rPr>
                    <w:t xml:space="preserve">s </w:t>
                  </w:r>
                  <w:r w:rsidRPr="00B95D04">
                    <w:rPr>
                      <w:rFonts w:ascii="Arial" w:hAnsi="Arial" w:cs="Arial"/>
                      <w:sz w:val="20"/>
                      <w:szCs w:val="20"/>
                    </w:rPr>
                    <w:t>predpisi, ki urejajo pokojninsko in invalidsko zavarovanje, pri zavezancu obvezno zavarovana vsaj ena oseba za polni delovni čas neprekinjeno najmanj pet mesecev«.</w:t>
                  </w:r>
                </w:p>
                <w:p w14:paraId="6D88CA06" w14:textId="77777777" w:rsidR="00942C82" w:rsidRPr="00B95D04" w:rsidRDefault="00942C82" w:rsidP="00004519">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p>
                <w:p w14:paraId="7F0D558B" w14:textId="77777777" w:rsidR="00004519" w:rsidRPr="00B95D04" w:rsidRDefault="00004519" w:rsidP="00004519">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p>
                <w:p w14:paraId="6D88CA07" w14:textId="1F088181" w:rsidR="00D74108" w:rsidRPr="00B95D04" w:rsidRDefault="008D1B72" w:rsidP="00004519">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 xml:space="preserve">PREHODNA IN </w:t>
                  </w:r>
                  <w:r w:rsidR="00D74108" w:rsidRPr="00B95D04">
                    <w:rPr>
                      <w:rFonts w:ascii="Arial" w:eastAsia="Times New Roman" w:hAnsi="Arial" w:cs="Arial"/>
                      <w:sz w:val="20"/>
                      <w:szCs w:val="20"/>
                      <w:lang w:eastAsia="sl-SI"/>
                    </w:rPr>
                    <w:t>KONČNA DOLOČBA</w:t>
                  </w:r>
                </w:p>
                <w:p w14:paraId="6D88CA09" w14:textId="77777777" w:rsidR="00D74108" w:rsidRPr="00B95D04" w:rsidRDefault="00D74108" w:rsidP="00004519">
                  <w:pPr>
                    <w:numPr>
                      <w:ilvl w:val="0"/>
                      <w:numId w:val="22"/>
                    </w:numPr>
                    <w:tabs>
                      <w:tab w:val="left" w:pos="318"/>
                    </w:tabs>
                    <w:suppressAutoHyphens/>
                    <w:overflowPunct w:val="0"/>
                    <w:autoSpaceDE w:val="0"/>
                    <w:autoSpaceDN w:val="0"/>
                    <w:adjustRightInd w:val="0"/>
                    <w:spacing w:after="0" w:line="260" w:lineRule="exact"/>
                    <w:ind w:left="34" w:firstLine="0"/>
                    <w:jc w:val="center"/>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člen</w:t>
                  </w:r>
                </w:p>
                <w:p w14:paraId="6D88CA0A" w14:textId="77777777" w:rsidR="00CC4D4E" w:rsidRPr="00B95D04" w:rsidRDefault="00C1589A" w:rsidP="00004519">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w:t>
                  </w:r>
                  <w:r w:rsidR="00CC4D4E" w:rsidRPr="00B95D04">
                    <w:rPr>
                      <w:rFonts w:ascii="Arial" w:eastAsia="Times New Roman" w:hAnsi="Arial" w:cs="Arial"/>
                      <w:sz w:val="20"/>
                      <w:szCs w:val="20"/>
                      <w:lang w:eastAsia="sl-SI"/>
                    </w:rPr>
                    <w:t>začetek veljavnosti in uporabe)</w:t>
                  </w:r>
                </w:p>
                <w:p w14:paraId="6D88CA0B" w14:textId="77777777" w:rsidR="00D74108" w:rsidRPr="00B95D04" w:rsidRDefault="00D74108" w:rsidP="00004519">
                  <w:pPr>
                    <w:tabs>
                      <w:tab w:val="left" w:pos="318"/>
                    </w:tabs>
                    <w:suppressAutoHyphens/>
                    <w:overflowPunct w:val="0"/>
                    <w:autoSpaceDE w:val="0"/>
                    <w:autoSpaceDN w:val="0"/>
                    <w:adjustRightInd w:val="0"/>
                    <w:spacing w:after="0" w:line="260" w:lineRule="exact"/>
                    <w:ind w:left="34"/>
                    <w:jc w:val="center"/>
                    <w:textAlignment w:val="baseline"/>
                    <w:outlineLvl w:val="3"/>
                    <w:rPr>
                      <w:rFonts w:ascii="Arial" w:eastAsia="Times New Roman" w:hAnsi="Arial" w:cs="Arial"/>
                      <w:sz w:val="20"/>
                      <w:szCs w:val="20"/>
                      <w:lang w:eastAsia="sl-SI"/>
                    </w:rPr>
                  </w:pPr>
                </w:p>
                <w:p w14:paraId="6D88CA0C" w14:textId="628E2DA5" w:rsidR="00D74108" w:rsidRPr="00B95D04" w:rsidRDefault="000E2EE7" w:rsidP="000E2EE7">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 xml:space="preserve">(1) </w:t>
                  </w:r>
                  <w:r w:rsidR="00D74108" w:rsidRPr="00B95D04">
                    <w:rPr>
                      <w:rFonts w:ascii="Arial" w:eastAsia="Times New Roman" w:hAnsi="Arial" w:cs="Arial"/>
                      <w:sz w:val="20"/>
                      <w:szCs w:val="20"/>
                      <w:lang w:eastAsia="sl-SI"/>
                    </w:rPr>
                    <w:t>Ta zakon začne veljati naslednji dan po objavi v Uradnem listu Republike Slovenije, uporablja</w:t>
                  </w:r>
                  <w:r w:rsidR="00CC4D4E" w:rsidRPr="00B95D04">
                    <w:rPr>
                      <w:rFonts w:ascii="Arial" w:eastAsia="Times New Roman" w:hAnsi="Arial" w:cs="Arial"/>
                      <w:sz w:val="20"/>
                      <w:szCs w:val="20"/>
                      <w:lang w:eastAsia="sl-SI"/>
                    </w:rPr>
                    <w:t>ti</w:t>
                  </w:r>
                  <w:r w:rsidR="00D74108" w:rsidRPr="00B95D04">
                    <w:rPr>
                      <w:rFonts w:ascii="Arial" w:eastAsia="Times New Roman" w:hAnsi="Arial" w:cs="Arial"/>
                      <w:sz w:val="20"/>
                      <w:szCs w:val="20"/>
                      <w:lang w:eastAsia="sl-SI"/>
                    </w:rPr>
                    <w:t xml:space="preserve"> pa se </w:t>
                  </w:r>
                  <w:r w:rsidR="00CC4D4E" w:rsidRPr="00B95D04">
                    <w:rPr>
                      <w:rFonts w:ascii="Arial" w:eastAsia="Times New Roman" w:hAnsi="Arial" w:cs="Arial"/>
                      <w:sz w:val="20"/>
                      <w:szCs w:val="20"/>
                      <w:lang w:eastAsia="sl-SI"/>
                    </w:rPr>
                    <w:t xml:space="preserve">začne </w:t>
                  </w:r>
                  <w:r w:rsidR="00D74108" w:rsidRPr="00B95D04">
                    <w:rPr>
                      <w:rFonts w:ascii="Arial" w:eastAsia="Times New Roman" w:hAnsi="Arial" w:cs="Arial"/>
                      <w:sz w:val="20"/>
                      <w:szCs w:val="20"/>
                      <w:lang w:eastAsia="sl-SI"/>
                    </w:rPr>
                    <w:t>1. januarja 201</w:t>
                  </w:r>
                  <w:r w:rsidR="00942C82" w:rsidRPr="00B95D04">
                    <w:rPr>
                      <w:rFonts w:ascii="Arial" w:eastAsia="Times New Roman" w:hAnsi="Arial" w:cs="Arial"/>
                      <w:sz w:val="20"/>
                      <w:szCs w:val="20"/>
                      <w:lang w:eastAsia="sl-SI"/>
                    </w:rPr>
                    <w:t>8</w:t>
                  </w:r>
                  <w:r w:rsidR="00D74108" w:rsidRPr="00B95D04">
                    <w:rPr>
                      <w:rFonts w:ascii="Arial" w:eastAsia="Times New Roman" w:hAnsi="Arial" w:cs="Arial"/>
                      <w:sz w:val="20"/>
                      <w:szCs w:val="20"/>
                      <w:lang w:eastAsia="sl-SI"/>
                    </w:rPr>
                    <w:t>.</w:t>
                  </w:r>
                </w:p>
                <w:p w14:paraId="64D8A1D7" w14:textId="77777777" w:rsidR="000E2EE7" w:rsidRPr="00B95D04" w:rsidRDefault="000E2EE7" w:rsidP="000E2EE7">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14:paraId="03CC70FC" w14:textId="3079040C" w:rsidR="000E2EE7" w:rsidRPr="00B95D04" w:rsidRDefault="000E2EE7" w:rsidP="000E2EE7">
                  <w:pPr>
                    <w:pStyle w:val="NoSpacing"/>
                    <w:spacing w:line="260" w:lineRule="exact"/>
                    <w:jc w:val="both"/>
                    <w:rPr>
                      <w:rFonts w:ascii="Arial" w:hAnsi="Arial" w:cs="Arial"/>
                      <w:sz w:val="20"/>
                      <w:szCs w:val="20"/>
                    </w:rPr>
                  </w:pPr>
                  <w:r w:rsidRPr="00B95D04">
                    <w:rPr>
                      <w:rFonts w:ascii="Arial" w:hAnsi="Arial" w:cs="Arial"/>
                      <w:sz w:val="20"/>
                      <w:szCs w:val="20"/>
                    </w:rPr>
                    <w:t xml:space="preserve">(2) Do začetka uporabe spremenjenega </w:t>
                  </w:r>
                  <w:proofErr w:type="spellStart"/>
                  <w:r w:rsidRPr="00B95D04">
                    <w:rPr>
                      <w:rFonts w:ascii="Arial" w:hAnsi="Arial" w:cs="Arial"/>
                      <w:sz w:val="20"/>
                      <w:szCs w:val="20"/>
                    </w:rPr>
                    <w:t>67.c</w:t>
                  </w:r>
                  <w:proofErr w:type="spellEnd"/>
                  <w:r w:rsidRPr="00B95D04">
                    <w:rPr>
                      <w:rFonts w:ascii="Arial" w:hAnsi="Arial" w:cs="Arial"/>
                      <w:sz w:val="20"/>
                      <w:szCs w:val="20"/>
                    </w:rPr>
                    <w:t xml:space="preserve"> in </w:t>
                  </w:r>
                  <w:proofErr w:type="spellStart"/>
                  <w:r w:rsidRPr="00B95D04">
                    <w:rPr>
                      <w:rFonts w:ascii="Arial" w:hAnsi="Arial" w:cs="Arial"/>
                      <w:sz w:val="20"/>
                      <w:szCs w:val="20"/>
                    </w:rPr>
                    <w:t>67.e</w:t>
                  </w:r>
                  <w:proofErr w:type="spellEnd"/>
                  <w:r w:rsidRPr="00B95D04">
                    <w:rPr>
                      <w:rFonts w:ascii="Arial" w:hAnsi="Arial" w:cs="Arial"/>
                      <w:sz w:val="20"/>
                      <w:szCs w:val="20"/>
                    </w:rPr>
                    <w:t xml:space="preserve"> člena </w:t>
                  </w:r>
                  <w:r w:rsidR="00E978A2" w:rsidRPr="00B95D04">
                    <w:rPr>
                      <w:rFonts w:ascii="Arial" w:hAnsi="Arial" w:cs="Arial"/>
                      <w:sz w:val="20"/>
                      <w:szCs w:val="20"/>
                    </w:rPr>
                    <w:t xml:space="preserve">zakona </w:t>
                  </w:r>
                  <w:r w:rsidRPr="00B95D04">
                    <w:rPr>
                      <w:rFonts w:ascii="Arial" w:hAnsi="Arial" w:cs="Arial"/>
                      <w:sz w:val="20"/>
                      <w:szCs w:val="20"/>
                    </w:rPr>
                    <w:t xml:space="preserve">se uporabljajo določbe </w:t>
                  </w:r>
                  <w:proofErr w:type="spellStart"/>
                  <w:r w:rsidRPr="00B95D04">
                    <w:rPr>
                      <w:rFonts w:ascii="Arial" w:hAnsi="Arial" w:cs="Arial"/>
                      <w:sz w:val="20"/>
                      <w:szCs w:val="20"/>
                    </w:rPr>
                    <w:t>67.c</w:t>
                  </w:r>
                  <w:proofErr w:type="spellEnd"/>
                  <w:r w:rsidRPr="00B95D04">
                    <w:rPr>
                      <w:rFonts w:ascii="Arial" w:hAnsi="Arial" w:cs="Arial"/>
                      <w:sz w:val="20"/>
                      <w:szCs w:val="20"/>
                    </w:rPr>
                    <w:t xml:space="preserve"> in </w:t>
                  </w:r>
                  <w:proofErr w:type="spellStart"/>
                  <w:r w:rsidRPr="00B95D04">
                    <w:rPr>
                      <w:rFonts w:ascii="Arial" w:hAnsi="Arial" w:cs="Arial"/>
                      <w:sz w:val="20"/>
                      <w:szCs w:val="20"/>
                    </w:rPr>
                    <w:t>67.e</w:t>
                  </w:r>
                  <w:proofErr w:type="spellEnd"/>
                  <w:r w:rsidRPr="00B95D04">
                    <w:rPr>
                      <w:rFonts w:ascii="Arial" w:hAnsi="Arial" w:cs="Arial"/>
                      <w:sz w:val="20"/>
                      <w:szCs w:val="20"/>
                    </w:rPr>
                    <w:t xml:space="preserve"> člena Zakona o davku od dohodkov pravnih oseb (Uradni list RS, št. 117/06, 56/08, 76/08, 5/09, 96/09, 110/09 – ZDavP-2B, 43/10, 59/11, 24/12, 30/12, 94/12, 81/13, 50/14, 23/15, 82/15 in 68/16).</w:t>
                  </w:r>
                </w:p>
                <w:p w14:paraId="76BD1E67" w14:textId="77777777" w:rsidR="000E2EE7" w:rsidRPr="00B95D04" w:rsidRDefault="000E2EE7" w:rsidP="00004519">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14:paraId="5FE78891" w14:textId="718C61B7" w:rsidR="00301FD0" w:rsidRPr="00B95D04" w:rsidRDefault="00301FD0" w:rsidP="00004519">
                  <w:pPr>
                    <w:tabs>
                      <w:tab w:val="left" w:pos="318"/>
                    </w:tabs>
                    <w:suppressAutoHyphens/>
                    <w:overflowPunct w:val="0"/>
                    <w:autoSpaceDE w:val="0"/>
                    <w:autoSpaceDN w:val="0"/>
                    <w:adjustRightInd w:val="0"/>
                    <w:spacing w:after="0" w:line="260" w:lineRule="exact"/>
                    <w:ind w:left="34"/>
                    <w:jc w:val="both"/>
                    <w:textAlignment w:val="baseline"/>
                    <w:outlineLvl w:val="3"/>
                    <w:rPr>
                      <w:rFonts w:ascii="Arial" w:eastAsia="Times New Roman" w:hAnsi="Arial" w:cs="Arial"/>
                      <w:sz w:val="20"/>
                      <w:szCs w:val="20"/>
                      <w:lang w:eastAsia="sl-SI"/>
                    </w:rPr>
                  </w:pPr>
                </w:p>
                <w:p w14:paraId="6D88CA0D" w14:textId="77777777" w:rsidR="00D74108" w:rsidRPr="00B95D04" w:rsidRDefault="00D74108" w:rsidP="00D74108">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A6A6A6"/>
                      <w:sz w:val="20"/>
                      <w:szCs w:val="20"/>
                      <w:lang w:eastAsia="sl-SI"/>
                    </w:rPr>
                  </w:pPr>
                </w:p>
              </w:tc>
            </w:tr>
            <w:tr w:rsidR="00D74108" w:rsidRPr="00B95D04" w14:paraId="6D88CA11" w14:textId="77777777" w:rsidTr="00064FC3">
              <w:tc>
                <w:tcPr>
                  <w:tcW w:w="8997" w:type="dxa"/>
                </w:tcPr>
                <w:p w14:paraId="6D88CA10" w14:textId="0DDB674A" w:rsidR="00D74108" w:rsidRPr="00B95D04" w:rsidRDefault="00D74108" w:rsidP="00D7410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95D04">
                    <w:rPr>
                      <w:rFonts w:ascii="Arial" w:hAnsi="Arial" w:cs="Arial"/>
                      <w:b/>
                      <w:sz w:val="20"/>
                      <w:szCs w:val="20"/>
                    </w:rPr>
                    <w:lastRenderedPageBreak/>
                    <w:br w:type="page"/>
                  </w:r>
                  <w:r w:rsidRPr="00B95D04">
                    <w:rPr>
                      <w:rFonts w:ascii="Arial" w:hAnsi="Arial" w:cs="Arial"/>
                      <w:sz w:val="20"/>
                      <w:szCs w:val="20"/>
                    </w:rPr>
                    <w:br w:type="page"/>
                  </w:r>
                  <w:r w:rsidRPr="00B95D04">
                    <w:rPr>
                      <w:rFonts w:ascii="Arial" w:eastAsia="Times New Roman" w:hAnsi="Arial" w:cs="Arial"/>
                      <w:b/>
                      <w:sz w:val="20"/>
                      <w:szCs w:val="20"/>
                      <w:lang w:eastAsia="sl-SI"/>
                    </w:rPr>
                    <w:t>III. OBRAZLOŽITEV</w:t>
                  </w:r>
                </w:p>
              </w:tc>
            </w:tr>
            <w:tr w:rsidR="00D74108" w:rsidRPr="00B95D04" w14:paraId="6D88CA18" w14:textId="77777777" w:rsidTr="00064FC3">
              <w:tc>
                <w:tcPr>
                  <w:tcW w:w="8997" w:type="dxa"/>
                </w:tcPr>
                <w:p w14:paraId="6D88CA12" w14:textId="7FA209CF" w:rsidR="00D74108" w:rsidRPr="00B95D04" w:rsidRDefault="00D74108" w:rsidP="00D7410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u w:val="single"/>
                      <w:lang w:eastAsia="sl-SI"/>
                    </w:rPr>
                  </w:pPr>
                  <w:r w:rsidRPr="00B95D04">
                    <w:rPr>
                      <w:rFonts w:ascii="Arial" w:eastAsia="Times New Roman" w:hAnsi="Arial" w:cs="Arial"/>
                      <w:sz w:val="20"/>
                      <w:szCs w:val="20"/>
                      <w:u w:val="single"/>
                      <w:lang w:eastAsia="sl-SI"/>
                    </w:rPr>
                    <w:t xml:space="preserve">K 1. členu </w:t>
                  </w:r>
                </w:p>
                <w:p w14:paraId="6D88CA13" w14:textId="24B61E94" w:rsidR="00D74108" w:rsidRPr="00B95D04" w:rsidRDefault="00E978A2" w:rsidP="00D7410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rPr>
                  </w:pPr>
                  <w:r w:rsidRPr="00B95D04">
                    <w:rPr>
                      <w:rFonts w:ascii="Arial" w:eastAsia="Times New Roman" w:hAnsi="Arial" w:cs="Arial"/>
                      <w:sz w:val="20"/>
                      <w:szCs w:val="20"/>
                    </w:rPr>
                    <w:t xml:space="preserve">Nov </w:t>
                  </w:r>
                  <w:proofErr w:type="spellStart"/>
                  <w:r w:rsidRPr="00B95D04">
                    <w:rPr>
                      <w:rFonts w:ascii="Arial" w:eastAsia="Times New Roman" w:hAnsi="Arial" w:cs="Arial"/>
                      <w:sz w:val="20"/>
                      <w:szCs w:val="20"/>
                    </w:rPr>
                    <w:t>15.b</w:t>
                  </w:r>
                  <w:proofErr w:type="spellEnd"/>
                  <w:r w:rsidRPr="00B95D04">
                    <w:rPr>
                      <w:rFonts w:ascii="Arial" w:eastAsia="Times New Roman" w:hAnsi="Arial" w:cs="Arial"/>
                      <w:sz w:val="20"/>
                      <w:szCs w:val="20"/>
                    </w:rPr>
                    <w:t xml:space="preserve"> č</w:t>
                  </w:r>
                  <w:r w:rsidR="00942C82" w:rsidRPr="00B95D04">
                    <w:rPr>
                      <w:rFonts w:ascii="Arial" w:eastAsia="Times New Roman" w:hAnsi="Arial" w:cs="Arial"/>
                      <w:sz w:val="20"/>
                      <w:szCs w:val="20"/>
                    </w:rPr>
                    <w:t>len zaj</w:t>
                  </w:r>
                  <w:r w:rsidR="00074902" w:rsidRPr="00B95D04">
                    <w:rPr>
                      <w:rFonts w:ascii="Arial" w:eastAsia="Times New Roman" w:hAnsi="Arial" w:cs="Arial"/>
                      <w:sz w:val="20"/>
                      <w:szCs w:val="20"/>
                    </w:rPr>
                    <w:t>ema</w:t>
                  </w:r>
                  <w:r w:rsidR="00942C82" w:rsidRPr="00B95D04">
                    <w:rPr>
                      <w:rFonts w:ascii="Arial" w:eastAsia="Times New Roman" w:hAnsi="Arial" w:cs="Arial"/>
                      <w:sz w:val="20"/>
                      <w:szCs w:val="20"/>
                    </w:rPr>
                    <w:t xml:space="preserve"> učinke prevrednotenj finančnih instrumentov po MSRP 9, ki jih ne zaj</w:t>
                  </w:r>
                  <w:r w:rsidR="00074902" w:rsidRPr="00B95D04">
                    <w:rPr>
                      <w:rFonts w:ascii="Arial" w:eastAsia="Times New Roman" w:hAnsi="Arial" w:cs="Arial"/>
                      <w:sz w:val="20"/>
                      <w:szCs w:val="20"/>
                    </w:rPr>
                    <w:t>ema</w:t>
                  </w:r>
                  <w:r w:rsidR="00942C82" w:rsidRPr="00B95D04">
                    <w:rPr>
                      <w:rFonts w:ascii="Arial" w:eastAsia="Times New Roman" w:hAnsi="Arial" w:cs="Arial"/>
                      <w:sz w:val="20"/>
                      <w:szCs w:val="20"/>
                    </w:rPr>
                    <w:t xml:space="preserve"> splošna določba 12. člena </w:t>
                  </w:r>
                  <w:r w:rsidRPr="00B95D04">
                    <w:rPr>
                      <w:rFonts w:ascii="Arial" w:eastAsia="Times New Roman" w:hAnsi="Arial" w:cs="Arial"/>
                      <w:sz w:val="20"/>
                      <w:szCs w:val="20"/>
                      <w:lang w:eastAsia="sl-SI"/>
                    </w:rPr>
                    <w:t xml:space="preserve">Zakona o davku od dohodkov pravnih oseb (Uradni list RS, št. 117/06, 56/08, 76/08, 5/09, 96/09, 110/09 – ZDavP-2B, 43/10, 59/11, 24/12, 30/12, 94/12, 81/13, 50/14, 23/15, 82/15 in 68/16; v nadaljnjem besedilu: </w:t>
                  </w:r>
                  <w:r w:rsidR="00942C82" w:rsidRPr="00B95D04">
                    <w:rPr>
                      <w:rFonts w:ascii="Arial" w:eastAsia="Times New Roman" w:hAnsi="Arial" w:cs="Arial"/>
                      <w:sz w:val="20"/>
                      <w:szCs w:val="20"/>
                    </w:rPr>
                    <w:t>ZDDPO-2</w:t>
                  </w:r>
                  <w:r w:rsidRPr="00B95D04">
                    <w:rPr>
                      <w:rFonts w:ascii="Arial" w:eastAsia="Times New Roman" w:hAnsi="Arial" w:cs="Arial"/>
                      <w:sz w:val="20"/>
                      <w:szCs w:val="20"/>
                    </w:rPr>
                    <w:t>)</w:t>
                  </w:r>
                  <w:r w:rsidR="00942C82" w:rsidRPr="00B95D04">
                    <w:rPr>
                      <w:rFonts w:ascii="Arial" w:eastAsia="Times New Roman" w:hAnsi="Arial" w:cs="Arial"/>
                      <w:sz w:val="20"/>
                      <w:szCs w:val="20"/>
                    </w:rPr>
                    <w:t>. To so učinki spremembe poštene vrednosti lastniških finančnih sredstev, ki se merijo po pošteni vrednosti z učinki v drugem vseobsegajočem donosu, in učinki sprememb poštene vrednosti zaradi spremembe (lastnega) kreditnega tveganja finančnih obveznosti, ki se merijo po pošteni vrednosti z učinki v izkazu poslovnega izida.</w:t>
                  </w:r>
                </w:p>
                <w:p w14:paraId="69D16E65" w14:textId="77777777" w:rsidR="00403D3B" w:rsidRPr="00B95D04" w:rsidRDefault="00403D3B" w:rsidP="00403D3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u w:val="single"/>
                      <w:lang w:eastAsia="sl-SI"/>
                    </w:rPr>
                  </w:pPr>
                </w:p>
                <w:p w14:paraId="73411612" w14:textId="2284F5C1" w:rsidR="00403D3B" w:rsidRPr="00B95D04" w:rsidRDefault="00403D3B" w:rsidP="00403D3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u w:val="single"/>
                      <w:lang w:eastAsia="sl-SI"/>
                    </w:rPr>
                  </w:pPr>
                  <w:r w:rsidRPr="00B95D04">
                    <w:rPr>
                      <w:rFonts w:ascii="Arial" w:eastAsia="Times New Roman" w:hAnsi="Arial" w:cs="Arial"/>
                      <w:sz w:val="20"/>
                      <w:szCs w:val="20"/>
                      <w:u w:val="single"/>
                      <w:lang w:eastAsia="sl-SI"/>
                    </w:rPr>
                    <w:t xml:space="preserve">K 2. členu </w:t>
                  </w:r>
                </w:p>
                <w:p w14:paraId="136C3934" w14:textId="46E0D356" w:rsidR="00403D3B" w:rsidRPr="00B95D04" w:rsidRDefault="00E978A2" w:rsidP="00846C4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 xml:space="preserve">Spremenjeni peti odstavek </w:t>
                  </w:r>
                  <w:proofErr w:type="spellStart"/>
                  <w:r w:rsidRPr="00B95D04">
                    <w:rPr>
                      <w:rFonts w:ascii="Arial" w:eastAsia="Times New Roman" w:hAnsi="Arial" w:cs="Arial"/>
                      <w:sz w:val="20"/>
                      <w:szCs w:val="20"/>
                      <w:lang w:eastAsia="sl-SI"/>
                    </w:rPr>
                    <w:t>67.c</w:t>
                  </w:r>
                  <w:proofErr w:type="spellEnd"/>
                  <w:r w:rsidRPr="00B95D04">
                    <w:rPr>
                      <w:rFonts w:ascii="Arial" w:eastAsia="Times New Roman" w:hAnsi="Arial" w:cs="Arial"/>
                      <w:sz w:val="20"/>
                      <w:szCs w:val="20"/>
                      <w:lang w:eastAsia="sl-SI"/>
                    </w:rPr>
                    <w:t xml:space="preserve"> č</w:t>
                  </w:r>
                  <w:r w:rsidR="001C3357" w:rsidRPr="00B95D04">
                    <w:rPr>
                      <w:rFonts w:ascii="Arial" w:eastAsia="Times New Roman" w:hAnsi="Arial" w:cs="Arial"/>
                      <w:sz w:val="20"/>
                      <w:szCs w:val="20"/>
                      <w:lang w:eastAsia="sl-SI"/>
                    </w:rPr>
                    <w:t>len</w:t>
                  </w:r>
                  <w:r w:rsidRPr="00B95D04">
                    <w:rPr>
                      <w:rFonts w:ascii="Arial" w:eastAsia="Times New Roman" w:hAnsi="Arial" w:cs="Arial"/>
                      <w:sz w:val="20"/>
                      <w:szCs w:val="20"/>
                      <w:lang w:eastAsia="sl-SI"/>
                    </w:rPr>
                    <w:t>a ZDDPO-2</w:t>
                  </w:r>
                  <w:r w:rsidR="001C3357" w:rsidRPr="00B95D04">
                    <w:rPr>
                      <w:rFonts w:ascii="Arial" w:eastAsia="Times New Roman" w:hAnsi="Arial" w:cs="Arial"/>
                      <w:sz w:val="20"/>
                      <w:szCs w:val="20"/>
                      <w:lang w:eastAsia="sl-SI"/>
                    </w:rPr>
                    <w:t xml:space="preserve"> določa nov pogoj za obvez</w:t>
                  </w:r>
                  <w:r w:rsidR="00535294" w:rsidRPr="00B95D04">
                    <w:rPr>
                      <w:rFonts w:ascii="Arial" w:eastAsia="Times New Roman" w:hAnsi="Arial" w:cs="Arial"/>
                      <w:sz w:val="20"/>
                      <w:szCs w:val="20"/>
                      <w:lang w:eastAsia="sl-SI"/>
                    </w:rPr>
                    <w:t>e</w:t>
                  </w:r>
                  <w:r w:rsidR="004B2E14" w:rsidRPr="00B95D04">
                    <w:rPr>
                      <w:rFonts w:ascii="Arial" w:eastAsia="Times New Roman" w:hAnsi="Arial" w:cs="Arial"/>
                      <w:sz w:val="20"/>
                      <w:szCs w:val="20"/>
                      <w:lang w:eastAsia="sl-SI"/>
                    </w:rPr>
                    <w:t>n izstop iz sistema</w:t>
                  </w:r>
                  <w:r w:rsidR="00074902" w:rsidRPr="00B95D04">
                    <w:rPr>
                      <w:rFonts w:ascii="Arial" w:eastAsia="Times New Roman" w:hAnsi="Arial" w:cs="Arial"/>
                      <w:sz w:val="20"/>
                      <w:szCs w:val="20"/>
                      <w:lang w:eastAsia="sl-SI"/>
                    </w:rPr>
                    <w:t xml:space="preserve"> glede </w:t>
                  </w:r>
                  <w:r w:rsidR="004B2E14" w:rsidRPr="00B95D04">
                    <w:rPr>
                      <w:rFonts w:ascii="Arial" w:eastAsia="Times New Roman" w:hAnsi="Arial" w:cs="Arial"/>
                      <w:sz w:val="20"/>
                      <w:szCs w:val="20"/>
                      <w:lang w:eastAsia="sl-SI"/>
                    </w:rPr>
                    <w:t>na povpreč</w:t>
                  </w:r>
                  <w:r w:rsidR="003F6B78" w:rsidRPr="00B95D04">
                    <w:rPr>
                      <w:rFonts w:ascii="Arial" w:eastAsia="Times New Roman" w:hAnsi="Arial" w:cs="Arial"/>
                      <w:sz w:val="20"/>
                      <w:szCs w:val="20"/>
                      <w:lang w:eastAsia="sl-SI"/>
                    </w:rPr>
                    <w:t xml:space="preserve">je </w:t>
                  </w:r>
                  <w:r w:rsidR="004B2E14" w:rsidRPr="00B95D04">
                    <w:rPr>
                      <w:rFonts w:ascii="Arial" w:eastAsia="Times New Roman" w:hAnsi="Arial" w:cs="Arial"/>
                      <w:sz w:val="20"/>
                      <w:szCs w:val="20"/>
                      <w:lang w:eastAsia="sl-SI"/>
                    </w:rPr>
                    <w:t>prihodk</w:t>
                  </w:r>
                  <w:r w:rsidR="003F6B78" w:rsidRPr="00B95D04">
                    <w:rPr>
                      <w:rFonts w:ascii="Arial" w:eastAsia="Times New Roman" w:hAnsi="Arial" w:cs="Arial"/>
                      <w:sz w:val="20"/>
                      <w:szCs w:val="20"/>
                      <w:lang w:eastAsia="sl-SI"/>
                    </w:rPr>
                    <w:t>ov</w:t>
                  </w:r>
                  <w:r w:rsidR="004B2E14" w:rsidRPr="00B95D04">
                    <w:rPr>
                      <w:rFonts w:ascii="Arial" w:eastAsia="Times New Roman" w:hAnsi="Arial" w:cs="Arial"/>
                      <w:sz w:val="20"/>
                      <w:szCs w:val="20"/>
                      <w:lang w:eastAsia="sl-SI"/>
                    </w:rPr>
                    <w:t xml:space="preserve"> dveh zaporednih davčnih obdobij.</w:t>
                  </w:r>
                  <w:r w:rsidR="00467DD4" w:rsidRPr="00B95D04">
                    <w:rPr>
                      <w:rFonts w:ascii="Arial" w:hAnsi="Arial" w:cs="Arial"/>
                      <w:sz w:val="20"/>
                      <w:szCs w:val="20"/>
                    </w:rPr>
                    <w:t xml:space="preserve"> </w:t>
                  </w:r>
                  <w:r w:rsidR="00292FF7" w:rsidRPr="00B95D04">
                    <w:rPr>
                      <w:rFonts w:ascii="Arial" w:hAnsi="Arial" w:cs="Arial"/>
                      <w:sz w:val="20"/>
                      <w:szCs w:val="20"/>
                    </w:rPr>
                    <w:t>Nov pogoj z</w:t>
                  </w:r>
                  <w:r w:rsidR="00467DD4" w:rsidRPr="00B95D04">
                    <w:rPr>
                      <w:rFonts w:ascii="Arial" w:eastAsia="Times New Roman" w:hAnsi="Arial" w:cs="Arial"/>
                      <w:sz w:val="20"/>
                      <w:szCs w:val="20"/>
                      <w:lang w:eastAsia="sl-SI"/>
                    </w:rPr>
                    <w:t xml:space="preserve">avezancu omogoča, da lahko ostane v sistemu, če ima v dveh zaporednih </w:t>
                  </w:r>
                  <w:r w:rsidR="004A5340" w:rsidRPr="00B95D04">
                    <w:rPr>
                      <w:rFonts w:ascii="Arial" w:eastAsia="Times New Roman" w:hAnsi="Arial" w:cs="Arial"/>
                      <w:sz w:val="20"/>
                      <w:szCs w:val="20"/>
                      <w:lang w:eastAsia="sl-SI"/>
                    </w:rPr>
                    <w:t>davčnih obdobjih</w:t>
                  </w:r>
                  <w:r w:rsidR="00467DD4" w:rsidRPr="00B95D04">
                    <w:rPr>
                      <w:rFonts w:ascii="Arial" w:eastAsia="Times New Roman" w:hAnsi="Arial" w:cs="Arial"/>
                      <w:sz w:val="20"/>
                      <w:szCs w:val="20"/>
                      <w:lang w:eastAsia="sl-SI"/>
                    </w:rPr>
                    <w:t xml:space="preserve"> skupno do 300.000 </w:t>
                  </w:r>
                  <w:proofErr w:type="spellStart"/>
                  <w:r w:rsidR="00467DD4" w:rsidRPr="00B95D04">
                    <w:rPr>
                      <w:rFonts w:ascii="Arial" w:eastAsia="Times New Roman" w:hAnsi="Arial" w:cs="Arial"/>
                      <w:sz w:val="20"/>
                      <w:szCs w:val="20"/>
                      <w:lang w:eastAsia="sl-SI"/>
                    </w:rPr>
                    <w:t>eurov</w:t>
                  </w:r>
                  <w:proofErr w:type="spellEnd"/>
                  <w:r w:rsidR="00467DD4" w:rsidRPr="00B95D04">
                    <w:rPr>
                      <w:rFonts w:ascii="Arial" w:eastAsia="Times New Roman" w:hAnsi="Arial" w:cs="Arial"/>
                      <w:sz w:val="20"/>
                      <w:szCs w:val="20"/>
                      <w:lang w:eastAsia="sl-SI"/>
                    </w:rPr>
                    <w:t xml:space="preserve"> prihodkov</w:t>
                  </w:r>
                  <w:r w:rsidR="004A5340" w:rsidRPr="00B95D04">
                    <w:rPr>
                      <w:rFonts w:ascii="Arial" w:eastAsia="Times New Roman" w:hAnsi="Arial" w:cs="Arial"/>
                      <w:sz w:val="20"/>
                      <w:szCs w:val="20"/>
                      <w:lang w:eastAsia="sl-SI"/>
                    </w:rPr>
                    <w:t>.</w:t>
                  </w:r>
                  <w:r w:rsidR="00467DD4" w:rsidRPr="00B95D04">
                    <w:rPr>
                      <w:rFonts w:ascii="Arial" w:eastAsia="Times New Roman" w:hAnsi="Arial" w:cs="Arial"/>
                      <w:sz w:val="20"/>
                      <w:szCs w:val="20"/>
                      <w:lang w:eastAsia="sl-SI"/>
                    </w:rPr>
                    <w:t xml:space="preserve">  </w:t>
                  </w:r>
                </w:p>
                <w:p w14:paraId="50864535" w14:textId="77777777" w:rsidR="004B2E14" w:rsidRPr="00B95D04" w:rsidRDefault="004B2E14" w:rsidP="009D028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B3F5BFC" w14:textId="1D32C4C5" w:rsidR="00403D3B" w:rsidRPr="00B95D04" w:rsidRDefault="00403D3B" w:rsidP="009D028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u w:val="single"/>
                      <w:lang w:eastAsia="sl-SI"/>
                    </w:rPr>
                  </w:pPr>
                  <w:r w:rsidRPr="00B95D04">
                    <w:rPr>
                      <w:rFonts w:ascii="Arial" w:eastAsia="Times New Roman" w:hAnsi="Arial" w:cs="Arial"/>
                      <w:sz w:val="20"/>
                      <w:szCs w:val="20"/>
                      <w:u w:val="single"/>
                      <w:lang w:eastAsia="sl-SI"/>
                    </w:rPr>
                    <w:t xml:space="preserve">K 3. členu </w:t>
                  </w:r>
                </w:p>
                <w:p w14:paraId="42455FF9" w14:textId="0D06BBB9" w:rsidR="005C136A" w:rsidRPr="00B95D04" w:rsidRDefault="00E978A2" w:rsidP="009D028B">
                  <w:pPr>
                    <w:tabs>
                      <w:tab w:val="left" w:pos="34"/>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95D04">
                    <w:rPr>
                      <w:rFonts w:ascii="Arial" w:eastAsia="Times New Roman" w:hAnsi="Arial" w:cs="Arial"/>
                      <w:sz w:val="20"/>
                      <w:szCs w:val="20"/>
                      <w:lang w:eastAsia="sl-SI"/>
                    </w:rPr>
                    <w:t xml:space="preserve">Dopolnjeni </w:t>
                  </w:r>
                  <w:proofErr w:type="spellStart"/>
                  <w:r w:rsidRPr="00B95D04">
                    <w:rPr>
                      <w:rFonts w:ascii="Arial" w:eastAsia="Times New Roman" w:hAnsi="Arial" w:cs="Arial"/>
                      <w:sz w:val="20"/>
                      <w:szCs w:val="20"/>
                      <w:lang w:eastAsia="sl-SI"/>
                    </w:rPr>
                    <w:t>67.d</w:t>
                  </w:r>
                  <w:proofErr w:type="spellEnd"/>
                  <w:r w:rsidRPr="00B95D04">
                    <w:rPr>
                      <w:rFonts w:ascii="Arial" w:eastAsia="Times New Roman" w:hAnsi="Arial" w:cs="Arial"/>
                      <w:sz w:val="20"/>
                      <w:szCs w:val="20"/>
                      <w:lang w:eastAsia="sl-SI"/>
                    </w:rPr>
                    <w:t xml:space="preserve"> č</w:t>
                  </w:r>
                  <w:r w:rsidR="005C136A" w:rsidRPr="00B95D04">
                    <w:rPr>
                      <w:rFonts w:ascii="Arial" w:eastAsia="Times New Roman" w:hAnsi="Arial" w:cs="Arial"/>
                      <w:sz w:val="20"/>
                      <w:szCs w:val="20"/>
                      <w:lang w:eastAsia="sl-SI"/>
                    </w:rPr>
                    <w:t>len</w:t>
                  </w:r>
                  <w:r w:rsidRPr="00B95D04">
                    <w:rPr>
                      <w:rFonts w:ascii="Arial" w:eastAsia="Times New Roman" w:hAnsi="Arial" w:cs="Arial"/>
                      <w:sz w:val="20"/>
                      <w:szCs w:val="20"/>
                      <w:lang w:eastAsia="sl-SI"/>
                    </w:rPr>
                    <w:t xml:space="preserve"> ZDDPO-2</w:t>
                  </w:r>
                  <w:r w:rsidR="005C136A" w:rsidRPr="00B95D04">
                    <w:rPr>
                      <w:rFonts w:ascii="Arial" w:eastAsia="Times New Roman" w:hAnsi="Arial" w:cs="Arial"/>
                      <w:sz w:val="20"/>
                      <w:szCs w:val="20"/>
                      <w:lang w:eastAsia="sl-SI"/>
                    </w:rPr>
                    <w:t xml:space="preserve"> določa nov dodatni primer glede ugotavljanja prihodkov iz </w:t>
                  </w:r>
                  <w:proofErr w:type="spellStart"/>
                  <w:r w:rsidR="005C136A" w:rsidRPr="00B95D04">
                    <w:rPr>
                      <w:rFonts w:ascii="Arial" w:eastAsia="Times New Roman" w:hAnsi="Arial" w:cs="Arial"/>
                      <w:sz w:val="20"/>
                      <w:szCs w:val="20"/>
                      <w:lang w:eastAsia="sl-SI"/>
                    </w:rPr>
                    <w:t>67.b</w:t>
                  </w:r>
                  <w:proofErr w:type="spellEnd"/>
                  <w:r w:rsidR="005C136A" w:rsidRPr="00B95D04">
                    <w:rPr>
                      <w:rFonts w:ascii="Arial" w:eastAsia="Times New Roman" w:hAnsi="Arial" w:cs="Arial"/>
                      <w:sz w:val="20"/>
                      <w:szCs w:val="20"/>
                      <w:lang w:eastAsia="sl-SI"/>
                    </w:rPr>
                    <w:t xml:space="preserve"> člena </w:t>
                  </w:r>
                  <w:r w:rsidRPr="00B95D04">
                    <w:rPr>
                      <w:rFonts w:ascii="Arial" w:eastAsia="Times New Roman" w:hAnsi="Arial" w:cs="Arial"/>
                      <w:sz w:val="20"/>
                      <w:szCs w:val="20"/>
                      <w:lang w:eastAsia="sl-SI"/>
                    </w:rPr>
                    <w:t>ZDDPO-2</w:t>
                  </w:r>
                  <w:r w:rsidR="009D3F1D" w:rsidRPr="00B95D04">
                    <w:rPr>
                      <w:rFonts w:ascii="Arial" w:eastAsia="Times New Roman" w:hAnsi="Arial" w:cs="Arial"/>
                      <w:sz w:val="20"/>
                      <w:szCs w:val="20"/>
                      <w:lang w:eastAsia="sl-SI"/>
                    </w:rPr>
                    <w:t>, ki je določen kot zgornji prag v nominalnem znesku</w:t>
                  </w:r>
                  <w:r w:rsidR="005C136A" w:rsidRPr="00B95D04">
                    <w:rPr>
                      <w:rFonts w:ascii="Arial" w:eastAsia="Times New Roman" w:hAnsi="Arial" w:cs="Arial"/>
                      <w:sz w:val="20"/>
                      <w:szCs w:val="20"/>
                      <w:lang w:eastAsia="sl-SI"/>
                    </w:rPr>
                    <w:t xml:space="preserve">. </w:t>
                  </w:r>
                  <w:r w:rsidR="009D3F1D" w:rsidRPr="00B95D04">
                    <w:rPr>
                      <w:rFonts w:ascii="Arial" w:eastAsia="Times New Roman" w:hAnsi="Arial" w:cs="Arial"/>
                      <w:sz w:val="20"/>
                      <w:szCs w:val="20"/>
                      <w:lang w:eastAsia="sl-SI"/>
                    </w:rPr>
                    <w:t xml:space="preserve">V novem četrtem odstavku je določen </w:t>
                  </w:r>
                  <w:r w:rsidR="00D12276" w:rsidRPr="00B95D04">
                    <w:rPr>
                      <w:rFonts w:ascii="Arial" w:eastAsia="Times New Roman" w:hAnsi="Arial" w:cs="Arial"/>
                      <w:sz w:val="20"/>
                      <w:szCs w:val="20"/>
                      <w:lang w:eastAsia="sl-SI"/>
                    </w:rPr>
                    <w:t xml:space="preserve">ta </w:t>
                  </w:r>
                  <w:r w:rsidR="009D3F1D" w:rsidRPr="00B95D04">
                    <w:rPr>
                      <w:rFonts w:ascii="Arial" w:eastAsia="Times New Roman" w:hAnsi="Arial" w:cs="Arial"/>
                      <w:sz w:val="20"/>
                      <w:szCs w:val="20"/>
                      <w:lang w:eastAsia="sl-SI"/>
                    </w:rPr>
                    <w:t>poseben primer, torej povezanost med osebami.</w:t>
                  </w:r>
                  <w:r w:rsidR="007C48A5" w:rsidRPr="00B95D04">
                    <w:rPr>
                      <w:rFonts w:ascii="Arial" w:eastAsia="Times New Roman" w:hAnsi="Arial" w:cs="Arial"/>
                      <w:sz w:val="20"/>
                      <w:szCs w:val="20"/>
                      <w:lang w:eastAsia="sl-SI"/>
                    </w:rPr>
                    <w:t xml:space="preserve"> </w:t>
                  </w:r>
                  <w:r w:rsidR="009D3F1D" w:rsidRPr="00B95D04">
                    <w:rPr>
                      <w:rFonts w:ascii="Arial" w:eastAsia="Times New Roman" w:hAnsi="Arial" w:cs="Arial"/>
                      <w:sz w:val="20"/>
                      <w:szCs w:val="20"/>
                      <w:lang w:eastAsia="sl-SI"/>
                    </w:rPr>
                    <w:t xml:space="preserve">V novem petem odstavku je določena opredelitev povezanih oseb z napotitvijo na že veljavne zakonske definicije povezanih oseb. Ustrezno čezmejni povezanosti ali povezanosti med rezidenti se uporabljata opredelitvi iz 16. </w:t>
                  </w:r>
                  <w:r w:rsidR="00D12276" w:rsidRPr="00B95D04">
                    <w:rPr>
                      <w:rFonts w:ascii="Arial" w:eastAsia="Times New Roman" w:hAnsi="Arial" w:cs="Arial"/>
                      <w:sz w:val="20"/>
                      <w:szCs w:val="20"/>
                      <w:lang w:eastAsia="sl-SI"/>
                    </w:rPr>
                    <w:t>ali</w:t>
                  </w:r>
                  <w:r w:rsidR="009D3F1D" w:rsidRPr="00B95D04">
                    <w:rPr>
                      <w:rFonts w:ascii="Arial" w:eastAsia="Times New Roman" w:hAnsi="Arial" w:cs="Arial"/>
                      <w:sz w:val="20"/>
                      <w:szCs w:val="20"/>
                      <w:lang w:eastAsia="sl-SI"/>
                    </w:rPr>
                    <w:t xml:space="preserve"> 17. člena ZDDPO-2. Dodatno se širi obseg definicije družinskih članov na brate in sestre</w:t>
                  </w:r>
                  <w:r w:rsidR="009D028B" w:rsidRPr="00B95D04">
                    <w:rPr>
                      <w:rFonts w:ascii="Arial" w:eastAsia="Times New Roman" w:hAnsi="Arial" w:cs="Arial"/>
                      <w:sz w:val="20"/>
                      <w:szCs w:val="20"/>
                      <w:lang w:eastAsia="sl-SI"/>
                    </w:rPr>
                    <w:t xml:space="preserve">, vendar le za ugotavljanje povezanih oseb po dopolnjenem </w:t>
                  </w:r>
                  <w:proofErr w:type="spellStart"/>
                  <w:r w:rsidR="009D028B" w:rsidRPr="00B95D04">
                    <w:rPr>
                      <w:rFonts w:ascii="Arial" w:eastAsia="Times New Roman" w:hAnsi="Arial" w:cs="Arial"/>
                      <w:sz w:val="20"/>
                      <w:szCs w:val="20"/>
                      <w:lang w:eastAsia="sl-SI"/>
                    </w:rPr>
                    <w:t>67.d</w:t>
                  </w:r>
                  <w:proofErr w:type="spellEnd"/>
                  <w:r w:rsidR="009D028B" w:rsidRPr="00B95D04">
                    <w:rPr>
                      <w:rFonts w:ascii="Arial" w:eastAsia="Times New Roman" w:hAnsi="Arial" w:cs="Arial"/>
                      <w:sz w:val="20"/>
                      <w:szCs w:val="20"/>
                      <w:lang w:eastAsia="sl-SI"/>
                    </w:rPr>
                    <w:t xml:space="preserve"> členu ZDDPO-2</w:t>
                  </w:r>
                  <w:r w:rsidR="009D3F1D" w:rsidRPr="00B95D04">
                    <w:rPr>
                      <w:rFonts w:ascii="Arial" w:eastAsia="Times New Roman" w:hAnsi="Arial" w:cs="Arial"/>
                      <w:sz w:val="20"/>
                      <w:szCs w:val="20"/>
                      <w:lang w:eastAsia="sl-SI"/>
                    </w:rPr>
                    <w:t>.</w:t>
                  </w:r>
                  <w:r w:rsidR="00D12276" w:rsidRPr="00B95D04">
                    <w:rPr>
                      <w:rFonts w:ascii="Arial" w:eastAsia="Times New Roman" w:hAnsi="Arial" w:cs="Arial"/>
                      <w:sz w:val="20"/>
                      <w:szCs w:val="20"/>
                      <w:lang w:eastAsia="sl-SI"/>
                    </w:rPr>
                    <w:t xml:space="preserve"> </w:t>
                  </w:r>
                  <w:r w:rsidR="00185927" w:rsidRPr="00B95D04">
                    <w:rPr>
                      <w:rFonts w:ascii="Arial" w:eastAsia="Times New Roman" w:hAnsi="Arial" w:cs="Arial"/>
                      <w:sz w:val="20"/>
                      <w:szCs w:val="20"/>
                      <w:lang w:eastAsia="sl-SI"/>
                    </w:rPr>
                    <w:t xml:space="preserve">Nov šesti </w:t>
                  </w:r>
                  <w:r w:rsidR="00E81EF2" w:rsidRPr="00B95D04">
                    <w:rPr>
                      <w:rFonts w:ascii="Arial" w:eastAsia="Times New Roman" w:hAnsi="Arial" w:cs="Arial"/>
                      <w:sz w:val="20"/>
                      <w:szCs w:val="20"/>
                      <w:lang w:eastAsia="sl-SI"/>
                    </w:rPr>
                    <w:t xml:space="preserve">odstavek določa seštevanje prihodkov zavezanca in </w:t>
                  </w:r>
                  <w:r w:rsidR="00D12276" w:rsidRPr="00B95D04">
                    <w:rPr>
                      <w:rFonts w:ascii="Arial" w:eastAsia="Times New Roman" w:hAnsi="Arial" w:cs="Arial"/>
                      <w:sz w:val="20"/>
                      <w:szCs w:val="20"/>
                      <w:lang w:eastAsia="sl-SI"/>
                    </w:rPr>
                    <w:t>povezanih</w:t>
                  </w:r>
                  <w:r w:rsidR="00E81EF2" w:rsidRPr="00B95D04">
                    <w:rPr>
                      <w:rFonts w:ascii="Arial" w:eastAsia="Times New Roman" w:hAnsi="Arial" w:cs="Arial"/>
                      <w:sz w:val="20"/>
                      <w:szCs w:val="20"/>
                      <w:lang w:eastAsia="sl-SI"/>
                    </w:rPr>
                    <w:t xml:space="preserve"> oseb. </w:t>
                  </w:r>
                  <w:r w:rsidR="00185927" w:rsidRPr="00B95D04">
                    <w:rPr>
                      <w:rFonts w:ascii="Arial" w:eastAsia="Times New Roman" w:hAnsi="Arial" w:cs="Arial"/>
                      <w:sz w:val="20"/>
                      <w:szCs w:val="20"/>
                      <w:lang w:eastAsia="sl-SI"/>
                    </w:rPr>
                    <w:t>Nov sedmi</w:t>
                  </w:r>
                  <w:r w:rsidR="00E81EF2" w:rsidRPr="00B95D04">
                    <w:rPr>
                      <w:rFonts w:ascii="Arial" w:eastAsia="Times New Roman" w:hAnsi="Arial" w:cs="Arial"/>
                      <w:sz w:val="20"/>
                      <w:szCs w:val="20"/>
                      <w:lang w:eastAsia="sl-SI"/>
                    </w:rPr>
                    <w:t xml:space="preserve"> odst</w:t>
                  </w:r>
                  <w:r w:rsidR="00185927" w:rsidRPr="00B95D04">
                    <w:rPr>
                      <w:rFonts w:ascii="Arial" w:eastAsia="Times New Roman" w:hAnsi="Arial" w:cs="Arial"/>
                      <w:sz w:val="20"/>
                      <w:szCs w:val="20"/>
                      <w:lang w:eastAsia="sl-SI"/>
                    </w:rPr>
                    <w:t>a</w:t>
                  </w:r>
                  <w:r w:rsidR="00E81EF2" w:rsidRPr="00B95D04">
                    <w:rPr>
                      <w:rFonts w:ascii="Arial" w:eastAsia="Times New Roman" w:hAnsi="Arial" w:cs="Arial"/>
                      <w:sz w:val="20"/>
                      <w:szCs w:val="20"/>
                      <w:lang w:eastAsia="sl-SI"/>
                    </w:rPr>
                    <w:t>vek pa določa dejanski obseg nadgrajene določbe, in sicer</w:t>
                  </w:r>
                  <w:r w:rsidR="00185927" w:rsidRPr="00B95D04">
                    <w:rPr>
                      <w:rFonts w:ascii="Arial" w:eastAsia="Times New Roman" w:hAnsi="Arial" w:cs="Arial"/>
                      <w:sz w:val="20"/>
                      <w:szCs w:val="20"/>
                      <w:lang w:eastAsia="sl-SI"/>
                    </w:rPr>
                    <w:t>,</w:t>
                  </w:r>
                  <w:r w:rsidR="00E81EF2" w:rsidRPr="00B95D04">
                    <w:rPr>
                      <w:rFonts w:ascii="Arial" w:eastAsia="Times New Roman" w:hAnsi="Arial" w:cs="Arial"/>
                      <w:sz w:val="20"/>
                      <w:szCs w:val="20"/>
                      <w:lang w:eastAsia="sl-SI"/>
                    </w:rPr>
                    <w:t xml:space="preserve"> da </w:t>
                  </w:r>
                  <w:r w:rsidR="005C136A" w:rsidRPr="00B95D04">
                    <w:rPr>
                      <w:rFonts w:ascii="Arial" w:eastAsia="Times New Roman" w:hAnsi="Arial" w:cs="Arial"/>
                      <w:sz w:val="20"/>
                      <w:szCs w:val="20"/>
                      <w:lang w:eastAsia="sl-SI"/>
                    </w:rPr>
                    <w:t xml:space="preserve">se </w:t>
                  </w:r>
                  <w:r w:rsidR="00E81EF2" w:rsidRPr="00B95D04">
                    <w:rPr>
                      <w:rFonts w:ascii="Arial" w:eastAsia="Times New Roman" w:hAnsi="Arial" w:cs="Arial"/>
                      <w:sz w:val="20"/>
                      <w:szCs w:val="20"/>
                      <w:lang w:eastAsia="sl-SI"/>
                    </w:rPr>
                    <w:t>prihodki ne seštevajo</w:t>
                  </w:r>
                  <w:r w:rsidR="005C136A" w:rsidRPr="00B95D04">
                    <w:rPr>
                      <w:rFonts w:ascii="Arial" w:eastAsia="Times New Roman" w:hAnsi="Arial" w:cs="Arial"/>
                      <w:sz w:val="20"/>
                      <w:szCs w:val="20"/>
                      <w:lang w:eastAsia="sl-SI"/>
                    </w:rPr>
                    <w:t xml:space="preserve">, če zavezanec dokaže, da glavni </w:t>
                  </w:r>
                  <w:r w:rsidR="00074902" w:rsidRPr="00B95D04">
                    <w:rPr>
                      <w:rFonts w:ascii="Arial" w:eastAsia="Times New Roman" w:hAnsi="Arial" w:cs="Arial"/>
                      <w:sz w:val="20"/>
                      <w:szCs w:val="20"/>
                      <w:lang w:eastAsia="sl-SI"/>
                    </w:rPr>
                    <w:t xml:space="preserve">namen </w:t>
                  </w:r>
                  <w:r w:rsidR="005C136A" w:rsidRPr="00B95D04">
                    <w:rPr>
                      <w:rFonts w:ascii="Arial" w:eastAsia="Times New Roman" w:hAnsi="Arial" w:cs="Arial"/>
                      <w:sz w:val="20"/>
                      <w:szCs w:val="20"/>
                      <w:lang w:eastAsia="sl-SI"/>
                    </w:rPr>
                    <w:t xml:space="preserve">ali eden </w:t>
                  </w:r>
                  <w:r w:rsidR="00D12276" w:rsidRPr="00B95D04">
                    <w:rPr>
                      <w:rFonts w:ascii="Arial" w:eastAsia="Times New Roman" w:hAnsi="Arial" w:cs="Arial"/>
                      <w:sz w:val="20"/>
                      <w:szCs w:val="20"/>
                      <w:lang w:eastAsia="sl-SI"/>
                    </w:rPr>
                    <w:t xml:space="preserve">od </w:t>
                  </w:r>
                  <w:r w:rsidR="005C136A" w:rsidRPr="00B95D04">
                    <w:rPr>
                      <w:rFonts w:ascii="Arial" w:eastAsia="Times New Roman" w:hAnsi="Arial" w:cs="Arial"/>
                      <w:sz w:val="20"/>
                      <w:szCs w:val="20"/>
                      <w:lang w:eastAsia="sl-SI"/>
                    </w:rPr>
                    <w:t xml:space="preserve">glavnih namenov za shemo poslovanja ni izpolnjevanje </w:t>
                  </w:r>
                  <w:r w:rsidR="00D12276" w:rsidRPr="00B95D04">
                    <w:rPr>
                      <w:rFonts w:ascii="Arial" w:eastAsia="Times New Roman" w:hAnsi="Arial" w:cs="Arial"/>
                      <w:sz w:val="20"/>
                      <w:szCs w:val="20"/>
                      <w:lang w:eastAsia="sl-SI"/>
                    </w:rPr>
                    <w:t>pogojev za ugotavljanje davčne osnove z upoštevanjem normiranih odhodkov</w:t>
                  </w:r>
                  <w:r w:rsidR="005C136A" w:rsidRPr="00B95D04">
                    <w:rPr>
                      <w:rFonts w:ascii="Arial" w:eastAsia="Times New Roman" w:hAnsi="Arial" w:cs="Arial"/>
                      <w:sz w:val="20"/>
                      <w:szCs w:val="20"/>
                      <w:lang w:eastAsia="sl-SI"/>
                    </w:rPr>
                    <w:t>.</w:t>
                  </w:r>
                  <w:r w:rsidR="00766291" w:rsidRPr="00B95D04">
                    <w:rPr>
                      <w:rFonts w:ascii="Arial" w:eastAsia="Times New Roman" w:hAnsi="Arial" w:cs="Arial"/>
                      <w:sz w:val="20"/>
                      <w:szCs w:val="20"/>
                      <w:lang w:eastAsia="sl-SI"/>
                    </w:rPr>
                    <w:t xml:space="preserve"> </w:t>
                  </w:r>
                  <w:r w:rsidR="00D12276" w:rsidRPr="00B95D04">
                    <w:rPr>
                      <w:rFonts w:ascii="Arial" w:eastAsia="Times New Roman" w:hAnsi="Arial" w:cs="Arial"/>
                      <w:sz w:val="20"/>
                      <w:szCs w:val="20"/>
                      <w:lang w:eastAsia="sl-SI"/>
                    </w:rPr>
                    <w:t xml:space="preserve">Prihodki poveznih oseb se </w:t>
                  </w:r>
                  <w:r w:rsidR="000802F6" w:rsidRPr="00B95D04">
                    <w:rPr>
                      <w:rFonts w:ascii="Arial" w:eastAsia="Times New Roman" w:hAnsi="Arial" w:cs="Arial"/>
                      <w:sz w:val="20"/>
                      <w:szCs w:val="20"/>
                      <w:lang w:eastAsia="sl-SI"/>
                    </w:rPr>
                    <w:t xml:space="preserve">primeroma </w:t>
                  </w:r>
                  <w:r w:rsidR="00D12276" w:rsidRPr="00B95D04">
                    <w:rPr>
                      <w:rFonts w:ascii="Arial" w:eastAsia="Times New Roman" w:hAnsi="Arial" w:cs="Arial"/>
                      <w:sz w:val="20"/>
                      <w:szCs w:val="20"/>
                      <w:lang w:eastAsia="sl-SI"/>
                    </w:rPr>
                    <w:t>seštevajo</w:t>
                  </w:r>
                  <w:r w:rsidR="000802F6" w:rsidRPr="00B95D04">
                    <w:rPr>
                      <w:rFonts w:ascii="Arial" w:eastAsia="Times New Roman" w:hAnsi="Arial" w:cs="Arial"/>
                      <w:sz w:val="20"/>
                      <w:szCs w:val="20"/>
                      <w:lang w:eastAsia="sl-SI"/>
                    </w:rPr>
                    <w:t xml:space="preserve">, če </w:t>
                  </w:r>
                  <w:r w:rsidR="00D12276" w:rsidRPr="00B95D04">
                    <w:rPr>
                      <w:rFonts w:ascii="Arial" w:eastAsia="Times New Roman" w:hAnsi="Arial" w:cs="Arial"/>
                      <w:sz w:val="20"/>
                      <w:szCs w:val="20"/>
                      <w:lang w:eastAsia="sl-SI"/>
                    </w:rPr>
                    <w:t>je glavni</w:t>
                  </w:r>
                  <w:r w:rsidR="000802F6" w:rsidRPr="00B95D04">
                    <w:rPr>
                      <w:rFonts w:ascii="Arial" w:eastAsia="Times New Roman" w:hAnsi="Arial" w:cs="Arial"/>
                      <w:sz w:val="20"/>
                      <w:szCs w:val="20"/>
                      <w:lang w:eastAsia="sl-SI"/>
                    </w:rPr>
                    <w:t xml:space="preserve"> namen </w:t>
                  </w:r>
                  <w:r w:rsidR="00D12276" w:rsidRPr="00B95D04">
                    <w:rPr>
                      <w:rFonts w:ascii="Arial" w:eastAsia="Times New Roman" w:hAnsi="Arial" w:cs="Arial"/>
                      <w:sz w:val="20"/>
                      <w:szCs w:val="20"/>
                      <w:lang w:eastAsia="sl-SI"/>
                    </w:rPr>
                    <w:t xml:space="preserve">ali eden </w:t>
                  </w:r>
                  <w:r w:rsidR="000802F6" w:rsidRPr="00B95D04">
                    <w:rPr>
                      <w:rFonts w:ascii="Arial" w:eastAsia="Times New Roman" w:hAnsi="Arial" w:cs="Arial"/>
                      <w:sz w:val="20"/>
                      <w:szCs w:val="20"/>
                      <w:lang w:eastAsia="sl-SI"/>
                    </w:rPr>
                    <w:t xml:space="preserve">od </w:t>
                  </w:r>
                  <w:r w:rsidR="00D12276" w:rsidRPr="00B95D04">
                    <w:rPr>
                      <w:rFonts w:ascii="Arial" w:eastAsia="Times New Roman" w:hAnsi="Arial" w:cs="Arial"/>
                      <w:sz w:val="20"/>
                      <w:szCs w:val="20"/>
                      <w:lang w:eastAsia="sl-SI"/>
                    </w:rPr>
                    <w:t>glavnih namenov za shemo poslovanja izpolnjevanje pogoja glede praga prihodkov</w:t>
                  </w:r>
                  <w:r w:rsidR="000802F6" w:rsidRPr="00B95D04">
                    <w:rPr>
                      <w:rFonts w:ascii="Arial" w:eastAsia="Times New Roman" w:hAnsi="Arial" w:cs="Arial"/>
                      <w:sz w:val="20"/>
                      <w:szCs w:val="20"/>
                      <w:lang w:eastAsia="sl-SI"/>
                    </w:rPr>
                    <w:t xml:space="preserve"> z verižnim ustanavljanjem </w:t>
                  </w:r>
                  <w:r w:rsidR="006321C8" w:rsidRPr="00B95D04">
                    <w:rPr>
                      <w:rFonts w:ascii="Arial" w:eastAsia="Times New Roman" w:hAnsi="Arial" w:cs="Arial"/>
                      <w:sz w:val="20"/>
                      <w:szCs w:val="20"/>
                      <w:lang w:eastAsia="sl-SI"/>
                    </w:rPr>
                    <w:t>zavezancev</w:t>
                  </w:r>
                  <w:r w:rsidR="000802F6" w:rsidRPr="00B95D04">
                    <w:rPr>
                      <w:rFonts w:ascii="Arial" w:eastAsia="Times New Roman" w:hAnsi="Arial" w:cs="Arial"/>
                      <w:sz w:val="20"/>
                      <w:szCs w:val="20"/>
                      <w:lang w:eastAsia="sl-SI"/>
                    </w:rPr>
                    <w:t xml:space="preserve"> ali </w:t>
                  </w:r>
                  <w:r w:rsidR="000802F6" w:rsidRPr="00B95D04">
                    <w:rPr>
                      <w:rFonts w:ascii="Arial" w:eastAsia="Times New Roman" w:hAnsi="Arial" w:cs="Arial"/>
                      <w:sz w:val="20"/>
                      <w:szCs w:val="20"/>
                    </w:rPr>
                    <w:t>prelivanje prihodkov od zavezancev, ki davčno osnovo ugotavljajo na podlagi dejanskih odhodkov, k zavezance</w:t>
                  </w:r>
                  <w:r w:rsidR="00846C43" w:rsidRPr="00B95D04">
                    <w:rPr>
                      <w:rFonts w:ascii="Arial" w:eastAsia="Times New Roman" w:hAnsi="Arial" w:cs="Arial"/>
                      <w:sz w:val="20"/>
                      <w:szCs w:val="20"/>
                    </w:rPr>
                    <w:t>m</w:t>
                  </w:r>
                  <w:r w:rsidR="000802F6" w:rsidRPr="00B95D04">
                    <w:rPr>
                      <w:rFonts w:ascii="Arial" w:eastAsia="Times New Roman" w:hAnsi="Arial" w:cs="Arial"/>
                      <w:sz w:val="20"/>
                      <w:szCs w:val="20"/>
                    </w:rPr>
                    <w:t xml:space="preserve"> v sistemu normiranih odhodkov</w:t>
                  </w:r>
                  <w:r w:rsidR="00D12276" w:rsidRPr="00B95D04">
                    <w:rPr>
                      <w:rFonts w:ascii="Arial" w:eastAsia="Times New Roman" w:hAnsi="Arial" w:cs="Arial"/>
                      <w:sz w:val="20"/>
                      <w:szCs w:val="20"/>
                      <w:lang w:eastAsia="sl-SI"/>
                    </w:rPr>
                    <w:t>.</w:t>
                  </w:r>
                  <w:r w:rsidR="000802F6" w:rsidRPr="00B95D04">
                    <w:rPr>
                      <w:rFonts w:ascii="Arial" w:eastAsia="Times New Roman" w:hAnsi="Arial" w:cs="Arial"/>
                      <w:sz w:val="20"/>
                      <w:szCs w:val="20"/>
                      <w:lang w:eastAsia="sl-SI"/>
                    </w:rPr>
                    <w:t xml:space="preserve"> </w:t>
                  </w:r>
                  <w:r w:rsidR="00766291" w:rsidRPr="00B95D04">
                    <w:rPr>
                      <w:rFonts w:ascii="Arial" w:eastAsia="Times New Roman" w:hAnsi="Arial" w:cs="Arial"/>
                      <w:sz w:val="20"/>
                      <w:szCs w:val="20"/>
                      <w:lang w:eastAsia="sl-SI"/>
                    </w:rPr>
                    <w:t xml:space="preserve">Dokazno breme je na zavezancu. </w:t>
                  </w:r>
                </w:p>
                <w:p w14:paraId="43F4C46B" w14:textId="1326F70D" w:rsidR="000802F6" w:rsidRPr="00B95D04" w:rsidRDefault="000802F6" w:rsidP="00846C4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u w:val="single"/>
                      <w:lang w:eastAsia="sl-SI"/>
                    </w:rPr>
                  </w:pPr>
                </w:p>
                <w:p w14:paraId="738C3CC6" w14:textId="6E42CAD5" w:rsidR="00403D3B" w:rsidRPr="00B95D04" w:rsidRDefault="00403D3B" w:rsidP="009D028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u w:val="single"/>
                      <w:lang w:eastAsia="sl-SI"/>
                    </w:rPr>
                  </w:pPr>
                  <w:r w:rsidRPr="00B95D04">
                    <w:rPr>
                      <w:rFonts w:ascii="Arial" w:eastAsia="Times New Roman" w:hAnsi="Arial" w:cs="Arial"/>
                      <w:sz w:val="20"/>
                      <w:szCs w:val="20"/>
                      <w:u w:val="single"/>
                      <w:lang w:eastAsia="sl-SI"/>
                    </w:rPr>
                    <w:t xml:space="preserve">K 4. členu </w:t>
                  </w:r>
                </w:p>
                <w:p w14:paraId="6D88CA14" w14:textId="6E56132B" w:rsidR="00942C82" w:rsidRPr="00B95D04" w:rsidRDefault="004B2E1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rPr>
                  </w:pPr>
                  <w:r w:rsidRPr="00B95D04">
                    <w:rPr>
                      <w:rFonts w:ascii="Arial" w:eastAsia="Times New Roman" w:hAnsi="Arial" w:cs="Arial"/>
                      <w:sz w:val="20"/>
                      <w:szCs w:val="20"/>
                    </w:rPr>
                    <w:t xml:space="preserve">S </w:t>
                  </w:r>
                  <w:r w:rsidR="00E978A2" w:rsidRPr="00B95D04">
                    <w:rPr>
                      <w:rFonts w:ascii="Arial" w:eastAsia="Times New Roman" w:hAnsi="Arial" w:cs="Arial"/>
                      <w:sz w:val="20"/>
                      <w:szCs w:val="20"/>
                    </w:rPr>
                    <w:t>spremenjenim prv</w:t>
                  </w:r>
                  <w:r w:rsidR="003640C3" w:rsidRPr="00B95D04">
                    <w:rPr>
                      <w:rFonts w:ascii="Arial" w:eastAsia="Times New Roman" w:hAnsi="Arial" w:cs="Arial"/>
                      <w:sz w:val="20"/>
                      <w:szCs w:val="20"/>
                    </w:rPr>
                    <w:t xml:space="preserve">im odstavkom </w:t>
                  </w:r>
                  <w:proofErr w:type="spellStart"/>
                  <w:r w:rsidR="003640C3" w:rsidRPr="00B95D04">
                    <w:rPr>
                      <w:rFonts w:ascii="Arial" w:eastAsia="Times New Roman" w:hAnsi="Arial" w:cs="Arial"/>
                      <w:sz w:val="20"/>
                      <w:szCs w:val="20"/>
                    </w:rPr>
                    <w:t>67.e</w:t>
                  </w:r>
                  <w:proofErr w:type="spellEnd"/>
                  <w:r w:rsidR="003640C3" w:rsidRPr="00B95D04">
                    <w:rPr>
                      <w:rFonts w:ascii="Arial" w:eastAsia="Times New Roman" w:hAnsi="Arial" w:cs="Arial"/>
                      <w:sz w:val="20"/>
                      <w:szCs w:val="20"/>
                    </w:rPr>
                    <w:t xml:space="preserve"> člena ZDDPO-2</w:t>
                  </w:r>
                  <w:r w:rsidRPr="00B95D04">
                    <w:rPr>
                      <w:rFonts w:ascii="Arial" w:eastAsia="Times New Roman" w:hAnsi="Arial" w:cs="Arial"/>
                      <w:sz w:val="20"/>
                      <w:szCs w:val="20"/>
                    </w:rPr>
                    <w:t xml:space="preserve"> se dodaja absolutna </w:t>
                  </w:r>
                  <w:r w:rsidR="00074902" w:rsidRPr="00B95D04">
                    <w:rPr>
                      <w:rFonts w:ascii="Arial" w:eastAsia="Times New Roman" w:hAnsi="Arial" w:cs="Arial"/>
                      <w:sz w:val="20"/>
                      <w:szCs w:val="20"/>
                    </w:rPr>
                    <w:t>zgornja</w:t>
                  </w:r>
                  <w:r w:rsidRPr="00B95D04">
                    <w:rPr>
                      <w:rFonts w:ascii="Arial" w:eastAsia="Times New Roman" w:hAnsi="Arial" w:cs="Arial"/>
                      <w:sz w:val="20"/>
                      <w:szCs w:val="20"/>
                    </w:rPr>
                    <w:t xml:space="preserve"> višina normiranih odhodkov.</w:t>
                  </w:r>
                </w:p>
                <w:p w14:paraId="5F08654B" w14:textId="1F39BEEB" w:rsidR="00E7409D" w:rsidRPr="00B95D04" w:rsidRDefault="00E7409D" w:rsidP="00D7410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rPr>
                  </w:pPr>
                </w:p>
                <w:p w14:paraId="6D88CA16" w14:textId="14E2E218" w:rsidR="00D74108" w:rsidRPr="00B95D04" w:rsidRDefault="00D74108" w:rsidP="00D7410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u w:val="single"/>
                      <w:lang w:eastAsia="sl-SI"/>
                    </w:rPr>
                  </w:pPr>
                  <w:r w:rsidRPr="00B95D04">
                    <w:rPr>
                      <w:rFonts w:ascii="Arial" w:eastAsia="Times New Roman" w:hAnsi="Arial" w:cs="Arial"/>
                      <w:sz w:val="20"/>
                      <w:szCs w:val="20"/>
                      <w:u w:val="single"/>
                      <w:lang w:eastAsia="sl-SI"/>
                    </w:rPr>
                    <w:t xml:space="preserve">K </w:t>
                  </w:r>
                  <w:r w:rsidR="00E7409D" w:rsidRPr="00B95D04">
                    <w:rPr>
                      <w:rFonts w:ascii="Arial" w:eastAsia="Times New Roman" w:hAnsi="Arial" w:cs="Arial"/>
                      <w:sz w:val="20"/>
                      <w:szCs w:val="20"/>
                      <w:u w:val="single"/>
                      <w:lang w:eastAsia="sl-SI"/>
                    </w:rPr>
                    <w:t>5</w:t>
                  </w:r>
                  <w:r w:rsidRPr="00B95D04">
                    <w:rPr>
                      <w:rFonts w:ascii="Arial" w:eastAsia="Times New Roman" w:hAnsi="Arial" w:cs="Arial"/>
                      <w:sz w:val="20"/>
                      <w:szCs w:val="20"/>
                      <w:u w:val="single"/>
                      <w:lang w:eastAsia="sl-SI"/>
                    </w:rPr>
                    <w:t>. členu</w:t>
                  </w:r>
                </w:p>
                <w:p w14:paraId="6D88CA17" w14:textId="623E0722" w:rsidR="00D74108" w:rsidRPr="00B95D04" w:rsidRDefault="00E20713" w:rsidP="00E978A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color w:val="A6A6A6"/>
                      <w:sz w:val="20"/>
                      <w:szCs w:val="20"/>
                      <w:lang w:eastAsia="sl-SI"/>
                    </w:rPr>
                  </w:pPr>
                  <w:r w:rsidRPr="00B95D04">
                    <w:rPr>
                      <w:rFonts w:ascii="Arial" w:eastAsia="Times New Roman" w:hAnsi="Arial" w:cs="Arial"/>
                      <w:sz w:val="20"/>
                      <w:szCs w:val="20"/>
                      <w:lang w:eastAsia="sl-SI"/>
                    </w:rPr>
                    <w:t>Č</w:t>
                  </w:r>
                  <w:r w:rsidR="00D74108" w:rsidRPr="00B95D04">
                    <w:rPr>
                      <w:rFonts w:ascii="Arial" w:eastAsia="Times New Roman" w:hAnsi="Arial" w:cs="Arial"/>
                      <w:sz w:val="20"/>
                      <w:szCs w:val="20"/>
                      <w:lang w:eastAsia="sl-SI"/>
                    </w:rPr>
                    <w:t>len določa začetek veljavnosti in uporabe zakona</w:t>
                  </w:r>
                  <w:r w:rsidR="000E2EE7" w:rsidRPr="00B95D04">
                    <w:rPr>
                      <w:rFonts w:ascii="Arial" w:eastAsia="Times New Roman" w:hAnsi="Arial" w:cs="Arial"/>
                      <w:sz w:val="20"/>
                      <w:szCs w:val="20"/>
                      <w:lang w:eastAsia="sl-SI"/>
                    </w:rPr>
                    <w:t xml:space="preserve"> ter </w:t>
                  </w:r>
                  <w:r w:rsidR="000E2EE7" w:rsidRPr="00B95D04">
                    <w:rPr>
                      <w:rFonts w:ascii="Arial" w:hAnsi="Arial" w:cs="Arial"/>
                      <w:sz w:val="20"/>
                      <w:szCs w:val="20"/>
                    </w:rPr>
                    <w:t>uporab</w:t>
                  </w:r>
                  <w:r w:rsidR="002D44B4" w:rsidRPr="00B95D04">
                    <w:rPr>
                      <w:rFonts w:ascii="Arial" w:hAnsi="Arial" w:cs="Arial"/>
                      <w:sz w:val="20"/>
                      <w:szCs w:val="20"/>
                    </w:rPr>
                    <w:t>o</w:t>
                  </w:r>
                  <w:r w:rsidR="000E2EE7" w:rsidRPr="00B95D04">
                    <w:rPr>
                      <w:rFonts w:ascii="Arial" w:hAnsi="Arial" w:cs="Arial"/>
                      <w:sz w:val="20"/>
                      <w:szCs w:val="20"/>
                    </w:rPr>
                    <w:t xml:space="preserve"> posameznih členov </w:t>
                  </w:r>
                  <w:r w:rsidR="00E978A2" w:rsidRPr="00B95D04">
                    <w:rPr>
                      <w:rFonts w:ascii="Arial" w:hAnsi="Arial" w:cs="Arial"/>
                      <w:sz w:val="20"/>
                      <w:szCs w:val="20"/>
                    </w:rPr>
                    <w:t>ZDDPO-2</w:t>
                  </w:r>
                  <w:r w:rsidR="000E2EE7" w:rsidRPr="00B95D04">
                    <w:rPr>
                      <w:rFonts w:ascii="Arial" w:hAnsi="Arial" w:cs="Arial"/>
                      <w:sz w:val="20"/>
                      <w:szCs w:val="20"/>
                    </w:rPr>
                    <w:t>, veljavnega do uveljavitve tega zakona, še do začetka uporabe tega zakona.</w:t>
                  </w:r>
                </w:p>
              </w:tc>
            </w:tr>
          </w:tbl>
          <w:p w14:paraId="6D88CA19" w14:textId="77777777" w:rsidR="005553CB" w:rsidRPr="00B95D04" w:rsidRDefault="005553CB" w:rsidP="00D74108">
            <w:pPr>
              <w:suppressAutoHyphens/>
              <w:overflowPunct w:val="0"/>
              <w:autoSpaceDE w:val="0"/>
              <w:autoSpaceDN w:val="0"/>
              <w:adjustRightInd w:val="0"/>
              <w:spacing w:after="0" w:line="260" w:lineRule="exact"/>
              <w:jc w:val="both"/>
              <w:textAlignment w:val="baseline"/>
              <w:outlineLvl w:val="3"/>
              <w:rPr>
                <w:rFonts w:ascii="Arial" w:hAnsi="Arial" w:cs="Arial"/>
                <w:color w:val="A6A6A6"/>
                <w:sz w:val="20"/>
                <w:szCs w:val="20"/>
              </w:rPr>
            </w:pPr>
          </w:p>
        </w:tc>
      </w:tr>
    </w:tbl>
    <w:p w14:paraId="3208E761" w14:textId="77777777" w:rsidR="000C0905" w:rsidRDefault="000C0905">
      <w:r>
        <w:rPr>
          <w:b/>
        </w:rPr>
        <w:lastRenderedPageBreak/>
        <w:br w:type="page"/>
      </w:r>
    </w:p>
    <w:tbl>
      <w:tblPr>
        <w:tblW w:w="0" w:type="auto"/>
        <w:tblLook w:val="04A0" w:firstRow="1" w:lastRow="0" w:firstColumn="1" w:lastColumn="0" w:noHBand="0" w:noVBand="1"/>
      </w:tblPr>
      <w:tblGrid>
        <w:gridCol w:w="9213"/>
      </w:tblGrid>
      <w:tr w:rsidR="005553CB" w:rsidRPr="00B95D04" w14:paraId="6D88CA1D" w14:textId="77777777" w:rsidTr="00CA689C">
        <w:tc>
          <w:tcPr>
            <w:tcW w:w="9213" w:type="dxa"/>
          </w:tcPr>
          <w:p w14:paraId="6D88CA1C" w14:textId="3129F781" w:rsidR="005553CB" w:rsidRPr="00B95D04" w:rsidRDefault="005553CB" w:rsidP="00CA689C">
            <w:pPr>
              <w:pStyle w:val="Poglavje"/>
              <w:spacing w:before="0" w:after="0" w:line="260" w:lineRule="exact"/>
              <w:jc w:val="left"/>
              <w:rPr>
                <w:sz w:val="20"/>
                <w:szCs w:val="20"/>
              </w:rPr>
            </w:pPr>
            <w:r w:rsidRPr="00B95D04">
              <w:rPr>
                <w:sz w:val="20"/>
                <w:szCs w:val="20"/>
              </w:rPr>
              <w:lastRenderedPageBreak/>
              <w:t>IV. BESEDILO ČLENOV, KI SE SPREMINJAJO</w:t>
            </w:r>
          </w:p>
        </w:tc>
      </w:tr>
      <w:tr w:rsidR="005553CB" w:rsidRPr="00B95D04" w14:paraId="6D88CA20" w14:textId="77777777" w:rsidTr="00CA689C">
        <w:tc>
          <w:tcPr>
            <w:tcW w:w="9213" w:type="dxa"/>
          </w:tcPr>
          <w:p w14:paraId="04F8E82C" w14:textId="77777777" w:rsidR="001354F7" w:rsidRPr="00B95D04" w:rsidRDefault="001354F7" w:rsidP="001354F7">
            <w:pPr>
              <w:pStyle w:val="len1"/>
              <w:spacing w:before="0" w:line="260" w:lineRule="exact"/>
              <w:rPr>
                <w:sz w:val="20"/>
                <w:szCs w:val="20"/>
              </w:rPr>
            </w:pPr>
          </w:p>
          <w:p w14:paraId="28FD9F6F" w14:textId="77777777" w:rsidR="00E7409D" w:rsidRPr="00B95D04" w:rsidRDefault="00E7409D" w:rsidP="001354F7">
            <w:pPr>
              <w:pStyle w:val="len1"/>
              <w:spacing w:before="0" w:line="240" w:lineRule="exact"/>
              <w:rPr>
                <w:sz w:val="20"/>
                <w:szCs w:val="20"/>
              </w:rPr>
            </w:pPr>
            <w:proofErr w:type="spellStart"/>
            <w:r w:rsidRPr="00B95D04">
              <w:rPr>
                <w:sz w:val="20"/>
                <w:szCs w:val="20"/>
              </w:rPr>
              <w:t>67.c</w:t>
            </w:r>
            <w:proofErr w:type="spellEnd"/>
            <w:r w:rsidRPr="00B95D04">
              <w:rPr>
                <w:sz w:val="20"/>
                <w:szCs w:val="20"/>
              </w:rPr>
              <w:t xml:space="preserve"> člen</w:t>
            </w:r>
          </w:p>
          <w:p w14:paraId="24DA37F9" w14:textId="77777777" w:rsidR="00E7409D" w:rsidRPr="00B95D04" w:rsidRDefault="00E7409D" w:rsidP="001354F7">
            <w:pPr>
              <w:pStyle w:val="lennaslov1"/>
              <w:spacing w:line="240" w:lineRule="exact"/>
              <w:rPr>
                <w:sz w:val="20"/>
                <w:szCs w:val="20"/>
              </w:rPr>
            </w:pPr>
            <w:r w:rsidRPr="00B95D04">
              <w:rPr>
                <w:sz w:val="20"/>
                <w:szCs w:val="20"/>
              </w:rPr>
              <w:t>(spremljanje izpolnjevanja pogojev)</w:t>
            </w:r>
          </w:p>
          <w:p w14:paraId="62A20C58" w14:textId="77777777" w:rsidR="00E7409D" w:rsidRPr="00B95D04" w:rsidRDefault="00E7409D" w:rsidP="001354F7">
            <w:pPr>
              <w:pStyle w:val="odstavek1"/>
              <w:spacing w:before="0" w:line="240" w:lineRule="exact"/>
              <w:rPr>
                <w:sz w:val="20"/>
                <w:szCs w:val="20"/>
              </w:rPr>
            </w:pPr>
            <w:r w:rsidRPr="00B95D04">
              <w:rPr>
                <w:sz w:val="20"/>
                <w:szCs w:val="20"/>
              </w:rPr>
              <w:t xml:space="preserve">(1) Zavezanec iz </w:t>
            </w:r>
            <w:proofErr w:type="spellStart"/>
            <w:r w:rsidRPr="00B95D04">
              <w:rPr>
                <w:sz w:val="20"/>
                <w:szCs w:val="20"/>
              </w:rPr>
              <w:t>67.b</w:t>
            </w:r>
            <w:proofErr w:type="spellEnd"/>
            <w:r w:rsidRPr="00B95D04">
              <w:rPr>
                <w:sz w:val="20"/>
                <w:szCs w:val="20"/>
              </w:rPr>
              <w:t xml:space="preserve"> člena tega zakona mora davčnemu organu v roku, določenim z zakonom, ki ureja davčni postopek, priglasiti, da bo ugotavljal davčno osnovo z upoštevanjem normiranih odhodkov.</w:t>
            </w:r>
          </w:p>
          <w:p w14:paraId="7DC07158" w14:textId="77777777" w:rsidR="00E7409D" w:rsidRPr="00B95D04" w:rsidRDefault="00E7409D" w:rsidP="001354F7">
            <w:pPr>
              <w:pStyle w:val="odstavek1"/>
              <w:spacing w:before="0" w:line="240" w:lineRule="exact"/>
              <w:rPr>
                <w:sz w:val="20"/>
                <w:szCs w:val="20"/>
              </w:rPr>
            </w:pPr>
            <w:r w:rsidRPr="00B95D04">
              <w:rPr>
                <w:sz w:val="20"/>
                <w:szCs w:val="20"/>
              </w:rPr>
              <w:t xml:space="preserve">(2) Zavezanec iz </w:t>
            </w:r>
            <w:proofErr w:type="spellStart"/>
            <w:r w:rsidRPr="00B95D04">
              <w:rPr>
                <w:sz w:val="20"/>
                <w:szCs w:val="20"/>
              </w:rPr>
              <w:t>67.b</w:t>
            </w:r>
            <w:proofErr w:type="spellEnd"/>
            <w:r w:rsidRPr="00B95D04">
              <w:rPr>
                <w:sz w:val="20"/>
                <w:szCs w:val="20"/>
              </w:rPr>
              <w:t xml:space="preserve"> člena tega zakona mora ugotavljati prihodke iz </w:t>
            </w:r>
            <w:proofErr w:type="spellStart"/>
            <w:r w:rsidRPr="00B95D04">
              <w:rPr>
                <w:sz w:val="20"/>
                <w:szCs w:val="20"/>
              </w:rPr>
              <w:t>67.b</w:t>
            </w:r>
            <w:proofErr w:type="spellEnd"/>
            <w:r w:rsidRPr="00B95D04">
              <w:rPr>
                <w:sz w:val="20"/>
                <w:szCs w:val="20"/>
              </w:rPr>
              <w:t xml:space="preserve"> člena tega zakona za vsako davčno obdobje v skladu s </w:t>
            </w:r>
            <w:proofErr w:type="spellStart"/>
            <w:r w:rsidRPr="00B95D04">
              <w:rPr>
                <w:sz w:val="20"/>
                <w:szCs w:val="20"/>
              </w:rPr>
              <w:t>67.b</w:t>
            </w:r>
            <w:proofErr w:type="spellEnd"/>
            <w:r w:rsidRPr="00B95D04">
              <w:rPr>
                <w:sz w:val="20"/>
                <w:szCs w:val="20"/>
              </w:rPr>
              <w:t xml:space="preserve"> členom tega zakona.</w:t>
            </w:r>
          </w:p>
          <w:p w14:paraId="5AC933F4" w14:textId="77777777" w:rsidR="00E7409D" w:rsidRPr="00B95D04" w:rsidRDefault="00E7409D" w:rsidP="001354F7">
            <w:pPr>
              <w:pStyle w:val="odstavek1"/>
              <w:spacing w:before="0" w:line="240" w:lineRule="exact"/>
              <w:rPr>
                <w:sz w:val="20"/>
                <w:szCs w:val="20"/>
              </w:rPr>
            </w:pPr>
            <w:r w:rsidRPr="00B95D04">
              <w:rPr>
                <w:sz w:val="20"/>
                <w:szCs w:val="20"/>
              </w:rPr>
              <w:t xml:space="preserve">(3) Zavezanec iz </w:t>
            </w:r>
            <w:proofErr w:type="spellStart"/>
            <w:r w:rsidRPr="00B95D04">
              <w:rPr>
                <w:sz w:val="20"/>
                <w:szCs w:val="20"/>
              </w:rPr>
              <w:t>67.b</w:t>
            </w:r>
            <w:proofErr w:type="spellEnd"/>
            <w:r w:rsidRPr="00B95D04">
              <w:rPr>
                <w:sz w:val="20"/>
                <w:szCs w:val="20"/>
              </w:rPr>
              <w:t xml:space="preserve"> člena tega zakona mora v roku, določenim z zakonom, ki ureja davčni postopek, davčni organ obvestiti o prenehanju ugotavljanja davčne osnove z upoštevanjem normiranih odhodkov. Obvestilo učinkuje od začetka davčnega obdobja, za katero je davčni zavezanec obvestil davčni organ.</w:t>
            </w:r>
          </w:p>
          <w:p w14:paraId="73DB028F" w14:textId="77777777" w:rsidR="00E7409D" w:rsidRPr="00B95D04" w:rsidRDefault="00E7409D" w:rsidP="001354F7">
            <w:pPr>
              <w:pStyle w:val="odstavek1"/>
              <w:spacing w:before="0" w:line="240" w:lineRule="exact"/>
              <w:rPr>
                <w:sz w:val="20"/>
                <w:szCs w:val="20"/>
              </w:rPr>
            </w:pPr>
            <w:r w:rsidRPr="00B95D04">
              <w:rPr>
                <w:sz w:val="20"/>
                <w:szCs w:val="20"/>
              </w:rPr>
              <w:t xml:space="preserve">(4) Zavezanec iz </w:t>
            </w:r>
            <w:proofErr w:type="spellStart"/>
            <w:r w:rsidRPr="00B95D04">
              <w:rPr>
                <w:sz w:val="20"/>
                <w:szCs w:val="20"/>
              </w:rPr>
              <w:t>67.b</w:t>
            </w:r>
            <w:proofErr w:type="spellEnd"/>
            <w:r w:rsidRPr="00B95D04">
              <w:rPr>
                <w:sz w:val="20"/>
                <w:szCs w:val="20"/>
              </w:rPr>
              <w:t xml:space="preserve"> člena tega zakona, ki davčnemu organu predloži obvestilo iz tretjega odstavka tega člena, mora ugotavljati davčno osnovo v skladu s splošnimi pravili tega zakona.</w:t>
            </w:r>
          </w:p>
          <w:p w14:paraId="33FE2FDF" w14:textId="77777777" w:rsidR="00E7409D" w:rsidRPr="00B95D04" w:rsidRDefault="00E7409D" w:rsidP="001354F7">
            <w:pPr>
              <w:pStyle w:val="odstavek1"/>
              <w:spacing w:before="0" w:line="240" w:lineRule="exact"/>
              <w:rPr>
                <w:sz w:val="20"/>
                <w:szCs w:val="20"/>
              </w:rPr>
            </w:pPr>
            <w:r w:rsidRPr="00B95D04">
              <w:rPr>
                <w:sz w:val="20"/>
                <w:szCs w:val="20"/>
              </w:rPr>
              <w:t xml:space="preserve">(5) Ne glede na tretji odstavek tega člena mora zavezanec iz </w:t>
            </w:r>
            <w:proofErr w:type="spellStart"/>
            <w:r w:rsidRPr="00B95D04">
              <w:rPr>
                <w:sz w:val="20"/>
                <w:szCs w:val="20"/>
              </w:rPr>
              <w:t>67.b</w:t>
            </w:r>
            <w:proofErr w:type="spellEnd"/>
            <w:r w:rsidRPr="00B95D04">
              <w:rPr>
                <w:sz w:val="20"/>
                <w:szCs w:val="20"/>
              </w:rPr>
              <w:t xml:space="preserve"> člena tega zakona, ki dve zaporedni davčni obdobji ne izpolnjuje pogojev po tem poglavju, ugotavljati davčno osnovo v skladu s splošnimi pravili tega zakona za celotno davčno obdobje, ki sledi tema dvema davčnima obdobjema.</w:t>
            </w:r>
          </w:p>
          <w:p w14:paraId="5D011CD0" w14:textId="77777777" w:rsidR="001354F7" w:rsidRPr="00B95D04" w:rsidRDefault="001354F7" w:rsidP="001354F7">
            <w:pPr>
              <w:pStyle w:val="len1"/>
              <w:spacing w:before="0" w:line="240" w:lineRule="exact"/>
              <w:rPr>
                <w:sz w:val="20"/>
                <w:szCs w:val="20"/>
              </w:rPr>
            </w:pPr>
          </w:p>
          <w:p w14:paraId="46AA0EF3" w14:textId="77777777" w:rsidR="00E7409D" w:rsidRPr="00B95D04" w:rsidRDefault="00E7409D" w:rsidP="001354F7">
            <w:pPr>
              <w:pStyle w:val="len1"/>
              <w:spacing w:before="0" w:line="240" w:lineRule="exact"/>
              <w:rPr>
                <w:sz w:val="20"/>
                <w:szCs w:val="20"/>
              </w:rPr>
            </w:pPr>
            <w:proofErr w:type="spellStart"/>
            <w:r w:rsidRPr="00B95D04">
              <w:rPr>
                <w:sz w:val="20"/>
                <w:szCs w:val="20"/>
              </w:rPr>
              <w:t>67.d</w:t>
            </w:r>
            <w:proofErr w:type="spellEnd"/>
            <w:r w:rsidRPr="00B95D04">
              <w:rPr>
                <w:sz w:val="20"/>
                <w:szCs w:val="20"/>
              </w:rPr>
              <w:t xml:space="preserve"> člen</w:t>
            </w:r>
          </w:p>
          <w:p w14:paraId="050C5F37" w14:textId="77777777" w:rsidR="00E7409D" w:rsidRPr="00B95D04" w:rsidRDefault="00E7409D" w:rsidP="001354F7">
            <w:pPr>
              <w:pStyle w:val="lennaslov1"/>
              <w:spacing w:line="240" w:lineRule="exact"/>
              <w:rPr>
                <w:sz w:val="20"/>
                <w:szCs w:val="20"/>
              </w:rPr>
            </w:pPr>
            <w:r w:rsidRPr="00B95D04">
              <w:rPr>
                <w:sz w:val="20"/>
                <w:szCs w:val="20"/>
              </w:rPr>
              <w:t xml:space="preserve">(posebni primeri ugotavljanja prihodkov iz </w:t>
            </w:r>
            <w:proofErr w:type="spellStart"/>
            <w:r w:rsidRPr="00B95D04">
              <w:rPr>
                <w:sz w:val="20"/>
                <w:szCs w:val="20"/>
              </w:rPr>
              <w:t>67.b</w:t>
            </w:r>
            <w:proofErr w:type="spellEnd"/>
            <w:r w:rsidRPr="00B95D04">
              <w:rPr>
                <w:sz w:val="20"/>
                <w:szCs w:val="20"/>
              </w:rPr>
              <w:t xml:space="preserve"> člena)</w:t>
            </w:r>
          </w:p>
          <w:p w14:paraId="46AD79C7" w14:textId="77777777" w:rsidR="00E7409D" w:rsidRPr="00B95D04" w:rsidRDefault="00E7409D" w:rsidP="001354F7">
            <w:pPr>
              <w:pStyle w:val="odstavek1"/>
              <w:spacing w:before="0" w:line="240" w:lineRule="exact"/>
              <w:rPr>
                <w:sz w:val="20"/>
                <w:szCs w:val="20"/>
              </w:rPr>
            </w:pPr>
            <w:r w:rsidRPr="00B95D04">
              <w:rPr>
                <w:sz w:val="20"/>
                <w:szCs w:val="20"/>
              </w:rPr>
              <w:t xml:space="preserve">(1) Za potrebe določanja višine prihodkov iz </w:t>
            </w:r>
            <w:proofErr w:type="spellStart"/>
            <w:r w:rsidRPr="00B95D04">
              <w:rPr>
                <w:sz w:val="20"/>
                <w:szCs w:val="20"/>
              </w:rPr>
              <w:t>67.b</w:t>
            </w:r>
            <w:proofErr w:type="spellEnd"/>
            <w:r w:rsidRPr="00B95D04">
              <w:rPr>
                <w:sz w:val="20"/>
                <w:szCs w:val="20"/>
              </w:rPr>
              <w:t xml:space="preserve"> člena tega zakona se ne šteje, da je zavezanec na novo pričel poslovati, če je v 18 mesecih pred priglasitvijo ugotavljanja davčne osnove z upoštevanjem normiranih odhodkov:</w:t>
            </w:r>
          </w:p>
          <w:p w14:paraId="082594FF" w14:textId="77777777" w:rsidR="00E7409D" w:rsidRPr="00B95D04" w:rsidRDefault="00E7409D" w:rsidP="001354F7">
            <w:pPr>
              <w:pStyle w:val="tevilnatoka1"/>
              <w:spacing w:line="240" w:lineRule="exact"/>
              <w:rPr>
                <w:sz w:val="20"/>
                <w:szCs w:val="20"/>
              </w:rPr>
            </w:pPr>
            <w:r w:rsidRPr="00B95D04">
              <w:rPr>
                <w:sz w:val="20"/>
                <w:szCs w:val="20"/>
              </w:rPr>
              <w:t>1.     zavezanec ustanovil družbo, zavod ali primerljivo osebo po tujem pravu;</w:t>
            </w:r>
          </w:p>
          <w:p w14:paraId="24D1BBFA" w14:textId="77777777" w:rsidR="00E7409D" w:rsidRPr="00B95D04" w:rsidRDefault="00E7409D" w:rsidP="001354F7">
            <w:pPr>
              <w:pStyle w:val="tevilnatoka1"/>
              <w:spacing w:line="240" w:lineRule="exact"/>
              <w:rPr>
                <w:sz w:val="20"/>
                <w:szCs w:val="20"/>
              </w:rPr>
            </w:pPr>
            <w:r w:rsidRPr="00B95D04">
              <w:rPr>
                <w:sz w:val="20"/>
                <w:szCs w:val="20"/>
              </w:rPr>
              <w:t>2.     prišlo do preoblikovanja s prenosom enega ali več obratov na fizično osebo, ki opravlja dejavnost, če je ta fizična oseba predhodno imela delež v zavezancu, ali na družbo, s pridobitvijo lastniškega deleža;</w:t>
            </w:r>
          </w:p>
          <w:p w14:paraId="1D252849" w14:textId="77777777" w:rsidR="00E7409D" w:rsidRPr="00B95D04" w:rsidRDefault="00E7409D" w:rsidP="001354F7">
            <w:pPr>
              <w:pStyle w:val="tevilnatoka1"/>
              <w:spacing w:line="240" w:lineRule="exact"/>
              <w:rPr>
                <w:sz w:val="20"/>
                <w:szCs w:val="20"/>
              </w:rPr>
            </w:pPr>
            <w:r w:rsidRPr="00B95D04">
              <w:rPr>
                <w:sz w:val="20"/>
                <w:szCs w:val="20"/>
              </w:rPr>
              <w:t>3.     pričel poslovati na podlagi prenosa enega ali več obratov od druge fizične ali pravne osebe.</w:t>
            </w:r>
          </w:p>
          <w:p w14:paraId="3587306B" w14:textId="77777777" w:rsidR="00E7409D" w:rsidRPr="00B95D04" w:rsidRDefault="00E7409D" w:rsidP="001354F7">
            <w:pPr>
              <w:pStyle w:val="odstavek1"/>
              <w:spacing w:before="0" w:line="240" w:lineRule="exact"/>
              <w:rPr>
                <w:sz w:val="20"/>
                <w:szCs w:val="20"/>
              </w:rPr>
            </w:pPr>
            <w:r w:rsidRPr="00B95D04">
              <w:rPr>
                <w:sz w:val="20"/>
                <w:szCs w:val="20"/>
              </w:rPr>
              <w:t xml:space="preserve">(2) V primerih iz prejšnjega odstavka se v prihodke po </w:t>
            </w:r>
            <w:proofErr w:type="spellStart"/>
            <w:r w:rsidRPr="00B95D04">
              <w:rPr>
                <w:sz w:val="20"/>
                <w:szCs w:val="20"/>
              </w:rPr>
              <w:t>67.b</w:t>
            </w:r>
            <w:proofErr w:type="spellEnd"/>
            <w:r w:rsidRPr="00B95D04">
              <w:rPr>
                <w:sz w:val="20"/>
                <w:szCs w:val="20"/>
              </w:rPr>
              <w:t xml:space="preserve"> členu tega zakona štejejo:</w:t>
            </w:r>
          </w:p>
          <w:p w14:paraId="1E593FAE" w14:textId="77777777" w:rsidR="00E7409D" w:rsidRPr="00B95D04" w:rsidRDefault="00E7409D" w:rsidP="001354F7">
            <w:pPr>
              <w:pStyle w:val="tevilnatoka1"/>
              <w:spacing w:line="240" w:lineRule="exact"/>
              <w:rPr>
                <w:sz w:val="20"/>
                <w:szCs w:val="20"/>
              </w:rPr>
            </w:pPr>
            <w:r w:rsidRPr="00B95D04">
              <w:rPr>
                <w:sz w:val="20"/>
                <w:szCs w:val="20"/>
              </w:rPr>
              <w:t>1.     prihodki zavezanca in družbe, zavoda ali primerljive osebe po tujem pravu, ugotovljeni po pravilih o računovodenju;</w:t>
            </w:r>
          </w:p>
          <w:p w14:paraId="60ECC2A3" w14:textId="77777777" w:rsidR="00E7409D" w:rsidRPr="00B95D04" w:rsidRDefault="00E7409D" w:rsidP="001354F7">
            <w:pPr>
              <w:pStyle w:val="tevilnatoka1"/>
              <w:spacing w:line="240" w:lineRule="exact"/>
              <w:rPr>
                <w:sz w:val="20"/>
                <w:szCs w:val="20"/>
              </w:rPr>
            </w:pPr>
            <w:r w:rsidRPr="00B95D04">
              <w:rPr>
                <w:sz w:val="20"/>
                <w:szCs w:val="20"/>
              </w:rPr>
              <w:t>2.     prihodki zavezanca in družbe, ki je prevzela enega ali več obratov zavezanca, in</w:t>
            </w:r>
          </w:p>
          <w:p w14:paraId="75F3CB8A" w14:textId="77777777" w:rsidR="00E7409D" w:rsidRPr="00B95D04" w:rsidRDefault="00E7409D" w:rsidP="001354F7">
            <w:pPr>
              <w:pStyle w:val="tevilnatoka1"/>
              <w:spacing w:line="240" w:lineRule="exact"/>
              <w:rPr>
                <w:sz w:val="20"/>
                <w:szCs w:val="20"/>
              </w:rPr>
            </w:pPr>
            <w:r w:rsidRPr="00B95D04">
              <w:rPr>
                <w:sz w:val="20"/>
                <w:szCs w:val="20"/>
              </w:rPr>
              <w:t>3.     prihodki zavezanca in osebe, ki je prenesla enega ali več obratov na zavezanca,</w:t>
            </w:r>
          </w:p>
          <w:p w14:paraId="24D475A7" w14:textId="77777777" w:rsidR="00E7409D" w:rsidRPr="00B95D04" w:rsidRDefault="00E7409D" w:rsidP="001354F7">
            <w:pPr>
              <w:pStyle w:val="zamaknjenadolobaprvinivo1"/>
              <w:spacing w:line="240" w:lineRule="exact"/>
              <w:rPr>
                <w:sz w:val="20"/>
                <w:szCs w:val="20"/>
              </w:rPr>
            </w:pPr>
            <w:r w:rsidRPr="00B95D04">
              <w:rPr>
                <w:sz w:val="20"/>
                <w:szCs w:val="20"/>
              </w:rPr>
              <w:t xml:space="preserve">doseženi v obdobju iz </w:t>
            </w:r>
            <w:proofErr w:type="spellStart"/>
            <w:r w:rsidRPr="00B95D04">
              <w:rPr>
                <w:sz w:val="20"/>
                <w:szCs w:val="20"/>
              </w:rPr>
              <w:t>67.b</w:t>
            </w:r>
            <w:proofErr w:type="spellEnd"/>
            <w:r w:rsidRPr="00B95D04">
              <w:rPr>
                <w:sz w:val="20"/>
                <w:szCs w:val="20"/>
              </w:rPr>
              <w:t xml:space="preserve"> člena tega zakona. </w:t>
            </w:r>
          </w:p>
          <w:p w14:paraId="05B25FB6" w14:textId="77777777" w:rsidR="00E7409D" w:rsidRPr="00B95D04" w:rsidRDefault="00E7409D" w:rsidP="001354F7">
            <w:pPr>
              <w:pStyle w:val="odstavek1"/>
              <w:spacing w:before="0" w:line="240" w:lineRule="exact"/>
              <w:rPr>
                <w:sz w:val="20"/>
                <w:szCs w:val="20"/>
              </w:rPr>
            </w:pPr>
            <w:r w:rsidRPr="00B95D04">
              <w:rPr>
                <w:sz w:val="20"/>
                <w:szCs w:val="20"/>
              </w:rPr>
              <w:t>(3) Za obrat po tem členu se šteje obrat iz 39. člena zakona.</w:t>
            </w:r>
          </w:p>
          <w:p w14:paraId="6435A4B1" w14:textId="77777777" w:rsidR="001354F7" w:rsidRPr="00B95D04" w:rsidRDefault="001354F7" w:rsidP="001354F7">
            <w:pPr>
              <w:pStyle w:val="len1"/>
              <w:spacing w:before="0" w:line="240" w:lineRule="exact"/>
              <w:rPr>
                <w:sz w:val="20"/>
                <w:szCs w:val="20"/>
              </w:rPr>
            </w:pPr>
          </w:p>
          <w:p w14:paraId="270E8D01" w14:textId="77777777" w:rsidR="00E7409D" w:rsidRPr="00B95D04" w:rsidRDefault="00E7409D" w:rsidP="001354F7">
            <w:pPr>
              <w:pStyle w:val="len1"/>
              <w:spacing w:before="0" w:line="240" w:lineRule="exact"/>
              <w:rPr>
                <w:sz w:val="20"/>
                <w:szCs w:val="20"/>
              </w:rPr>
            </w:pPr>
            <w:proofErr w:type="spellStart"/>
            <w:r w:rsidRPr="00B95D04">
              <w:rPr>
                <w:sz w:val="20"/>
                <w:szCs w:val="20"/>
              </w:rPr>
              <w:t>67.e</w:t>
            </w:r>
            <w:proofErr w:type="spellEnd"/>
            <w:r w:rsidRPr="00B95D04">
              <w:rPr>
                <w:sz w:val="20"/>
                <w:szCs w:val="20"/>
              </w:rPr>
              <w:t xml:space="preserve"> člen</w:t>
            </w:r>
          </w:p>
          <w:p w14:paraId="74442891" w14:textId="77777777" w:rsidR="00E7409D" w:rsidRPr="00B95D04" w:rsidRDefault="00E7409D" w:rsidP="001354F7">
            <w:pPr>
              <w:pStyle w:val="lennaslov1"/>
              <w:spacing w:line="240" w:lineRule="exact"/>
              <w:rPr>
                <w:sz w:val="20"/>
                <w:szCs w:val="20"/>
              </w:rPr>
            </w:pPr>
            <w:r w:rsidRPr="00B95D04">
              <w:rPr>
                <w:sz w:val="20"/>
                <w:szCs w:val="20"/>
              </w:rPr>
              <w:t>(določanje davčne osnove z upoštevanjem normiranih odhodkov)</w:t>
            </w:r>
          </w:p>
          <w:p w14:paraId="75D52E45" w14:textId="77777777" w:rsidR="00E7409D" w:rsidRPr="00B95D04" w:rsidRDefault="00E7409D" w:rsidP="001354F7">
            <w:pPr>
              <w:pStyle w:val="odstavek1"/>
              <w:spacing w:before="0" w:line="240" w:lineRule="exact"/>
              <w:rPr>
                <w:sz w:val="20"/>
                <w:szCs w:val="20"/>
              </w:rPr>
            </w:pPr>
            <w:r w:rsidRPr="00B95D04">
              <w:rPr>
                <w:sz w:val="20"/>
                <w:szCs w:val="20"/>
              </w:rPr>
              <w:t>(1) Pri ugotavljanju davčne osnove z upoštevanjem normiranih odhodkov se upoštevajo davčno priznani prihodki (v nadaljnjem besedilu tega poglavja: prihodki) in normirani odhodki v višini 80</w:t>
            </w:r>
            <w:r w:rsidRPr="00B95D04">
              <w:rPr>
                <w:rFonts w:eastAsia="MS Mincho"/>
                <w:sz w:val="20"/>
                <w:szCs w:val="20"/>
              </w:rPr>
              <w:t> </w:t>
            </w:r>
            <w:r w:rsidRPr="00B95D04">
              <w:rPr>
                <w:sz w:val="20"/>
                <w:szCs w:val="20"/>
              </w:rPr>
              <w:t>% teh prihodkov.</w:t>
            </w:r>
          </w:p>
          <w:p w14:paraId="0E5D06FA" w14:textId="77777777" w:rsidR="00E7409D" w:rsidRPr="00B95D04" w:rsidRDefault="00E7409D" w:rsidP="001354F7">
            <w:pPr>
              <w:pStyle w:val="odstavek1"/>
              <w:spacing w:before="0" w:line="240" w:lineRule="exact"/>
              <w:rPr>
                <w:sz w:val="20"/>
                <w:szCs w:val="20"/>
              </w:rPr>
            </w:pPr>
            <w:r w:rsidRPr="00B95D04">
              <w:rPr>
                <w:sz w:val="20"/>
                <w:szCs w:val="20"/>
              </w:rPr>
              <w:t>(2) Pri ugotavljanju davčne osnove z upoštevanjem normiranih odhodkov se ne morejo uveljavljati davčne olajšave, ki so določene s tem zakonom in drugimi zakoni, če zmanjšujejo davčno osnovo po tem zakonu.</w:t>
            </w:r>
          </w:p>
          <w:p w14:paraId="21E16CAE" w14:textId="77777777" w:rsidR="00E7409D" w:rsidRPr="00B95D04" w:rsidRDefault="00E7409D" w:rsidP="001354F7">
            <w:pPr>
              <w:pStyle w:val="odstavek1"/>
              <w:spacing w:before="0" w:line="240" w:lineRule="exact"/>
              <w:rPr>
                <w:sz w:val="20"/>
                <w:szCs w:val="20"/>
              </w:rPr>
            </w:pPr>
            <w:r w:rsidRPr="00B95D04">
              <w:rPr>
                <w:sz w:val="20"/>
                <w:szCs w:val="20"/>
              </w:rPr>
              <w:t>(3) Pri ugotavljanju davčne osnove z upoštevanjem normiranih odhodkov se davčna osnova ne more zmanjševati za priznane odhodke, zmanjšanja davčne osnove in davčno izgubo.</w:t>
            </w:r>
          </w:p>
          <w:p w14:paraId="770A86A8" w14:textId="77777777" w:rsidR="00452FB8" w:rsidRPr="00B95D04" w:rsidRDefault="00452FB8" w:rsidP="00CA689C">
            <w:pPr>
              <w:pStyle w:val="Neotevilenodstavek"/>
              <w:spacing w:before="0" w:after="0" w:line="260" w:lineRule="exact"/>
              <w:rPr>
                <w:rFonts w:cs="Arial"/>
                <w:color w:val="A6A6A6"/>
                <w:sz w:val="20"/>
                <w:szCs w:val="20"/>
                <w:lang w:val="sl-SI" w:eastAsia="sl-SI"/>
              </w:rPr>
            </w:pPr>
          </w:p>
          <w:p w14:paraId="6D88CA1F" w14:textId="77777777" w:rsidR="001354F7" w:rsidRPr="00B95D04" w:rsidRDefault="001354F7" w:rsidP="00CA689C">
            <w:pPr>
              <w:pStyle w:val="Neotevilenodstavek"/>
              <w:spacing w:before="0" w:after="0" w:line="260" w:lineRule="exact"/>
              <w:rPr>
                <w:rFonts w:cs="Arial"/>
                <w:color w:val="A6A6A6"/>
                <w:sz w:val="20"/>
                <w:szCs w:val="20"/>
                <w:lang w:val="sl-SI" w:eastAsia="sl-SI"/>
              </w:rPr>
            </w:pPr>
          </w:p>
        </w:tc>
      </w:tr>
      <w:tr w:rsidR="005553CB" w:rsidRPr="00B95D04" w14:paraId="6D88CA23" w14:textId="77777777" w:rsidTr="00CA689C">
        <w:tc>
          <w:tcPr>
            <w:tcW w:w="9213" w:type="dxa"/>
          </w:tcPr>
          <w:p w14:paraId="6D88CA21" w14:textId="77777777" w:rsidR="005553CB" w:rsidRDefault="005553CB" w:rsidP="00A26A32">
            <w:pPr>
              <w:pStyle w:val="Poglavje"/>
              <w:spacing w:before="0" w:after="0" w:line="260" w:lineRule="exact"/>
              <w:jc w:val="both"/>
              <w:rPr>
                <w:sz w:val="20"/>
                <w:szCs w:val="20"/>
              </w:rPr>
            </w:pPr>
            <w:r w:rsidRPr="00B95D04">
              <w:rPr>
                <w:sz w:val="20"/>
                <w:szCs w:val="20"/>
              </w:rPr>
              <w:t>V. PREDLOG, DA SE PREDLOG ZAKONA OBRAVNAVA PO NUJNEM OZIROMA SKRAJŠANEM POSTOPKU</w:t>
            </w:r>
          </w:p>
          <w:p w14:paraId="449E3858" w14:textId="77777777" w:rsidR="00543179" w:rsidRPr="00B95D04" w:rsidRDefault="00543179" w:rsidP="00A26A32">
            <w:pPr>
              <w:pStyle w:val="Poglavje"/>
              <w:spacing w:before="0" w:after="0" w:line="260" w:lineRule="exact"/>
              <w:jc w:val="both"/>
              <w:rPr>
                <w:sz w:val="20"/>
                <w:szCs w:val="20"/>
              </w:rPr>
            </w:pPr>
          </w:p>
          <w:p w14:paraId="76A77071" w14:textId="77777777" w:rsidR="00A66DE4" w:rsidRPr="00A66DE4" w:rsidRDefault="00A66DE4" w:rsidP="00A66DE4">
            <w:pPr>
              <w:pStyle w:val="Neotevilenodstavek"/>
              <w:spacing w:before="0" w:after="0" w:line="260" w:lineRule="exact"/>
              <w:rPr>
                <w:rFonts w:cs="Arial"/>
                <w:iCs/>
                <w:sz w:val="20"/>
                <w:szCs w:val="20"/>
                <w:lang w:val="sl-SI"/>
              </w:rPr>
            </w:pPr>
            <w:r>
              <w:rPr>
                <w:rFonts w:cs="Arial"/>
                <w:iCs/>
                <w:sz w:val="20"/>
                <w:szCs w:val="20"/>
                <w:lang w:val="sl-SI"/>
              </w:rPr>
              <w:t xml:space="preserve">V skladu s prvim odstavkom 143. člena </w:t>
            </w:r>
            <w:r w:rsidRPr="00D04546">
              <w:rPr>
                <w:rFonts w:cs="Arial"/>
                <w:iCs/>
                <w:sz w:val="20"/>
                <w:szCs w:val="20"/>
                <w:lang w:val="sl-SI"/>
              </w:rPr>
              <w:t>Poslovnik</w:t>
            </w:r>
            <w:r>
              <w:rPr>
                <w:rFonts w:cs="Arial"/>
                <w:iCs/>
                <w:sz w:val="20"/>
                <w:szCs w:val="20"/>
                <w:lang w:val="sl-SI"/>
              </w:rPr>
              <w:t>a</w:t>
            </w:r>
            <w:r w:rsidRPr="00D04546">
              <w:rPr>
                <w:rFonts w:cs="Arial"/>
                <w:iCs/>
                <w:sz w:val="20"/>
                <w:szCs w:val="20"/>
                <w:lang w:val="sl-SI"/>
              </w:rPr>
              <w:t xml:space="preserve"> državnega zbora (Uradni list RS, št. 92/07 – uradno prečiščeno besedilo, 105/10, 80/13 in 38/17)</w:t>
            </w:r>
            <w:r>
              <w:t xml:space="preserve"> </w:t>
            </w:r>
            <w:r w:rsidRPr="005C0C5F">
              <w:rPr>
                <w:rFonts w:cs="Arial"/>
                <w:iCs/>
                <w:sz w:val="20"/>
                <w:szCs w:val="20"/>
                <w:lang w:val="sl-SI"/>
              </w:rPr>
              <w:t xml:space="preserve">Vlada Republike Slovenije predlaga obravnavo predloga zakona po </w:t>
            </w:r>
            <w:r>
              <w:rPr>
                <w:rFonts w:cs="Arial"/>
                <w:iCs/>
                <w:sz w:val="20"/>
                <w:szCs w:val="20"/>
                <w:lang w:val="sl-SI"/>
              </w:rPr>
              <w:t xml:space="preserve">nujnem postopku, </w:t>
            </w:r>
            <w:r w:rsidRPr="00C63BE8">
              <w:rPr>
                <w:rFonts w:cs="Arial"/>
                <w:iCs/>
                <w:sz w:val="20"/>
                <w:szCs w:val="20"/>
                <w:lang w:val="sl-SI"/>
              </w:rPr>
              <w:t xml:space="preserve">ker bi v primeru kasnejšega sprejetja predloga zakona lahko </w:t>
            </w:r>
            <w:r w:rsidRPr="00C63BE8">
              <w:rPr>
                <w:rFonts w:cs="Arial"/>
                <w:iCs/>
                <w:sz w:val="20"/>
                <w:szCs w:val="20"/>
                <w:lang w:val="sl-SI"/>
              </w:rPr>
              <w:lastRenderedPageBreak/>
              <w:t>nastale težko p</w:t>
            </w:r>
            <w:r>
              <w:rPr>
                <w:rFonts w:cs="Arial"/>
                <w:iCs/>
                <w:sz w:val="20"/>
                <w:szCs w:val="20"/>
                <w:lang w:val="sl-SI"/>
              </w:rPr>
              <w:t xml:space="preserve">opravljive posledice za državo. Predlog zakona je namreč skupaj s predlogom </w:t>
            </w:r>
            <w:r w:rsidRPr="002B4B86">
              <w:rPr>
                <w:rFonts w:cs="Arial"/>
                <w:iCs/>
                <w:sz w:val="20"/>
                <w:szCs w:val="20"/>
                <w:lang w:val="sl-SI"/>
              </w:rPr>
              <w:t>Zakon</w:t>
            </w:r>
            <w:r>
              <w:rPr>
                <w:rFonts w:cs="Arial"/>
                <w:iCs/>
                <w:sz w:val="20"/>
                <w:szCs w:val="20"/>
                <w:lang w:val="sl-SI"/>
              </w:rPr>
              <w:t>a</w:t>
            </w:r>
            <w:r w:rsidRPr="002B4B86">
              <w:rPr>
                <w:rFonts w:cs="Arial"/>
                <w:iCs/>
                <w:sz w:val="20"/>
                <w:szCs w:val="20"/>
                <w:lang w:val="sl-SI"/>
              </w:rPr>
              <w:t xml:space="preserve"> o spremembah in dopolnitvah Zakona o dohodnini</w:t>
            </w:r>
            <w:r>
              <w:rPr>
                <w:rFonts w:cs="Arial"/>
                <w:iCs/>
                <w:sz w:val="20"/>
                <w:szCs w:val="20"/>
                <w:lang w:val="sl-SI"/>
              </w:rPr>
              <w:t xml:space="preserve"> (EVA </w:t>
            </w:r>
            <w:r w:rsidRPr="00874447">
              <w:rPr>
                <w:rFonts w:cs="Arial"/>
                <w:iCs/>
                <w:sz w:val="20"/>
                <w:szCs w:val="20"/>
                <w:lang w:val="sl-SI"/>
              </w:rPr>
              <w:t>2017-1611-0023</w:t>
            </w:r>
            <w:r>
              <w:rPr>
                <w:rFonts w:cs="Arial"/>
                <w:iCs/>
                <w:sz w:val="20"/>
                <w:szCs w:val="20"/>
                <w:lang w:val="sl-SI"/>
              </w:rPr>
              <w:t>)</w:t>
            </w:r>
            <w:r w:rsidRPr="002B4B86">
              <w:rPr>
                <w:rFonts w:cs="Arial"/>
                <w:iCs/>
                <w:sz w:val="20"/>
                <w:szCs w:val="20"/>
                <w:lang w:val="sl-SI"/>
              </w:rPr>
              <w:t xml:space="preserve"> </w:t>
            </w:r>
            <w:r>
              <w:rPr>
                <w:rFonts w:cs="Arial"/>
                <w:iCs/>
                <w:sz w:val="20"/>
                <w:szCs w:val="20"/>
                <w:lang w:val="sl-SI"/>
              </w:rPr>
              <w:t xml:space="preserve">del </w:t>
            </w:r>
            <w:r w:rsidRPr="00C63BE8">
              <w:rPr>
                <w:rFonts w:cs="Arial"/>
                <w:iCs/>
                <w:sz w:val="20"/>
                <w:szCs w:val="20"/>
                <w:lang w:val="sl-SI"/>
              </w:rPr>
              <w:t>paket</w:t>
            </w:r>
            <w:r>
              <w:rPr>
                <w:rFonts w:cs="Arial"/>
                <w:iCs/>
                <w:sz w:val="20"/>
                <w:szCs w:val="20"/>
                <w:lang w:val="sl-SI"/>
              </w:rPr>
              <w:t>a</w:t>
            </w:r>
            <w:r w:rsidRPr="00C63BE8">
              <w:rPr>
                <w:rFonts w:cs="Arial"/>
                <w:iCs/>
                <w:sz w:val="20"/>
                <w:szCs w:val="20"/>
                <w:lang w:val="sl-SI"/>
              </w:rPr>
              <w:t xml:space="preserve"> ukrepov</w:t>
            </w:r>
            <w:r>
              <w:t xml:space="preserve"> </w:t>
            </w:r>
            <w:r w:rsidRPr="002B4B86">
              <w:rPr>
                <w:rFonts w:cs="Arial"/>
                <w:iCs/>
                <w:sz w:val="20"/>
                <w:szCs w:val="20"/>
                <w:lang w:val="sl-SI"/>
              </w:rPr>
              <w:t>za zajezitev zlorab posebne ureditve za ugotavljanje davčne osnove z upoštevanjem normiranih odhodkov</w:t>
            </w:r>
            <w:r>
              <w:rPr>
                <w:rFonts w:cs="Arial"/>
                <w:iCs/>
                <w:sz w:val="20"/>
                <w:szCs w:val="20"/>
                <w:lang w:val="sl-SI"/>
              </w:rPr>
              <w:t xml:space="preserve">. V obeh predlogih zakonov so v zvezi z navedenim predlagane vsebinsko enake določbe. Za predlog </w:t>
            </w:r>
            <w:r w:rsidRPr="002B4B86">
              <w:rPr>
                <w:rFonts w:cs="Arial"/>
                <w:iCs/>
                <w:sz w:val="20"/>
                <w:szCs w:val="20"/>
                <w:lang w:val="sl-SI"/>
              </w:rPr>
              <w:t>Zakona o spremembah in dopolnitvah Zakona o dohodnini</w:t>
            </w:r>
            <w:r>
              <w:rPr>
                <w:rFonts w:cs="Arial"/>
                <w:iCs/>
                <w:sz w:val="20"/>
                <w:szCs w:val="20"/>
                <w:lang w:val="sl-SI"/>
              </w:rPr>
              <w:t xml:space="preserve"> Vlada predlaga obravnavo po nujnem postopku zaradi začetka uporabe </w:t>
            </w:r>
            <w:r w:rsidRPr="002B4B86">
              <w:rPr>
                <w:rFonts w:cs="Arial"/>
                <w:iCs/>
                <w:sz w:val="20"/>
                <w:szCs w:val="20"/>
                <w:lang w:val="sl-SI"/>
              </w:rPr>
              <w:t>Zakon</w:t>
            </w:r>
            <w:r>
              <w:rPr>
                <w:rFonts w:cs="Arial"/>
                <w:iCs/>
                <w:sz w:val="20"/>
                <w:szCs w:val="20"/>
                <w:lang w:val="sl-SI"/>
              </w:rPr>
              <w:t>a</w:t>
            </w:r>
            <w:r w:rsidRPr="002B4B86">
              <w:rPr>
                <w:rFonts w:cs="Arial"/>
                <w:iCs/>
                <w:sz w:val="20"/>
                <w:szCs w:val="20"/>
                <w:lang w:val="sl-SI"/>
              </w:rPr>
              <w:t xml:space="preserve"> o čezmejnem izvajanju storitev (Uradni list RS, št.  10/17)</w:t>
            </w:r>
            <w:r>
              <w:rPr>
                <w:rFonts w:cs="Arial"/>
                <w:iCs/>
                <w:sz w:val="20"/>
                <w:szCs w:val="20"/>
                <w:lang w:val="sl-SI"/>
              </w:rPr>
              <w:t xml:space="preserve"> s 1. 1. 2018. </w:t>
            </w:r>
            <w:r w:rsidRPr="002B4B86">
              <w:rPr>
                <w:rFonts w:cs="Arial"/>
                <w:iCs/>
                <w:sz w:val="20"/>
                <w:szCs w:val="20"/>
                <w:lang w:val="sl-SI"/>
              </w:rPr>
              <w:t>Glede na nujnost uveljavitve ukrepov za doseganje navedenih ciljev do konca leta 201</w:t>
            </w:r>
            <w:r>
              <w:rPr>
                <w:rFonts w:cs="Arial"/>
                <w:iCs/>
                <w:sz w:val="20"/>
                <w:szCs w:val="20"/>
                <w:lang w:val="sl-SI"/>
              </w:rPr>
              <w:t>7</w:t>
            </w:r>
            <w:r w:rsidRPr="002B4B86">
              <w:rPr>
                <w:rFonts w:cs="Arial"/>
                <w:iCs/>
                <w:sz w:val="20"/>
                <w:szCs w:val="20"/>
                <w:lang w:val="sl-SI"/>
              </w:rPr>
              <w:t xml:space="preserve">, je nujno istočasno </w:t>
            </w:r>
            <w:r>
              <w:rPr>
                <w:rFonts w:cs="Arial"/>
                <w:iCs/>
                <w:sz w:val="20"/>
                <w:szCs w:val="20"/>
                <w:lang w:val="sl-SI"/>
              </w:rPr>
              <w:t xml:space="preserve">obravnavati in </w:t>
            </w:r>
            <w:r w:rsidRPr="002B4B86">
              <w:rPr>
                <w:rFonts w:cs="Arial"/>
                <w:iCs/>
                <w:sz w:val="20"/>
                <w:szCs w:val="20"/>
                <w:lang w:val="sl-SI"/>
              </w:rPr>
              <w:t>uveljaviti tudi ukrepe</w:t>
            </w:r>
            <w:r>
              <w:rPr>
                <w:rFonts w:cs="Arial"/>
                <w:iCs/>
                <w:sz w:val="20"/>
                <w:szCs w:val="20"/>
                <w:lang w:val="sl-SI"/>
              </w:rPr>
              <w:t xml:space="preserve"> glede sistema normiranih odhodkov v tem predlogu </w:t>
            </w:r>
            <w:r w:rsidRPr="00A66DE4">
              <w:rPr>
                <w:rFonts w:cs="Arial"/>
                <w:iCs/>
                <w:sz w:val="20"/>
                <w:szCs w:val="20"/>
                <w:lang w:val="sl-SI"/>
              </w:rPr>
              <w:t>zakona.</w:t>
            </w:r>
          </w:p>
          <w:p w14:paraId="10918EFF" w14:textId="77777777" w:rsidR="00A66DE4" w:rsidRPr="00A66DE4" w:rsidRDefault="00A66DE4" w:rsidP="00A66DE4">
            <w:pPr>
              <w:pStyle w:val="Neotevilenodstavek"/>
              <w:spacing w:before="0" w:after="0" w:line="260" w:lineRule="exact"/>
              <w:rPr>
                <w:rFonts w:cs="Arial"/>
                <w:iCs/>
                <w:sz w:val="20"/>
                <w:szCs w:val="20"/>
                <w:lang w:val="sl-SI"/>
              </w:rPr>
            </w:pPr>
          </w:p>
          <w:p w14:paraId="4CDFF7A6" w14:textId="77777777" w:rsidR="00A66DE4" w:rsidRPr="00A66DE4" w:rsidRDefault="00A66DE4" w:rsidP="00A66DE4">
            <w:pPr>
              <w:pStyle w:val="Poglavje"/>
              <w:spacing w:before="0" w:after="0" w:line="260" w:lineRule="exact"/>
              <w:jc w:val="both"/>
              <w:rPr>
                <w:b w:val="0"/>
                <w:iCs/>
                <w:sz w:val="20"/>
                <w:szCs w:val="20"/>
              </w:rPr>
            </w:pPr>
            <w:r w:rsidRPr="00A66DE4">
              <w:rPr>
                <w:b w:val="0"/>
                <w:iCs/>
                <w:sz w:val="20"/>
                <w:szCs w:val="20"/>
              </w:rPr>
              <w:t>S predlogom zakona se ureja tudi davčna obravnava določenih učinkov, ki bodo nastali zaradi sprememb računovodskih pravil. Spremenjena pravila se začnejo uporabljati 1. 1. 2018, zato je treba pravočasno zagotoviti tudi ustrezno prilagoditev davčne obravnave. Predlagane ukrepe je nujno uveljaviti do konca leta 2017, da se bodo lahko začeli uporabljati že s 1. 1. 2018.</w:t>
            </w:r>
          </w:p>
          <w:p w14:paraId="6D88CA22" w14:textId="77929160" w:rsidR="000128F8" w:rsidRPr="00543179" w:rsidRDefault="000128F8" w:rsidP="00A66DE4">
            <w:pPr>
              <w:pStyle w:val="Poglavje"/>
              <w:spacing w:before="0" w:after="0" w:line="260" w:lineRule="exact"/>
              <w:jc w:val="both"/>
              <w:rPr>
                <w:b w:val="0"/>
                <w:sz w:val="20"/>
                <w:szCs w:val="20"/>
              </w:rPr>
            </w:pPr>
          </w:p>
        </w:tc>
      </w:tr>
      <w:tr w:rsidR="005553CB" w:rsidRPr="00B95D04" w14:paraId="6D88CA25" w14:textId="77777777" w:rsidTr="00CA689C">
        <w:tc>
          <w:tcPr>
            <w:tcW w:w="9213" w:type="dxa"/>
          </w:tcPr>
          <w:p w14:paraId="6D88CA24" w14:textId="77777777" w:rsidR="00B454E5" w:rsidRPr="00B95D04" w:rsidRDefault="00B454E5" w:rsidP="00CA689C">
            <w:pPr>
              <w:pStyle w:val="Neotevilenodstavek"/>
              <w:spacing w:before="0" w:after="0" w:line="260" w:lineRule="exact"/>
              <w:rPr>
                <w:rFonts w:cs="Arial"/>
                <w:color w:val="A6A6A6"/>
                <w:sz w:val="20"/>
                <w:szCs w:val="20"/>
                <w:lang w:val="sl-SI" w:eastAsia="sl-SI"/>
              </w:rPr>
            </w:pPr>
          </w:p>
        </w:tc>
      </w:tr>
      <w:tr w:rsidR="005553CB" w:rsidRPr="00B95D04" w14:paraId="6D88CA27" w14:textId="77777777" w:rsidTr="00CA689C">
        <w:tc>
          <w:tcPr>
            <w:tcW w:w="9213" w:type="dxa"/>
          </w:tcPr>
          <w:p w14:paraId="6D88CA26" w14:textId="77777777" w:rsidR="005553CB" w:rsidRPr="00B95D04" w:rsidRDefault="001D7D1C" w:rsidP="001D7D1C">
            <w:pPr>
              <w:pStyle w:val="Poglavje"/>
              <w:spacing w:before="0" w:after="0" w:line="260" w:lineRule="exact"/>
              <w:jc w:val="left"/>
              <w:rPr>
                <w:sz w:val="20"/>
                <w:szCs w:val="20"/>
              </w:rPr>
            </w:pPr>
            <w:r w:rsidRPr="00B95D04">
              <w:rPr>
                <w:rFonts w:eastAsia="Calibri"/>
                <w:b w:val="0"/>
                <w:sz w:val="20"/>
                <w:szCs w:val="20"/>
                <w:lang w:eastAsia="en-US"/>
              </w:rPr>
              <w:br w:type="page"/>
            </w:r>
          </w:p>
        </w:tc>
      </w:tr>
      <w:tr w:rsidR="005553CB" w:rsidRPr="00B95D04" w14:paraId="6D88CA29" w14:textId="77777777" w:rsidTr="00064F2D">
        <w:trPr>
          <w:trHeight w:val="80"/>
        </w:trPr>
        <w:tc>
          <w:tcPr>
            <w:tcW w:w="9213" w:type="dxa"/>
          </w:tcPr>
          <w:p w14:paraId="6D88CA28" w14:textId="77777777" w:rsidR="005553CB" w:rsidRPr="00B95D04" w:rsidRDefault="005553CB" w:rsidP="00B454E5">
            <w:pPr>
              <w:pStyle w:val="Alineazaodstavkom"/>
              <w:numPr>
                <w:ilvl w:val="0"/>
                <w:numId w:val="0"/>
              </w:numPr>
              <w:spacing w:line="260" w:lineRule="exact"/>
              <w:rPr>
                <w:rFonts w:cs="Arial"/>
                <w:b/>
                <w:sz w:val="20"/>
                <w:szCs w:val="20"/>
                <w:lang w:val="sl-SI" w:eastAsia="sl-SI"/>
              </w:rPr>
            </w:pPr>
          </w:p>
        </w:tc>
      </w:tr>
    </w:tbl>
    <w:p w14:paraId="6D88CA2A" w14:textId="77777777" w:rsidR="001D7D1C" w:rsidRPr="00B95D04" w:rsidRDefault="001D7D1C" w:rsidP="006B17D1">
      <w:pPr>
        <w:pStyle w:val="Odstavekseznama1"/>
        <w:spacing w:line="260" w:lineRule="exact"/>
        <w:ind w:left="0"/>
        <w:rPr>
          <w:rFonts w:ascii="Arial" w:hAnsi="Arial" w:cs="Arial"/>
          <w:b/>
          <w:sz w:val="20"/>
          <w:szCs w:val="20"/>
        </w:rPr>
        <w:sectPr w:rsidR="001D7D1C" w:rsidRPr="00B95D04" w:rsidSect="005553CB">
          <w:headerReference w:type="first" r:id="rId18"/>
          <w:pgSz w:w="11906" w:h="16838"/>
          <w:pgMar w:top="1418" w:right="1418" w:bottom="1418" w:left="1418" w:header="708" w:footer="708" w:gutter="0"/>
          <w:cols w:space="708"/>
          <w:docGrid w:linePitch="360"/>
        </w:sectPr>
      </w:pPr>
    </w:p>
    <w:p w14:paraId="26F5D861" w14:textId="47C062F9" w:rsidR="00F15AC3" w:rsidRPr="00B95D04" w:rsidRDefault="002A4C39" w:rsidP="006B17D1">
      <w:pPr>
        <w:pStyle w:val="Odstavekseznama1"/>
        <w:spacing w:line="260" w:lineRule="exact"/>
        <w:ind w:left="0"/>
        <w:rPr>
          <w:rFonts w:ascii="Arial" w:hAnsi="Arial" w:cs="Arial"/>
          <w:b/>
          <w:sz w:val="20"/>
          <w:szCs w:val="20"/>
        </w:rPr>
      </w:pPr>
      <w:r w:rsidRPr="00B95D04">
        <w:rPr>
          <w:rFonts w:ascii="Arial" w:hAnsi="Arial" w:cs="Arial"/>
          <w:b/>
          <w:sz w:val="20"/>
          <w:szCs w:val="20"/>
        </w:rPr>
        <w:lastRenderedPageBreak/>
        <w:t>VI. PRILOGE</w:t>
      </w:r>
    </w:p>
    <w:p w14:paraId="6D88CA2C" w14:textId="77777777" w:rsidR="00C77B35" w:rsidRPr="00B95D04" w:rsidRDefault="00C77B35" w:rsidP="006B17D1">
      <w:pPr>
        <w:pStyle w:val="Odstavekseznama1"/>
        <w:spacing w:line="260" w:lineRule="exact"/>
        <w:ind w:left="0"/>
        <w:rPr>
          <w:rFonts w:ascii="Arial" w:hAnsi="Arial" w:cs="Arial"/>
          <w:b/>
          <w:sz w:val="20"/>
          <w:szCs w:val="20"/>
        </w:rPr>
      </w:pPr>
    </w:p>
    <w:p w14:paraId="6D88CA2D" w14:textId="565C59F5" w:rsidR="00DF3371" w:rsidRPr="00B95D04" w:rsidRDefault="001D7D1C" w:rsidP="006B1D24">
      <w:pPr>
        <w:pStyle w:val="Odstavekseznama1"/>
        <w:spacing w:line="260" w:lineRule="exact"/>
        <w:ind w:left="0"/>
        <w:rPr>
          <w:rFonts w:ascii="Arial" w:hAnsi="Arial" w:cs="Arial"/>
          <w:b/>
          <w:sz w:val="20"/>
          <w:szCs w:val="20"/>
        </w:rPr>
      </w:pPr>
      <w:r w:rsidRPr="00B95D04">
        <w:rPr>
          <w:rFonts w:ascii="Arial" w:hAnsi="Arial" w:cs="Arial"/>
          <w:b/>
          <w:sz w:val="20"/>
          <w:szCs w:val="20"/>
        </w:rPr>
        <w:t xml:space="preserve">Pripombe in predlogi na predlog </w:t>
      </w:r>
      <w:r w:rsidR="00742D37" w:rsidRPr="00B95D04">
        <w:rPr>
          <w:rFonts w:ascii="Arial" w:hAnsi="Arial" w:cs="Arial"/>
          <w:b/>
          <w:sz w:val="20"/>
          <w:szCs w:val="20"/>
        </w:rPr>
        <w:t xml:space="preserve">novele </w:t>
      </w:r>
      <w:r w:rsidRPr="00B95D04">
        <w:rPr>
          <w:rFonts w:ascii="Arial" w:hAnsi="Arial" w:cs="Arial"/>
          <w:b/>
          <w:sz w:val="20"/>
          <w:szCs w:val="20"/>
        </w:rPr>
        <w:t>ZDDPO-2 iz javne obravnave</w:t>
      </w:r>
    </w:p>
    <w:tbl>
      <w:tblPr>
        <w:tblpPr w:leftFromText="141" w:rightFromText="141" w:vertAnchor="text" w:horzAnchor="margin" w:tblpY="110"/>
        <w:tblW w:w="14307" w:type="dxa"/>
        <w:tblCellMar>
          <w:left w:w="70" w:type="dxa"/>
          <w:right w:w="70" w:type="dxa"/>
        </w:tblCellMar>
        <w:tblLook w:val="04A0" w:firstRow="1" w:lastRow="0" w:firstColumn="1" w:lastColumn="0" w:noHBand="0" w:noVBand="1"/>
      </w:tblPr>
      <w:tblGrid>
        <w:gridCol w:w="637"/>
        <w:gridCol w:w="1430"/>
        <w:gridCol w:w="4678"/>
        <w:gridCol w:w="1275"/>
        <w:gridCol w:w="6287"/>
      </w:tblGrid>
      <w:tr w:rsidR="00575498" w:rsidRPr="00B95D04" w14:paraId="718663BA" w14:textId="77777777" w:rsidTr="00514CAD">
        <w:trPr>
          <w:trHeight w:val="300"/>
          <w:tblHeader/>
        </w:trPr>
        <w:tc>
          <w:tcPr>
            <w:tcW w:w="637" w:type="dxa"/>
            <w:tcBorders>
              <w:top w:val="single" w:sz="8" w:space="0" w:color="auto"/>
              <w:left w:val="single" w:sz="8" w:space="0" w:color="auto"/>
              <w:bottom w:val="single" w:sz="8" w:space="0" w:color="auto"/>
              <w:right w:val="single" w:sz="4" w:space="0" w:color="auto"/>
            </w:tcBorders>
            <w:shd w:val="clear" w:color="000000" w:fill="C5D9F1"/>
            <w:vAlign w:val="center"/>
            <w:hideMark/>
          </w:tcPr>
          <w:p w14:paraId="3BA50976" w14:textId="77777777" w:rsidR="00575498" w:rsidRPr="00B95D04" w:rsidRDefault="00575498" w:rsidP="00575498">
            <w:pPr>
              <w:spacing w:after="0" w:line="240" w:lineRule="auto"/>
              <w:jc w:val="center"/>
              <w:rPr>
                <w:rFonts w:ascii="Arial" w:eastAsia="Times New Roman" w:hAnsi="Arial" w:cs="Arial"/>
                <w:b/>
                <w:bCs/>
                <w:color w:val="000000"/>
                <w:sz w:val="20"/>
                <w:szCs w:val="20"/>
                <w:lang w:eastAsia="sl-SI"/>
              </w:rPr>
            </w:pPr>
            <w:proofErr w:type="spellStart"/>
            <w:r w:rsidRPr="00B95D04">
              <w:rPr>
                <w:rFonts w:ascii="Arial" w:eastAsia="Times New Roman" w:hAnsi="Arial" w:cs="Arial"/>
                <w:b/>
                <w:bCs/>
                <w:color w:val="000000"/>
                <w:sz w:val="20"/>
                <w:szCs w:val="20"/>
                <w:lang w:eastAsia="sl-SI"/>
              </w:rPr>
              <w:t>Zap</w:t>
            </w:r>
            <w:proofErr w:type="spellEnd"/>
            <w:r w:rsidRPr="00B95D04">
              <w:rPr>
                <w:rFonts w:ascii="Arial" w:eastAsia="Times New Roman" w:hAnsi="Arial" w:cs="Arial"/>
                <w:b/>
                <w:bCs/>
                <w:color w:val="000000"/>
                <w:sz w:val="20"/>
                <w:szCs w:val="20"/>
                <w:lang w:eastAsia="sl-SI"/>
              </w:rPr>
              <w:t>. št.</w:t>
            </w:r>
          </w:p>
        </w:tc>
        <w:tc>
          <w:tcPr>
            <w:tcW w:w="1430" w:type="dxa"/>
            <w:tcBorders>
              <w:top w:val="single" w:sz="8" w:space="0" w:color="auto"/>
              <w:left w:val="nil"/>
              <w:bottom w:val="single" w:sz="8" w:space="0" w:color="auto"/>
              <w:right w:val="single" w:sz="4" w:space="0" w:color="auto"/>
            </w:tcBorders>
            <w:shd w:val="clear" w:color="000000" w:fill="C5D9F1"/>
            <w:vAlign w:val="center"/>
            <w:hideMark/>
          </w:tcPr>
          <w:p w14:paraId="4568CD8E" w14:textId="77777777" w:rsidR="00575498" w:rsidRPr="00B95D04" w:rsidRDefault="00575498" w:rsidP="00575498">
            <w:pPr>
              <w:spacing w:after="0" w:line="240" w:lineRule="auto"/>
              <w:jc w:val="center"/>
              <w:rPr>
                <w:rFonts w:ascii="Arial" w:eastAsia="Times New Roman" w:hAnsi="Arial" w:cs="Arial"/>
                <w:b/>
                <w:bCs/>
                <w:color w:val="000000"/>
                <w:sz w:val="20"/>
                <w:szCs w:val="20"/>
                <w:lang w:eastAsia="sl-SI"/>
              </w:rPr>
            </w:pPr>
            <w:r w:rsidRPr="00B95D04">
              <w:rPr>
                <w:rFonts w:ascii="Arial" w:eastAsia="Times New Roman" w:hAnsi="Arial" w:cs="Arial"/>
                <w:b/>
                <w:bCs/>
                <w:color w:val="000000"/>
                <w:sz w:val="20"/>
                <w:szCs w:val="20"/>
                <w:lang w:eastAsia="sl-SI"/>
              </w:rPr>
              <w:t>Predlagatelj</w:t>
            </w:r>
          </w:p>
        </w:tc>
        <w:tc>
          <w:tcPr>
            <w:tcW w:w="4678" w:type="dxa"/>
            <w:tcBorders>
              <w:top w:val="single" w:sz="8" w:space="0" w:color="auto"/>
              <w:left w:val="nil"/>
              <w:bottom w:val="single" w:sz="8" w:space="0" w:color="auto"/>
              <w:right w:val="single" w:sz="4" w:space="0" w:color="auto"/>
            </w:tcBorders>
            <w:shd w:val="clear" w:color="000000" w:fill="C5D9F1"/>
            <w:vAlign w:val="center"/>
            <w:hideMark/>
          </w:tcPr>
          <w:p w14:paraId="60A2AAAF" w14:textId="77777777" w:rsidR="00575498" w:rsidRPr="00B95D04" w:rsidRDefault="00575498" w:rsidP="00575498">
            <w:pPr>
              <w:spacing w:after="0" w:line="240" w:lineRule="auto"/>
              <w:jc w:val="center"/>
              <w:rPr>
                <w:rFonts w:ascii="Arial" w:eastAsia="Times New Roman" w:hAnsi="Arial" w:cs="Arial"/>
                <w:b/>
                <w:bCs/>
                <w:color w:val="000000"/>
                <w:sz w:val="20"/>
                <w:szCs w:val="20"/>
                <w:lang w:eastAsia="sl-SI"/>
              </w:rPr>
            </w:pPr>
            <w:r w:rsidRPr="00B95D04">
              <w:rPr>
                <w:rFonts w:ascii="Arial" w:eastAsia="Times New Roman" w:hAnsi="Arial" w:cs="Arial"/>
                <w:b/>
                <w:bCs/>
                <w:color w:val="000000"/>
                <w:sz w:val="20"/>
                <w:szCs w:val="20"/>
                <w:lang w:eastAsia="sl-SI"/>
              </w:rPr>
              <w:t>Pripomba/predlog</w:t>
            </w:r>
          </w:p>
        </w:tc>
        <w:tc>
          <w:tcPr>
            <w:tcW w:w="1275" w:type="dxa"/>
            <w:tcBorders>
              <w:top w:val="single" w:sz="8" w:space="0" w:color="auto"/>
              <w:left w:val="nil"/>
              <w:bottom w:val="single" w:sz="8" w:space="0" w:color="auto"/>
              <w:right w:val="single" w:sz="4" w:space="0" w:color="auto"/>
            </w:tcBorders>
            <w:shd w:val="clear" w:color="000000" w:fill="C5D9F1"/>
            <w:vAlign w:val="center"/>
            <w:hideMark/>
          </w:tcPr>
          <w:p w14:paraId="5B7ADD34" w14:textId="77777777" w:rsidR="00575498" w:rsidRPr="00B95D04" w:rsidRDefault="00575498" w:rsidP="00575498">
            <w:pPr>
              <w:spacing w:after="0" w:line="240" w:lineRule="auto"/>
              <w:jc w:val="center"/>
              <w:rPr>
                <w:rFonts w:ascii="Arial" w:eastAsia="Times New Roman" w:hAnsi="Arial" w:cs="Arial"/>
                <w:b/>
                <w:bCs/>
                <w:color w:val="000000"/>
                <w:sz w:val="20"/>
                <w:szCs w:val="20"/>
                <w:lang w:eastAsia="sl-SI"/>
              </w:rPr>
            </w:pPr>
            <w:r w:rsidRPr="00B95D04">
              <w:rPr>
                <w:rFonts w:ascii="Arial" w:eastAsia="Times New Roman" w:hAnsi="Arial" w:cs="Arial"/>
                <w:b/>
                <w:bCs/>
                <w:color w:val="000000"/>
                <w:sz w:val="20"/>
                <w:szCs w:val="20"/>
                <w:lang w:eastAsia="sl-SI"/>
              </w:rPr>
              <w:t>Stališče do predloga</w:t>
            </w:r>
          </w:p>
        </w:tc>
        <w:tc>
          <w:tcPr>
            <w:tcW w:w="6287" w:type="dxa"/>
            <w:tcBorders>
              <w:top w:val="single" w:sz="8" w:space="0" w:color="auto"/>
              <w:left w:val="nil"/>
              <w:bottom w:val="single" w:sz="8" w:space="0" w:color="auto"/>
              <w:right w:val="single" w:sz="8" w:space="0" w:color="auto"/>
            </w:tcBorders>
            <w:shd w:val="clear" w:color="000000" w:fill="C5D9F1"/>
            <w:vAlign w:val="center"/>
            <w:hideMark/>
          </w:tcPr>
          <w:p w14:paraId="138507BC" w14:textId="77777777" w:rsidR="00575498" w:rsidRPr="00B95D04" w:rsidRDefault="00575498" w:rsidP="00575498">
            <w:pPr>
              <w:spacing w:after="0" w:line="240" w:lineRule="auto"/>
              <w:jc w:val="center"/>
              <w:rPr>
                <w:rFonts w:ascii="Arial" w:eastAsia="Times New Roman" w:hAnsi="Arial" w:cs="Arial"/>
                <w:b/>
                <w:bCs/>
                <w:color w:val="000000"/>
                <w:sz w:val="20"/>
                <w:szCs w:val="20"/>
                <w:lang w:eastAsia="sl-SI"/>
              </w:rPr>
            </w:pPr>
            <w:r w:rsidRPr="00B95D04">
              <w:rPr>
                <w:rFonts w:ascii="Arial" w:eastAsia="Times New Roman" w:hAnsi="Arial" w:cs="Arial"/>
                <w:b/>
                <w:bCs/>
                <w:color w:val="000000"/>
                <w:sz w:val="20"/>
                <w:szCs w:val="20"/>
                <w:lang w:eastAsia="sl-SI"/>
              </w:rPr>
              <w:t>Obrazložitev stališča</w:t>
            </w:r>
          </w:p>
        </w:tc>
      </w:tr>
      <w:tr w:rsidR="00514CAD" w:rsidRPr="00514CAD" w14:paraId="23610356" w14:textId="77777777" w:rsidTr="00514CAD">
        <w:trPr>
          <w:trHeight w:val="255"/>
        </w:trPr>
        <w:tc>
          <w:tcPr>
            <w:tcW w:w="637" w:type="dxa"/>
            <w:vMerge w:val="restart"/>
            <w:tcBorders>
              <w:top w:val="single" w:sz="4" w:space="0" w:color="auto"/>
              <w:left w:val="single" w:sz="4" w:space="0" w:color="auto"/>
              <w:right w:val="single" w:sz="4" w:space="0" w:color="auto"/>
            </w:tcBorders>
            <w:shd w:val="clear" w:color="auto" w:fill="auto"/>
            <w:noWrap/>
          </w:tcPr>
          <w:p w14:paraId="3F7215F6"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1.</w:t>
            </w:r>
          </w:p>
          <w:p w14:paraId="16C1555D"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p>
        </w:tc>
        <w:tc>
          <w:tcPr>
            <w:tcW w:w="1430" w:type="dxa"/>
            <w:vMerge w:val="restart"/>
            <w:tcBorders>
              <w:top w:val="single" w:sz="4" w:space="0" w:color="auto"/>
              <w:left w:val="nil"/>
              <w:right w:val="single" w:sz="4" w:space="0" w:color="auto"/>
            </w:tcBorders>
            <w:shd w:val="clear" w:color="auto" w:fill="auto"/>
            <w:noWrap/>
          </w:tcPr>
          <w:p w14:paraId="11F47FD8" w14:textId="77777777" w:rsidR="00514CAD" w:rsidRPr="00514CAD" w:rsidRDefault="00514CAD" w:rsidP="00514CAD">
            <w:pPr>
              <w:spacing w:after="0" w:line="240" w:lineRule="auto"/>
              <w:rPr>
                <w:rFonts w:ascii="Arial" w:eastAsia="Times New Roman" w:hAnsi="Arial" w:cs="Arial"/>
                <w:color w:val="000000"/>
                <w:sz w:val="20"/>
                <w:szCs w:val="20"/>
                <w:lang w:eastAsia="sl-SI"/>
              </w:rPr>
            </w:pPr>
            <w:proofErr w:type="spellStart"/>
            <w:r w:rsidRPr="00514CAD">
              <w:rPr>
                <w:rFonts w:ascii="Arial" w:eastAsia="Times New Roman" w:hAnsi="Arial" w:cs="Arial"/>
                <w:color w:val="000000"/>
                <w:sz w:val="20"/>
                <w:szCs w:val="20"/>
                <w:lang w:eastAsia="sl-SI"/>
              </w:rPr>
              <w:t>Taxgroup</w:t>
            </w:r>
            <w:proofErr w:type="spellEnd"/>
            <w:r w:rsidRPr="00514CAD">
              <w:rPr>
                <w:rFonts w:ascii="Arial" w:eastAsia="Times New Roman" w:hAnsi="Arial" w:cs="Arial"/>
                <w:color w:val="000000"/>
                <w:sz w:val="20"/>
                <w:szCs w:val="20"/>
                <w:lang w:eastAsia="sl-SI"/>
              </w:rPr>
              <w:t xml:space="preserve"> d.o.o.</w:t>
            </w:r>
          </w:p>
          <w:p w14:paraId="6BD937A4" w14:textId="77777777" w:rsidR="00514CAD" w:rsidRPr="00514CAD" w:rsidRDefault="00514CAD" w:rsidP="00514CAD">
            <w:pPr>
              <w:spacing w:after="0" w:line="240" w:lineRule="auto"/>
              <w:rPr>
                <w:rFonts w:ascii="Arial" w:eastAsia="Times New Roman" w:hAnsi="Arial" w:cs="Arial"/>
                <w:color w:val="000000"/>
                <w:sz w:val="20"/>
                <w:szCs w:val="20"/>
                <w:lang w:eastAsia="sl-SI"/>
              </w:rPr>
            </w:pPr>
          </w:p>
        </w:tc>
        <w:tc>
          <w:tcPr>
            <w:tcW w:w="4678" w:type="dxa"/>
            <w:tcBorders>
              <w:top w:val="single" w:sz="4" w:space="0" w:color="auto"/>
              <w:left w:val="nil"/>
              <w:bottom w:val="single" w:sz="4" w:space="0" w:color="auto"/>
              <w:right w:val="single" w:sz="4" w:space="0" w:color="auto"/>
            </w:tcBorders>
            <w:shd w:val="clear" w:color="auto" w:fill="auto"/>
            <w:noWrap/>
          </w:tcPr>
          <w:p w14:paraId="073874EF" w14:textId="77777777" w:rsidR="00514CAD" w:rsidRPr="00514CAD" w:rsidRDefault="00514CAD" w:rsidP="00514CAD">
            <w:pPr>
              <w:spacing w:after="0" w:line="240" w:lineRule="auto"/>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oprostitev kapitalskih dobičkov, ki jih pri prodaji deležev v odvisnih družbah ustvarijo pravne osebe s sedežem v Sloveniji</w:t>
            </w:r>
          </w:p>
        </w:tc>
        <w:tc>
          <w:tcPr>
            <w:tcW w:w="1275" w:type="dxa"/>
            <w:tcBorders>
              <w:top w:val="single" w:sz="4" w:space="0" w:color="auto"/>
              <w:left w:val="nil"/>
              <w:bottom w:val="single" w:sz="4" w:space="0" w:color="auto"/>
              <w:right w:val="single" w:sz="4" w:space="0" w:color="auto"/>
            </w:tcBorders>
            <w:shd w:val="clear" w:color="auto" w:fill="auto"/>
            <w:noWrap/>
          </w:tcPr>
          <w:p w14:paraId="1BEAAD19"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se ne upošteva</w:t>
            </w:r>
          </w:p>
        </w:tc>
        <w:tc>
          <w:tcPr>
            <w:tcW w:w="6287" w:type="dxa"/>
            <w:tcBorders>
              <w:top w:val="single" w:sz="4" w:space="0" w:color="auto"/>
              <w:left w:val="nil"/>
              <w:bottom w:val="single" w:sz="4" w:space="0" w:color="auto"/>
              <w:right w:val="single" w:sz="4" w:space="0" w:color="auto"/>
            </w:tcBorders>
            <w:shd w:val="clear" w:color="auto" w:fill="auto"/>
            <w:noWrap/>
          </w:tcPr>
          <w:p w14:paraId="14FF5B5F" w14:textId="77777777" w:rsidR="00514CAD" w:rsidRPr="00514CAD" w:rsidRDefault="00514CAD" w:rsidP="00514CAD">
            <w:pPr>
              <w:spacing w:after="0" w:line="240" w:lineRule="auto"/>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Predlog ni vsebina tokratnih predlaganih sprememb ZDDPO-2. Področje obdavčevanja kapitalskih dobičkov je treba temeljito preučiti in urediti na celovit in sistematičen način, zato v tej fazi ne podpiramo parcialnega predloga.</w:t>
            </w:r>
          </w:p>
        </w:tc>
      </w:tr>
      <w:tr w:rsidR="00514CAD" w:rsidRPr="00514CAD" w14:paraId="679E07E9" w14:textId="77777777" w:rsidTr="00514CAD">
        <w:trPr>
          <w:trHeight w:val="255"/>
        </w:trPr>
        <w:tc>
          <w:tcPr>
            <w:tcW w:w="637" w:type="dxa"/>
            <w:vMerge/>
            <w:tcBorders>
              <w:left w:val="single" w:sz="4" w:space="0" w:color="auto"/>
              <w:right w:val="single" w:sz="4" w:space="0" w:color="auto"/>
            </w:tcBorders>
            <w:shd w:val="clear" w:color="auto" w:fill="auto"/>
            <w:noWrap/>
          </w:tcPr>
          <w:p w14:paraId="5BC9BA14"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p>
        </w:tc>
        <w:tc>
          <w:tcPr>
            <w:tcW w:w="1430" w:type="dxa"/>
            <w:vMerge/>
            <w:tcBorders>
              <w:left w:val="nil"/>
              <w:right w:val="single" w:sz="4" w:space="0" w:color="auto"/>
            </w:tcBorders>
            <w:shd w:val="clear" w:color="auto" w:fill="auto"/>
            <w:noWrap/>
          </w:tcPr>
          <w:p w14:paraId="64F4882D" w14:textId="77777777" w:rsidR="00514CAD" w:rsidRPr="00514CAD" w:rsidRDefault="00514CAD" w:rsidP="00514CAD">
            <w:pPr>
              <w:spacing w:after="0" w:line="240" w:lineRule="auto"/>
              <w:rPr>
                <w:rFonts w:ascii="Arial" w:eastAsia="Times New Roman" w:hAnsi="Arial" w:cs="Arial"/>
                <w:color w:val="000000"/>
                <w:sz w:val="20"/>
                <w:szCs w:val="20"/>
                <w:lang w:eastAsia="sl-SI"/>
              </w:rPr>
            </w:pPr>
          </w:p>
        </w:tc>
        <w:tc>
          <w:tcPr>
            <w:tcW w:w="4678" w:type="dxa"/>
            <w:tcBorders>
              <w:top w:val="single" w:sz="4" w:space="0" w:color="auto"/>
              <w:left w:val="nil"/>
              <w:bottom w:val="single" w:sz="4" w:space="0" w:color="auto"/>
              <w:right w:val="single" w:sz="4" w:space="0" w:color="auto"/>
            </w:tcBorders>
            <w:shd w:val="clear" w:color="auto" w:fill="auto"/>
            <w:noWrap/>
          </w:tcPr>
          <w:p w14:paraId="14190A4E" w14:textId="77777777" w:rsidR="00514CAD" w:rsidRPr="00514CAD" w:rsidRDefault="00514CAD" w:rsidP="00514CAD">
            <w:pPr>
              <w:spacing w:after="0" w:line="240" w:lineRule="auto"/>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črtanje seštevanja prihodkov povezanih oseb za vstop v sistem normiranih odhodkov</w:t>
            </w:r>
          </w:p>
        </w:tc>
        <w:tc>
          <w:tcPr>
            <w:tcW w:w="1275" w:type="dxa"/>
            <w:tcBorders>
              <w:top w:val="single" w:sz="4" w:space="0" w:color="auto"/>
              <w:left w:val="nil"/>
              <w:bottom w:val="single" w:sz="4" w:space="0" w:color="auto"/>
              <w:right w:val="single" w:sz="4" w:space="0" w:color="auto"/>
            </w:tcBorders>
            <w:shd w:val="clear" w:color="auto" w:fill="auto"/>
            <w:noWrap/>
          </w:tcPr>
          <w:p w14:paraId="1FAD11A7"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se ne upošteva</w:t>
            </w:r>
          </w:p>
        </w:tc>
        <w:tc>
          <w:tcPr>
            <w:tcW w:w="6287" w:type="dxa"/>
            <w:tcBorders>
              <w:top w:val="single" w:sz="4" w:space="0" w:color="auto"/>
              <w:left w:val="nil"/>
              <w:bottom w:val="single" w:sz="4" w:space="0" w:color="auto"/>
              <w:right w:val="single" w:sz="4" w:space="0" w:color="auto"/>
            </w:tcBorders>
            <w:shd w:val="clear" w:color="auto" w:fill="auto"/>
            <w:noWrap/>
          </w:tcPr>
          <w:p w14:paraId="4D8AF9CD" w14:textId="77777777" w:rsidR="00514CAD" w:rsidRPr="00514CAD" w:rsidRDefault="00514CAD" w:rsidP="00514CAD">
            <w:pPr>
              <w:spacing w:after="0" w:line="240" w:lineRule="auto"/>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 xml:space="preserve">Določbe predloga zakona so namenjene preprečevanju oziroma zajezitvi zaznanih zlorab sistema. Ugotovljeno je bilo, da v praksi prihaja do </w:t>
            </w:r>
            <w:r w:rsidRPr="00514CAD">
              <w:rPr>
                <w:rFonts w:ascii="Arial" w:eastAsia="Times New Roman" w:hAnsi="Arial" w:cs="Arial"/>
                <w:sz w:val="20"/>
                <w:szCs w:val="20"/>
              </w:rPr>
              <w:t>prelivanja prihodkov od zavezancev, ki davčno osnovo ugotavljajo na podlagi dejanskih odhodkov, k zavezancem v sistemu normiranih odhodkov ter do verižnega ustanavljanja podjetij prek različnih statusnih oblik (zlasti med povezanimi osebami) s ciljem izpolnjevanja pogojev za vstop v sistem oziroma obstanek v njem.</w:t>
            </w:r>
          </w:p>
        </w:tc>
      </w:tr>
      <w:tr w:rsidR="00514CAD" w:rsidRPr="00514CAD" w14:paraId="1568C04C" w14:textId="77777777" w:rsidTr="00514CAD">
        <w:trPr>
          <w:trHeight w:val="255"/>
        </w:trPr>
        <w:tc>
          <w:tcPr>
            <w:tcW w:w="637" w:type="dxa"/>
            <w:vMerge/>
            <w:tcBorders>
              <w:left w:val="single" w:sz="4" w:space="0" w:color="auto"/>
              <w:bottom w:val="single" w:sz="4" w:space="0" w:color="auto"/>
              <w:right w:val="single" w:sz="4" w:space="0" w:color="auto"/>
            </w:tcBorders>
            <w:shd w:val="clear" w:color="auto" w:fill="auto"/>
            <w:noWrap/>
          </w:tcPr>
          <w:p w14:paraId="34A258B3"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p>
        </w:tc>
        <w:tc>
          <w:tcPr>
            <w:tcW w:w="1430" w:type="dxa"/>
            <w:vMerge/>
            <w:tcBorders>
              <w:left w:val="nil"/>
              <w:bottom w:val="single" w:sz="4" w:space="0" w:color="auto"/>
              <w:right w:val="single" w:sz="4" w:space="0" w:color="auto"/>
            </w:tcBorders>
            <w:shd w:val="clear" w:color="auto" w:fill="auto"/>
            <w:noWrap/>
          </w:tcPr>
          <w:p w14:paraId="5331A9D0" w14:textId="77777777" w:rsidR="00514CAD" w:rsidRPr="00514CAD" w:rsidRDefault="00514CAD" w:rsidP="00514CAD">
            <w:pPr>
              <w:spacing w:after="0" w:line="240" w:lineRule="auto"/>
              <w:rPr>
                <w:rFonts w:ascii="Arial" w:eastAsia="Times New Roman" w:hAnsi="Arial" w:cs="Arial"/>
                <w:color w:val="000000"/>
                <w:sz w:val="20"/>
                <w:szCs w:val="20"/>
                <w:lang w:eastAsia="sl-SI"/>
              </w:rPr>
            </w:pPr>
          </w:p>
        </w:tc>
        <w:tc>
          <w:tcPr>
            <w:tcW w:w="4678" w:type="dxa"/>
            <w:tcBorders>
              <w:top w:val="single" w:sz="4" w:space="0" w:color="auto"/>
              <w:left w:val="nil"/>
              <w:bottom w:val="single" w:sz="4" w:space="0" w:color="auto"/>
              <w:right w:val="single" w:sz="4" w:space="0" w:color="auto"/>
            </w:tcBorders>
            <w:shd w:val="clear" w:color="auto" w:fill="auto"/>
            <w:noWrap/>
          </w:tcPr>
          <w:p w14:paraId="334C61C9" w14:textId="77777777" w:rsidR="00514CAD" w:rsidRPr="00514CAD" w:rsidRDefault="00514CAD" w:rsidP="00514CAD">
            <w:pPr>
              <w:spacing w:after="0" w:line="240" w:lineRule="auto"/>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 xml:space="preserve">črtanje kriterija za obvezen izstop iz sistema normiranih odhodkov, če povprečni prihodki v dveh zaporednih letih presežejo 150.000 EUR </w:t>
            </w:r>
          </w:p>
        </w:tc>
        <w:tc>
          <w:tcPr>
            <w:tcW w:w="1275" w:type="dxa"/>
            <w:tcBorders>
              <w:top w:val="single" w:sz="4" w:space="0" w:color="auto"/>
              <w:left w:val="nil"/>
              <w:bottom w:val="single" w:sz="4" w:space="0" w:color="auto"/>
              <w:right w:val="single" w:sz="4" w:space="0" w:color="auto"/>
            </w:tcBorders>
            <w:shd w:val="clear" w:color="auto" w:fill="auto"/>
            <w:noWrap/>
          </w:tcPr>
          <w:p w14:paraId="145031F7"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se ne upošteva</w:t>
            </w:r>
          </w:p>
        </w:tc>
        <w:tc>
          <w:tcPr>
            <w:tcW w:w="6287" w:type="dxa"/>
            <w:tcBorders>
              <w:top w:val="single" w:sz="4" w:space="0" w:color="auto"/>
              <w:left w:val="nil"/>
              <w:bottom w:val="single" w:sz="4" w:space="0" w:color="auto"/>
              <w:right w:val="single" w:sz="4" w:space="0" w:color="auto"/>
            </w:tcBorders>
            <w:shd w:val="clear" w:color="auto" w:fill="auto"/>
            <w:noWrap/>
          </w:tcPr>
          <w:p w14:paraId="63999151" w14:textId="77777777" w:rsidR="00514CAD" w:rsidRPr="00514CAD" w:rsidRDefault="00514CAD" w:rsidP="00514CAD">
            <w:pPr>
              <w:spacing w:after="0" w:line="240" w:lineRule="auto"/>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 xml:space="preserve">Določbe predloga zakona so namenjene preprečevanju oziroma zajezitvi zaznanih zlorab sistema, to je primerov, ko je zavezanec znatno presegel prag prihodkov, vendar ni izpolnil pogojev za obvezen izstop iz sistema. Hkrati je zavezancu omogočeno ostati v sistemu, kljub prekoračitvi letnih prihodkovnih pragov, s čimer bo sistem pridobil na fleksibilnosti.  </w:t>
            </w:r>
          </w:p>
        </w:tc>
      </w:tr>
      <w:tr w:rsidR="00514CAD" w:rsidRPr="00514CAD" w14:paraId="3E1E5064" w14:textId="77777777" w:rsidTr="00514CAD">
        <w:trPr>
          <w:trHeight w:val="255"/>
        </w:trPr>
        <w:tc>
          <w:tcPr>
            <w:tcW w:w="637" w:type="dxa"/>
            <w:tcBorders>
              <w:top w:val="single" w:sz="4" w:space="0" w:color="auto"/>
              <w:left w:val="single" w:sz="4" w:space="0" w:color="auto"/>
              <w:bottom w:val="single" w:sz="4" w:space="0" w:color="auto"/>
              <w:right w:val="single" w:sz="4" w:space="0" w:color="auto"/>
            </w:tcBorders>
            <w:shd w:val="clear" w:color="auto" w:fill="auto"/>
            <w:noWrap/>
          </w:tcPr>
          <w:p w14:paraId="6EA5DE5A"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2.</w:t>
            </w:r>
          </w:p>
        </w:tc>
        <w:tc>
          <w:tcPr>
            <w:tcW w:w="1430" w:type="dxa"/>
            <w:tcBorders>
              <w:top w:val="single" w:sz="4" w:space="0" w:color="auto"/>
              <w:left w:val="nil"/>
              <w:bottom w:val="single" w:sz="4" w:space="0" w:color="auto"/>
              <w:right w:val="single" w:sz="4" w:space="0" w:color="auto"/>
            </w:tcBorders>
            <w:shd w:val="clear" w:color="auto" w:fill="auto"/>
            <w:noWrap/>
          </w:tcPr>
          <w:p w14:paraId="6C500C1E" w14:textId="77777777" w:rsidR="00514CAD" w:rsidRPr="00514CAD" w:rsidRDefault="00514CAD" w:rsidP="00514CAD">
            <w:pPr>
              <w:spacing w:after="0" w:line="240" w:lineRule="auto"/>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Simič &amp; partnerji d.o.o.</w:t>
            </w:r>
          </w:p>
        </w:tc>
        <w:tc>
          <w:tcPr>
            <w:tcW w:w="4678" w:type="dxa"/>
            <w:tcBorders>
              <w:top w:val="single" w:sz="4" w:space="0" w:color="auto"/>
              <w:left w:val="nil"/>
              <w:bottom w:val="single" w:sz="4" w:space="0" w:color="auto"/>
              <w:right w:val="single" w:sz="4" w:space="0" w:color="auto"/>
            </w:tcBorders>
            <w:shd w:val="clear" w:color="auto" w:fill="auto"/>
            <w:noWrap/>
          </w:tcPr>
          <w:p w14:paraId="55EDCA9E" w14:textId="77777777" w:rsidR="00514CAD" w:rsidRPr="00514CAD" w:rsidRDefault="00514CAD" w:rsidP="00514CAD">
            <w:pPr>
              <w:spacing w:after="0" w:line="240" w:lineRule="auto"/>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dopolnitev 61. člena ZDDPO-2 z določbo, na podlagi katere bi tudi za investicijske sklade, ustanovljene po ZUAIS, veljala posebna, ničelna stopnja</w:t>
            </w:r>
          </w:p>
        </w:tc>
        <w:tc>
          <w:tcPr>
            <w:tcW w:w="1275" w:type="dxa"/>
            <w:tcBorders>
              <w:top w:val="single" w:sz="4" w:space="0" w:color="auto"/>
              <w:left w:val="nil"/>
              <w:bottom w:val="single" w:sz="4" w:space="0" w:color="auto"/>
              <w:right w:val="single" w:sz="4" w:space="0" w:color="auto"/>
            </w:tcBorders>
            <w:shd w:val="clear" w:color="auto" w:fill="auto"/>
            <w:noWrap/>
          </w:tcPr>
          <w:p w14:paraId="1E82E2A5"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 xml:space="preserve">se ne upošteva </w:t>
            </w:r>
          </w:p>
        </w:tc>
        <w:tc>
          <w:tcPr>
            <w:tcW w:w="6287" w:type="dxa"/>
            <w:tcBorders>
              <w:top w:val="single" w:sz="4" w:space="0" w:color="auto"/>
              <w:left w:val="nil"/>
              <w:bottom w:val="single" w:sz="4" w:space="0" w:color="auto"/>
              <w:right w:val="single" w:sz="4" w:space="0" w:color="auto"/>
            </w:tcBorders>
            <w:shd w:val="clear" w:color="auto" w:fill="auto"/>
            <w:noWrap/>
          </w:tcPr>
          <w:p w14:paraId="1E3DA637" w14:textId="77777777" w:rsidR="00514CAD" w:rsidRPr="00514CAD" w:rsidRDefault="00514CAD" w:rsidP="00514CAD">
            <w:pPr>
              <w:spacing w:after="0" w:line="240" w:lineRule="auto"/>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 xml:space="preserve">Predlog ni vsebina tokratnih predlaganih sprememb ZDDPO-2. Področje obdavčevanja investicijskih skladov in njihovih investitorjev </w:t>
            </w:r>
            <w:r w:rsidRPr="00514CAD">
              <w:rPr>
                <w:rFonts w:ascii="Arial" w:hAnsi="Arial" w:cs="Arial"/>
                <w:sz w:val="20"/>
                <w:szCs w:val="20"/>
              </w:rPr>
              <w:t xml:space="preserve"> </w:t>
            </w:r>
            <w:r w:rsidRPr="00514CAD">
              <w:rPr>
                <w:rFonts w:ascii="Arial" w:eastAsia="Times New Roman" w:hAnsi="Arial" w:cs="Arial"/>
                <w:color w:val="000000"/>
                <w:sz w:val="20"/>
                <w:szCs w:val="20"/>
                <w:lang w:eastAsia="sl-SI"/>
              </w:rPr>
              <w:t>je treba temeljito preučiti in urediti na celovit in sistematičen način, zato v tej fazi ne podpiramo parcialnega predloga.</w:t>
            </w:r>
          </w:p>
        </w:tc>
      </w:tr>
      <w:tr w:rsidR="00514CAD" w:rsidRPr="00514CAD" w14:paraId="16C77278" w14:textId="77777777" w:rsidTr="00514CAD">
        <w:trPr>
          <w:trHeight w:val="255"/>
        </w:trPr>
        <w:tc>
          <w:tcPr>
            <w:tcW w:w="637" w:type="dxa"/>
            <w:vMerge w:val="restart"/>
            <w:tcBorders>
              <w:top w:val="single" w:sz="4" w:space="0" w:color="auto"/>
              <w:left w:val="single" w:sz="4" w:space="0" w:color="auto"/>
              <w:right w:val="single" w:sz="4" w:space="0" w:color="auto"/>
            </w:tcBorders>
            <w:shd w:val="clear" w:color="auto" w:fill="auto"/>
            <w:noWrap/>
          </w:tcPr>
          <w:p w14:paraId="2BFEDFF3"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3.</w:t>
            </w:r>
          </w:p>
          <w:p w14:paraId="6BE23C06"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p>
        </w:tc>
        <w:tc>
          <w:tcPr>
            <w:tcW w:w="1430" w:type="dxa"/>
            <w:vMerge w:val="restart"/>
            <w:tcBorders>
              <w:top w:val="single" w:sz="4" w:space="0" w:color="auto"/>
              <w:left w:val="nil"/>
              <w:right w:val="single" w:sz="4" w:space="0" w:color="auto"/>
            </w:tcBorders>
            <w:shd w:val="clear" w:color="auto" w:fill="auto"/>
            <w:noWrap/>
          </w:tcPr>
          <w:p w14:paraId="6125AEB5" w14:textId="77777777" w:rsidR="00514CAD" w:rsidRPr="00514CAD" w:rsidRDefault="00514CAD" w:rsidP="00514CAD">
            <w:pPr>
              <w:spacing w:after="0" w:line="240" w:lineRule="auto"/>
              <w:rPr>
                <w:rFonts w:ascii="Arial" w:eastAsia="Times New Roman" w:hAnsi="Arial" w:cs="Arial"/>
                <w:sz w:val="20"/>
                <w:szCs w:val="20"/>
                <w:lang w:eastAsia="sl-SI"/>
              </w:rPr>
            </w:pPr>
            <w:r w:rsidRPr="00514CAD">
              <w:rPr>
                <w:rFonts w:ascii="Arial" w:hAnsi="Arial" w:cs="Arial"/>
                <w:bCs/>
                <w:sz w:val="20"/>
                <w:szCs w:val="20"/>
              </w:rPr>
              <w:t>Obrtno-podjetniška zbornica Slovenije</w:t>
            </w:r>
          </w:p>
          <w:p w14:paraId="7DAC51C2" w14:textId="77777777" w:rsidR="00514CAD" w:rsidRPr="00514CAD" w:rsidRDefault="00514CAD" w:rsidP="00514CAD">
            <w:pPr>
              <w:spacing w:after="0" w:line="240" w:lineRule="auto"/>
              <w:rPr>
                <w:rFonts w:ascii="Arial" w:hAnsi="Arial" w:cs="Arial"/>
                <w:bCs/>
                <w:sz w:val="20"/>
                <w:szCs w:val="20"/>
              </w:rPr>
            </w:pPr>
          </w:p>
          <w:p w14:paraId="56C970EB" w14:textId="77777777" w:rsidR="00514CAD" w:rsidRPr="00514CAD" w:rsidRDefault="00514CAD" w:rsidP="00514CAD">
            <w:pPr>
              <w:spacing w:after="0" w:line="240" w:lineRule="auto"/>
              <w:rPr>
                <w:rFonts w:ascii="Arial" w:eastAsia="Times New Roman" w:hAnsi="Arial" w:cs="Arial"/>
                <w:sz w:val="20"/>
                <w:szCs w:val="20"/>
                <w:lang w:eastAsia="sl-SI"/>
              </w:rPr>
            </w:pPr>
          </w:p>
        </w:tc>
        <w:tc>
          <w:tcPr>
            <w:tcW w:w="4678" w:type="dxa"/>
            <w:tcBorders>
              <w:top w:val="single" w:sz="4" w:space="0" w:color="auto"/>
              <w:left w:val="nil"/>
              <w:bottom w:val="single" w:sz="4" w:space="0" w:color="auto"/>
              <w:right w:val="single" w:sz="4" w:space="0" w:color="auto"/>
            </w:tcBorders>
            <w:shd w:val="clear" w:color="auto" w:fill="auto"/>
            <w:noWrap/>
          </w:tcPr>
          <w:p w14:paraId="08FDC183" w14:textId="77777777" w:rsidR="00514CAD" w:rsidRPr="00514CAD" w:rsidRDefault="00514CAD" w:rsidP="00514CAD">
            <w:pPr>
              <w:spacing w:after="0" w:line="240" w:lineRule="auto"/>
              <w:rPr>
                <w:rFonts w:ascii="Arial" w:eastAsia="Times New Roman" w:hAnsi="Arial" w:cs="Arial"/>
                <w:sz w:val="20"/>
                <w:szCs w:val="20"/>
                <w:lang w:eastAsia="sl-SI"/>
              </w:rPr>
            </w:pPr>
            <w:r w:rsidRPr="00514CAD">
              <w:rPr>
                <w:rFonts w:ascii="Arial" w:hAnsi="Arial" w:cs="Arial"/>
                <w:sz w:val="20"/>
                <w:szCs w:val="20"/>
              </w:rPr>
              <w:t xml:space="preserve">nejasnost in dvoumnost predloga sedmega odstavka </w:t>
            </w:r>
            <w:proofErr w:type="spellStart"/>
            <w:r w:rsidRPr="00514CAD">
              <w:rPr>
                <w:rFonts w:ascii="Arial" w:hAnsi="Arial" w:cs="Arial"/>
                <w:sz w:val="20"/>
                <w:szCs w:val="20"/>
              </w:rPr>
              <w:t>67.d</w:t>
            </w:r>
            <w:proofErr w:type="spellEnd"/>
            <w:r w:rsidRPr="00514CAD">
              <w:rPr>
                <w:rFonts w:ascii="Arial" w:hAnsi="Arial" w:cs="Arial"/>
                <w:sz w:val="20"/>
                <w:szCs w:val="20"/>
              </w:rPr>
              <w:t xml:space="preserve"> člena, kar postavlja pod vprašaj pravno varnost zavezancev, predlog za konkretizacijo postopkov dokazovanja in dokaznega gradiva v podzakonskem aktu</w:t>
            </w:r>
          </w:p>
        </w:tc>
        <w:tc>
          <w:tcPr>
            <w:tcW w:w="1275" w:type="dxa"/>
            <w:tcBorders>
              <w:top w:val="single" w:sz="4" w:space="0" w:color="auto"/>
              <w:left w:val="nil"/>
              <w:bottom w:val="single" w:sz="4" w:space="0" w:color="auto"/>
              <w:right w:val="single" w:sz="4" w:space="0" w:color="auto"/>
            </w:tcBorders>
            <w:shd w:val="clear" w:color="auto" w:fill="auto"/>
            <w:noWrap/>
          </w:tcPr>
          <w:p w14:paraId="09F585C6"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se ne upošteva</w:t>
            </w:r>
          </w:p>
        </w:tc>
        <w:tc>
          <w:tcPr>
            <w:tcW w:w="6287" w:type="dxa"/>
            <w:tcBorders>
              <w:top w:val="single" w:sz="4" w:space="0" w:color="auto"/>
              <w:left w:val="nil"/>
              <w:bottom w:val="single" w:sz="4" w:space="0" w:color="auto"/>
              <w:right w:val="single" w:sz="4" w:space="0" w:color="auto"/>
            </w:tcBorders>
            <w:shd w:val="clear" w:color="auto" w:fill="auto"/>
            <w:noWrap/>
          </w:tcPr>
          <w:p w14:paraId="2B19C5D6" w14:textId="77777777" w:rsidR="00514CAD" w:rsidRPr="00514CAD" w:rsidRDefault="00514CAD" w:rsidP="00514CAD">
            <w:pPr>
              <w:spacing w:after="0" w:line="240" w:lineRule="auto"/>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Predlaga se določitev dokaznih pravil na splošni ravni v podzakonskem aktu, kar ocenjujemo, da ni primerno, saj bi bila to izjema v davčnem postopku. V davčnem postopku velja načelo proste presoje dokazov. Gre za široko dikcijo z namenom, da se zavezancu omogoči dokazati utemeljenost, da pri poslovanju s povezanimi osebami ne gre zgolj za namene zniževanja davčne osnove oziroma davčnega izogibanja. Dokazna pravila bi zavezanca v konkretnem primeru lahko celo omejevala.</w:t>
            </w:r>
          </w:p>
        </w:tc>
      </w:tr>
      <w:tr w:rsidR="00514CAD" w:rsidRPr="00514CAD" w14:paraId="0E978E5A" w14:textId="77777777" w:rsidTr="00514CAD">
        <w:trPr>
          <w:trHeight w:val="449"/>
        </w:trPr>
        <w:tc>
          <w:tcPr>
            <w:tcW w:w="637" w:type="dxa"/>
            <w:vMerge/>
            <w:tcBorders>
              <w:left w:val="single" w:sz="4" w:space="0" w:color="auto"/>
              <w:bottom w:val="single" w:sz="4" w:space="0" w:color="auto"/>
              <w:right w:val="single" w:sz="4" w:space="0" w:color="auto"/>
            </w:tcBorders>
            <w:shd w:val="clear" w:color="auto" w:fill="auto"/>
            <w:noWrap/>
          </w:tcPr>
          <w:p w14:paraId="7C7F2342"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p>
        </w:tc>
        <w:tc>
          <w:tcPr>
            <w:tcW w:w="1430" w:type="dxa"/>
            <w:vMerge/>
            <w:tcBorders>
              <w:left w:val="nil"/>
              <w:bottom w:val="single" w:sz="4" w:space="0" w:color="auto"/>
              <w:right w:val="single" w:sz="4" w:space="0" w:color="auto"/>
            </w:tcBorders>
            <w:shd w:val="clear" w:color="auto" w:fill="auto"/>
            <w:noWrap/>
          </w:tcPr>
          <w:p w14:paraId="347887A0" w14:textId="77777777" w:rsidR="00514CAD" w:rsidRPr="00514CAD" w:rsidRDefault="00514CAD" w:rsidP="00514CAD">
            <w:pPr>
              <w:spacing w:after="0" w:line="240" w:lineRule="auto"/>
              <w:rPr>
                <w:rFonts w:ascii="Arial" w:hAnsi="Arial" w:cs="Arial"/>
                <w:bCs/>
                <w:sz w:val="20"/>
                <w:szCs w:val="20"/>
              </w:rPr>
            </w:pPr>
          </w:p>
        </w:tc>
        <w:tc>
          <w:tcPr>
            <w:tcW w:w="4678" w:type="dxa"/>
            <w:tcBorders>
              <w:top w:val="single" w:sz="4" w:space="0" w:color="auto"/>
              <w:left w:val="nil"/>
              <w:bottom w:val="single" w:sz="4" w:space="0" w:color="auto"/>
              <w:right w:val="single" w:sz="4" w:space="0" w:color="auto"/>
            </w:tcBorders>
            <w:shd w:val="clear" w:color="auto" w:fill="auto"/>
            <w:noWrap/>
          </w:tcPr>
          <w:p w14:paraId="0EF7C74A" w14:textId="77777777" w:rsidR="00514CAD" w:rsidRPr="00514CAD" w:rsidRDefault="00514CAD" w:rsidP="00514CAD">
            <w:pPr>
              <w:spacing w:after="0" w:line="240" w:lineRule="auto"/>
              <w:rPr>
                <w:rFonts w:ascii="Arial" w:hAnsi="Arial" w:cs="Arial"/>
                <w:sz w:val="20"/>
                <w:szCs w:val="20"/>
              </w:rPr>
            </w:pPr>
            <w:r w:rsidRPr="00514CAD">
              <w:rPr>
                <w:rFonts w:ascii="Arial" w:hAnsi="Arial" w:cs="Arial"/>
                <w:sz w:val="20"/>
                <w:szCs w:val="20"/>
              </w:rPr>
              <w:t>nestrinjanje z nižanjem višine normiranih odhodkov in določitvijo absolutne višine normiranih odhodkov</w:t>
            </w:r>
          </w:p>
        </w:tc>
        <w:tc>
          <w:tcPr>
            <w:tcW w:w="1275" w:type="dxa"/>
            <w:tcBorders>
              <w:top w:val="single" w:sz="4" w:space="0" w:color="auto"/>
              <w:left w:val="nil"/>
              <w:bottom w:val="single" w:sz="4" w:space="0" w:color="auto"/>
              <w:right w:val="single" w:sz="4" w:space="0" w:color="auto"/>
            </w:tcBorders>
            <w:shd w:val="clear" w:color="auto" w:fill="auto"/>
            <w:noWrap/>
          </w:tcPr>
          <w:p w14:paraId="52A52445"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se delno upošteva</w:t>
            </w:r>
          </w:p>
        </w:tc>
        <w:tc>
          <w:tcPr>
            <w:tcW w:w="6287" w:type="dxa"/>
            <w:tcBorders>
              <w:top w:val="single" w:sz="4" w:space="0" w:color="auto"/>
              <w:left w:val="nil"/>
              <w:bottom w:val="single" w:sz="4" w:space="0" w:color="auto"/>
              <w:right w:val="single" w:sz="4" w:space="0" w:color="auto"/>
            </w:tcBorders>
            <w:shd w:val="clear" w:color="auto" w:fill="auto"/>
            <w:noWrap/>
          </w:tcPr>
          <w:p w14:paraId="246D425C" w14:textId="77777777" w:rsidR="00514CAD" w:rsidRPr="00514CAD" w:rsidRDefault="00514CAD" w:rsidP="00514CAD">
            <w:pPr>
              <w:spacing w:after="0" w:line="240" w:lineRule="auto"/>
              <w:rPr>
                <w:rFonts w:ascii="Arial" w:eastAsia="Times New Roman" w:hAnsi="Arial" w:cs="Arial"/>
                <w:color w:val="000000"/>
                <w:sz w:val="20"/>
                <w:szCs w:val="20"/>
                <w:lang w:eastAsia="sl-SI"/>
              </w:rPr>
            </w:pPr>
            <w:r w:rsidRPr="00514CAD">
              <w:rPr>
                <w:rFonts w:ascii="Arial" w:hAnsi="Arial" w:cs="Arial"/>
                <w:sz w:val="20"/>
                <w:szCs w:val="20"/>
                <w:lang w:eastAsia="sl-SI"/>
              </w:rPr>
              <w:t xml:space="preserve">Višina normiranih odhodkov se ne spreminja. </w:t>
            </w:r>
            <w:r w:rsidRPr="00514CAD">
              <w:rPr>
                <w:rFonts w:ascii="Arial" w:eastAsia="Times New Roman" w:hAnsi="Arial" w:cs="Arial"/>
                <w:color w:val="000000"/>
                <w:sz w:val="20"/>
                <w:szCs w:val="20"/>
                <w:lang w:eastAsia="sl-SI"/>
              </w:rPr>
              <w:t xml:space="preserve">Določbe </w:t>
            </w:r>
            <w:r w:rsidRPr="00514CAD">
              <w:rPr>
                <w:rFonts w:ascii="Arial" w:hAnsi="Arial" w:cs="Arial"/>
                <w:sz w:val="20"/>
                <w:szCs w:val="20"/>
              </w:rPr>
              <w:t xml:space="preserve"> glede absolutne višine normiranih odhodkov</w:t>
            </w:r>
            <w:r w:rsidRPr="00514CAD">
              <w:rPr>
                <w:rFonts w:ascii="Arial" w:eastAsia="Times New Roman" w:hAnsi="Arial" w:cs="Arial"/>
                <w:color w:val="000000"/>
                <w:sz w:val="20"/>
                <w:szCs w:val="20"/>
                <w:lang w:eastAsia="sl-SI"/>
              </w:rPr>
              <w:t xml:space="preserve"> pa so namenjene preprečevanju oziroma zajezitvi zaznanih zlorab sistema.</w:t>
            </w:r>
          </w:p>
        </w:tc>
      </w:tr>
      <w:tr w:rsidR="00514CAD" w:rsidRPr="00514CAD" w14:paraId="4F6FFBAF" w14:textId="77777777" w:rsidTr="00514CAD">
        <w:trPr>
          <w:trHeight w:val="978"/>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73CDEBF"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lastRenderedPageBreak/>
              <w:t>4.</w:t>
            </w:r>
          </w:p>
        </w:tc>
        <w:tc>
          <w:tcPr>
            <w:tcW w:w="1430" w:type="dxa"/>
            <w:vMerge w:val="restart"/>
            <w:tcBorders>
              <w:top w:val="single" w:sz="4" w:space="0" w:color="auto"/>
              <w:left w:val="nil"/>
              <w:bottom w:val="single" w:sz="4" w:space="0" w:color="auto"/>
              <w:right w:val="single" w:sz="4" w:space="0" w:color="auto"/>
            </w:tcBorders>
            <w:shd w:val="clear" w:color="auto" w:fill="auto"/>
            <w:noWrap/>
          </w:tcPr>
          <w:p w14:paraId="253A2D3D" w14:textId="77777777" w:rsidR="00514CAD" w:rsidRPr="00514CAD" w:rsidRDefault="00514CAD" w:rsidP="00514CAD">
            <w:pPr>
              <w:spacing w:after="0" w:line="240" w:lineRule="auto"/>
              <w:rPr>
                <w:rFonts w:ascii="Arial" w:hAnsi="Arial" w:cs="Arial"/>
                <w:bCs/>
                <w:sz w:val="20"/>
                <w:szCs w:val="20"/>
              </w:rPr>
            </w:pPr>
            <w:r w:rsidRPr="00514CAD">
              <w:rPr>
                <w:rFonts w:ascii="Arial" w:hAnsi="Arial" w:cs="Arial"/>
                <w:bCs/>
                <w:sz w:val="20"/>
                <w:szCs w:val="20"/>
              </w:rPr>
              <w:t>Trgovinska</w:t>
            </w:r>
          </w:p>
          <w:p w14:paraId="43E64D8F" w14:textId="77777777" w:rsidR="00514CAD" w:rsidRPr="00514CAD" w:rsidRDefault="00514CAD" w:rsidP="00514CAD">
            <w:pPr>
              <w:spacing w:after="0" w:line="240" w:lineRule="auto"/>
              <w:rPr>
                <w:rFonts w:ascii="Arial" w:hAnsi="Arial" w:cs="Arial"/>
                <w:bCs/>
                <w:sz w:val="20"/>
                <w:szCs w:val="20"/>
              </w:rPr>
            </w:pPr>
            <w:r w:rsidRPr="00514CAD">
              <w:rPr>
                <w:rFonts w:ascii="Arial" w:hAnsi="Arial" w:cs="Arial"/>
                <w:bCs/>
                <w:sz w:val="20"/>
                <w:szCs w:val="20"/>
              </w:rPr>
              <w:t>zbornica</w:t>
            </w:r>
          </w:p>
          <w:p w14:paraId="753A3CF7" w14:textId="77777777" w:rsidR="00514CAD" w:rsidRPr="00514CAD" w:rsidRDefault="00514CAD" w:rsidP="00514CAD">
            <w:pPr>
              <w:spacing w:after="0" w:line="240" w:lineRule="auto"/>
              <w:rPr>
                <w:rFonts w:ascii="Arial" w:eastAsia="Times New Roman" w:hAnsi="Arial" w:cs="Arial"/>
                <w:sz w:val="20"/>
                <w:szCs w:val="20"/>
                <w:lang w:eastAsia="sl-SI"/>
              </w:rPr>
            </w:pPr>
            <w:r w:rsidRPr="00514CAD">
              <w:rPr>
                <w:rFonts w:ascii="Arial" w:hAnsi="Arial" w:cs="Arial"/>
                <w:bCs/>
                <w:sz w:val="20"/>
                <w:szCs w:val="20"/>
              </w:rPr>
              <w:t>Slovenije</w:t>
            </w:r>
          </w:p>
        </w:tc>
        <w:tc>
          <w:tcPr>
            <w:tcW w:w="4678" w:type="dxa"/>
            <w:tcBorders>
              <w:top w:val="single" w:sz="4" w:space="0" w:color="auto"/>
              <w:left w:val="nil"/>
              <w:bottom w:val="single" w:sz="4" w:space="0" w:color="auto"/>
              <w:right w:val="single" w:sz="4" w:space="0" w:color="auto"/>
            </w:tcBorders>
            <w:shd w:val="clear" w:color="auto" w:fill="auto"/>
            <w:noWrap/>
          </w:tcPr>
          <w:p w14:paraId="5641BDA6" w14:textId="77777777" w:rsidR="00514CAD" w:rsidRPr="00514CAD" w:rsidRDefault="00514CAD" w:rsidP="00514CAD">
            <w:pPr>
              <w:spacing w:after="0"/>
              <w:rPr>
                <w:rFonts w:ascii="Arial" w:eastAsia="Times New Roman" w:hAnsi="Arial" w:cs="Arial"/>
                <w:sz w:val="20"/>
                <w:szCs w:val="20"/>
                <w:lang w:eastAsia="sl-SI"/>
              </w:rPr>
            </w:pPr>
            <w:r w:rsidRPr="00514CAD">
              <w:rPr>
                <w:rFonts w:ascii="Arial" w:eastAsia="Times New Roman" w:hAnsi="Arial" w:cs="Arial"/>
                <w:sz w:val="20"/>
                <w:szCs w:val="20"/>
                <w:lang w:eastAsia="sl-SI"/>
              </w:rPr>
              <w:t>predlog ne širi možnosti vstopa v sistem subjektom v trgovinski dejavnosti, ki ima visok delež stroškov nabave blaga v prihodkih</w:t>
            </w:r>
          </w:p>
        </w:tc>
        <w:tc>
          <w:tcPr>
            <w:tcW w:w="1275" w:type="dxa"/>
            <w:tcBorders>
              <w:top w:val="single" w:sz="4" w:space="0" w:color="auto"/>
              <w:left w:val="nil"/>
              <w:bottom w:val="single" w:sz="4" w:space="0" w:color="auto"/>
              <w:right w:val="single" w:sz="4" w:space="0" w:color="auto"/>
            </w:tcBorders>
            <w:shd w:val="clear" w:color="auto" w:fill="auto"/>
            <w:noWrap/>
          </w:tcPr>
          <w:p w14:paraId="33157521"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se ne upošteva</w:t>
            </w:r>
          </w:p>
        </w:tc>
        <w:tc>
          <w:tcPr>
            <w:tcW w:w="6287" w:type="dxa"/>
            <w:tcBorders>
              <w:top w:val="single" w:sz="4" w:space="0" w:color="auto"/>
              <w:left w:val="nil"/>
              <w:bottom w:val="single" w:sz="4" w:space="0" w:color="auto"/>
              <w:right w:val="single" w:sz="4" w:space="0" w:color="auto"/>
            </w:tcBorders>
            <w:shd w:val="clear" w:color="auto" w:fill="auto"/>
            <w:noWrap/>
          </w:tcPr>
          <w:p w14:paraId="593B3513" w14:textId="77777777" w:rsidR="00514CAD" w:rsidRPr="00514CAD" w:rsidRDefault="00514CAD" w:rsidP="00514CAD">
            <w:pPr>
              <w:spacing w:after="0" w:line="240" w:lineRule="auto"/>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Predlog je bil že preučen v okviru priprave predloga zakona. Ugotovljeno je bilo, da diferenciacija po dejavnostih ni primerna z vidika enake obravnave davčnih zavezancev, predstavljala bi državno pomoč in zahtevala veliko dodatnih administrativnih obremenitev. Delno normiranje odhodkov bi prav tako zahtevalo nesorazmerno administrativno obremenitev malih zavezancev.</w:t>
            </w:r>
          </w:p>
        </w:tc>
      </w:tr>
      <w:tr w:rsidR="00514CAD" w:rsidRPr="00514CAD" w14:paraId="4BD467D8" w14:textId="77777777" w:rsidTr="00514CAD">
        <w:trPr>
          <w:trHeight w:val="276"/>
        </w:trPr>
        <w:tc>
          <w:tcPr>
            <w:tcW w:w="637" w:type="dxa"/>
            <w:vMerge/>
            <w:tcBorders>
              <w:top w:val="single" w:sz="4" w:space="0" w:color="auto"/>
              <w:left w:val="single" w:sz="4" w:space="0" w:color="auto"/>
              <w:bottom w:val="single" w:sz="4" w:space="0" w:color="auto"/>
              <w:right w:val="single" w:sz="4" w:space="0" w:color="auto"/>
            </w:tcBorders>
            <w:shd w:val="clear" w:color="auto" w:fill="auto"/>
            <w:noWrap/>
          </w:tcPr>
          <w:p w14:paraId="161743FD"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p>
        </w:tc>
        <w:tc>
          <w:tcPr>
            <w:tcW w:w="1430" w:type="dxa"/>
            <w:vMerge/>
            <w:tcBorders>
              <w:top w:val="single" w:sz="4" w:space="0" w:color="auto"/>
              <w:left w:val="nil"/>
              <w:bottom w:val="single" w:sz="4" w:space="0" w:color="auto"/>
              <w:right w:val="single" w:sz="4" w:space="0" w:color="auto"/>
            </w:tcBorders>
            <w:shd w:val="clear" w:color="auto" w:fill="auto"/>
            <w:noWrap/>
          </w:tcPr>
          <w:p w14:paraId="15980B77" w14:textId="77777777" w:rsidR="00514CAD" w:rsidRPr="00514CAD" w:rsidRDefault="00514CAD" w:rsidP="00514CAD">
            <w:pPr>
              <w:spacing w:after="0" w:line="240" w:lineRule="auto"/>
              <w:rPr>
                <w:rFonts w:ascii="Arial" w:eastAsia="Times New Roman" w:hAnsi="Arial" w:cs="Arial"/>
                <w:color w:val="000000"/>
                <w:sz w:val="20"/>
                <w:szCs w:val="20"/>
                <w:lang w:eastAsia="sl-SI"/>
              </w:rPr>
            </w:pPr>
          </w:p>
        </w:tc>
        <w:tc>
          <w:tcPr>
            <w:tcW w:w="4678" w:type="dxa"/>
            <w:tcBorders>
              <w:top w:val="single" w:sz="4" w:space="0" w:color="auto"/>
              <w:left w:val="nil"/>
              <w:bottom w:val="single" w:sz="4" w:space="0" w:color="auto"/>
              <w:right w:val="single" w:sz="4" w:space="0" w:color="auto"/>
            </w:tcBorders>
            <w:shd w:val="clear" w:color="auto" w:fill="auto"/>
            <w:noWrap/>
          </w:tcPr>
          <w:p w14:paraId="04FCA3CF" w14:textId="77777777" w:rsidR="00514CAD" w:rsidRPr="00514CAD" w:rsidRDefault="00514CAD" w:rsidP="00514CAD">
            <w:pPr>
              <w:spacing w:after="0"/>
              <w:rPr>
                <w:rFonts w:ascii="Arial" w:hAnsi="Arial" w:cs="Arial"/>
                <w:sz w:val="20"/>
                <w:szCs w:val="20"/>
              </w:rPr>
            </w:pPr>
            <w:r w:rsidRPr="00514CAD">
              <w:rPr>
                <w:rFonts w:ascii="Arial" w:hAnsi="Arial" w:cs="Arial"/>
                <w:sz w:val="20"/>
                <w:szCs w:val="20"/>
              </w:rPr>
              <w:t>razširitev obstoječih oziroma uveljavitev novih investicijskih olajšav (za regalno, skladiščno opremo, opremo za manipulacijo z  blagom, gradbene objekte, nakup zemljišč za izvajanje primarne dejavnosti, energetsko obnovo zgradb, fotocelice, infrastrukturo za alternativne vire goriv).</w:t>
            </w:r>
          </w:p>
        </w:tc>
        <w:tc>
          <w:tcPr>
            <w:tcW w:w="1275" w:type="dxa"/>
            <w:tcBorders>
              <w:top w:val="single" w:sz="4" w:space="0" w:color="auto"/>
              <w:left w:val="nil"/>
              <w:bottom w:val="single" w:sz="4" w:space="0" w:color="auto"/>
              <w:right w:val="single" w:sz="4" w:space="0" w:color="auto"/>
            </w:tcBorders>
            <w:shd w:val="clear" w:color="auto" w:fill="auto"/>
            <w:noWrap/>
          </w:tcPr>
          <w:p w14:paraId="6B24EBED"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se ne upošteva</w:t>
            </w:r>
          </w:p>
        </w:tc>
        <w:tc>
          <w:tcPr>
            <w:tcW w:w="6287" w:type="dxa"/>
            <w:tcBorders>
              <w:top w:val="single" w:sz="4" w:space="0" w:color="auto"/>
              <w:left w:val="nil"/>
              <w:bottom w:val="single" w:sz="4" w:space="0" w:color="auto"/>
              <w:right w:val="single" w:sz="4" w:space="0" w:color="auto"/>
            </w:tcBorders>
            <w:shd w:val="clear" w:color="auto" w:fill="auto"/>
            <w:noWrap/>
          </w:tcPr>
          <w:p w14:paraId="027BD7FD" w14:textId="77777777" w:rsidR="00514CAD" w:rsidRPr="00514CAD" w:rsidRDefault="00514CAD" w:rsidP="00514CAD">
            <w:pPr>
              <w:spacing w:after="0" w:line="240" w:lineRule="auto"/>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 xml:space="preserve">Predlog ni vsebina tokratnih predlaganih sprememb ZDDPO-2. </w:t>
            </w:r>
          </w:p>
          <w:p w14:paraId="6419C62C" w14:textId="77777777" w:rsidR="00514CAD" w:rsidRPr="00514CAD" w:rsidRDefault="00514CAD" w:rsidP="00514CAD">
            <w:pPr>
              <w:spacing w:after="0" w:line="240" w:lineRule="auto"/>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Z uvajanjem številnih olajšav se ruši izhodišče primerne davčne politike, ki temelji na široki davčni osnovi in nizki splošni stopnji. Namreč veljavna davčna stopnja je tudi z vidika mednarodne primerjave nizka in konkurenčna, medtem, ko so olajšave znatne, kar je razvidno tudi z vidika efektivne obdavčitve.</w:t>
            </w:r>
          </w:p>
        </w:tc>
      </w:tr>
      <w:tr w:rsidR="00514CAD" w:rsidRPr="00514CAD" w14:paraId="49DDDCFB" w14:textId="77777777" w:rsidTr="00514CAD">
        <w:trPr>
          <w:trHeight w:val="255"/>
        </w:trPr>
        <w:tc>
          <w:tcPr>
            <w:tcW w:w="637" w:type="dxa"/>
            <w:vMerge w:val="restart"/>
            <w:tcBorders>
              <w:top w:val="single" w:sz="4" w:space="0" w:color="auto"/>
              <w:left w:val="single" w:sz="4" w:space="0" w:color="auto"/>
              <w:right w:val="single" w:sz="4" w:space="0" w:color="auto"/>
            </w:tcBorders>
            <w:shd w:val="clear" w:color="auto" w:fill="auto"/>
            <w:noWrap/>
          </w:tcPr>
          <w:p w14:paraId="2EA09C7E"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5.</w:t>
            </w:r>
          </w:p>
          <w:p w14:paraId="62A04B23"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p>
        </w:tc>
        <w:tc>
          <w:tcPr>
            <w:tcW w:w="1430" w:type="dxa"/>
            <w:vMerge w:val="restart"/>
            <w:tcBorders>
              <w:top w:val="single" w:sz="4" w:space="0" w:color="auto"/>
              <w:left w:val="nil"/>
              <w:right w:val="single" w:sz="4" w:space="0" w:color="auto"/>
            </w:tcBorders>
            <w:shd w:val="clear" w:color="auto" w:fill="auto"/>
            <w:noWrap/>
          </w:tcPr>
          <w:p w14:paraId="3A6F74DA" w14:textId="77777777" w:rsidR="00514CAD" w:rsidRPr="00514CAD" w:rsidRDefault="00514CAD" w:rsidP="00514CAD">
            <w:pPr>
              <w:spacing w:after="0" w:line="240" w:lineRule="auto"/>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 xml:space="preserve">Gospodarska zbornica Slovenije, Zbornica računovodskih servisov, Zbornica davčnih svetovalcev Slovenije </w:t>
            </w:r>
          </w:p>
        </w:tc>
        <w:tc>
          <w:tcPr>
            <w:tcW w:w="4678" w:type="dxa"/>
            <w:tcBorders>
              <w:top w:val="single" w:sz="4" w:space="0" w:color="auto"/>
              <w:left w:val="nil"/>
              <w:bottom w:val="single" w:sz="4" w:space="0" w:color="auto"/>
              <w:right w:val="single" w:sz="4" w:space="0" w:color="auto"/>
            </w:tcBorders>
            <w:shd w:val="clear" w:color="auto" w:fill="auto"/>
            <w:noWrap/>
          </w:tcPr>
          <w:p w14:paraId="60E2A1B1" w14:textId="77777777" w:rsidR="00514CAD" w:rsidRPr="00514CAD" w:rsidRDefault="00514CAD" w:rsidP="00514CAD">
            <w:pPr>
              <w:spacing w:after="0" w:line="240" w:lineRule="auto"/>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nejasna določba glede praga 150.000 EUR – ali se nanaša na povprečne letne ali na skupne prihodke</w:t>
            </w:r>
          </w:p>
        </w:tc>
        <w:tc>
          <w:tcPr>
            <w:tcW w:w="1275" w:type="dxa"/>
            <w:tcBorders>
              <w:top w:val="single" w:sz="4" w:space="0" w:color="auto"/>
              <w:left w:val="nil"/>
              <w:bottom w:val="single" w:sz="4" w:space="0" w:color="auto"/>
              <w:right w:val="single" w:sz="4" w:space="0" w:color="auto"/>
            </w:tcBorders>
            <w:shd w:val="clear" w:color="auto" w:fill="auto"/>
            <w:noWrap/>
          </w:tcPr>
          <w:p w14:paraId="7161DC9D"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se upošteva</w:t>
            </w:r>
          </w:p>
        </w:tc>
        <w:tc>
          <w:tcPr>
            <w:tcW w:w="6287" w:type="dxa"/>
            <w:tcBorders>
              <w:top w:val="single" w:sz="4" w:space="0" w:color="auto"/>
              <w:left w:val="nil"/>
              <w:bottom w:val="single" w:sz="4" w:space="0" w:color="auto"/>
              <w:right w:val="single" w:sz="4" w:space="0" w:color="auto"/>
            </w:tcBorders>
            <w:shd w:val="clear" w:color="auto" w:fill="auto"/>
            <w:noWrap/>
          </w:tcPr>
          <w:p w14:paraId="525960A8" w14:textId="77777777" w:rsidR="00514CAD" w:rsidRPr="00514CAD" w:rsidRDefault="00514CAD" w:rsidP="00514CAD">
            <w:pPr>
              <w:spacing w:after="0" w:line="240" w:lineRule="auto"/>
              <w:rPr>
                <w:rFonts w:ascii="Arial" w:eastAsia="Times New Roman" w:hAnsi="Arial" w:cs="Arial"/>
                <w:color w:val="000000"/>
                <w:sz w:val="20"/>
                <w:szCs w:val="20"/>
                <w:lang w:eastAsia="sl-SI"/>
              </w:rPr>
            </w:pPr>
            <w:r w:rsidRPr="00514CAD">
              <w:rPr>
                <w:rFonts w:ascii="Arial" w:hAnsi="Arial" w:cs="Arial"/>
                <w:sz w:val="20"/>
                <w:szCs w:val="20"/>
              </w:rPr>
              <w:t xml:space="preserve">Pogoj se nanaša na povprečne letne prihodke dveh zaporednih let in </w:t>
            </w:r>
            <w:r w:rsidRPr="00514CAD">
              <w:rPr>
                <w:rFonts w:ascii="Arial" w:eastAsia="Times New Roman" w:hAnsi="Arial" w:cs="Arial"/>
                <w:color w:val="000000"/>
                <w:sz w:val="20"/>
                <w:szCs w:val="20"/>
                <w:lang w:eastAsia="sl-SI"/>
              </w:rPr>
              <w:t xml:space="preserve">omogoča, da zavezanec lahko ostane v sistemu, če ima v dveh zaporednih letih skupno do 300.000 EUR prihodkov. V </w:t>
            </w:r>
            <w:proofErr w:type="spellStart"/>
            <w:r w:rsidRPr="00514CAD">
              <w:rPr>
                <w:rFonts w:ascii="Arial" w:eastAsia="Times New Roman" w:hAnsi="Arial" w:cs="Arial"/>
                <w:color w:val="000000"/>
                <w:sz w:val="20"/>
                <w:szCs w:val="20"/>
                <w:lang w:eastAsia="sl-SI"/>
              </w:rPr>
              <w:t>izogib</w:t>
            </w:r>
            <w:proofErr w:type="spellEnd"/>
            <w:r w:rsidRPr="00514CAD">
              <w:rPr>
                <w:rFonts w:ascii="Arial" w:eastAsia="Times New Roman" w:hAnsi="Arial" w:cs="Arial"/>
                <w:color w:val="000000"/>
                <w:sz w:val="20"/>
                <w:szCs w:val="20"/>
                <w:lang w:eastAsia="sl-SI"/>
              </w:rPr>
              <w:t xml:space="preserve"> napačnega razumevanja se določba zapiše bolj jasno in dodatno pojasni tudi v obrazložitvi člena.</w:t>
            </w:r>
          </w:p>
        </w:tc>
      </w:tr>
      <w:tr w:rsidR="00514CAD" w:rsidRPr="00514CAD" w14:paraId="5D3BAFC8" w14:textId="77777777" w:rsidTr="00514CAD">
        <w:trPr>
          <w:trHeight w:val="255"/>
        </w:trPr>
        <w:tc>
          <w:tcPr>
            <w:tcW w:w="637" w:type="dxa"/>
            <w:vMerge/>
            <w:tcBorders>
              <w:left w:val="single" w:sz="4" w:space="0" w:color="auto"/>
              <w:bottom w:val="single" w:sz="4" w:space="0" w:color="auto"/>
              <w:right w:val="single" w:sz="4" w:space="0" w:color="auto"/>
            </w:tcBorders>
            <w:shd w:val="clear" w:color="auto" w:fill="auto"/>
            <w:noWrap/>
          </w:tcPr>
          <w:p w14:paraId="5F735BC1"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p>
        </w:tc>
        <w:tc>
          <w:tcPr>
            <w:tcW w:w="1430" w:type="dxa"/>
            <w:vMerge/>
            <w:tcBorders>
              <w:left w:val="nil"/>
              <w:bottom w:val="single" w:sz="4" w:space="0" w:color="auto"/>
              <w:right w:val="single" w:sz="4" w:space="0" w:color="auto"/>
            </w:tcBorders>
            <w:shd w:val="clear" w:color="auto" w:fill="auto"/>
            <w:noWrap/>
          </w:tcPr>
          <w:p w14:paraId="6793DB65" w14:textId="77777777" w:rsidR="00514CAD" w:rsidRPr="00514CAD" w:rsidRDefault="00514CAD" w:rsidP="00514CAD">
            <w:pPr>
              <w:spacing w:after="0" w:line="240" w:lineRule="auto"/>
              <w:rPr>
                <w:rFonts w:ascii="Arial" w:eastAsia="Times New Roman" w:hAnsi="Arial" w:cs="Arial"/>
                <w:color w:val="000000"/>
                <w:sz w:val="20"/>
                <w:szCs w:val="20"/>
                <w:lang w:eastAsia="sl-SI"/>
              </w:rPr>
            </w:pPr>
          </w:p>
        </w:tc>
        <w:tc>
          <w:tcPr>
            <w:tcW w:w="4678" w:type="dxa"/>
            <w:tcBorders>
              <w:top w:val="single" w:sz="4" w:space="0" w:color="auto"/>
              <w:left w:val="nil"/>
              <w:bottom w:val="single" w:sz="4" w:space="0" w:color="auto"/>
              <w:right w:val="single" w:sz="4" w:space="0" w:color="auto"/>
            </w:tcBorders>
            <w:shd w:val="clear" w:color="auto" w:fill="auto"/>
            <w:noWrap/>
          </w:tcPr>
          <w:p w14:paraId="2E549B31" w14:textId="77777777" w:rsidR="00514CAD" w:rsidRPr="00514CAD" w:rsidRDefault="00514CAD" w:rsidP="00514CAD">
            <w:pPr>
              <w:spacing w:after="0" w:line="240" w:lineRule="auto"/>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predlagana absolutna meja normiranih odhodkov deluje kaznovalno, morebitna omejitev se lahko postavi na določen % nad 30.000 oz. 60.000 EUR, vendar ne manj kot 50 %.</w:t>
            </w:r>
          </w:p>
        </w:tc>
        <w:tc>
          <w:tcPr>
            <w:tcW w:w="1275" w:type="dxa"/>
            <w:tcBorders>
              <w:top w:val="single" w:sz="4" w:space="0" w:color="auto"/>
              <w:left w:val="nil"/>
              <w:bottom w:val="single" w:sz="4" w:space="0" w:color="auto"/>
              <w:right w:val="single" w:sz="4" w:space="0" w:color="auto"/>
            </w:tcBorders>
            <w:shd w:val="clear" w:color="auto" w:fill="auto"/>
            <w:noWrap/>
          </w:tcPr>
          <w:p w14:paraId="7ED2770C" w14:textId="77777777" w:rsidR="00514CAD" w:rsidRPr="00514CAD" w:rsidRDefault="00514CAD" w:rsidP="00514CAD">
            <w:pPr>
              <w:spacing w:after="0" w:line="240" w:lineRule="auto"/>
              <w:jc w:val="center"/>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se ne upošteva</w:t>
            </w:r>
          </w:p>
        </w:tc>
        <w:tc>
          <w:tcPr>
            <w:tcW w:w="6287" w:type="dxa"/>
            <w:tcBorders>
              <w:top w:val="single" w:sz="4" w:space="0" w:color="auto"/>
              <w:left w:val="nil"/>
              <w:bottom w:val="single" w:sz="4" w:space="0" w:color="auto"/>
              <w:right w:val="single" w:sz="4" w:space="0" w:color="auto"/>
            </w:tcBorders>
            <w:shd w:val="clear" w:color="auto" w:fill="auto"/>
            <w:noWrap/>
          </w:tcPr>
          <w:p w14:paraId="6B2DF5CD" w14:textId="77777777" w:rsidR="00514CAD" w:rsidRPr="00514CAD" w:rsidRDefault="00514CAD" w:rsidP="00514CAD">
            <w:pPr>
              <w:spacing w:after="0" w:line="240" w:lineRule="auto"/>
              <w:rPr>
                <w:rFonts w:ascii="Arial" w:eastAsia="Times New Roman" w:hAnsi="Arial" w:cs="Arial"/>
                <w:color w:val="000000"/>
                <w:sz w:val="20"/>
                <w:szCs w:val="20"/>
                <w:lang w:eastAsia="sl-SI"/>
              </w:rPr>
            </w:pPr>
            <w:r w:rsidRPr="00514CAD">
              <w:rPr>
                <w:rFonts w:ascii="Arial" w:eastAsia="Times New Roman" w:hAnsi="Arial" w:cs="Arial"/>
                <w:color w:val="000000"/>
                <w:sz w:val="20"/>
                <w:szCs w:val="20"/>
                <w:lang w:eastAsia="sl-SI"/>
              </w:rPr>
              <w:t>Določbe so namenjene preprečevanju oziroma zajezitvi zaznanih zlorab sistema, predlagane meje so primerne.</w:t>
            </w:r>
          </w:p>
        </w:tc>
      </w:tr>
    </w:tbl>
    <w:p w14:paraId="6D88CA3A" w14:textId="2B1278CC" w:rsidR="001D7D1C" w:rsidRPr="00B95D04" w:rsidRDefault="001D7D1C" w:rsidP="006B17D1">
      <w:pPr>
        <w:pStyle w:val="Odstavekseznama1"/>
        <w:spacing w:line="260" w:lineRule="exact"/>
        <w:ind w:left="0"/>
        <w:rPr>
          <w:rFonts w:ascii="Arial" w:hAnsi="Arial" w:cs="Arial"/>
          <w:b/>
          <w:sz w:val="20"/>
          <w:szCs w:val="20"/>
        </w:rPr>
      </w:pPr>
    </w:p>
    <w:sectPr w:rsidR="001D7D1C" w:rsidRPr="00B95D04" w:rsidSect="001D7D1C">
      <w:footerReference w:type="defaul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A88E6" w14:textId="77777777" w:rsidR="00EA2690" w:rsidRDefault="00EA2690">
      <w:pPr>
        <w:spacing w:after="0" w:line="240" w:lineRule="auto"/>
      </w:pPr>
      <w:r>
        <w:separator/>
      </w:r>
    </w:p>
  </w:endnote>
  <w:endnote w:type="continuationSeparator" w:id="0">
    <w:p w14:paraId="0681C4AC" w14:textId="77777777" w:rsidR="00EA2690" w:rsidRDefault="00EA2690">
      <w:pPr>
        <w:spacing w:after="0" w:line="240" w:lineRule="auto"/>
      </w:pPr>
      <w:r>
        <w:continuationSeparator/>
      </w:r>
    </w:p>
  </w:endnote>
  <w:endnote w:type="continuationNotice" w:id="1">
    <w:p w14:paraId="52BB936B" w14:textId="77777777" w:rsidR="00EA2690" w:rsidRDefault="00EA26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017A1" w14:textId="31C57057" w:rsidR="002B4B86" w:rsidRDefault="002B4B86">
    <w:pPr>
      <w:pStyle w:val="BodyText"/>
      <w:spacing w:line="14" w:lineRule="auto"/>
      <w:rPr>
        <w:b w:val="0"/>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B3942" w14:textId="77777777" w:rsidR="00EA2690" w:rsidRDefault="00EA2690">
      <w:pPr>
        <w:spacing w:after="0" w:line="240" w:lineRule="auto"/>
      </w:pPr>
      <w:r>
        <w:separator/>
      </w:r>
    </w:p>
  </w:footnote>
  <w:footnote w:type="continuationSeparator" w:id="0">
    <w:p w14:paraId="79E8D92D" w14:textId="77777777" w:rsidR="00EA2690" w:rsidRDefault="00EA2690">
      <w:pPr>
        <w:spacing w:after="0" w:line="240" w:lineRule="auto"/>
      </w:pPr>
      <w:r>
        <w:continuationSeparator/>
      </w:r>
    </w:p>
  </w:footnote>
  <w:footnote w:type="continuationNotice" w:id="1">
    <w:p w14:paraId="67A02D59" w14:textId="77777777" w:rsidR="00EA2690" w:rsidRDefault="00EA26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8CA45" w14:textId="77777777" w:rsidR="002B4B86" w:rsidRPr="00E21FF9" w:rsidRDefault="002B4B86" w:rsidP="00CA689C">
    <w:pPr>
      <w:pStyle w:val="Header"/>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D88CA46" w14:textId="77777777" w:rsidR="002B4B86" w:rsidRPr="008F3500" w:rsidRDefault="002B4B86" w:rsidP="00CA689C">
    <w:pPr>
      <w:pStyle w:val="Header"/>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8CA47" w14:textId="77777777" w:rsidR="002B4B86" w:rsidRPr="008F3500" w:rsidRDefault="002B4B86" w:rsidP="00E455F9">
    <w:pPr>
      <w:pStyle w:val="Header"/>
      <w:tabs>
        <w:tab w:val="clear" w:pos="4320"/>
        <w:tab w:val="clear" w:pos="8640"/>
        <w:tab w:val="left" w:pos="5112"/>
      </w:tabs>
      <w:spacing w:line="240" w:lineRule="exact"/>
      <w:rPr>
        <w:rFonts w:cs="Arial"/>
        <w:sz w:val="16"/>
      </w:rPr>
    </w:pPr>
    <w:r w:rsidRPr="008F3500">
      <w:rPr>
        <w:rFonts w:cs="Arial"/>
        <w:sz w:val="16"/>
      </w:rPr>
      <w:tab/>
    </w:r>
  </w:p>
  <w:p w14:paraId="6D88CA48" w14:textId="77777777" w:rsidR="002B4B86" w:rsidRPr="008F3500" w:rsidRDefault="002B4B86" w:rsidP="00E455F9">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FA3"/>
    <w:multiLevelType w:val="hybridMultilevel"/>
    <w:tmpl w:val="3A426F72"/>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665200"/>
    <w:multiLevelType w:val="hybridMultilevel"/>
    <w:tmpl w:val="2E525FC6"/>
    <w:lvl w:ilvl="0" w:tplc="E33AA7CE">
      <w:numFmt w:val="bullet"/>
      <w:lvlText w:val="-"/>
      <w:lvlJc w:val="left"/>
      <w:pPr>
        <w:ind w:left="144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88C1624"/>
    <w:multiLevelType w:val="hybridMultilevel"/>
    <w:tmpl w:val="61A8F44A"/>
    <w:lvl w:ilvl="0" w:tplc="76AC1A70">
      <w:start w:val="49"/>
      <w:numFmt w:val="bullet"/>
      <w:lvlText w:val=""/>
      <w:lvlJc w:val="left"/>
      <w:pPr>
        <w:ind w:left="786"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301157"/>
    <w:multiLevelType w:val="hybridMultilevel"/>
    <w:tmpl w:val="84BA737A"/>
    <w:lvl w:ilvl="0" w:tplc="86804BB2">
      <w:start w:val="14"/>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nsid w:val="24713016"/>
    <w:multiLevelType w:val="hybridMultilevel"/>
    <w:tmpl w:val="D0D40F5C"/>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6814E74"/>
    <w:multiLevelType w:val="hybridMultilevel"/>
    <w:tmpl w:val="0308A964"/>
    <w:lvl w:ilvl="0" w:tplc="C5FCFC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C8F2DCE"/>
    <w:multiLevelType w:val="hybridMultilevel"/>
    <w:tmpl w:val="F5C080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2DD17248"/>
    <w:multiLevelType w:val="hybridMultilevel"/>
    <w:tmpl w:val="D05E55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E3C01E2"/>
    <w:multiLevelType w:val="hybridMultilevel"/>
    <w:tmpl w:val="E698020E"/>
    <w:lvl w:ilvl="0" w:tplc="E33AA7CE">
      <w:numFmt w:val="bullet"/>
      <w:lvlText w:val="-"/>
      <w:lvlJc w:val="left"/>
      <w:pPr>
        <w:ind w:left="144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1CD4BBB"/>
    <w:multiLevelType w:val="hybridMultilevel"/>
    <w:tmpl w:val="45A09C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327B5BDA"/>
    <w:multiLevelType w:val="hybridMultilevel"/>
    <w:tmpl w:val="1F7050F4"/>
    <w:lvl w:ilvl="0" w:tplc="E33AA7CE">
      <w:numFmt w:val="bullet"/>
      <w:lvlText w:val="-"/>
      <w:lvlJc w:val="left"/>
      <w:pPr>
        <w:ind w:left="144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4781E5E"/>
    <w:multiLevelType w:val="hybridMultilevel"/>
    <w:tmpl w:val="8EEC87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5C45248"/>
    <w:multiLevelType w:val="hybridMultilevel"/>
    <w:tmpl w:val="D7D22A62"/>
    <w:lvl w:ilvl="0" w:tplc="E33AA7CE">
      <w:numFmt w:val="bullet"/>
      <w:lvlText w:val="-"/>
      <w:lvlJc w:val="left"/>
      <w:pPr>
        <w:ind w:left="144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nsid w:val="3B057127"/>
    <w:multiLevelType w:val="hybridMultilevel"/>
    <w:tmpl w:val="92CE5CA6"/>
    <w:lvl w:ilvl="0" w:tplc="92FC7576">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BC82851"/>
    <w:multiLevelType w:val="hybridMultilevel"/>
    <w:tmpl w:val="3146CD18"/>
    <w:lvl w:ilvl="0" w:tplc="80F23D9E">
      <w:start w:val="1"/>
      <w:numFmt w:val="decimal"/>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FF265F4"/>
    <w:multiLevelType w:val="hybridMultilevel"/>
    <w:tmpl w:val="F31C22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05E1B26"/>
    <w:multiLevelType w:val="hybridMultilevel"/>
    <w:tmpl w:val="00087C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22004EF"/>
    <w:multiLevelType w:val="hybridMultilevel"/>
    <w:tmpl w:val="265299D4"/>
    <w:lvl w:ilvl="0" w:tplc="DD968542">
      <w:start w:val="49"/>
      <w:numFmt w:val="bullet"/>
      <w:lvlText w:val=""/>
      <w:lvlJc w:val="left"/>
      <w:pPr>
        <w:ind w:left="360" w:hanging="360"/>
      </w:pPr>
      <w:rPr>
        <w:rFonts w:ascii="Symbol" w:eastAsia="Times New Roman" w:hAnsi="Symbol"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45BB52AB"/>
    <w:multiLevelType w:val="hybridMultilevel"/>
    <w:tmpl w:val="453EA9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0">
    <w:nsid w:val="53907358"/>
    <w:multiLevelType w:val="hybridMultilevel"/>
    <w:tmpl w:val="A6E29C84"/>
    <w:lvl w:ilvl="0" w:tplc="4808DB84">
      <w:start w:val="49"/>
      <w:numFmt w:val="bullet"/>
      <w:lvlText w:val=""/>
      <w:lvlJc w:val="left"/>
      <w:pPr>
        <w:ind w:left="720" w:hanging="360"/>
      </w:pPr>
      <w:rPr>
        <w:rFonts w:ascii="Symbol" w:hAnsi="Symbol" w:hint="default"/>
        <w:spacing w:val="0"/>
        <w:w w:val="100"/>
        <w:position w:val="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3F51AEE"/>
    <w:multiLevelType w:val="hybridMultilevel"/>
    <w:tmpl w:val="B74A33D4"/>
    <w:lvl w:ilvl="0" w:tplc="B08A1B84">
      <w:start w:val="1"/>
      <w:numFmt w:val="decimal"/>
      <w:lvlText w:val="%1."/>
      <w:lvlJc w:val="left"/>
      <w:pPr>
        <w:ind w:left="686" w:hanging="367"/>
      </w:pPr>
      <w:rPr>
        <w:rFonts w:ascii="Arial" w:eastAsia="Arial" w:hAnsi="Arial" w:cs="Arial" w:hint="default"/>
        <w:b/>
        <w:bCs/>
        <w:spacing w:val="-1"/>
        <w:w w:val="100"/>
        <w:sz w:val="22"/>
        <w:szCs w:val="22"/>
      </w:rPr>
    </w:lvl>
    <w:lvl w:ilvl="1" w:tplc="08248732">
      <w:numFmt w:val="bullet"/>
      <w:lvlText w:val="•"/>
      <w:lvlJc w:val="left"/>
      <w:pPr>
        <w:ind w:left="1576" w:hanging="367"/>
      </w:pPr>
      <w:rPr>
        <w:rFonts w:hint="default"/>
      </w:rPr>
    </w:lvl>
    <w:lvl w:ilvl="2" w:tplc="1AEE96C6">
      <w:numFmt w:val="bullet"/>
      <w:lvlText w:val="•"/>
      <w:lvlJc w:val="left"/>
      <w:pPr>
        <w:ind w:left="2472" w:hanging="367"/>
      </w:pPr>
      <w:rPr>
        <w:rFonts w:hint="default"/>
      </w:rPr>
    </w:lvl>
    <w:lvl w:ilvl="3" w:tplc="B470C66E">
      <w:numFmt w:val="bullet"/>
      <w:lvlText w:val="•"/>
      <w:lvlJc w:val="left"/>
      <w:pPr>
        <w:ind w:left="3368" w:hanging="367"/>
      </w:pPr>
      <w:rPr>
        <w:rFonts w:hint="default"/>
      </w:rPr>
    </w:lvl>
    <w:lvl w:ilvl="4" w:tplc="1A4400AA">
      <w:numFmt w:val="bullet"/>
      <w:lvlText w:val="•"/>
      <w:lvlJc w:val="left"/>
      <w:pPr>
        <w:ind w:left="4264" w:hanging="367"/>
      </w:pPr>
      <w:rPr>
        <w:rFonts w:hint="default"/>
      </w:rPr>
    </w:lvl>
    <w:lvl w:ilvl="5" w:tplc="C896E106">
      <w:numFmt w:val="bullet"/>
      <w:lvlText w:val="•"/>
      <w:lvlJc w:val="left"/>
      <w:pPr>
        <w:ind w:left="5160" w:hanging="367"/>
      </w:pPr>
      <w:rPr>
        <w:rFonts w:hint="default"/>
      </w:rPr>
    </w:lvl>
    <w:lvl w:ilvl="6" w:tplc="3102A73A">
      <w:numFmt w:val="bullet"/>
      <w:lvlText w:val="•"/>
      <w:lvlJc w:val="left"/>
      <w:pPr>
        <w:ind w:left="6056" w:hanging="367"/>
      </w:pPr>
      <w:rPr>
        <w:rFonts w:hint="default"/>
      </w:rPr>
    </w:lvl>
    <w:lvl w:ilvl="7" w:tplc="0AB046C8">
      <w:numFmt w:val="bullet"/>
      <w:lvlText w:val="•"/>
      <w:lvlJc w:val="left"/>
      <w:pPr>
        <w:ind w:left="6952" w:hanging="367"/>
      </w:pPr>
      <w:rPr>
        <w:rFonts w:hint="default"/>
      </w:rPr>
    </w:lvl>
    <w:lvl w:ilvl="8" w:tplc="D2A46F8C">
      <w:numFmt w:val="bullet"/>
      <w:lvlText w:val="•"/>
      <w:lvlJc w:val="left"/>
      <w:pPr>
        <w:ind w:left="7848" w:hanging="367"/>
      </w:pPr>
      <w:rPr>
        <w:rFonts w:hint="default"/>
      </w:rPr>
    </w:lvl>
  </w:abstractNum>
  <w:abstractNum w:abstractNumId="3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7C300D9"/>
    <w:multiLevelType w:val="hybridMultilevel"/>
    <w:tmpl w:val="3DE29174"/>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E2B48C0"/>
    <w:multiLevelType w:val="hybridMultilevel"/>
    <w:tmpl w:val="6508672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F747532"/>
    <w:multiLevelType w:val="hybridMultilevel"/>
    <w:tmpl w:val="82D0CB56"/>
    <w:lvl w:ilvl="0" w:tplc="80F23D9E">
      <w:start w:val="1"/>
      <w:numFmt w:val="decimal"/>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2"/>
  </w:num>
  <w:num w:numId="5">
    <w:abstractNumId w:val="21"/>
    <w:lvlOverride w:ilvl="0">
      <w:startOverride w:val="1"/>
    </w:lvlOverride>
  </w:num>
  <w:num w:numId="6">
    <w:abstractNumId w:val="8"/>
  </w:num>
  <w:num w:numId="7">
    <w:abstractNumId w:val="4"/>
  </w:num>
  <w:num w:numId="8">
    <w:abstractNumId w:val="5"/>
  </w:num>
  <w:num w:numId="9">
    <w:abstractNumId w:val="7"/>
  </w:num>
  <w:num w:numId="10">
    <w:abstractNumId w:val="33"/>
  </w:num>
  <w:num w:numId="11">
    <w:abstractNumId w:val="32"/>
  </w:num>
  <w:num w:numId="12">
    <w:abstractNumId w:val="34"/>
  </w:num>
  <w:num w:numId="13">
    <w:abstractNumId w:val="37"/>
  </w:num>
  <w:num w:numId="14">
    <w:abstractNumId w:val="26"/>
  </w:num>
  <w:num w:numId="15">
    <w:abstractNumId w:val="11"/>
  </w:num>
  <w:num w:numId="16">
    <w:abstractNumId w:val="30"/>
  </w:num>
  <w:num w:numId="17">
    <w:abstractNumId w:val="22"/>
  </w:num>
  <w:num w:numId="18">
    <w:abstractNumId w:val="6"/>
  </w:num>
  <w:num w:numId="19">
    <w:abstractNumId w:val="18"/>
  </w:num>
  <w:num w:numId="20">
    <w:abstractNumId w:val="24"/>
  </w:num>
  <w:num w:numId="21">
    <w:abstractNumId w:val="3"/>
  </w:num>
  <w:num w:numId="22">
    <w:abstractNumId w:val="12"/>
  </w:num>
  <w:num w:numId="23">
    <w:abstractNumId w:val="17"/>
  </w:num>
  <w:num w:numId="24">
    <w:abstractNumId w:val="23"/>
  </w:num>
  <w:num w:numId="25">
    <w:abstractNumId w:val="25"/>
  </w:num>
  <w:num w:numId="26">
    <w:abstractNumId w:val="36"/>
  </w:num>
  <w:num w:numId="27">
    <w:abstractNumId w:val="10"/>
  </w:num>
  <w:num w:numId="28">
    <w:abstractNumId w:val="15"/>
  </w:num>
  <w:num w:numId="29">
    <w:abstractNumId w:val="29"/>
  </w:num>
  <w:num w:numId="30">
    <w:abstractNumId w:val="4"/>
  </w:num>
  <w:num w:numId="31">
    <w:abstractNumId w:val="31"/>
  </w:num>
  <w:num w:numId="32">
    <w:abstractNumId w:val="13"/>
  </w:num>
  <w:num w:numId="33">
    <w:abstractNumId w:val="19"/>
  </w:num>
  <w:num w:numId="34">
    <w:abstractNumId w:val="14"/>
  </w:num>
  <w:num w:numId="35">
    <w:abstractNumId w:val="16"/>
  </w:num>
  <w:num w:numId="36">
    <w:abstractNumId w:val="1"/>
  </w:num>
  <w:num w:numId="37">
    <w:abstractNumId w:val="0"/>
  </w:num>
  <w:num w:numId="38">
    <w:abstractNumId w:val="9"/>
  </w:num>
  <w:num w:numId="39">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4519"/>
    <w:rsid w:val="00004EAA"/>
    <w:rsid w:val="00005EA7"/>
    <w:rsid w:val="00006203"/>
    <w:rsid w:val="000128F8"/>
    <w:rsid w:val="000131B6"/>
    <w:rsid w:val="00014F84"/>
    <w:rsid w:val="000205D3"/>
    <w:rsid w:val="000207D9"/>
    <w:rsid w:val="000238FF"/>
    <w:rsid w:val="000262D3"/>
    <w:rsid w:val="00026F41"/>
    <w:rsid w:val="000279EF"/>
    <w:rsid w:val="00030635"/>
    <w:rsid w:val="00033920"/>
    <w:rsid w:val="0003547D"/>
    <w:rsid w:val="00035F4B"/>
    <w:rsid w:val="000376FD"/>
    <w:rsid w:val="000434F6"/>
    <w:rsid w:val="000456D1"/>
    <w:rsid w:val="00046811"/>
    <w:rsid w:val="0005675B"/>
    <w:rsid w:val="00060054"/>
    <w:rsid w:val="00060C67"/>
    <w:rsid w:val="00064F2D"/>
    <w:rsid w:val="00064FC3"/>
    <w:rsid w:val="000709C9"/>
    <w:rsid w:val="000747FF"/>
    <w:rsid w:val="00074902"/>
    <w:rsid w:val="0007594E"/>
    <w:rsid w:val="00075E70"/>
    <w:rsid w:val="00076325"/>
    <w:rsid w:val="00077730"/>
    <w:rsid w:val="000802F6"/>
    <w:rsid w:val="000814D6"/>
    <w:rsid w:val="000815EF"/>
    <w:rsid w:val="0008576D"/>
    <w:rsid w:val="000958B7"/>
    <w:rsid w:val="00097E1E"/>
    <w:rsid w:val="000A18CF"/>
    <w:rsid w:val="000A2446"/>
    <w:rsid w:val="000A6B27"/>
    <w:rsid w:val="000A738F"/>
    <w:rsid w:val="000B29D6"/>
    <w:rsid w:val="000C0905"/>
    <w:rsid w:val="000D1C23"/>
    <w:rsid w:val="000D44A9"/>
    <w:rsid w:val="000D549D"/>
    <w:rsid w:val="000D7BA5"/>
    <w:rsid w:val="000E2EE7"/>
    <w:rsid w:val="000E7293"/>
    <w:rsid w:val="000E7828"/>
    <w:rsid w:val="000F0367"/>
    <w:rsid w:val="000F0DCD"/>
    <w:rsid w:val="000F6F26"/>
    <w:rsid w:val="00102718"/>
    <w:rsid w:val="00105489"/>
    <w:rsid w:val="00105D41"/>
    <w:rsid w:val="00105FDB"/>
    <w:rsid w:val="001076B8"/>
    <w:rsid w:val="00107ED0"/>
    <w:rsid w:val="00113239"/>
    <w:rsid w:val="00117FCD"/>
    <w:rsid w:val="0012392F"/>
    <w:rsid w:val="00127401"/>
    <w:rsid w:val="00131F98"/>
    <w:rsid w:val="0013521F"/>
    <w:rsid w:val="001354F7"/>
    <w:rsid w:val="00135E29"/>
    <w:rsid w:val="0013676E"/>
    <w:rsid w:val="00136853"/>
    <w:rsid w:val="00141816"/>
    <w:rsid w:val="0014251B"/>
    <w:rsid w:val="001427DA"/>
    <w:rsid w:val="00142A3D"/>
    <w:rsid w:val="00154032"/>
    <w:rsid w:val="00155B9C"/>
    <w:rsid w:val="001606AB"/>
    <w:rsid w:val="001611AF"/>
    <w:rsid w:val="001613D9"/>
    <w:rsid w:val="00167703"/>
    <w:rsid w:val="00176D83"/>
    <w:rsid w:val="001815C5"/>
    <w:rsid w:val="00185927"/>
    <w:rsid w:val="00186022"/>
    <w:rsid w:val="00186137"/>
    <w:rsid w:val="00193149"/>
    <w:rsid w:val="00195E8A"/>
    <w:rsid w:val="00196FAF"/>
    <w:rsid w:val="001A5CF9"/>
    <w:rsid w:val="001B0447"/>
    <w:rsid w:val="001B0C4B"/>
    <w:rsid w:val="001B223E"/>
    <w:rsid w:val="001C1FE9"/>
    <w:rsid w:val="001C3357"/>
    <w:rsid w:val="001C4581"/>
    <w:rsid w:val="001D248E"/>
    <w:rsid w:val="001D275B"/>
    <w:rsid w:val="001D3576"/>
    <w:rsid w:val="001D63E1"/>
    <w:rsid w:val="001D69E0"/>
    <w:rsid w:val="001D7D1C"/>
    <w:rsid w:val="001E0D6F"/>
    <w:rsid w:val="001E5B8F"/>
    <w:rsid w:val="001E6744"/>
    <w:rsid w:val="001F38D6"/>
    <w:rsid w:val="001F4BFF"/>
    <w:rsid w:val="002017D4"/>
    <w:rsid w:val="00205F47"/>
    <w:rsid w:val="00210B1E"/>
    <w:rsid w:val="00210D2D"/>
    <w:rsid w:val="00213280"/>
    <w:rsid w:val="002240FB"/>
    <w:rsid w:val="002274DC"/>
    <w:rsid w:val="00235768"/>
    <w:rsid w:val="00237D26"/>
    <w:rsid w:val="0024099A"/>
    <w:rsid w:val="002413BC"/>
    <w:rsid w:val="0024238E"/>
    <w:rsid w:val="0024348B"/>
    <w:rsid w:val="00243581"/>
    <w:rsid w:val="00245805"/>
    <w:rsid w:val="0025262D"/>
    <w:rsid w:val="00253A04"/>
    <w:rsid w:val="00254969"/>
    <w:rsid w:val="002556B6"/>
    <w:rsid w:val="00262D67"/>
    <w:rsid w:val="002650F5"/>
    <w:rsid w:val="0026722F"/>
    <w:rsid w:val="00267A64"/>
    <w:rsid w:val="00270441"/>
    <w:rsid w:val="00280355"/>
    <w:rsid w:val="00291496"/>
    <w:rsid w:val="002914D9"/>
    <w:rsid w:val="00292FF7"/>
    <w:rsid w:val="002A4C39"/>
    <w:rsid w:val="002A5CD9"/>
    <w:rsid w:val="002A7713"/>
    <w:rsid w:val="002B3051"/>
    <w:rsid w:val="002B4B86"/>
    <w:rsid w:val="002B585A"/>
    <w:rsid w:val="002B686D"/>
    <w:rsid w:val="002B68F3"/>
    <w:rsid w:val="002C6BFB"/>
    <w:rsid w:val="002D2EA2"/>
    <w:rsid w:val="002D3068"/>
    <w:rsid w:val="002D337F"/>
    <w:rsid w:val="002D44B4"/>
    <w:rsid w:val="002D44CD"/>
    <w:rsid w:val="002E30E6"/>
    <w:rsid w:val="002E70CC"/>
    <w:rsid w:val="002E7252"/>
    <w:rsid w:val="002F13F7"/>
    <w:rsid w:val="002F540D"/>
    <w:rsid w:val="00301963"/>
    <w:rsid w:val="00301FD0"/>
    <w:rsid w:val="00303445"/>
    <w:rsid w:val="003049A8"/>
    <w:rsid w:val="003068B9"/>
    <w:rsid w:val="00306A64"/>
    <w:rsid w:val="003079E6"/>
    <w:rsid w:val="0031090A"/>
    <w:rsid w:val="00310B0B"/>
    <w:rsid w:val="00311B1D"/>
    <w:rsid w:val="003234D3"/>
    <w:rsid w:val="00326670"/>
    <w:rsid w:val="003332BF"/>
    <w:rsid w:val="00335D02"/>
    <w:rsid w:val="00336346"/>
    <w:rsid w:val="00345B58"/>
    <w:rsid w:val="00345F62"/>
    <w:rsid w:val="00352453"/>
    <w:rsid w:val="00353028"/>
    <w:rsid w:val="00356D42"/>
    <w:rsid w:val="003640C3"/>
    <w:rsid w:val="00370102"/>
    <w:rsid w:val="00370AF0"/>
    <w:rsid w:val="0037239B"/>
    <w:rsid w:val="00372466"/>
    <w:rsid w:val="00373F1A"/>
    <w:rsid w:val="00376913"/>
    <w:rsid w:val="00377D9A"/>
    <w:rsid w:val="003902D8"/>
    <w:rsid w:val="00392B50"/>
    <w:rsid w:val="003A114F"/>
    <w:rsid w:val="003A3A29"/>
    <w:rsid w:val="003B19E3"/>
    <w:rsid w:val="003B2D8B"/>
    <w:rsid w:val="003C0DF0"/>
    <w:rsid w:val="003C2F31"/>
    <w:rsid w:val="003C5F04"/>
    <w:rsid w:val="003D0061"/>
    <w:rsid w:val="003D1A7E"/>
    <w:rsid w:val="003D1E7C"/>
    <w:rsid w:val="003D2537"/>
    <w:rsid w:val="003E0DAA"/>
    <w:rsid w:val="003E49E7"/>
    <w:rsid w:val="003F02E4"/>
    <w:rsid w:val="003F2A20"/>
    <w:rsid w:val="003F6B78"/>
    <w:rsid w:val="00403D3B"/>
    <w:rsid w:val="00404541"/>
    <w:rsid w:val="00405683"/>
    <w:rsid w:val="00407FC1"/>
    <w:rsid w:val="00414D4B"/>
    <w:rsid w:val="0041603B"/>
    <w:rsid w:val="004212D7"/>
    <w:rsid w:val="00421D14"/>
    <w:rsid w:val="00424799"/>
    <w:rsid w:val="00425ADA"/>
    <w:rsid w:val="00437443"/>
    <w:rsid w:val="00441D47"/>
    <w:rsid w:val="004426C8"/>
    <w:rsid w:val="00442C8A"/>
    <w:rsid w:val="004501F3"/>
    <w:rsid w:val="004502BB"/>
    <w:rsid w:val="00451321"/>
    <w:rsid w:val="00451D10"/>
    <w:rsid w:val="00452FB8"/>
    <w:rsid w:val="00457498"/>
    <w:rsid w:val="00461A5B"/>
    <w:rsid w:val="00467DD4"/>
    <w:rsid w:val="00472136"/>
    <w:rsid w:val="00474E61"/>
    <w:rsid w:val="00475AA0"/>
    <w:rsid w:val="00476FC4"/>
    <w:rsid w:val="00480CFB"/>
    <w:rsid w:val="004831B9"/>
    <w:rsid w:val="004845AB"/>
    <w:rsid w:val="00486D18"/>
    <w:rsid w:val="00487047"/>
    <w:rsid w:val="00494B6E"/>
    <w:rsid w:val="004A0464"/>
    <w:rsid w:val="004A178E"/>
    <w:rsid w:val="004A52BD"/>
    <w:rsid w:val="004A5340"/>
    <w:rsid w:val="004A639F"/>
    <w:rsid w:val="004A63A9"/>
    <w:rsid w:val="004A768E"/>
    <w:rsid w:val="004B0801"/>
    <w:rsid w:val="004B1901"/>
    <w:rsid w:val="004B260C"/>
    <w:rsid w:val="004B2E14"/>
    <w:rsid w:val="004C032B"/>
    <w:rsid w:val="004C0772"/>
    <w:rsid w:val="004C4365"/>
    <w:rsid w:val="004C47D3"/>
    <w:rsid w:val="004D0724"/>
    <w:rsid w:val="004D569C"/>
    <w:rsid w:val="004E4A50"/>
    <w:rsid w:val="004F27D6"/>
    <w:rsid w:val="004F2B9C"/>
    <w:rsid w:val="004F6CC3"/>
    <w:rsid w:val="004F780A"/>
    <w:rsid w:val="00500294"/>
    <w:rsid w:val="0050147E"/>
    <w:rsid w:val="00503E21"/>
    <w:rsid w:val="005101CB"/>
    <w:rsid w:val="00510C89"/>
    <w:rsid w:val="00512279"/>
    <w:rsid w:val="005124C4"/>
    <w:rsid w:val="0051365E"/>
    <w:rsid w:val="00514CAD"/>
    <w:rsid w:val="00522575"/>
    <w:rsid w:val="005229AC"/>
    <w:rsid w:val="005336A2"/>
    <w:rsid w:val="005346AE"/>
    <w:rsid w:val="00535294"/>
    <w:rsid w:val="00543179"/>
    <w:rsid w:val="00543F88"/>
    <w:rsid w:val="00547FB6"/>
    <w:rsid w:val="005516A2"/>
    <w:rsid w:val="005522F0"/>
    <w:rsid w:val="00553CEF"/>
    <w:rsid w:val="005553CB"/>
    <w:rsid w:val="00555A8B"/>
    <w:rsid w:val="00562C7C"/>
    <w:rsid w:val="005654ED"/>
    <w:rsid w:val="005711B9"/>
    <w:rsid w:val="00571CDB"/>
    <w:rsid w:val="00571EE0"/>
    <w:rsid w:val="005721E8"/>
    <w:rsid w:val="00572BCD"/>
    <w:rsid w:val="0057512B"/>
    <w:rsid w:val="00575498"/>
    <w:rsid w:val="005766BD"/>
    <w:rsid w:val="00576922"/>
    <w:rsid w:val="00576D44"/>
    <w:rsid w:val="00580808"/>
    <w:rsid w:val="005817C6"/>
    <w:rsid w:val="00582851"/>
    <w:rsid w:val="00587A2E"/>
    <w:rsid w:val="00594B90"/>
    <w:rsid w:val="0059610E"/>
    <w:rsid w:val="005A5E04"/>
    <w:rsid w:val="005B0488"/>
    <w:rsid w:val="005B0EAA"/>
    <w:rsid w:val="005B4049"/>
    <w:rsid w:val="005B499A"/>
    <w:rsid w:val="005B53B3"/>
    <w:rsid w:val="005B7FA2"/>
    <w:rsid w:val="005C0C5F"/>
    <w:rsid w:val="005C0E20"/>
    <w:rsid w:val="005C136A"/>
    <w:rsid w:val="005C3CE4"/>
    <w:rsid w:val="005C5F18"/>
    <w:rsid w:val="005D5B3A"/>
    <w:rsid w:val="005E0062"/>
    <w:rsid w:val="005E1382"/>
    <w:rsid w:val="005E2D0F"/>
    <w:rsid w:val="005E4578"/>
    <w:rsid w:val="005E4685"/>
    <w:rsid w:val="005E78F5"/>
    <w:rsid w:val="005F1E47"/>
    <w:rsid w:val="005F267F"/>
    <w:rsid w:val="005F3DC6"/>
    <w:rsid w:val="005F7F12"/>
    <w:rsid w:val="006042A3"/>
    <w:rsid w:val="00611A1D"/>
    <w:rsid w:val="006140CE"/>
    <w:rsid w:val="006226CD"/>
    <w:rsid w:val="006231E5"/>
    <w:rsid w:val="00626E97"/>
    <w:rsid w:val="006321C8"/>
    <w:rsid w:val="00632A73"/>
    <w:rsid w:val="006368DF"/>
    <w:rsid w:val="00642B87"/>
    <w:rsid w:val="0066236B"/>
    <w:rsid w:val="00663806"/>
    <w:rsid w:val="00664411"/>
    <w:rsid w:val="00666987"/>
    <w:rsid w:val="00682364"/>
    <w:rsid w:val="00684108"/>
    <w:rsid w:val="0068465E"/>
    <w:rsid w:val="006864F9"/>
    <w:rsid w:val="00686C47"/>
    <w:rsid w:val="00692072"/>
    <w:rsid w:val="006939DB"/>
    <w:rsid w:val="006954D4"/>
    <w:rsid w:val="00696AFD"/>
    <w:rsid w:val="0069700E"/>
    <w:rsid w:val="00697AD9"/>
    <w:rsid w:val="006A2218"/>
    <w:rsid w:val="006A5437"/>
    <w:rsid w:val="006B17D1"/>
    <w:rsid w:val="006B1D24"/>
    <w:rsid w:val="006B2D41"/>
    <w:rsid w:val="006B3E5A"/>
    <w:rsid w:val="006C3411"/>
    <w:rsid w:val="006C581C"/>
    <w:rsid w:val="006C6FB9"/>
    <w:rsid w:val="006E3FD5"/>
    <w:rsid w:val="006E4467"/>
    <w:rsid w:val="006F274A"/>
    <w:rsid w:val="006F517C"/>
    <w:rsid w:val="00717D84"/>
    <w:rsid w:val="007215C6"/>
    <w:rsid w:val="00727429"/>
    <w:rsid w:val="00732124"/>
    <w:rsid w:val="0073234F"/>
    <w:rsid w:val="00734222"/>
    <w:rsid w:val="00736B81"/>
    <w:rsid w:val="00736D4F"/>
    <w:rsid w:val="00742533"/>
    <w:rsid w:val="00742D37"/>
    <w:rsid w:val="00751F71"/>
    <w:rsid w:val="00755DBB"/>
    <w:rsid w:val="00762C02"/>
    <w:rsid w:val="00765CBD"/>
    <w:rsid w:val="00765DE8"/>
    <w:rsid w:val="00766291"/>
    <w:rsid w:val="00771AB8"/>
    <w:rsid w:val="0077561B"/>
    <w:rsid w:val="00776FED"/>
    <w:rsid w:val="007810AD"/>
    <w:rsid w:val="007934BD"/>
    <w:rsid w:val="00797981"/>
    <w:rsid w:val="007A3722"/>
    <w:rsid w:val="007A4B55"/>
    <w:rsid w:val="007A5526"/>
    <w:rsid w:val="007B3C32"/>
    <w:rsid w:val="007B7AE0"/>
    <w:rsid w:val="007C0149"/>
    <w:rsid w:val="007C3050"/>
    <w:rsid w:val="007C3997"/>
    <w:rsid w:val="007C48A5"/>
    <w:rsid w:val="007C5A44"/>
    <w:rsid w:val="007C753F"/>
    <w:rsid w:val="007D142A"/>
    <w:rsid w:val="007D2BB8"/>
    <w:rsid w:val="007E008B"/>
    <w:rsid w:val="007E5AD8"/>
    <w:rsid w:val="007E5BDE"/>
    <w:rsid w:val="007F085D"/>
    <w:rsid w:val="007F1AF7"/>
    <w:rsid w:val="007F4393"/>
    <w:rsid w:val="0080296D"/>
    <w:rsid w:val="00805478"/>
    <w:rsid w:val="008060E5"/>
    <w:rsid w:val="00823213"/>
    <w:rsid w:val="00825846"/>
    <w:rsid w:val="008267D5"/>
    <w:rsid w:val="00830BB6"/>
    <w:rsid w:val="00834C50"/>
    <w:rsid w:val="00840095"/>
    <w:rsid w:val="00846C43"/>
    <w:rsid w:val="008474AD"/>
    <w:rsid w:val="00847A57"/>
    <w:rsid w:val="008539C4"/>
    <w:rsid w:val="00854C9E"/>
    <w:rsid w:val="008614C1"/>
    <w:rsid w:val="00862B07"/>
    <w:rsid w:val="00864980"/>
    <w:rsid w:val="00865E5D"/>
    <w:rsid w:val="008703B1"/>
    <w:rsid w:val="008705F0"/>
    <w:rsid w:val="00871470"/>
    <w:rsid w:val="00874447"/>
    <w:rsid w:val="00877BA0"/>
    <w:rsid w:val="00890173"/>
    <w:rsid w:val="00890372"/>
    <w:rsid w:val="0089484A"/>
    <w:rsid w:val="008A3619"/>
    <w:rsid w:val="008B2AAA"/>
    <w:rsid w:val="008B61C3"/>
    <w:rsid w:val="008C043F"/>
    <w:rsid w:val="008C2646"/>
    <w:rsid w:val="008C4E4E"/>
    <w:rsid w:val="008C7482"/>
    <w:rsid w:val="008D1B3E"/>
    <w:rsid w:val="008D1B72"/>
    <w:rsid w:val="008D482D"/>
    <w:rsid w:val="008E10B0"/>
    <w:rsid w:val="008E4146"/>
    <w:rsid w:val="008E7875"/>
    <w:rsid w:val="008F302E"/>
    <w:rsid w:val="008F74ED"/>
    <w:rsid w:val="009012CD"/>
    <w:rsid w:val="00901BC4"/>
    <w:rsid w:val="00910641"/>
    <w:rsid w:val="009156EF"/>
    <w:rsid w:val="0091603C"/>
    <w:rsid w:val="0093433F"/>
    <w:rsid w:val="00934A39"/>
    <w:rsid w:val="00935771"/>
    <w:rsid w:val="00941932"/>
    <w:rsid w:val="00942C82"/>
    <w:rsid w:val="00946953"/>
    <w:rsid w:val="00952244"/>
    <w:rsid w:val="00955443"/>
    <w:rsid w:val="00965CBF"/>
    <w:rsid w:val="009675C7"/>
    <w:rsid w:val="009744C2"/>
    <w:rsid w:val="00981141"/>
    <w:rsid w:val="0098391A"/>
    <w:rsid w:val="00990D52"/>
    <w:rsid w:val="00992C60"/>
    <w:rsid w:val="00995380"/>
    <w:rsid w:val="009A1339"/>
    <w:rsid w:val="009A338A"/>
    <w:rsid w:val="009A4A5C"/>
    <w:rsid w:val="009A75EB"/>
    <w:rsid w:val="009C17CF"/>
    <w:rsid w:val="009C35FD"/>
    <w:rsid w:val="009D028B"/>
    <w:rsid w:val="009D2AD6"/>
    <w:rsid w:val="009D3853"/>
    <w:rsid w:val="009D3F1D"/>
    <w:rsid w:val="009D5B8E"/>
    <w:rsid w:val="009D6CFA"/>
    <w:rsid w:val="009D7B6D"/>
    <w:rsid w:val="009E137E"/>
    <w:rsid w:val="009E7009"/>
    <w:rsid w:val="009E7AB6"/>
    <w:rsid w:val="009E7E98"/>
    <w:rsid w:val="009F119E"/>
    <w:rsid w:val="009F1B98"/>
    <w:rsid w:val="009F5358"/>
    <w:rsid w:val="00A00C5E"/>
    <w:rsid w:val="00A03DB7"/>
    <w:rsid w:val="00A04C33"/>
    <w:rsid w:val="00A101F0"/>
    <w:rsid w:val="00A12B51"/>
    <w:rsid w:val="00A15D26"/>
    <w:rsid w:val="00A162C0"/>
    <w:rsid w:val="00A16F0C"/>
    <w:rsid w:val="00A17B9E"/>
    <w:rsid w:val="00A20EDD"/>
    <w:rsid w:val="00A2404D"/>
    <w:rsid w:val="00A24E98"/>
    <w:rsid w:val="00A25EF8"/>
    <w:rsid w:val="00A26A32"/>
    <w:rsid w:val="00A27C57"/>
    <w:rsid w:val="00A30342"/>
    <w:rsid w:val="00A35EA6"/>
    <w:rsid w:val="00A40EA6"/>
    <w:rsid w:val="00A45021"/>
    <w:rsid w:val="00A47509"/>
    <w:rsid w:val="00A509F1"/>
    <w:rsid w:val="00A5118F"/>
    <w:rsid w:val="00A6022E"/>
    <w:rsid w:val="00A66DE4"/>
    <w:rsid w:val="00A715AE"/>
    <w:rsid w:val="00A828A1"/>
    <w:rsid w:val="00A83346"/>
    <w:rsid w:val="00A83DBF"/>
    <w:rsid w:val="00A84394"/>
    <w:rsid w:val="00A94104"/>
    <w:rsid w:val="00A95571"/>
    <w:rsid w:val="00A97FE8"/>
    <w:rsid w:val="00AA314E"/>
    <w:rsid w:val="00AA3C9A"/>
    <w:rsid w:val="00AA6361"/>
    <w:rsid w:val="00AA65A3"/>
    <w:rsid w:val="00AB05FB"/>
    <w:rsid w:val="00AB0983"/>
    <w:rsid w:val="00AB30C5"/>
    <w:rsid w:val="00AB777C"/>
    <w:rsid w:val="00AD378E"/>
    <w:rsid w:val="00AD3BDC"/>
    <w:rsid w:val="00AD6B2F"/>
    <w:rsid w:val="00AD6C39"/>
    <w:rsid w:val="00AE0B05"/>
    <w:rsid w:val="00AE36D8"/>
    <w:rsid w:val="00AE4D83"/>
    <w:rsid w:val="00AE5FCE"/>
    <w:rsid w:val="00AF01A9"/>
    <w:rsid w:val="00AF7FC9"/>
    <w:rsid w:val="00B024FF"/>
    <w:rsid w:val="00B065EA"/>
    <w:rsid w:val="00B071D3"/>
    <w:rsid w:val="00B103A4"/>
    <w:rsid w:val="00B152CC"/>
    <w:rsid w:val="00B2137E"/>
    <w:rsid w:val="00B33655"/>
    <w:rsid w:val="00B4417A"/>
    <w:rsid w:val="00B44CBF"/>
    <w:rsid w:val="00B4524F"/>
    <w:rsid w:val="00B454E5"/>
    <w:rsid w:val="00B5087B"/>
    <w:rsid w:val="00B544DB"/>
    <w:rsid w:val="00B572A1"/>
    <w:rsid w:val="00B61E75"/>
    <w:rsid w:val="00B62077"/>
    <w:rsid w:val="00B645E1"/>
    <w:rsid w:val="00B64A70"/>
    <w:rsid w:val="00B6517B"/>
    <w:rsid w:val="00B7731C"/>
    <w:rsid w:val="00B85692"/>
    <w:rsid w:val="00B93DE8"/>
    <w:rsid w:val="00B95D04"/>
    <w:rsid w:val="00B97FF8"/>
    <w:rsid w:val="00BA21C7"/>
    <w:rsid w:val="00BB5217"/>
    <w:rsid w:val="00BC0BC2"/>
    <w:rsid w:val="00BC76BF"/>
    <w:rsid w:val="00BD1561"/>
    <w:rsid w:val="00BD69B3"/>
    <w:rsid w:val="00BE3285"/>
    <w:rsid w:val="00BE5206"/>
    <w:rsid w:val="00BF1719"/>
    <w:rsid w:val="00BF240D"/>
    <w:rsid w:val="00BF2B45"/>
    <w:rsid w:val="00BF5451"/>
    <w:rsid w:val="00BF71D4"/>
    <w:rsid w:val="00C00F71"/>
    <w:rsid w:val="00C01882"/>
    <w:rsid w:val="00C0580D"/>
    <w:rsid w:val="00C07204"/>
    <w:rsid w:val="00C1589A"/>
    <w:rsid w:val="00C16CF9"/>
    <w:rsid w:val="00C2743E"/>
    <w:rsid w:val="00C2777D"/>
    <w:rsid w:val="00C31024"/>
    <w:rsid w:val="00C31E0B"/>
    <w:rsid w:val="00C360D3"/>
    <w:rsid w:val="00C36C5A"/>
    <w:rsid w:val="00C41E00"/>
    <w:rsid w:val="00C431DA"/>
    <w:rsid w:val="00C50DA6"/>
    <w:rsid w:val="00C55303"/>
    <w:rsid w:val="00C56454"/>
    <w:rsid w:val="00C63BE8"/>
    <w:rsid w:val="00C6579E"/>
    <w:rsid w:val="00C743E3"/>
    <w:rsid w:val="00C75B7B"/>
    <w:rsid w:val="00C77B35"/>
    <w:rsid w:val="00C81C0D"/>
    <w:rsid w:val="00C918F9"/>
    <w:rsid w:val="00C97090"/>
    <w:rsid w:val="00C974A7"/>
    <w:rsid w:val="00CA1EF5"/>
    <w:rsid w:val="00CA5013"/>
    <w:rsid w:val="00CA59B8"/>
    <w:rsid w:val="00CA5AA9"/>
    <w:rsid w:val="00CA689C"/>
    <w:rsid w:val="00CB11AA"/>
    <w:rsid w:val="00CB634C"/>
    <w:rsid w:val="00CC4D4E"/>
    <w:rsid w:val="00CC50A0"/>
    <w:rsid w:val="00CC6A2F"/>
    <w:rsid w:val="00CD165F"/>
    <w:rsid w:val="00CD31BF"/>
    <w:rsid w:val="00CE0838"/>
    <w:rsid w:val="00CE13B1"/>
    <w:rsid w:val="00CE5924"/>
    <w:rsid w:val="00CF1D61"/>
    <w:rsid w:val="00CF4ACA"/>
    <w:rsid w:val="00D01F76"/>
    <w:rsid w:val="00D042E4"/>
    <w:rsid w:val="00D042FA"/>
    <w:rsid w:val="00D04546"/>
    <w:rsid w:val="00D11C7B"/>
    <w:rsid w:val="00D12276"/>
    <w:rsid w:val="00D14445"/>
    <w:rsid w:val="00D202CF"/>
    <w:rsid w:val="00D242E3"/>
    <w:rsid w:val="00D24878"/>
    <w:rsid w:val="00D30A8D"/>
    <w:rsid w:val="00D34C13"/>
    <w:rsid w:val="00D3788F"/>
    <w:rsid w:val="00D41914"/>
    <w:rsid w:val="00D42191"/>
    <w:rsid w:val="00D45997"/>
    <w:rsid w:val="00D513F0"/>
    <w:rsid w:val="00D52AAF"/>
    <w:rsid w:val="00D55AB6"/>
    <w:rsid w:val="00D5688B"/>
    <w:rsid w:val="00D61996"/>
    <w:rsid w:val="00D6486E"/>
    <w:rsid w:val="00D7039F"/>
    <w:rsid w:val="00D732F0"/>
    <w:rsid w:val="00D7363A"/>
    <w:rsid w:val="00D73C39"/>
    <w:rsid w:val="00D73D26"/>
    <w:rsid w:val="00D74108"/>
    <w:rsid w:val="00D745A6"/>
    <w:rsid w:val="00D876CA"/>
    <w:rsid w:val="00D92410"/>
    <w:rsid w:val="00D94100"/>
    <w:rsid w:val="00D94734"/>
    <w:rsid w:val="00D96BE1"/>
    <w:rsid w:val="00D97A95"/>
    <w:rsid w:val="00D97DAE"/>
    <w:rsid w:val="00DA39B3"/>
    <w:rsid w:val="00DA581F"/>
    <w:rsid w:val="00DA75A2"/>
    <w:rsid w:val="00DD066D"/>
    <w:rsid w:val="00DD10F8"/>
    <w:rsid w:val="00DD193E"/>
    <w:rsid w:val="00DE238C"/>
    <w:rsid w:val="00DE7754"/>
    <w:rsid w:val="00DF14AE"/>
    <w:rsid w:val="00DF3371"/>
    <w:rsid w:val="00DF7F4C"/>
    <w:rsid w:val="00E01071"/>
    <w:rsid w:val="00E125BE"/>
    <w:rsid w:val="00E145C0"/>
    <w:rsid w:val="00E20713"/>
    <w:rsid w:val="00E251EB"/>
    <w:rsid w:val="00E302AC"/>
    <w:rsid w:val="00E455F9"/>
    <w:rsid w:val="00E457F8"/>
    <w:rsid w:val="00E5012C"/>
    <w:rsid w:val="00E5756C"/>
    <w:rsid w:val="00E62C29"/>
    <w:rsid w:val="00E656AC"/>
    <w:rsid w:val="00E67A3A"/>
    <w:rsid w:val="00E7409D"/>
    <w:rsid w:val="00E753E6"/>
    <w:rsid w:val="00E77BB7"/>
    <w:rsid w:val="00E81EF2"/>
    <w:rsid w:val="00E822CC"/>
    <w:rsid w:val="00E83855"/>
    <w:rsid w:val="00E838BC"/>
    <w:rsid w:val="00E9101B"/>
    <w:rsid w:val="00E930A7"/>
    <w:rsid w:val="00E9349D"/>
    <w:rsid w:val="00E978A2"/>
    <w:rsid w:val="00EA2690"/>
    <w:rsid w:val="00EA334D"/>
    <w:rsid w:val="00EA6B75"/>
    <w:rsid w:val="00EA721B"/>
    <w:rsid w:val="00EA7688"/>
    <w:rsid w:val="00EB04C3"/>
    <w:rsid w:val="00EB74E8"/>
    <w:rsid w:val="00EC28EF"/>
    <w:rsid w:val="00EC3B34"/>
    <w:rsid w:val="00EC5C10"/>
    <w:rsid w:val="00EC6A1E"/>
    <w:rsid w:val="00ED01D2"/>
    <w:rsid w:val="00ED2976"/>
    <w:rsid w:val="00ED3437"/>
    <w:rsid w:val="00ED4A8F"/>
    <w:rsid w:val="00ED649C"/>
    <w:rsid w:val="00ED7908"/>
    <w:rsid w:val="00EE3653"/>
    <w:rsid w:val="00EE392C"/>
    <w:rsid w:val="00EE6ED4"/>
    <w:rsid w:val="00EF304B"/>
    <w:rsid w:val="00EF4E10"/>
    <w:rsid w:val="00EF50B0"/>
    <w:rsid w:val="00EF5FE5"/>
    <w:rsid w:val="00EF6A85"/>
    <w:rsid w:val="00F1592E"/>
    <w:rsid w:val="00F15AC3"/>
    <w:rsid w:val="00F17A75"/>
    <w:rsid w:val="00F22C9B"/>
    <w:rsid w:val="00F233EB"/>
    <w:rsid w:val="00F33C63"/>
    <w:rsid w:val="00F35066"/>
    <w:rsid w:val="00F35CC7"/>
    <w:rsid w:val="00F365ED"/>
    <w:rsid w:val="00F37DF7"/>
    <w:rsid w:val="00F4001E"/>
    <w:rsid w:val="00F55DDF"/>
    <w:rsid w:val="00F6027F"/>
    <w:rsid w:val="00F63BE5"/>
    <w:rsid w:val="00F66639"/>
    <w:rsid w:val="00F669F8"/>
    <w:rsid w:val="00F67111"/>
    <w:rsid w:val="00F716E9"/>
    <w:rsid w:val="00F7267C"/>
    <w:rsid w:val="00F74A47"/>
    <w:rsid w:val="00F755CB"/>
    <w:rsid w:val="00F776E1"/>
    <w:rsid w:val="00F80081"/>
    <w:rsid w:val="00F826AE"/>
    <w:rsid w:val="00F83108"/>
    <w:rsid w:val="00F84256"/>
    <w:rsid w:val="00F875CF"/>
    <w:rsid w:val="00F87FAF"/>
    <w:rsid w:val="00F926C7"/>
    <w:rsid w:val="00F93959"/>
    <w:rsid w:val="00F958F5"/>
    <w:rsid w:val="00FA0B4A"/>
    <w:rsid w:val="00FA4A7D"/>
    <w:rsid w:val="00FC31F5"/>
    <w:rsid w:val="00FD1787"/>
    <w:rsid w:val="00FD3E1A"/>
    <w:rsid w:val="00FD5B08"/>
    <w:rsid w:val="00FE1B1D"/>
    <w:rsid w:val="00FE2E4E"/>
    <w:rsid w:val="00FE66FA"/>
    <w:rsid w:val="00FF0F45"/>
    <w:rsid w:val="00FF19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8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D4"/>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HeaderChar">
    <w:name w:val="Header Char"/>
    <w:link w:val="Header"/>
    <w:rsid w:val="00107ED0"/>
    <w:rPr>
      <w:rFonts w:ascii="Arial" w:eastAsia="Times New Roman" w:hAnsi="Arial"/>
      <w:szCs w:val="24"/>
      <w:lang w:eastAsia="en-US"/>
    </w:rPr>
  </w:style>
  <w:style w:type="paragraph" w:styleId="Footer">
    <w:name w:val="footer"/>
    <w:basedOn w:val="Normal"/>
    <w:link w:val="FooterChar"/>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FooterChar">
    <w:name w:val="Footer Char"/>
    <w:link w:val="Footer"/>
    <w:semiHidden/>
    <w:rsid w:val="00107ED0"/>
    <w:rPr>
      <w:rFonts w:ascii="Arial" w:eastAsia="Times New Roman" w:hAnsi="Arial"/>
      <w:szCs w:val="24"/>
      <w:lang w:eastAsia="en-US"/>
    </w:rPr>
  </w:style>
  <w:style w:type="paragraph" w:styleId="DocumentMap">
    <w:name w:val="Document Map"/>
    <w:basedOn w:val="Normal"/>
    <w:link w:val="DocumentMapChar"/>
    <w:rsid w:val="00107ED0"/>
    <w:pPr>
      <w:spacing w:after="0" w:line="260" w:lineRule="exact"/>
    </w:pPr>
    <w:rPr>
      <w:rFonts w:ascii="Tahoma" w:eastAsia="Times New Roman" w:hAnsi="Tahoma"/>
      <w:sz w:val="16"/>
      <w:szCs w:val="16"/>
      <w:lang w:val="x-none"/>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rsid w:val="00107ED0"/>
    <w:rPr>
      <w:color w:val="0000FF"/>
      <w:u w:val="single"/>
    </w:rPr>
  </w:style>
  <w:style w:type="paragraph" w:customStyle="1" w:styleId="podpisi">
    <w:name w:val="podpisi"/>
    <w:basedOn w:val="Normal"/>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ormal"/>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PageNumber">
    <w:name w:val="page number"/>
    <w:rsid w:val="00107ED0"/>
  </w:style>
  <w:style w:type="paragraph" w:styleId="FootnoteText">
    <w:name w:val="footnote text"/>
    <w:basedOn w:val="Normal"/>
    <w:link w:val="FootnoteTextChar"/>
    <w:semiHidden/>
    <w:rsid w:val="00107ED0"/>
    <w:pPr>
      <w:spacing w:after="0" w:line="260" w:lineRule="exact"/>
    </w:pPr>
    <w:rPr>
      <w:rFonts w:ascii="Arial" w:eastAsia="Times New Roman" w:hAnsi="Arial"/>
      <w:sz w:val="20"/>
      <w:szCs w:val="20"/>
      <w:lang w:val="x-none"/>
    </w:rPr>
  </w:style>
  <w:style w:type="character" w:customStyle="1" w:styleId="FootnoteTextChar">
    <w:name w:val="Footnote Text Char"/>
    <w:link w:val="FootnoteText"/>
    <w:semiHidden/>
    <w:rsid w:val="00107ED0"/>
    <w:rPr>
      <w:rFonts w:ascii="Arial" w:eastAsia="Times New Roman" w:hAnsi="Arial"/>
      <w:lang w:eastAsia="en-US"/>
    </w:rPr>
  </w:style>
  <w:style w:type="character" w:styleId="FootnoteReference">
    <w:name w:val="footnote reference"/>
    <w:semiHidden/>
    <w:rsid w:val="00107ED0"/>
    <w:rPr>
      <w:vertAlign w:val="superscript"/>
    </w:rPr>
  </w:style>
  <w:style w:type="character" w:styleId="CommentReference">
    <w:name w:val="annotation reference"/>
    <w:semiHidden/>
    <w:rsid w:val="00107ED0"/>
    <w:rPr>
      <w:sz w:val="16"/>
      <w:szCs w:val="16"/>
    </w:rPr>
  </w:style>
  <w:style w:type="paragraph" w:styleId="CommentText">
    <w:name w:val="annotation text"/>
    <w:basedOn w:val="Normal"/>
    <w:link w:val="CommentTextChar"/>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CommentTextChar">
    <w:name w:val="Comment Text Char"/>
    <w:link w:val="CommentText"/>
    <w:semiHidden/>
    <w:rsid w:val="00107ED0"/>
    <w:rPr>
      <w:rFonts w:ascii="Times New Roman" w:eastAsia="Times New Roman" w:hAnsi="Times New Roman"/>
      <w:lang w:eastAsia="en-US"/>
    </w:rPr>
  </w:style>
  <w:style w:type="paragraph" w:styleId="BalloonText">
    <w:name w:val="Balloon Text"/>
    <w:basedOn w:val="Normal"/>
    <w:link w:val="BalloonTextChar"/>
    <w:semiHidden/>
    <w:rsid w:val="00107ED0"/>
    <w:pPr>
      <w:spacing w:after="0" w:line="260" w:lineRule="exact"/>
    </w:pPr>
    <w:rPr>
      <w:rFonts w:ascii="Tahoma" w:eastAsia="Times New Roman" w:hAnsi="Tahoma"/>
      <w:sz w:val="16"/>
      <w:szCs w:val="16"/>
      <w:lang w:val="x-none"/>
    </w:rPr>
  </w:style>
  <w:style w:type="character" w:customStyle="1" w:styleId="BalloonTextChar">
    <w:name w:val="Balloon Text Char"/>
    <w:link w:val="BalloonText"/>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ormal"/>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ormal"/>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paragraph" w:customStyle="1" w:styleId="len1">
    <w:name w:val="len1"/>
    <w:basedOn w:val="Normal"/>
    <w:rsid w:val="00E7409D"/>
    <w:pPr>
      <w:spacing w:before="480" w:after="0" w:line="240" w:lineRule="auto"/>
      <w:jc w:val="center"/>
    </w:pPr>
    <w:rPr>
      <w:rFonts w:ascii="Arial" w:eastAsia="Times New Roman" w:hAnsi="Arial" w:cs="Arial"/>
      <w:b/>
      <w:bCs/>
      <w:lang w:eastAsia="sl-SI"/>
    </w:rPr>
  </w:style>
  <w:style w:type="paragraph" w:customStyle="1" w:styleId="odstavek1">
    <w:name w:val="odstavek1"/>
    <w:basedOn w:val="Normal"/>
    <w:rsid w:val="00E7409D"/>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ormal"/>
    <w:rsid w:val="00E7409D"/>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ormal"/>
    <w:rsid w:val="00E7409D"/>
    <w:pPr>
      <w:spacing w:after="0" w:line="240" w:lineRule="auto"/>
      <w:jc w:val="center"/>
    </w:pPr>
    <w:rPr>
      <w:rFonts w:ascii="Arial" w:eastAsia="Times New Roman" w:hAnsi="Arial" w:cs="Arial"/>
      <w:b/>
      <w:bCs/>
      <w:lang w:eastAsia="sl-SI"/>
    </w:rPr>
  </w:style>
  <w:style w:type="paragraph" w:customStyle="1" w:styleId="zamaknjenadolobaprvinivo1">
    <w:name w:val="zamaknjenadolobaprvinivo1"/>
    <w:basedOn w:val="Normal"/>
    <w:rsid w:val="00E7409D"/>
    <w:pPr>
      <w:spacing w:after="0" w:line="240" w:lineRule="auto"/>
      <w:jc w:val="both"/>
    </w:pPr>
    <w:rPr>
      <w:rFonts w:ascii="Arial" w:eastAsia="Times New Roman" w:hAnsi="Arial" w:cs="Arial"/>
      <w:lang w:eastAsia="sl-SI"/>
    </w:rPr>
  </w:style>
  <w:style w:type="paragraph" w:styleId="NoSpacing">
    <w:name w:val="No Spacing"/>
    <w:uiPriority w:val="1"/>
    <w:qFormat/>
    <w:rsid w:val="000E2EE7"/>
    <w:rPr>
      <w:sz w:val="22"/>
      <w:szCs w:val="22"/>
      <w:lang w:eastAsia="en-US"/>
    </w:rPr>
  </w:style>
  <w:style w:type="paragraph" w:styleId="BodyText">
    <w:name w:val="Body Text"/>
    <w:basedOn w:val="Normal"/>
    <w:link w:val="BodyTextChar"/>
    <w:uiPriority w:val="1"/>
    <w:qFormat/>
    <w:rsid w:val="00F15AC3"/>
    <w:pPr>
      <w:widowControl w:val="0"/>
      <w:spacing w:after="0" w:line="240" w:lineRule="auto"/>
    </w:pPr>
    <w:rPr>
      <w:rFonts w:ascii="Arial" w:eastAsia="Arial" w:hAnsi="Arial" w:cs="Arial"/>
      <w:b/>
      <w:bCs/>
      <w:lang w:val="en-US"/>
    </w:rPr>
  </w:style>
  <w:style w:type="character" w:customStyle="1" w:styleId="BodyTextChar">
    <w:name w:val="Body Text Char"/>
    <w:basedOn w:val="DefaultParagraphFont"/>
    <w:link w:val="BodyText"/>
    <w:uiPriority w:val="1"/>
    <w:rsid w:val="00F15AC3"/>
    <w:rPr>
      <w:rFonts w:ascii="Arial" w:eastAsia="Arial" w:hAnsi="Arial" w:cs="Arial"/>
      <w:b/>
      <w:bCs/>
      <w:sz w:val="22"/>
      <w:szCs w:val="22"/>
      <w:lang w:val="en-US" w:eastAsia="en-US"/>
    </w:rPr>
  </w:style>
  <w:style w:type="paragraph" w:customStyle="1" w:styleId="TableParagraph">
    <w:name w:val="Table Paragraph"/>
    <w:basedOn w:val="Normal"/>
    <w:uiPriority w:val="1"/>
    <w:qFormat/>
    <w:rsid w:val="00F15AC3"/>
    <w:pPr>
      <w:widowControl w:val="0"/>
      <w:spacing w:before="62" w:after="0" w:line="240" w:lineRule="auto"/>
      <w:ind w:left="59"/>
    </w:pPr>
    <w:rPr>
      <w:rFonts w:ascii="Arial" w:eastAsia="Arial" w:hAnsi="Arial" w:cs="Arial"/>
      <w:lang w:val="en-US"/>
    </w:rPr>
  </w:style>
  <w:style w:type="character" w:styleId="FollowedHyperlink">
    <w:name w:val="FollowedHyperlink"/>
    <w:basedOn w:val="DefaultParagraphFont"/>
    <w:uiPriority w:val="99"/>
    <w:semiHidden/>
    <w:unhideWhenUsed/>
    <w:rsid w:val="003034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D4"/>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HeaderChar">
    <w:name w:val="Header Char"/>
    <w:link w:val="Header"/>
    <w:rsid w:val="00107ED0"/>
    <w:rPr>
      <w:rFonts w:ascii="Arial" w:eastAsia="Times New Roman" w:hAnsi="Arial"/>
      <w:szCs w:val="24"/>
      <w:lang w:eastAsia="en-US"/>
    </w:rPr>
  </w:style>
  <w:style w:type="paragraph" w:styleId="Footer">
    <w:name w:val="footer"/>
    <w:basedOn w:val="Normal"/>
    <w:link w:val="FooterChar"/>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FooterChar">
    <w:name w:val="Footer Char"/>
    <w:link w:val="Footer"/>
    <w:semiHidden/>
    <w:rsid w:val="00107ED0"/>
    <w:rPr>
      <w:rFonts w:ascii="Arial" w:eastAsia="Times New Roman" w:hAnsi="Arial"/>
      <w:szCs w:val="24"/>
      <w:lang w:eastAsia="en-US"/>
    </w:rPr>
  </w:style>
  <w:style w:type="paragraph" w:styleId="DocumentMap">
    <w:name w:val="Document Map"/>
    <w:basedOn w:val="Normal"/>
    <w:link w:val="DocumentMapChar"/>
    <w:rsid w:val="00107ED0"/>
    <w:pPr>
      <w:spacing w:after="0" w:line="260" w:lineRule="exact"/>
    </w:pPr>
    <w:rPr>
      <w:rFonts w:ascii="Tahoma" w:eastAsia="Times New Roman" w:hAnsi="Tahoma"/>
      <w:sz w:val="16"/>
      <w:szCs w:val="16"/>
      <w:lang w:val="x-none"/>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rsid w:val="00107ED0"/>
    <w:rPr>
      <w:color w:val="0000FF"/>
      <w:u w:val="single"/>
    </w:rPr>
  </w:style>
  <w:style w:type="paragraph" w:customStyle="1" w:styleId="podpisi">
    <w:name w:val="podpisi"/>
    <w:basedOn w:val="Normal"/>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ormal"/>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PageNumber">
    <w:name w:val="page number"/>
    <w:rsid w:val="00107ED0"/>
  </w:style>
  <w:style w:type="paragraph" w:styleId="FootnoteText">
    <w:name w:val="footnote text"/>
    <w:basedOn w:val="Normal"/>
    <w:link w:val="FootnoteTextChar"/>
    <w:semiHidden/>
    <w:rsid w:val="00107ED0"/>
    <w:pPr>
      <w:spacing w:after="0" w:line="260" w:lineRule="exact"/>
    </w:pPr>
    <w:rPr>
      <w:rFonts w:ascii="Arial" w:eastAsia="Times New Roman" w:hAnsi="Arial"/>
      <w:sz w:val="20"/>
      <w:szCs w:val="20"/>
      <w:lang w:val="x-none"/>
    </w:rPr>
  </w:style>
  <w:style w:type="character" w:customStyle="1" w:styleId="FootnoteTextChar">
    <w:name w:val="Footnote Text Char"/>
    <w:link w:val="FootnoteText"/>
    <w:semiHidden/>
    <w:rsid w:val="00107ED0"/>
    <w:rPr>
      <w:rFonts w:ascii="Arial" w:eastAsia="Times New Roman" w:hAnsi="Arial"/>
      <w:lang w:eastAsia="en-US"/>
    </w:rPr>
  </w:style>
  <w:style w:type="character" w:styleId="FootnoteReference">
    <w:name w:val="footnote reference"/>
    <w:semiHidden/>
    <w:rsid w:val="00107ED0"/>
    <w:rPr>
      <w:vertAlign w:val="superscript"/>
    </w:rPr>
  </w:style>
  <w:style w:type="character" w:styleId="CommentReference">
    <w:name w:val="annotation reference"/>
    <w:semiHidden/>
    <w:rsid w:val="00107ED0"/>
    <w:rPr>
      <w:sz w:val="16"/>
      <w:szCs w:val="16"/>
    </w:rPr>
  </w:style>
  <w:style w:type="paragraph" w:styleId="CommentText">
    <w:name w:val="annotation text"/>
    <w:basedOn w:val="Normal"/>
    <w:link w:val="CommentTextChar"/>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CommentTextChar">
    <w:name w:val="Comment Text Char"/>
    <w:link w:val="CommentText"/>
    <w:semiHidden/>
    <w:rsid w:val="00107ED0"/>
    <w:rPr>
      <w:rFonts w:ascii="Times New Roman" w:eastAsia="Times New Roman" w:hAnsi="Times New Roman"/>
      <w:lang w:eastAsia="en-US"/>
    </w:rPr>
  </w:style>
  <w:style w:type="paragraph" w:styleId="BalloonText">
    <w:name w:val="Balloon Text"/>
    <w:basedOn w:val="Normal"/>
    <w:link w:val="BalloonTextChar"/>
    <w:semiHidden/>
    <w:rsid w:val="00107ED0"/>
    <w:pPr>
      <w:spacing w:after="0" w:line="260" w:lineRule="exact"/>
    </w:pPr>
    <w:rPr>
      <w:rFonts w:ascii="Tahoma" w:eastAsia="Times New Roman" w:hAnsi="Tahoma"/>
      <w:sz w:val="16"/>
      <w:szCs w:val="16"/>
      <w:lang w:val="x-none"/>
    </w:rPr>
  </w:style>
  <w:style w:type="character" w:customStyle="1" w:styleId="BalloonTextChar">
    <w:name w:val="Balloon Text Char"/>
    <w:link w:val="BalloonText"/>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ormal"/>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ormal"/>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paragraph" w:customStyle="1" w:styleId="len1">
    <w:name w:val="len1"/>
    <w:basedOn w:val="Normal"/>
    <w:rsid w:val="00E7409D"/>
    <w:pPr>
      <w:spacing w:before="480" w:after="0" w:line="240" w:lineRule="auto"/>
      <w:jc w:val="center"/>
    </w:pPr>
    <w:rPr>
      <w:rFonts w:ascii="Arial" w:eastAsia="Times New Roman" w:hAnsi="Arial" w:cs="Arial"/>
      <w:b/>
      <w:bCs/>
      <w:lang w:eastAsia="sl-SI"/>
    </w:rPr>
  </w:style>
  <w:style w:type="paragraph" w:customStyle="1" w:styleId="odstavek1">
    <w:name w:val="odstavek1"/>
    <w:basedOn w:val="Normal"/>
    <w:rsid w:val="00E7409D"/>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ormal"/>
    <w:rsid w:val="00E7409D"/>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ormal"/>
    <w:rsid w:val="00E7409D"/>
    <w:pPr>
      <w:spacing w:after="0" w:line="240" w:lineRule="auto"/>
      <w:jc w:val="center"/>
    </w:pPr>
    <w:rPr>
      <w:rFonts w:ascii="Arial" w:eastAsia="Times New Roman" w:hAnsi="Arial" w:cs="Arial"/>
      <w:b/>
      <w:bCs/>
      <w:lang w:eastAsia="sl-SI"/>
    </w:rPr>
  </w:style>
  <w:style w:type="paragraph" w:customStyle="1" w:styleId="zamaknjenadolobaprvinivo1">
    <w:name w:val="zamaknjenadolobaprvinivo1"/>
    <w:basedOn w:val="Normal"/>
    <w:rsid w:val="00E7409D"/>
    <w:pPr>
      <w:spacing w:after="0" w:line="240" w:lineRule="auto"/>
      <w:jc w:val="both"/>
    </w:pPr>
    <w:rPr>
      <w:rFonts w:ascii="Arial" w:eastAsia="Times New Roman" w:hAnsi="Arial" w:cs="Arial"/>
      <w:lang w:eastAsia="sl-SI"/>
    </w:rPr>
  </w:style>
  <w:style w:type="paragraph" w:styleId="NoSpacing">
    <w:name w:val="No Spacing"/>
    <w:uiPriority w:val="1"/>
    <w:qFormat/>
    <w:rsid w:val="000E2EE7"/>
    <w:rPr>
      <w:sz w:val="22"/>
      <w:szCs w:val="22"/>
      <w:lang w:eastAsia="en-US"/>
    </w:rPr>
  </w:style>
  <w:style w:type="paragraph" w:styleId="BodyText">
    <w:name w:val="Body Text"/>
    <w:basedOn w:val="Normal"/>
    <w:link w:val="BodyTextChar"/>
    <w:uiPriority w:val="1"/>
    <w:qFormat/>
    <w:rsid w:val="00F15AC3"/>
    <w:pPr>
      <w:widowControl w:val="0"/>
      <w:spacing w:after="0" w:line="240" w:lineRule="auto"/>
    </w:pPr>
    <w:rPr>
      <w:rFonts w:ascii="Arial" w:eastAsia="Arial" w:hAnsi="Arial" w:cs="Arial"/>
      <w:b/>
      <w:bCs/>
      <w:lang w:val="en-US"/>
    </w:rPr>
  </w:style>
  <w:style w:type="character" w:customStyle="1" w:styleId="BodyTextChar">
    <w:name w:val="Body Text Char"/>
    <w:basedOn w:val="DefaultParagraphFont"/>
    <w:link w:val="BodyText"/>
    <w:uiPriority w:val="1"/>
    <w:rsid w:val="00F15AC3"/>
    <w:rPr>
      <w:rFonts w:ascii="Arial" w:eastAsia="Arial" w:hAnsi="Arial" w:cs="Arial"/>
      <w:b/>
      <w:bCs/>
      <w:sz w:val="22"/>
      <w:szCs w:val="22"/>
      <w:lang w:val="en-US" w:eastAsia="en-US"/>
    </w:rPr>
  </w:style>
  <w:style w:type="paragraph" w:customStyle="1" w:styleId="TableParagraph">
    <w:name w:val="Table Paragraph"/>
    <w:basedOn w:val="Normal"/>
    <w:uiPriority w:val="1"/>
    <w:qFormat/>
    <w:rsid w:val="00F15AC3"/>
    <w:pPr>
      <w:widowControl w:val="0"/>
      <w:spacing w:before="62" w:after="0" w:line="240" w:lineRule="auto"/>
      <w:ind w:left="59"/>
    </w:pPr>
    <w:rPr>
      <w:rFonts w:ascii="Arial" w:eastAsia="Arial" w:hAnsi="Arial" w:cs="Arial"/>
      <w:lang w:val="en-US"/>
    </w:rPr>
  </w:style>
  <w:style w:type="character" w:styleId="FollowedHyperlink">
    <w:name w:val="FollowedHyperlink"/>
    <w:basedOn w:val="DefaultParagraphFont"/>
    <w:uiPriority w:val="99"/>
    <w:semiHidden/>
    <w:unhideWhenUsed/>
    <w:rsid w:val="003034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80364">
      <w:bodyDiv w:val="1"/>
      <w:marLeft w:val="0"/>
      <w:marRight w:val="0"/>
      <w:marTop w:val="0"/>
      <w:marBottom w:val="0"/>
      <w:divBdr>
        <w:top w:val="none" w:sz="0" w:space="0" w:color="auto"/>
        <w:left w:val="none" w:sz="0" w:space="0" w:color="auto"/>
        <w:bottom w:val="none" w:sz="0" w:space="0" w:color="auto"/>
        <w:right w:val="none" w:sz="0" w:space="0" w:color="auto"/>
      </w:divBdr>
      <w:divsChild>
        <w:div w:id="1693258498">
          <w:marLeft w:val="0"/>
          <w:marRight w:val="0"/>
          <w:marTop w:val="0"/>
          <w:marBottom w:val="0"/>
          <w:divBdr>
            <w:top w:val="none" w:sz="0" w:space="0" w:color="auto"/>
            <w:left w:val="none" w:sz="0" w:space="0" w:color="auto"/>
            <w:bottom w:val="none" w:sz="0" w:space="0" w:color="auto"/>
            <w:right w:val="none" w:sz="0" w:space="0" w:color="auto"/>
          </w:divBdr>
          <w:divsChild>
            <w:div w:id="1981810067">
              <w:marLeft w:val="0"/>
              <w:marRight w:val="0"/>
              <w:marTop w:val="100"/>
              <w:marBottom w:val="100"/>
              <w:divBdr>
                <w:top w:val="none" w:sz="0" w:space="0" w:color="auto"/>
                <w:left w:val="none" w:sz="0" w:space="0" w:color="auto"/>
                <w:bottom w:val="none" w:sz="0" w:space="0" w:color="auto"/>
                <w:right w:val="none" w:sz="0" w:space="0" w:color="auto"/>
              </w:divBdr>
              <w:divsChild>
                <w:div w:id="312610817">
                  <w:marLeft w:val="0"/>
                  <w:marRight w:val="0"/>
                  <w:marTop w:val="0"/>
                  <w:marBottom w:val="0"/>
                  <w:divBdr>
                    <w:top w:val="none" w:sz="0" w:space="0" w:color="auto"/>
                    <w:left w:val="none" w:sz="0" w:space="0" w:color="auto"/>
                    <w:bottom w:val="none" w:sz="0" w:space="0" w:color="auto"/>
                    <w:right w:val="none" w:sz="0" w:space="0" w:color="auto"/>
                  </w:divBdr>
                  <w:divsChild>
                    <w:div w:id="417364314">
                      <w:marLeft w:val="0"/>
                      <w:marRight w:val="0"/>
                      <w:marTop w:val="0"/>
                      <w:marBottom w:val="0"/>
                      <w:divBdr>
                        <w:top w:val="none" w:sz="0" w:space="0" w:color="auto"/>
                        <w:left w:val="none" w:sz="0" w:space="0" w:color="auto"/>
                        <w:bottom w:val="none" w:sz="0" w:space="0" w:color="auto"/>
                        <w:right w:val="none" w:sz="0" w:space="0" w:color="auto"/>
                      </w:divBdr>
                      <w:divsChild>
                        <w:div w:id="559831013">
                          <w:marLeft w:val="0"/>
                          <w:marRight w:val="0"/>
                          <w:marTop w:val="0"/>
                          <w:marBottom w:val="0"/>
                          <w:divBdr>
                            <w:top w:val="none" w:sz="0" w:space="0" w:color="auto"/>
                            <w:left w:val="none" w:sz="0" w:space="0" w:color="auto"/>
                            <w:bottom w:val="none" w:sz="0" w:space="0" w:color="auto"/>
                            <w:right w:val="none" w:sz="0" w:space="0" w:color="auto"/>
                          </w:divBdr>
                          <w:divsChild>
                            <w:div w:id="626933098">
                              <w:marLeft w:val="0"/>
                              <w:marRight w:val="0"/>
                              <w:marTop w:val="0"/>
                              <w:marBottom w:val="0"/>
                              <w:divBdr>
                                <w:top w:val="none" w:sz="0" w:space="0" w:color="auto"/>
                                <w:left w:val="none" w:sz="0" w:space="0" w:color="auto"/>
                                <w:bottom w:val="none" w:sz="0" w:space="0" w:color="auto"/>
                                <w:right w:val="none" w:sz="0" w:space="0" w:color="auto"/>
                              </w:divBdr>
                              <w:divsChild>
                                <w:div w:id="887378740">
                                  <w:marLeft w:val="0"/>
                                  <w:marRight w:val="0"/>
                                  <w:marTop w:val="0"/>
                                  <w:marBottom w:val="0"/>
                                  <w:divBdr>
                                    <w:top w:val="none" w:sz="0" w:space="0" w:color="auto"/>
                                    <w:left w:val="none" w:sz="0" w:space="0" w:color="auto"/>
                                    <w:bottom w:val="none" w:sz="0" w:space="0" w:color="auto"/>
                                    <w:right w:val="none" w:sz="0" w:space="0" w:color="auto"/>
                                  </w:divBdr>
                                  <w:divsChild>
                                    <w:div w:id="898790182">
                                      <w:marLeft w:val="0"/>
                                      <w:marRight w:val="0"/>
                                      <w:marTop w:val="0"/>
                                      <w:marBottom w:val="0"/>
                                      <w:divBdr>
                                        <w:top w:val="none" w:sz="0" w:space="0" w:color="auto"/>
                                        <w:left w:val="none" w:sz="0" w:space="0" w:color="auto"/>
                                        <w:bottom w:val="none" w:sz="0" w:space="0" w:color="auto"/>
                                        <w:right w:val="none" w:sz="0" w:space="0" w:color="auto"/>
                                      </w:divBdr>
                                      <w:divsChild>
                                        <w:div w:id="1943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mf.gov.si/si/delovna_podrocja/davki_in_carine/predlogi_predpisov/"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p.gs@gov.si"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YPDRX2FCMFN4-31-787</_dlc_DocId>
    <_dlc_DocIdUrl xmlns="45d885e1-f2d7-4ffc-80f5-e7c266c6408c">
      <Url>https://iportal.mf.si/podrocja/davkicarine/Dokumenti_skupni_rabi_DSDCJP/_layouts/15/DocIdRedir.aspx?ID=YPDRX2FCMFN4-31-787</Url>
      <Description>YPDRX2FCMFN4-31-787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E05F-C1FD-4AFB-96EF-704D1F1F226A}">
  <ds:schemaRefs>
    <ds:schemaRef ds:uri="http://schemas.microsoft.com/sharepoint/v3/contenttype/forms"/>
  </ds:schemaRefs>
</ds:datastoreItem>
</file>

<file path=customXml/itemProps2.xml><?xml version="1.0" encoding="utf-8"?>
<ds:datastoreItem xmlns:ds="http://schemas.openxmlformats.org/officeDocument/2006/customXml" ds:itemID="{C464828E-3488-4E6E-86F7-700169F5A6A9}">
  <ds:schemaRefs>
    <ds:schemaRef ds:uri="http://schemas.microsoft.com/sharepoint/events"/>
  </ds:schemaRefs>
</ds:datastoreItem>
</file>

<file path=customXml/itemProps3.xml><?xml version="1.0" encoding="utf-8"?>
<ds:datastoreItem xmlns:ds="http://schemas.openxmlformats.org/officeDocument/2006/customXml" ds:itemID="{A77D0CBD-4C36-41B6-9B06-ACB94AD3F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78BD0-3A13-4B87-9581-0F44CA779633}">
  <ds:schemaRefs>
    <ds:schemaRef ds:uri="http://schemas.microsoft.com/office/2006/metadata/longProperties"/>
  </ds:schemaRefs>
</ds:datastoreItem>
</file>

<file path=customXml/itemProps5.xml><?xml version="1.0" encoding="utf-8"?>
<ds:datastoreItem xmlns:ds="http://schemas.openxmlformats.org/officeDocument/2006/customXml" ds:itemID="{8AFF8093-4267-4935-8524-FA967AACB431}">
  <ds:schemaRefs>
    <ds:schemaRef ds:uri="http://schemas.microsoft.com/office/2006/metadata/properties"/>
    <ds:schemaRef ds:uri="http://schemas.microsoft.com/office/infopath/2007/PartnerControls"/>
    <ds:schemaRef ds:uri="45d885e1-f2d7-4ffc-80f5-e7c266c6408c"/>
  </ds:schemaRefs>
</ds:datastoreItem>
</file>

<file path=customXml/itemProps6.xml><?xml version="1.0" encoding="utf-8"?>
<ds:datastoreItem xmlns:ds="http://schemas.openxmlformats.org/officeDocument/2006/customXml" ds:itemID="{D10F0620-A61A-4BE3-9C61-2A61D182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6644</Words>
  <Characters>37872</Characters>
  <Application>Microsoft Office Word</Application>
  <DocSecurity>0</DocSecurity>
  <Lines>315</Lines>
  <Paragraphs>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44428</CharactersWithSpaces>
  <SharedDoc>false</SharedDoc>
  <HLinks>
    <vt:vector size="12" baseType="variant">
      <vt:variant>
        <vt:i4>1966091</vt:i4>
      </vt:variant>
      <vt:variant>
        <vt:i4>3</vt:i4>
      </vt:variant>
      <vt:variant>
        <vt:i4>0</vt:i4>
      </vt:variant>
      <vt:variant>
        <vt:i4>5</vt:i4>
      </vt:variant>
      <vt:variant>
        <vt:lpwstr>http://www.mf.gov.si/fileadmin/mf.gov.si/pageuploads/Davki_in_carine/Predlogi_predpisov/2016-07-13_ZDDPO_2N_jav.pdf</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Čibej</dc:creator>
  <cp:lastModifiedBy>Tadeja Rupnik</cp:lastModifiedBy>
  <cp:revision>3</cp:revision>
  <cp:lastPrinted>2017-09-05T10:50:00Z</cp:lastPrinted>
  <dcterms:created xsi:type="dcterms:W3CDTF">2017-09-22T08:23:00Z</dcterms:created>
  <dcterms:modified xsi:type="dcterms:W3CDTF">2017-09-22T08:24:00Z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YPDRX2FCMFN4-31-518</vt:lpwstr>
  </property>
  <property fmtid="{D5CDD505-2E9C-101B-9397-08002B2CF9AE}" pid="3" name="_dlc_DocIdItemGuid">
    <vt:lpwstr>cd12614c-d0d1-4aff-abc9-6ee42b483c68</vt:lpwstr>
  </property>
  <property fmtid="{D5CDD505-2E9C-101B-9397-08002B2CF9AE}" pid="4" name="_dlc_DocIdUrl">
    <vt:lpwstr>https://iportal.mf.si/podrocja/davkicarine/Dokumenti_skupni_rabi_DSDCJP/_layouts/15/DocIdRedir.aspx?ID=YPDRX2FCMFN4-31-518, YPDRX2FCMFN4-31-518</vt:lpwstr>
  </property>
  <property fmtid="{D5CDD505-2E9C-101B-9397-08002B2CF9AE}" pid="5" name="ContentTypeId">
    <vt:lpwstr>0x01010014F42A6AA591E6448262066C1D2F96B8</vt:lpwstr>
  </property>
</Properties>
</file>