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200CAF"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200CAF"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9434AD" w:rsidP="009434AD">
            <w:pPr>
              <w:pStyle w:val="Neotevilenodstavek"/>
              <w:spacing w:before="0" w:after="0" w:line="260" w:lineRule="exact"/>
              <w:jc w:val="left"/>
              <w:rPr>
                <w:sz w:val="20"/>
                <w:szCs w:val="20"/>
              </w:rPr>
            </w:pPr>
            <w:r>
              <w:rPr>
                <w:sz w:val="20"/>
                <w:szCs w:val="20"/>
              </w:rPr>
              <w:t xml:space="preserve">Številka: </w:t>
            </w:r>
            <w:r w:rsidRPr="000B6AE4">
              <w:rPr>
                <w:sz w:val="20"/>
                <w:szCs w:val="20"/>
                <w:lang w:val="en-US"/>
              </w:rPr>
              <w:t>61530-</w:t>
            </w:r>
            <w:r>
              <w:rPr>
                <w:sz w:val="20"/>
                <w:szCs w:val="20"/>
                <w:lang w:val="en-US"/>
              </w:rPr>
              <w:t>32</w:t>
            </w:r>
            <w:r w:rsidRPr="000B6AE4">
              <w:rPr>
                <w:sz w:val="20"/>
                <w:szCs w:val="20"/>
                <w:lang w:val="en-US"/>
              </w:rPr>
              <w:t>/201</w:t>
            </w:r>
            <w:r>
              <w:rPr>
                <w:sz w:val="20"/>
                <w:szCs w:val="20"/>
                <w:lang w:val="en-US"/>
              </w:rPr>
              <w:t>5</w:t>
            </w:r>
            <w:r w:rsidRPr="000B6AE4">
              <w:rPr>
                <w:sz w:val="20"/>
                <w:szCs w:val="20"/>
                <w:lang w:val="en-US"/>
              </w:rPr>
              <w:t>/</w:t>
            </w:r>
            <w:r w:rsidR="00A04418">
              <w:rPr>
                <w:sz w:val="20"/>
                <w:szCs w:val="20"/>
                <w:lang w:val="en-US"/>
              </w:rPr>
              <w:t>224</w:t>
            </w:r>
          </w:p>
        </w:tc>
      </w:tr>
      <w:tr w:rsidR="00644E67" w:rsidRPr="008D1759" w:rsidTr="00956616">
        <w:trPr>
          <w:gridAfter w:val="2"/>
          <w:wAfter w:w="3067" w:type="dxa"/>
        </w:trPr>
        <w:tc>
          <w:tcPr>
            <w:tcW w:w="6096" w:type="dxa"/>
            <w:gridSpan w:val="2"/>
          </w:tcPr>
          <w:p w:rsidR="00644E67" w:rsidRPr="008D1759" w:rsidRDefault="00644E67" w:rsidP="009434AD">
            <w:pPr>
              <w:pStyle w:val="Neotevilenodstavek"/>
              <w:spacing w:before="0" w:after="0" w:line="260" w:lineRule="exact"/>
              <w:jc w:val="left"/>
              <w:rPr>
                <w:sz w:val="20"/>
                <w:szCs w:val="20"/>
              </w:rPr>
            </w:pPr>
            <w:r>
              <w:rPr>
                <w:sz w:val="20"/>
                <w:szCs w:val="20"/>
              </w:rPr>
              <w:t xml:space="preserve">Ljubljana, </w:t>
            </w:r>
            <w:r w:rsidR="009434AD">
              <w:rPr>
                <w:sz w:val="20"/>
                <w:szCs w:val="20"/>
              </w:rPr>
              <w:t>1.</w:t>
            </w:r>
            <w:r w:rsidR="00200CAF">
              <w:rPr>
                <w:sz w:val="20"/>
                <w:szCs w:val="20"/>
              </w:rPr>
              <w:t xml:space="preserve"> </w:t>
            </w:r>
            <w:r w:rsidR="009434AD">
              <w:rPr>
                <w:sz w:val="20"/>
                <w:szCs w:val="20"/>
              </w:rPr>
              <w:t>2.</w:t>
            </w:r>
            <w:r w:rsidR="00200CAF">
              <w:rPr>
                <w:sz w:val="20"/>
                <w:szCs w:val="20"/>
              </w:rPr>
              <w:t xml:space="preserve"> </w:t>
            </w:r>
            <w:r w:rsidR="009434AD">
              <w:rPr>
                <w:sz w:val="20"/>
                <w:szCs w:val="20"/>
              </w:rPr>
              <w:t>2018</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BD2979"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200CAF">
            <w:pPr>
              <w:pStyle w:val="Naslovpredpisa"/>
              <w:spacing w:before="0" w:after="0" w:line="260" w:lineRule="exact"/>
              <w:jc w:val="left"/>
              <w:rPr>
                <w:sz w:val="20"/>
                <w:szCs w:val="20"/>
              </w:rPr>
            </w:pPr>
            <w:r>
              <w:rPr>
                <w:sz w:val="20"/>
                <w:szCs w:val="20"/>
              </w:rPr>
              <w:t>ZADEVA:</w:t>
            </w:r>
            <w:r w:rsidR="00200CAF">
              <w:rPr>
                <w:sz w:val="20"/>
                <w:szCs w:val="20"/>
              </w:rPr>
              <w:t xml:space="preserve"> </w:t>
            </w:r>
            <w:r w:rsidR="00200CAF" w:rsidRPr="000B6AE4">
              <w:rPr>
                <w:sz w:val="20"/>
                <w:szCs w:val="20"/>
              </w:rPr>
              <w:t xml:space="preserve">Soglasje k </w:t>
            </w:r>
            <w:r w:rsidR="00200CAF">
              <w:rPr>
                <w:sz w:val="20"/>
                <w:szCs w:val="20"/>
              </w:rPr>
              <w:t xml:space="preserve">uporabi presežka prihodkov nad odhodki Slovenskega filmskega centra, javne agencije Republike Slovenije </w:t>
            </w:r>
            <w:r w:rsidRPr="008D1759">
              <w:rPr>
                <w:sz w:val="20"/>
                <w:szCs w:val="20"/>
              </w:rPr>
              <w:t xml:space="preserve">–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9434AD" w:rsidRPr="000B6AE4" w:rsidRDefault="009434AD" w:rsidP="009434AD">
            <w:pPr>
              <w:pStyle w:val="Neotevilenodstavek"/>
              <w:spacing w:before="0" w:after="0" w:line="260" w:lineRule="exact"/>
              <w:rPr>
                <w:iCs/>
                <w:sz w:val="20"/>
                <w:szCs w:val="20"/>
              </w:rPr>
            </w:pPr>
            <w:r w:rsidRPr="000B6AE4">
              <w:rPr>
                <w:iCs/>
                <w:sz w:val="20"/>
                <w:szCs w:val="20"/>
              </w:rPr>
              <w:t xml:space="preserve">Na podlagi </w:t>
            </w:r>
            <w:r>
              <w:rPr>
                <w:iCs/>
                <w:sz w:val="20"/>
                <w:szCs w:val="20"/>
              </w:rPr>
              <w:t>drugega odstavka</w:t>
            </w:r>
            <w:r w:rsidRPr="000B6AE4">
              <w:rPr>
                <w:iCs/>
                <w:sz w:val="20"/>
                <w:szCs w:val="20"/>
              </w:rPr>
              <w:t xml:space="preserve"> 44. člena Zakona o javnih agencijah (Uradni list RS, št. 52/02, 51/04, 33-11 </w:t>
            </w:r>
            <w:r>
              <w:rPr>
                <w:iCs/>
                <w:sz w:val="20"/>
                <w:szCs w:val="20"/>
              </w:rPr>
              <w:t>–</w:t>
            </w:r>
            <w:r w:rsidRPr="000B6AE4">
              <w:rPr>
                <w:iCs/>
                <w:sz w:val="20"/>
                <w:szCs w:val="20"/>
              </w:rPr>
              <w:t xml:space="preserve"> ZEKom</w:t>
            </w:r>
            <w:r>
              <w:rPr>
                <w:iCs/>
                <w:sz w:val="20"/>
                <w:szCs w:val="20"/>
              </w:rPr>
              <w:t>-C</w:t>
            </w:r>
            <w:r w:rsidRPr="000B6AE4">
              <w:rPr>
                <w:iCs/>
                <w:sz w:val="20"/>
                <w:szCs w:val="20"/>
              </w:rPr>
              <w:t xml:space="preserve">) </w:t>
            </w:r>
            <w:r>
              <w:rPr>
                <w:iCs/>
                <w:sz w:val="20"/>
                <w:szCs w:val="20"/>
              </w:rPr>
              <w:t xml:space="preserve">in 35. člena Sklepa o preoblikovanju Filmskega sklada Republike Slovenije, javnega sklada, v Slovenski filmski center, javno agencijo Republike Slovenije (Uradni list RS, št. 92/10, 20/11, 6/16 in 3/17) </w:t>
            </w:r>
            <w:r w:rsidRPr="000B6AE4">
              <w:rPr>
                <w:iCs/>
                <w:sz w:val="20"/>
                <w:szCs w:val="20"/>
              </w:rPr>
              <w:t>je Vlada Republike Slovenije na  …  seji dne … sprejela naslednji sklep:</w:t>
            </w:r>
          </w:p>
          <w:p w:rsidR="009434AD" w:rsidRPr="000B6AE4" w:rsidRDefault="009434AD" w:rsidP="009434AD">
            <w:pPr>
              <w:pStyle w:val="Neotevilenodstavek"/>
              <w:spacing w:before="0" w:after="0" w:line="260" w:lineRule="exact"/>
              <w:rPr>
                <w:iCs/>
                <w:sz w:val="20"/>
                <w:szCs w:val="20"/>
              </w:rPr>
            </w:pPr>
          </w:p>
          <w:p w:rsidR="009434AD" w:rsidRDefault="009434AD" w:rsidP="009434AD">
            <w:pPr>
              <w:pStyle w:val="Neotevilenodstavek"/>
              <w:spacing w:before="0" w:after="0" w:line="260" w:lineRule="exact"/>
              <w:rPr>
                <w:iCs/>
                <w:sz w:val="20"/>
                <w:szCs w:val="20"/>
              </w:rPr>
            </w:pPr>
            <w:r w:rsidRPr="000B6AE4">
              <w:rPr>
                <w:iCs/>
                <w:sz w:val="20"/>
                <w:szCs w:val="20"/>
              </w:rPr>
              <w:t>Vlada Republike Slovenije daje soglasje</w:t>
            </w:r>
            <w:r>
              <w:rPr>
                <w:iCs/>
                <w:sz w:val="20"/>
                <w:szCs w:val="20"/>
              </w:rPr>
              <w:t xml:space="preserve"> </w:t>
            </w:r>
            <w:r w:rsidRPr="000B6AE4">
              <w:rPr>
                <w:iCs/>
                <w:sz w:val="20"/>
                <w:szCs w:val="20"/>
              </w:rPr>
              <w:t xml:space="preserve">k </w:t>
            </w:r>
            <w:r>
              <w:rPr>
                <w:iCs/>
                <w:sz w:val="20"/>
                <w:szCs w:val="20"/>
              </w:rPr>
              <w:t xml:space="preserve">uporabi preostanka presežka sredstev v skupni višini 22.127,35 EUR za kritje dela presežka odhodkov nad prihodki Slovenskega filmskega centra, javne agencije Republike Slovenije, ki je bil evidentiran v bilanci stanja Slovenskega filmskega centra, javne agencije Republike na dan 31.12.2016.  </w:t>
            </w:r>
          </w:p>
          <w:p w:rsidR="009434AD" w:rsidRPr="000B6AE4" w:rsidRDefault="009434AD" w:rsidP="009434AD">
            <w:pPr>
              <w:pStyle w:val="Neotevilenodstavek"/>
              <w:spacing w:before="0" w:after="0" w:line="260" w:lineRule="exact"/>
              <w:rPr>
                <w:iCs/>
                <w:sz w:val="20"/>
                <w:szCs w:val="20"/>
              </w:rPr>
            </w:pPr>
          </w:p>
          <w:p w:rsidR="009434AD" w:rsidRPr="00EF0E4C" w:rsidRDefault="009434AD" w:rsidP="009434AD">
            <w:pPr>
              <w:spacing w:after="0" w:line="260" w:lineRule="exact"/>
              <w:rPr>
                <w:rFonts w:ascii="Arial" w:eastAsia="Times New Roman" w:hAnsi="Arial" w:cs="Arial"/>
                <w:iCs/>
                <w:sz w:val="20"/>
                <w:szCs w:val="20"/>
                <w:lang w:eastAsia="sl-SI"/>
              </w:rPr>
            </w:pPr>
            <w:r w:rsidRPr="000B6AE4">
              <w:rPr>
                <w:iCs/>
                <w:sz w:val="20"/>
                <w:szCs w:val="20"/>
              </w:rPr>
              <w:t xml:space="preserve">    </w:t>
            </w:r>
            <w:r w:rsidRPr="00EF0E4C">
              <w:rPr>
                <w:iCs/>
                <w:sz w:val="20"/>
                <w:szCs w:val="20"/>
              </w:rPr>
              <w:t xml:space="preserve">                                                                                         </w:t>
            </w:r>
            <w:r>
              <w:rPr>
                <w:iCs/>
                <w:sz w:val="20"/>
                <w:szCs w:val="20"/>
              </w:rPr>
              <w:t xml:space="preserve">    </w:t>
            </w:r>
            <w:r w:rsidRPr="00EF0E4C">
              <w:rPr>
                <w:rFonts w:ascii="Arial" w:eastAsia="Times New Roman" w:hAnsi="Arial" w:cs="Arial"/>
                <w:iCs/>
                <w:sz w:val="20"/>
                <w:szCs w:val="20"/>
                <w:lang w:eastAsia="sl-SI"/>
              </w:rPr>
              <w:t>GENERALNA SEKRETARKA</w:t>
            </w:r>
          </w:p>
          <w:p w:rsidR="009434AD" w:rsidRPr="00EF0E4C" w:rsidRDefault="009434AD" w:rsidP="009434AD">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EF0E4C">
              <w:rPr>
                <w:rFonts w:ascii="Arial" w:eastAsia="Times New Roman" w:hAnsi="Arial" w:cs="Arial"/>
                <w:iCs/>
                <w:sz w:val="20"/>
                <w:szCs w:val="20"/>
                <w:lang w:eastAsia="sl-SI"/>
              </w:rPr>
              <w:t xml:space="preserve">                                                                                         Mag. Lilijana Kozlovič</w:t>
            </w:r>
          </w:p>
          <w:p w:rsidR="009434AD" w:rsidRPr="00EF0E4C" w:rsidRDefault="009434AD" w:rsidP="009434AD">
            <w:pPr>
              <w:spacing w:before="60" w:after="60" w:line="200" w:lineRule="exact"/>
              <w:rPr>
                <w:rFonts w:ascii="Arial" w:eastAsia="Times New Roman" w:hAnsi="Arial" w:cs="Arial"/>
                <w:iCs/>
                <w:sz w:val="20"/>
                <w:lang w:eastAsia="sl-SI"/>
              </w:rPr>
            </w:pPr>
          </w:p>
          <w:p w:rsidR="009434AD" w:rsidRDefault="009434AD" w:rsidP="009434AD">
            <w:pPr>
              <w:spacing w:before="60" w:after="60" w:line="200" w:lineRule="exact"/>
              <w:rPr>
                <w:rFonts w:ascii="Arial" w:eastAsia="Times New Roman" w:hAnsi="Arial" w:cs="Arial"/>
                <w:iCs/>
                <w:sz w:val="20"/>
                <w:lang w:eastAsia="sl-SI"/>
              </w:rPr>
            </w:pPr>
          </w:p>
          <w:p w:rsidR="009434AD" w:rsidRPr="00EF0E4C" w:rsidRDefault="009434AD" w:rsidP="009434AD">
            <w:pPr>
              <w:spacing w:before="60" w:after="60" w:line="200" w:lineRule="exact"/>
              <w:rPr>
                <w:rFonts w:ascii="Arial" w:eastAsia="Times New Roman" w:hAnsi="Arial" w:cs="Arial"/>
                <w:iCs/>
                <w:sz w:val="20"/>
                <w:lang w:eastAsia="sl-SI"/>
              </w:rPr>
            </w:pPr>
          </w:p>
          <w:p w:rsidR="009434AD" w:rsidRPr="00EF0E4C" w:rsidRDefault="009434AD" w:rsidP="009434AD">
            <w:pPr>
              <w:spacing w:before="60" w:after="60" w:line="200" w:lineRule="exact"/>
              <w:rPr>
                <w:rFonts w:ascii="Arial" w:eastAsia="Times New Roman" w:hAnsi="Arial" w:cs="Arial"/>
                <w:iCs/>
                <w:sz w:val="20"/>
                <w:lang w:eastAsia="sl-SI"/>
              </w:rPr>
            </w:pPr>
            <w:r w:rsidRPr="00EF0E4C">
              <w:rPr>
                <w:rFonts w:ascii="Arial" w:eastAsia="Times New Roman" w:hAnsi="Arial" w:cs="Arial"/>
                <w:iCs/>
                <w:sz w:val="20"/>
                <w:lang w:eastAsia="sl-SI"/>
              </w:rPr>
              <w:t xml:space="preserve">Sklep prejmejo: </w:t>
            </w:r>
          </w:p>
          <w:p w:rsidR="009434AD" w:rsidRPr="00EF0E4C" w:rsidRDefault="009434AD" w:rsidP="009434A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Slovenski filmski center, javna agencija Republike Slovenije, Miklošičeva 38, Ljubljana</w:t>
            </w:r>
          </w:p>
          <w:p w:rsidR="009434AD" w:rsidRPr="00EF0E4C" w:rsidRDefault="009434AD" w:rsidP="009434AD">
            <w:pPr>
              <w:spacing w:before="60" w:after="60" w:line="200" w:lineRule="exact"/>
              <w:rPr>
                <w:rFonts w:ascii="Arial" w:eastAsia="Times New Roman" w:hAnsi="Arial" w:cs="Arial"/>
                <w:iCs/>
                <w:sz w:val="20"/>
                <w:szCs w:val="20"/>
                <w:lang w:eastAsia="sl-SI"/>
              </w:rPr>
            </w:pPr>
            <w:r w:rsidRPr="00EF0E4C">
              <w:rPr>
                <w:rFonts w:ascii="Arial" w:eastAsia="Times New Roman" w:hAnsi="Arial" w:cs="Arial"/>
                <w:iCs/>
                <w:sz w:val="20"/>
                <w:szCs w:val="20"/>
                <w:lang w:eastAsia="sl-SI"/>
              </w:rPr>
              <w:t>Ministrstvo za kulturo</w:t>
            </w:r>
          </w:p>
          <w:p w:rsidR="009434AD" w:rsidRDefault="009434AD" w:rsidP="009434AD">
            <w:pPr>
              <w:spacing w:before="60" w:after="60" w:line="200" w:lineRule="exact"/>
              <w:rPr>
                <w:rFonts w:ascii="Arial" w:eastAsia="Times New Roman" w:hAnsi="Arial" w:cs="Arial"/>
                <w:iCs/>
                <w:sz w:val="20"/>
                <w:szCs w:val="20"/>
                <w:lang w:eastAsia="sl-SI"/>
              </w:rPr>
            </w:pPr>
            <w:r w:rsidRPr="00EF0E4C">
              <w:rPr>
                <w:rFonts w:ascii="Arial" w:eastAsia="Times New Roman" w:hAnsi="Arial" w:cs="Arial"/>
                <w:iCs/>
                <w:sz w:val="20"/>
                <w:szCs w:val="20"/>
                <w:lang w:eastAsia="sl-SI"/>
              </w:rPr>
              <w:t xml:space="preserve">Ministrstvo za finance  </w:t>
            </w:r>
          </w:p>
          <w:p w:rsidR="00644E67" w:rsidRDefault="009434AD" w:rsidP="009434AD">
            <w:pPr>
              <w:spacing w:before="60" w:after="60" w:line="200" w:lineRule="exact"/>
              <w:rPr>
                <w:iCs/>
                <w:sz w:val="20"/>
                <w:szCs w:val="20"/>
              </w:rPr>
            </w:pPr>
            <w:r w:rsidRPr="00EF0E4C">
              <w:rPr>
                <w:rFonts w:ascii="Arial" w:eastAsia="Times New Roman" w:hAnsi="Arial" w:cs="Arial"/>
                <w:iCs/>
                <w:sz w:val="20"/>
                <w:szCs w:val="20"/>
                <w:lang w:eastAsia="sl-SI"/>
              </w:rPr>
              <w:t>Služba Vlade RS za zakonodajo</w:t>
            </w:r>
          </w:p>
          <w:p w:rsidR="009434AD" w:rsidRPr="008D1759" w:rsidRDefault="009434AD" w:rsidP="009434AD">
            <w:pPr>
              <w:pStyle w:val="Neotevilenodstavek"/>
              <w:spacing w:before="0" w:after="0" w:line="260" w:lineRule="exact"/>
              <w:rPr>
                <w:iCs/>
                <w:sz w:val="20"/>
                <w:szCs w:val="20"/>
              </w:rPr>
            </w:pP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9434AD" w:rsidP="009434AD">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Pr="007D4854" w:rsidRDefault="007D4854" w:rsidP="00956616">
            <w:pPr>
              <w:pStyle w:val="Neotevilenodstavek"/>
              <w:spacing w:before="0" w:after="0" w:line="260" w:lineRule="exact"/>
              <w:rPr>
                <w:b/>
                <w:iCs/>
                <w:sz w:val="20"/>
                <w:szCs w:val="20"/>
              </w:rPr>
            </w:pPr>
            <w:r>
              <w:rPr>
                <w:iCs/>
                <w:sz w:val="20"/>
              </w:rPr>
              <w:t xml:space="preserve">Irena </w:t>
            </w:r>
            <w:proofErr w:type="spellStart"/>
            <w:r>
              <w:rPr>
                <w:iCs/>
                <w:sz w:val="20"/>
              </w:rPr>
              <w:t>Ostrouška</w:t>
            </w:r>
            <w:proofErr w:type="spellEnd"/>
            <w:r>
              <w:rPr>
                <w:iCs/>
                <w:sz w:val="20"/>
              </w:rPr>
              <w:t>, sekretarka, Direktorat za medije</w:t>
            </w:r>
            <w:bookmarkStart w:id="0" w:name="_GoBack"/>
            <w:bookmarkEnd w:id="0"/>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9434AD"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200CAF" w:rsidRPr="00D43F59" w:rsidRDefault="00200CAF" w:rsidP="00956616">
            <w:pPr>
              <w:pStyle w:val="Neotevilenodstavek"/>
              <w:spacing w:before="0" w:after="0" w:line="260" w:lineRule="exact"/>
              <w:rPr>
                <w:b/>
                <w:sz w:val="20"/>
                <w:szCs w:val="20"/>
              </w:rPr>
            </w:pPr>
            <w:r>
              <w:rPr>
                <w:b/>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200CAF" w:rsidRDefault="00200CAF" w:rsidP="00200CAF">
            <w:pPr>
              <w:pStyle w:val="Neotevilenodstavek"/>
              <w:spacing w:before="0" w:after="0" w:line="260" w:lineRule="exact"/>
              <w:rPr>
                <w:iCs/>
                <w:sz w:val="20"/>
                <w:szCs w:val="20"/>
              </w:rPr>
            </w:pPr>
            <w:r>
              <w:rPr>
                <w:iCs/>
                <w:sz w:val="20"/>
                <w:szCs w:val="20"/>
              </w:rPr>
              <w:t>35</w:t>
            </w:r>
            <w:r w:rsidRPr="0061215A">
              <w:rPr>
                <w:iCs/>
                <w:sz w:val="20"/>
                <w:szCs w:val="20"/>
              </w:rPr>
              <w:t xml:space="preserve">. člen Sklepa </w:t>
            </w:r>
            <w:r>
              <w:rPr>
                <w:iCs/>
                <w:sz w:val="20"/>
                <w:szCs w:val="20"/>
              </w:rPr>
              <w:t xml:space="preserve">o preoblikovanju Filmskega sklada Republike Slovenije, javnega sklada, v Slovenski </w:t>
            </w:r>
            <w:r>
              <w:rPr>
                <w:iCs/>
                <w:sz w:val="20"/>
                <w:szCs w:val="20"/>
              </w:rPr>
              <w:lastRenderedPageBreak/>
              <w:t>filmski center, javno agencijo Republike Slovenije (Uradni list RS, št. 92/10, 20/11, 6/16 in 3/17; v nadaljevanju Sklep</w:t>
            </w:r>
            <w:r w:rsidRPr="0061215A">
              <w:rPr>
                <w:iCs/>
                <w:sz w:val="20"/>
                <w:szCs w:val="20"/>
              </w:rPr>
              <w:t>) določa, da</w:t>
            </w:r>
            <w:r>
              <w:rPr>
                <w:iCs/>
                <w:sz w:val="20"/>
                <w:szCs w:val="20"/>
              </w:rPr>
              <w:t xml:space="preserve"> o uporabi presežka prihodkov nad odhodki in o pokrivanju presežka odhodkov nad prihodki odloča svet na predlog direktorja in v soglasju z ustanoviteljem. </w:t>
            </w:r>
            <w:r>
              <w:rPr>
                <w:sz w:val="20"/>
                <w:szCs w:val="20"/>
                <w:lang w:eastAsia="x-none"/>
              </w:rPr>
              <w:t xml:space="preserve">Svet je sprejel sklep št. IS 2885/17 dne 11.12.2017, s katerim je sprejel odločitev, da se </w:t>
            </w:r>
            <w:r>
              <w:rPr>
                <w:iCs/>
                <w:sz w:val="20"/>
                <w:szCs w:val="20"/>
              </w:rPr>
              <w:t xml:space="preserve">preostanek presežka sredstev, ki so bila skladno s sklepom Vlade Republike Slovenije št. 47601-23/2015/3 z dne 8.12.2015 namenjena za nakup računalniške in programske opreme ter arhivskega pohištva Slovenskega filmskega centra, javne agencije Republike Slovenije, v letih 2015 in 2016 v višini 22.127,35 EUR, nameni za kritje dela presežka odhodkov nad prihodki Slovenskega filmskega centra, javne agencije Republike Slovenije, ki je bil evidentiran v računovodskih izkazih Slovenskega filmskega centra, javne agencije Republike na dan 31.12.2016.  </w:t>
            </w:r>
          </w:p>
          <w:p w:rsidR="00200CAF" w:rsidRDefault="00200CAF" w:rsidP="00200CAF">
            <w:pPr>
              <w:pStyle w:val="Neotevilenodstavek"/>
              <w:spacing w:before="0" w:after="0" w:line="260" w:lineRule="exact"/>
              <w:rPr>
                <w:iCs/>
                <w:sz w:val="20"/>
                <w:szCs w:val="20"/>
              </w:rPr>
            </w:pPr>
            <w:r>
              <w:rPr>
                <w:iCs/>
                <w:sz w:val="20"/>
                <w:szCs w:val="20"/>
              </w:rPr>
              <w:t>Ostanek neporabljenih sredstev, ki so bila namenjena za nakup računalniške in programske opreme ter arhivskega pohištva v letih 2015 in 2016 je razviden iz priloženega izpisa konta 985300 na dan 14.12.2017. V izreku predlaganega sklepa je znesek, ki je skladen z odločitvijo sveta agencije, s sklepom št. IS 2885/17.</w:t>
            </w:r>
          </w:p>
          <w:p w:rsidR="00644E67" w:rsidRPr="00A12B51" w:rsidRDefault="00644E67" w:rsidP="00200CAF">
            <w:pPr>
              <w:pStyle w:val="Neotevilenodstavek"/>
              <w:spacing w:before="0" w:after="0" w:line="260" w:lineRule="exact"/>
              <w:rPr>
                <w:iCs/>
                <w:sz w:val="20"/>
                <w:szCs w:val="20"/>
              </w:rPr>
            </w:pP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200CA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200CA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Pr>
                <w:sz w:val="20"/>
                <w:szCs w:val="20"/>
              </w:rPr>
              <w:t>DA</w:t>
            </w:r>
            <w:r w:rsidRPr="008D1759">
              <w:rPr>
                <w:sz w:val="20"/>
                <w:szCs w:val="20"/>
              </w:rPr>
              <w:t>/</w:t>
            </w:r>
            <w:r w:rsidRPr="00200CA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200CA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200CAF">
              <w:rPr>
                <w:b/>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200CAF">
              <w:rPr>
                <w:b/>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Pr>
                <w:sz w:val="20"/>
                <w:szCs w:val="20"/>
              </w:rPr>
              <w:t>DA</w:t>
            </w:r>
            <w:r w:rsidRPr="008D1759">
              <w:rPr>
                <w:sz w:val="20"/>
                <w:szCs w:val="20"/>
              </w:rPr>
              <w:t>/</w:t>
            </w:r>
            <w:r w:rsidRPr="00200CAF">
              <w:rPr>
                <w:b/>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b/>
                <w:sz w:val="20"/>
                <w:szCs w:val="20"/>
              </w:rPr>
            </w:pPr>
            <w:r w:rsidRPr="00644E67">
              <w:rPr>
                <w:rFonts w:ascii="Arial" w:hAnsi="Arial" w:cs="Arial"/>
                <w:b/>
                <w:sz w:val="20"/>
                <w:szCs w:val="20"/>
              </w:rPr>
              <w:t>Kratka obrazložitev</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DA/</w:t>
            </w:r>
            <w:r w:rsidRPr="00C6472E">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DA/</w:t>
            </w:r>
            <w:r w:rsidRPr="00200CA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7D4854" w:rsidP="00956616">
            <w:pPr>
              <w:pStyle w:val="Neotevilenodstavek"/>
              <w:widowControl w:val="0"/>
              <w:spacing w:before="0" w:after="0" w:line="260" w:lineRule="exact"/>
              <w:rPr>
                <w:iCs/>
                <w:sz w:val="20"/>
                <w:szCs w:val="20"/>
              </w:rPr>
            </w:pPr>
            <w:r>
              <w:rPr>
                <w:iCs/>
                <w:sz w:val="20"/>
              </w:rPr>
              <w:t>Gre za gradivo, katerega obravnava je v pristojnosti sveta javnega agencije na predlog direktorja.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200CAF">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DA/</w:t>
            </w:r>
            <w:r w:rsidRPr="00200CA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DA/</w:t>
            </w:r>
            <w:r w:rsidRPr="00200CAF">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00CAF" w:rsidRDefault="00200CAF" w:rsidP="00644E67">
            <w:pPr>
              <w:pStyle w:val="Poglavje"/>
              <w:widowControl w:val="0"/>
              <w:spacing w:before="0" w:after="0" w:line="260" w:lineRule="exact"/>
              <w:ind w:left="3400"/>
              <w:jc w:val="left"/>
              <w:rPr>
                <w:sz w:val="20"/>
                <w:szCs w:val="20"/>
              </w:rPr>
            </w:pPr>
          </w:p>
          <w:p w:rsidR="00644E67" w:rsidRDefault="00200CAF" w:rsidP="00644E67">
            <w:pPr>
              <w:pStyle w:val="Poglavje"/>
              <w:widowControl w:val="0"/>
              <w:spacing w:before="0" w:after="0" w:line="260" w:lineRule="exact"/>
              <w:ind w:left="3400"/>
              <w:jc w:val="left"/>
              <w:rPr>
                <w:sz w:val="20"/>
                <w:szCs w:val="20"/>
              </w:rPr>
            </w:pPr>
            <w:r>
              <w:rPr>
                <w:sz w:val="20"/>
                <w:szCs w:val="20"/>
              </w:rPr>
              <w:t>Anton Peršak</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Default="00644E67" w:rsidP="00644E67">
            <w:pPr>
              <w:pStyle w:val="Poglavje"/>
              <w:widowControl w:val="0"/>
              <w:spacing w:before="0" w:after="0" w:line="260" w:lineRule="exact"/>
              <w:ind w:left="3400"/>
              <w:jc w:val="left"/>
              <w:rPr>
                <w:sz w:val="20"/>
                <w:szCs w:val="20"/>
              </w:rPr>
            </w:pPr>
          </w:p>
          <w:p w:rsidR="00200CAF" w:rsidRDefault="00200CAF" w:rsidP="00644E67">
            <w:pPr>
              <w:pStyle w:val="Poglavje"/>
              <w:widowControl w:val="0"/>
              <w:spacing w:before="0" w:after="0" w:line="260" w:lineRule="exact"/>
              <w:ind w:left="3400"/>
              <w:jc w:val="left"/>
              <w:rPr>
                <w:sz w:val="20"/>
                <w:szCs w:val="20"/>
              </w:rPr>
            </w:pPr>
          </w:p>
          <w:p w:rsidR="00200CAF" w:rsidRDefault="00200CAF" w:rsidP="00200CAF">
            <w:pPr>
              <w:pStyle w:val="Poglavje"/>
              <w:widowControl w:val="0"/>
              <w:spacing w:before="0" w:after="0" w:line="260" w:lineRule="exact"/>
              <w:jc w:val="left"/>
              <w:rPr>
                <w:sz w:val="20"/>
                <w:szCs w:val="20"/>
              </w:rPr>
            </w:pPr>
          </w:p>
          <w:p w:rsidR="009434AD" w:rsidRDefault="009434AD" w:rsidP="00644E67">
            <w:pPr>
              <w:pStyle w:val="Poglavje"/>
              <w:widowControl w:val="0"/>
              <w:spacing w:before="0" w:after="0" w:line="260" w:lineRule="exact"/>
              <w:ind w:left="3400"/>
              <w:jc w:val="left"/>
              <w:rPr>
                <w:sz w:val="20"/>
                <w:szCs w:val="20"/>
              </w:rPr>
            </w:pPr>
          </w:p>
          <w:p w:rsidR="009434AD" w:rsidRPr="00EF0E4C" w:rsidRDefault="009434AD" w:rsidP="009434AD">
            <w:pPr>
              <w:spacing w:before="60" w:after="60" w:line="200" w:lineRule="exact"/>
              <w:rPr>
                <w:rFonts w:ascii="Arial" w:eastAsia="Times New Roman" w:hAnsi="Arial" w:cs="Arial"/>
                <w:iCs/>
                <w:sz w:val="20"/>
                <w:lang w:eastAsia="sl-SI"/>
              </w:rPr>
            </w:pPr>
            <w:r w:rsidRPr="00EF0E4C">
              <w:rPr>
                <w:rFonts w:ascii="Arial" w:eastAsia="Times New Roman" w:hAnsi="Arial" w:cs="Arial"/>
                <w:iCs/>
                <w:sz w:val="20"/>
                <w:lang w:eastAsia="sl-SI"/>
              </w:rPr>
              <w:t>Priloge:</w:t>
            </w:r>
          </w:p>
          <w:p w:rsidR="009434AD" w:rsidRPr="00EF0E4C" w:rsidRDefault="009434AD" w:rsidP="009434AD">
            <w:pPr>
              <w:spacing w:before="60" w:after="60" w:line="200" w:lineRule="exact"/>
              <w:rPr>
                <w:rFonts w:ascii="Arial" w:eastAsia="Times New Roman" w:hAnsi="Arial" w:cs="Arial"/>
                <w:iCs/>
                <w:sz w:val="20"/>
                <w:lang w:eastAsia="sl-SI"/>
              </w:rPr>
            </w:pPr>
            <w:r w:rsidRPr="00EF0E4C">
              <w:rPr>
                <w:rFonts w:ascii="Arial" w:eastAsia="Times New Roman" w:hAnsi="Arial" w:cs="Arial"/>
                <w:iCs/>
                <w:sz w:val="20"/>
                <w:lang w:eastAsia="sl-SI"/>
              </w:rPr>
              <w:t xml:space="preserve">Sklep sveta </w:t>
            </w:r>
            <w:r>
              <w:rPr>
                <w:rFonts w:ascii="Arial" w:eastAsia="Times New Roman" w:hAnsi="Arial" w:cs="Arial"/>
                <w:iCs/>
                <w:sz w:val="20"/>
                <w:lang w:eastAsia="sl-SI"/>
              </w:rPr>
              <w:t>Slovenskega filmskega centra, javne agencije Republike Slovenije</w:t>
            </w:r>
            <w:r w:rsidRPr="00EF0E4C">
              <w:rPr>
                <w:rFonts w:ascii="Arial" w:eastAsia="Times New Roman" w:hAnsi="Arial" w:cs="Arial"/>
                <w:iCs/>
                <w:sz w:val="20"/>
                <w:lang w:eastAsia="sl-SI"/>
              </w:rPr>
              <w:t xml:space="preserve"> št. </w:t>
            </w:r>
            <w:r>
              <w:rPr>
                <w:rFonts w:ascii="Arial" w:eastAsia="Times New Roman" w:hAnsi="Arial" w:cs="Arial"/>
                <w:iCs/>
                <w:sz w:val="20"/>
                <w:lang w:eastAsia="sl-SI"/>
              </w:rPr>
              <w:t>IS 2885/17</w:t>
            </w:r>
          </w:p>
          <w:p w:rsidR="009434AD" w:rsidRDefault="009434AD" w:rsidP="009434AD">
            <w:pPr>
              <w:spacing w:before="60" w:after="60" w:line="200" w:lineRule="exact"/>
              <w:rPr>
                <w:rFonts w:ascii="Arial" w:eastAsia="Times New Roman" w:hAnsi="Arial" w:cs="Arial"/>
                <w:iCs/>
                <w:sz w:val="20"/>
                <w:lang w:eastAsia="sl-SI"/>
              </w:rPr>
            </w:pPr>
            <w:r w:rsidRPr="00EF0E4C">
              <w:rPr>
                <w:rFonts w:ascii="Arial" w:eastAsia="Times New Roman" w:hAnsi="Arial" w:cs="Arial"/>
                <w:iCs/>
                <w:sz w:val="20"/>
                <w:lang w:eastAsia="sl-SI"/>
              </w:rPr>
              <w:t xml:space="preserve">Letno poročilo </w:t>
            </w:r>
            <w:r>
              <w:rPr>
                <w:rFonts w:ascii="Arial" w:eastAsia="Times New Roman" w:hAnsi="Arial" w:cs="Arial"/>
                <w:iCs/>
                <w:sz w:val="20"/>
                <w:lang w:eastAsia="sl-SI"/>
              </w:rPr>
              <w:t>Slovenskega filmskega centra, javne agencije Republike Slovenije</w:t>
            </w:r>
            <w:r w:rsidRPr="00EF0E4C">
              <w:rPr>
                <w:rFonts w:ascii="Arial" w:eastAsia="Times New Roman" w:hAnsi="Arial" w:cs="Arial"/>
                <w:iCs/>
                <w:sz w:val="20"/>
                <w:lang w:eastAsia="sl-SI"/>
              </w:rPr>
              <w:t xml:space="preserve"> za leto 2016</w:t>
            </w:r>
          </w:p>
          <w:p w:rsidR="009434AD" w:rsidRPr="00EF0E4C" w:rsidRDefault="009434AD" w:rsidP="009434A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Finančno poročilo Slovenskega filmskega centra, javne agencije Republike Slovenije</w:t>
            </w:r>
            <w:r w:rsidRPr="00EF0E4C">
              <w:rPr>
                <w:rFonts w:ascii="Arial" w:eastAsia="Times New Roman" w:hAnsi="Arial" w:cs="Arial"/>
                <w:iCs/>
                <w:sz w:val="20"/>
                <w:lang w:eastAsia="sl-SI"/>
              </w:rPr>
              <w:t xml:space="preserve"> </w:t>
            </w:r>
            <w:r>
              <w:rPr>
                <w:rFonts w:ascii="Arial" w:eastAsia="Times New Roman" w:hAnsi="Arial" w:cs="Arial"/>
                <w:iCs/>
                <w:sz w:val="20"/>
                <w:lang w:eastAsia="sl-SI"/>
              </w:rPr>
              <w:t>za leto 2016</w:t>
            </w:r>
          </w:p>
          <w:p w:rsidR="009434AD" w:rsidRDefault="009434AD" w:rsidP="009434A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Bilanca stanja Slovenskega filmskega centra, javne agencije Republike Slovenije</w:t>
            </w:r>
            <w:r w:rsidRPr="00EF0E4C">
              <w:rPr>
                <w:rFonts w:ascii="Arial" w:eastAsia="Times New Roman" w:hAnsi="Arial" w:cs="Arial"/>
                <w:iCs/>
                <w:sz w:val="20"/>
                <w:lang w:eastAsia="sl-SI"/>
              </w:rPr>
              <w:t xml:space="preserve"> </w:t>
            </w:r>
            <w:r>
              <w:rPr>
                <w:rFonts w:ascii="Arial" w:eastAsia="Times New Roman" w:hAnsi="Arial" w:cs="Arial"/>
                <w:iCs/>
                <w:sz w:val="20"/>
                <w:lang w:eastAsia="sl-SI"/>
              </w:rPr>
              <w:t>za leto 2016</w:t>
            </w:r>
          </w:p>
          <w:p w:rsidR="009434AD" w:rsidRDefault="009434AD" w:rsidP="009434AD">
            <w:pPr>
              <w:spacing w:before="60" w:after="60" w:line="200" w:lineRule="exact"/>
              <w:rPr>
                <w:rFonts w:ascii="Arial" w:eastAsia="Times New Roman" w:hAnsi="Arial" w:cs="Arial"/>
                <w:iCs/>
                <w:sz w:val="20"/>
                <w:lang w:eastAsia="sl-SI"/>
              </w:rPr>
            </w:pPr>
            <w:r>
              <w:rPr>
                <w:rFonts w:ascii="Arial" w:eastAsia="Times New Roman" w:hAnsi="Arial" w:cs="Arial"/>
                <w:iCs/>
                <w:sz w:val="20"/>
                <w:lang w:eastAsia="sl-SI"/>
              </w:rPr>
              <w:t>Stanje presežka prihodkov za investicije na dan 14.12.2017 – izpis kontne kartice</w:t>
            </w:r>
          </w:p>
          <w:p w:rsidR="009434AD" w:rsidRPr="00D063BD" w:rsidRDefault="009434AD" w:rsidP="009434AD">
            <w:pPr>
              <w:spacing w:before="60" w:after="60" w:line="200" w:lineRule="exact"/>
              <w:rPr>
                <w:sz w:val="20"/>
                <w:szCs w:val="20"/>
              </w:rPr>
            </w:pPr>
            <w:r>
              <w:rPr>
                <w:rFonts w:ascii="Arial" w:eastAsia="Times New Roman" w:hAnsi="Arial" w:cs="Arial"/>
                <w:iCs/>
                <w:sz w:val="20"/>
                <w:lang w:eastAsia="sl-SI"/>
              </w:rPr>
              <w:t>Predlog javne agencije z dne 13.12.2017</w:t>
            </w: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Default="008004EF" w:rsidP="008004EF">
      <w:pPr>
        <w:tabs>
          <w:tab w:val="left" w:pos="708"/>
        </w:tabs>
        <w:spacing w:after="0" w:line="260" w:lineRule="exact"/>
        <w:rPr>
          <w:rFonts w:ascii="Arial" w:eastAsia="Times New Roman" w:hAnsi="Arial" w:cs="Arial"/>
          <w:b/>
          <w:sz w:val="20"/>
          <w:szCs w:val="20"/>
        </w:rPr>
      </w:pPr>
    </w:p>
    <w:p w:rsidR="00200CAF" w:rsidRPr="00327659" w:rsidRDefault="00200CAF" w:rsidP="00200CAF">
      <w:pPr>
        <w:spacing w:before="60" w:after="60"/>
        <w:jc w:val="both"/>
        <w:rPr>
          <w:rFonts w:ascii="Arial" w:hAnsi="Arial" w:cs="Arial"/>
          <w:b/>
          <w:sz w:val="20"/>
          <w:szCs w:val="20"/>
        </w:rPr>
      </w:pPr>
      <w:r w:rsidRPr="00327659">
        <w:rPr>
          <w:rFonts w:ascii="Arial" w:hAnsi="Arial" w:cs="Arial"/>
          <w:b/>
          <w:sz w:val="20"/>
          <w:szCs w:val="20"/>
        </w:rPr>
        <w:t>Obrazložitev:</w:t>
      </w:r>
    </w:p>
    <w:p w:rsidR="00200CAF" w:rsidRPr="00327659" w:rsidRDefault="00200CAF" w:rsidP="00200CAF">
      <w:pPr>
        <w:spacing w:before="60" w:after="60"/>
        <w:jc w:val="both"/>
        <w:rPr>
          <w:rFonts w:ascii="Arial" w:hAnsi="Arial" w:cs="Arial"/>
          <w:b/>
          <w:sz w:val="20"/>
          <w:szCs w:val="20"/>
        </w:rPr>
      </w:pPr>
    </w:p>
    <w:p w:rsidR="00200CAF" w:rsidRDefault="00200CAF" w:rsidP="00200CAF">
      <w:pPr>
        <w:pStyle w:val="Neotevilenodstavek"/>
        <w:spacing w:before="0" w:after="0" w:line="260" w:lineRule="exact"/>
        <w:rPr>
          <w:iCs/>
          <w:sz w:val="20"/>
          <w:szCs w:val="20"/>
        </w:rPr>
      </w:pPr>
      <w:r w:rsidRPr="00327659">
        <w:rPr>
          <w:iCs/>
          <w:sz w:val="20"/>
          <w:szCs w:val="20"/>
        </w:rPr>
        <w:t xml:space="preserve">44. člen Zakona o javnih agencijah določa, da mora javna agencija za uporabo presežka prihodkov nad odhodki pridobiti soglasje ustanovitelja. </w:t>
      </w:r>
      <w:r>
        <w:rPr>
          <w:iCs/>
          <w:sz w:val="20"/>
          <w:szCs w:val="20"/>
        </w:rPr>
        <w:t>Na podlagi rezultata letnega poročila Slovenskega filmskega centra, javne agencije Republike Slovenije (v nadaljevanju: SFC) za leto 2014 je Vlada RS s sklepom št. 47601-23/2015/3 z dne 8.12.2015 dala soglasje k porabi presežka prihodkov nad odhodki iz minulih let v višini 67.006 EUR za razvoj in opravljanje dejavnosti, in sicer za nakup računalniške in programske opreme ter arhivskega pohištva v letih 2015 in 2016. Del teh sredstev SFC ni porabil, zato svet SFC predlaga, da se neporabljena sredstva v višini 22.127,35 EUR uporabijo za kritje dela presežka odhodkov nad prihodki. Ostanek neporabljenih sredstev, ki so bila namenjena za nakup računalniške in programske opreme ter arhivskega pohištva v letih 2015 in 2016 je razviden iz priloženega izpisa konta 985300 na dan 14.12.2017. V izreku predlaganega sklepa je znesek, ki je skladen z odločitvijo sveta agencije, s sklepom št. IS 2885/17. Iz letnega poročila SFC za leto 2016 namreč izhaja, da je SFC v letu 2016 ustvaril presežek odhodkov nad prihodki v višini 90.572</w:t>
      </w:r>
      <w:r w:rsidRPr="002569C2">
        <w:rPr>
          <w:iCs/>
          <w:sz w:val="20"/>
          <w:szCs w:val="20"/>
        </w:rPr>
        <w:t xml:space="preserve"> EUR</w:t>
      </w:r>
      <w:r>
        <w:rPr>
          <w:iCs/>
          <w:sz w:val="20"/>
          <w:szCs w:val="20"/>
        </w:rPr>
        <w:t xml:space="preserve">, in sicer 86.650 EUR iz naslova javne službe ter 3.922 EUR na trgu. </w:t>
      </w:r>
    </w:p>
    <w:p w:rsidR="00200CAF" w:rsidRDefault="00200CAF" w:rsidP="00200CAF">
      <w:pPr>
        <w:spacing w:after="0" w:line="260" w:lineRule="exact"/>
        <w:jc w:val="both"/>
        <w:rPr>
          <w:rFonts w:ascii="Arial" w:eastAsia="Times New Roman" w:hAnsi="Arial" w:cs="Arial"/>
          <w:iCs/>
          <w:sz w:val="20"/>
          <w:szCs w:val="20"/>
          <w:lang w:eastAsia="sl-SI"/>
        </w:rPr>
      </w:pPr>
    </w:p>
    <w:p w:rsidR="00200CAF" w:rsidRPr="004033ED" w:rsidRDefault="00200CAF" w:rsidP="00200CAF">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r>
        <w:rPr>
          <w:rFonts w:ascii="Arial" w:eastAsia="Times New Roman" w:hAnsi="Arial" w:cs="Arial"/>
          <w:sz w:val="20"/>
          <w:szCs w:val="20"/>
          <w:lang w:eastAsia="x-none"/>
        </w:rPr>
        <w:t>V letu 2016 je imel SFC</w:t>
      </w:r>
      <w:r w:rsidRPr="004033ED">
        <w:rPr>
          <w:rFonts w:ascii="Arial" w:eastAsia="Times New Roman" w:hAnsi="Arial" w:cs="Arial"/>
          <w:sz w:val="20"/>
          <w:szCs w:val="20"/>
          <w:lang w:eastAsia="x-none"/>
        </w:rPr>
        <w:t xml:space="preserve"> presežek odhodkov nad prihodki po denarnem toku, zato se v skladu s 5. členom Zakona o fiskalnem pravilu ne izračunava presežka po 77. členu Zakona o izvrševanju proračunov RS za leti 2017 in 2018.</w:t>
      </w:r>
    </w:p>
    <w:p w:rsidR="00200CAF" w:rsidRDefault="00200CAF" w:rsidP="00200CAF">
      <w:pPr>
        <w:spacing w:after="0" w:line="260" w:lineRule="exact"/>
        <w:jc w:val="both"/>
        <w:rPr>
          <w:rFonts w:ascii="Arial" w:eastAsia="Times New Roman" w:hAnsi="Arial" w:cs="Arial"/>
          <w:iCs/>
          <w:sz w:val="20"/>
          <w:szCs w:val="20"/>
          <w:lang w:eastAsia="sl-SI"/>
        </w:rPr>
      </w:pPr>
    </w:p>
    <w:p w:rsidR="00200CAF" w:rsidRDefault="00200CAF" w:rsidP="00200CAF">
      <w:pPr>
        <w:spacing w:after="0" w:line="26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Zaradi navedenega je Ministrstvo za kulturo SFC naložilo sprejem sanacijskih ukrepov. Med tem je razporeditev neporabljenih sredstev iz naslova presežka prihodkov na odhodki iz minulih let za namen kritja dela presežka odhodkov. </w:t>
      </w:r>
    </w:p>
    <w:p w:rsidR="00200CAF" w:rsidRDefault="00200CAF" w:rsidP="00200CAF">
      <w:pPr>
        <w:spacing w:after="0" w:line="260" w:lineRule="exact"/>
        <w:jc w:val="both"/>
        <w:rPr>
          <w:rFonts w:ascii="Arial" w:eastAsia="Times New Roman" w:hAnsi="Arial" w:cs="Arial"/>
          <w:iCs/>
          <w:sz w:val="20"/>
          <w:szCs w:val="20"/>
          <w:lang w:eastAsia="sl-SI"/>
        </w:rPr>
      </w:pPr>
    </w:p>
    <w:p w:rsidR="00200CAF" w:rsidRDefault="00200CAF" w:rsidP="00200CAF">
      <w:pPr>
        <w:overflowPunct w:val="0"/>
        <w:autoSpaceDE w:val="0"/>
        <w:autoSpaceDN w:val="0"/>
        <w:adjustRightInd w:val="0"/>
        <w:spacing w:before="240" w:after="0" w:line="240" w:lineRule="auto"/>
        <w:ind w:firstLine="1021"/>
        <w:jc w:val="both"/>
        <w:textAlignment w:val="baseline"/>
        <w:rPr>
          <w:rFonts w:ascii="Arial" w:eastAsia="Times New Roman" w:hAnsi="Arial" w:cs="Arial"/>
          <w:iCs/>
          <w:sz w:val="20"/>
          <w:szCs w:val="20"/>
          <w:lang w:eastAsia="sl-SI"/>
        </w:rPr>
      </w:pPr>
    </w:p>
    <w:p w:rsidR="00200CAF" w:rsidRPr="00BD0842" w:rsidRDefault="00200CAF" w:rsidP="00200CAF">
      <w:pPr>
        <w:pStyle w:val="Naslovpredpisa"/>
        <w:spacing w:before="0" w:after="0" w:line="260" w:lineRule="exact"/>
        <w:jc w:val="both"/>
        <w:rPr>
          <w:b w:val="0"/>
          <w:sz w:val="20"/>
          <w:szCs w:val="20"/>
        </w:rPr>
      </w:pPr>
      <w:r>
        <w:rPr>
          <w:b w:val="0"/>
          <w:sz w:val="20"/>
          <w:szCs w:val="20"/>
        </w:rPr>
        <w:t xml:space="preserve"> </w:t>
      </w:r>
    </w:p>
    <w:p w:rsidR="00200CAF" w:rsidRDefault="00200CAF" w:rsidP="008004EF">
      <w:pPr>
        <w:tabs>
          <w:tab w:val="left" w:pos="708"/>
        </w:tabs>
        <w:spacing w:after="0" w:line="260" w:lineRule="exact"/>
        <w:rPr>
          <w:rFonts w:ascii="Arial" w:eastAsia="Times New Roman" w:hAnsi="Arial" w:cs="Arial"/>
          <w:b/>
          <w:sz w:val="20"/>
          <w:szCs w:val="20"/>
        </w:rPr>
      </w:pPr>
    </w:p>
    <w:p w:rsidR="00200CAF" w:rsidRPr="00FA2B20" w:rsidRDefault="00200CAF" w:rsidP="008004EF">
      <w:pPr>
        <w:tabs>
          <w:tab w:val="left" w:pos="708"/>
        </w:tabs>
        <w:spacing w:after="0" w:line="260" w:lineRule="exact"/>
        <w:rPr>
          <w:rFonts w:ascii="Arial" w:eastAsia="Times New Roman" w:hAnsi="Arial" w:cs="Arial"/>
          <w:b/>
          <w:sz w:val="20"/>
          <w:szCs w:val="20"/>
        </w:rPr>
      </w:pPr>
    </w:p>
    <w:sectPr w:rsidR="00200CA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79" w:rsidRDefault="00BD2979">
      <w:pPr>
        <w:spacing w:after="0" w:line="240" w:lineRule="auto"/>
      </w:pPr>
      <w:r>
        <w:separator/>
      </w:r>
    </w:p>
  </w:endnote>
  <w:endnote w:type="continuationSeparator" w:id="0">
    <w:p w:rsidR="00BD2979" w:rsidRDefault="00BD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79" w:rsidRDefault="00BD2979">
      <w:pPr>
        <w:spacing w:after="0" w:line="240" w:lineRule="auto"/>
      </w:pPr>
      <w:r>
        <w:separator/>
      </w:r>
    </w:p>
  </w:footnote>
  <w:footnote w:type="continuationSeparator" w:id="0">
    <w:p w:rsidR="00BD2979" w:rsidRDefault="00BD2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3"/>
  </w:num>
  <w:num w:numId="10">
    <w:abstractNumId w:val="3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6"/>
  </w:num>
  <w:num w:numId="20">
    <w:abstractNumId w:val="3"/>
  </w:num>
  <w:num w:numId="21">
    <w:abstractNumId w:val="42"/>
  </w:num>
  <w:num w:numId="22">
    <w:abstractNumId w:val="23"/>
    <w:lvlOverride w:ilvl="0">
      <w:startOverride w:val="1"/>
    </w:lvlOverride>
  </w:num>
  <w:num w:numId="23">
    <w:abstractNumId w:val="25"/>
  </w:num>
  <w:num w:numId="24">
    <w:abstractNumId w:val="13"/>
  </w:num>
  <w:num w:numId="25">
    <w:abstractNumId w:val="5"/>
  </w:num>
  <w:num w:numId="26">
    <w:abstractNumId w:val="32"/>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7"/>
  </w:num>
  <w:num w:numId="34">
    <w:abstractNumId w:val="35"/>
  </w:num>
  <w:num w:numId="35">
    <w:abstractNumId w:val="40"/>
  </w:num>
  <w:num w:numId="36">
    <w:abstractNumId w:val="43"/>
  </w:num>
  <w:num w:numId="37">
    <w:abstractNumId w:val="6"/>
  </w:num>
  <w:num w:numId="38">
    <w:abstractNumId w:val="22"/>
  </w:num>
  <w:num w:numId="39">
    <w:abstractNumId w:val="41"/>
  </w:num>
  <w:num w:numId="40">
    <w:abstractNumId w:val="15"/>
  </w:num>
  <w:num w:numId="41">
    <w:abstractNumId w:val="30"/>
  </w:num>
  <w:num w:numId="42">
    <w:abstractNumId w:val="34"/>
  </w:num>
  <w:num w:numId="43">
    <w:abstractNumId w:val="27"/>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AD"/>
    <w:rsid w:val="000205D3"/>
    <w:rsid w:val="00046811"/>
    <w:rsid w:val="000D1C23"/>
    <w:rsid w:val="00105FDB"/>
    <w:rsid w:val="00107ED0"/>
    <w:rsid w:val="001427DA"/>
    <w:rsid w:val="001611AF"/>
    <w:rsid w:val="00186022"/>
    <w:rsid w:val="00196FAF"/>
    <w:rsid w:val="001B0C4B"/>
    <w:rsid w:val="001B223E"/>
    <w:rsid w:val="001C1FE9"/>
    <w:rsid w:val="001D275B"/>
    <w:rsid w:val="001D69E0"/>
    <w:rsid w:val="001E6744"/>
    <w:rsid w:val="00200CAF"/>
    <w:rsid w:val="002238DC"/>
    <w:rsid w:val="002914D9"/>
    <w:rsid w:val="002A7713"/>
    <w:rsid w:val="002B3051"/>
    <w:rsid w:val="002C5AE2"/>
    <w:rsid w:val="002F13F7"/>
    <w:rsid w:val="003049A8"/>
    <w:rsid w:val="003068B9"/>
    <w:rsid w:val="00310B0B"/>
    <w:rsid w:val="00320402"/>
    <w:rsid w:val="00345B58"/>
    <w:rsid w:val="00345F62"/>
    <w:rsid w:val="00372466"/>
    <w:rsid w:val="003B428F"/>
    <w:rsid w:val="00424799"/>
    <w:rsid w:val="00456E4C"/>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E6BE9"/>
    <w:rsid w:val="005F267F"/>
    <w:rsid w:val="005F3DC6"/>
    <w:rsid w:val="00642B87"/>
    <w:rsid w:val="00644E67"/>
    <w:rsid w:val="00684108"/>
    <w:rsid w:val="0068465E"/>
    <w:rsid w:val="006939DB"/>
    <w:rsid w:val="00697AD9"/>
    <w:rsid w:val="006A5437"/>
    <w:rsid w:val="00717D84"/>
    <w:rsid w:val="007533E6"/>
    <w:rsid w:val="00755DBB"/>
    <w:rsid w:val="0077561B"/>
    <w:rsid w:val="007C0F10"/>
    <w:rsid w:val="007D142A"/>
    <w:rsid w:val="007D4854"/>
    <w:rsid w:val="008004EF"/>
    <w:rsid w:val="00854C9E"/>
    <w:rsid w:val="008D1B3E"/>
    <w:rsid w:val="008E4146"/>
    <w:rsid w:val="00910641"/>
    <w:rsid w:val="0091603C"/>
    <w:rsid w:val="009434AD"/>
    <w:rsid w:val="00955443"/>
    <w:rsid w:val="00956616"/>
    <w:rsid w:val="009A4A5C"/>
    <w:rsid w:val="009D3853"/>
    <w:rsid w:val="009D7B6D"/>
    <w:rsid w:val="009F5358"/>
    <w:rsid w:val="00A02AA3"/>
    <w:rsid w:val="00A04418"/>
    <w:rsid w:val="00A04C33"/>
    <w:rsid w:val="00A101F0"/>
    <w:rsid w:val="00A12B51"/>
    <w:rsid w:val="00A162C0"/>
    <w:rsid w:val="00A16F0C"/>
    <w:rsid w:val="00A17B9E"/>
    <w:rsid w:val="00A2404D"/>
    <w:rsid w:val="00A24E98"/>
    <w:rsid w:val="00A35EA6"/>
    <w:rsid w:val="00A6022E"/>
    <w:rsid w:val="00AA3C9A"/>
    <w:rsid w:val="00AA65A3"/>
    <w:rsid w:val="00AE36D8"/>
    <w:rsid w:val="00B103A4"/>
    <w:rsid w:val="00B33655"/>
    <w:rsid w:val="00B61E75"/>
    <w:rsid w:val="00BC76BF"/>
    <w:rsid w:val="00BD2979"/>
    <w:rsid w:val="00BD69B3"/>
    <w:rsid w:val="00BF29D8"/>
    <w:rsid w:val="00BF5451"/>
    <w:rsid w:val="00C01882"/>
    <w:rsid w:val="00C31E0B"/>
    <w:rsid w:val="00C431DA"/>
    <w:rsid w:val="00C61B61"/>
    <w:rsid w:val="00C6472E"/>
    <w:rsid w:val="00C81C0D"/>
    <w:rsid w:val="00CA5013"/>
    <w:rsid w:val="00CA59B8"/>
    <w:rsid w:val="00CA5AA9"/>
    <w:rsid w:val="00CD31BF"/>
    <w:rsid w:val="00D202CF"/>
    <w:rsid w:val="00D41914"/>
    <w:rsid w:val="00D732F0"/>
    <w:rsid w:val="00D7363A"/>
    <w:rsid w:val="00D73C39"/>
    <w:rsid w:val="00D73D26"/>
    <w:rsid w:val="00D91D69"/>
    <w:rsid w:val="00D92410"/>
    <w:rsid w:val="00D97DAE"/>
    <w:rsid w:val="00DB5586"/>
    <w:rsid w:val="00DE238C"/>
    <w:rsid w:val="00DE7754"/>
    <w:rsid w:val="00DE7DE2"/>
    <w:rsid w:val="00DF3371"/>
    <w:rsid w:val="00E125BE"/>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46</TotalTime>
  <Pages>6</Pages>
  <Words>1699</Words>
  <Characters>9687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11364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Tanja Zupančič Marolt</dc:creator>
  <cp:lastModifiedBy>Tanja Zupančič Marolt</cp:lastModifiedBy>
  <cp:revision>4</cp:revision>
  <cp:lastPrinted>2018-02-05T10:14:00Z</cp:lastPrinted>
  <dcterms:created xsi:type="dcterms:W3CDTF">2018-02-05T08:59:00Z</dcterms:created>
  <dcterms:modified xsi:type="dcterms:W3CDTF">2018-02-05T10:37:00Z</dcterms:modified>
</cp:coreProperties>
</file>