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93" w:rsidRDefault="00046A8D" w:rsidP="00376093">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9929/18 ADD 1.&#10;Subject Codes: UD 119 ENFOCUSTOM 122 MI 445 COMER 54 TRANS 253 ECOFIN 594 CODEC 1012.&#10;Heading: PREDLOG.&#10;Originator: za generalnega sekretarja Evropske komisije: direktor Jordi AYET PUIGARNAU.&#10;Recipient: generalni sekretar Sveta Evropske unije Jeppe TRANHOLM-MIKKELSEN.&#10;Subject: PRILOGI k predlogu UREDBE EVROPSKEGA PARLAMENTA IN SVETA o vzpostavitvi programa „Carina“ za sodelovanje na področju carine.&#10;Commission Document Number: COM(2018) 442 final ANNEXES 1 to 2.&#10;Preceeding Document Number: Not Set.&#10;Location: Bruselj.&#10;Date: 12. junij 2018.&#10;Interinstitutional Files: 2018/0232 (COD).&#10;Institutional Framework: Svet Evropske unije.&#10;Language: SL.&#10;Distribution Code: PUBLIC.&#10;GUID: 5663563087795954689_0" style="width:568.5pt;height:394.6pt">
            <v:imagedata r:id="rId10" o:title=""/>
          </v:shape>
        </w:pict>
      </w:r>
      <w:bookmarkEnd w:id="0"/>
    </w:p>
    <w:p w:rsidR="00376093" w:rsidRDefault="00376093" w:rsidP="00376093">
      <w:pPr>
        <w:pStyle w:val="EntText"/>
        <w:spacing w:before="480"/>
      </w:pPr>
      <w:bookmarkStart w:id="1" w:name="_GoBack"/>
      <w:bookmarkEnd w:id="1"/>
      <w:r w:rsidRPr="00376093">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76093">
        <w:instrText>COM(2018) 442 final ANNEXES 1 to 2</w:instrText>
      </w:r>
      <w:r>
        <w:instrText xml:space="preserve">" </w:instrText>
      </w:r>
      <w:r>
        <w:fldChar w:fldCharType="separate"/>
      </w:r>
      <w:r w:rsidRPr="00376093">
        <w:t>COM(2018) 442 final ANNEXES 1 to 2</w:t>
      </w:r>
      <w:r>
        <w:fldChar w:fldCharType="end"/>
      </w:r>
      <w:r w:rsidRPr="00376093">
        <w:t>.</w:t>
      </w:r>
    </w:p>
    <w:p w:rsidR="00376093" w:rsidRDefault="00376093" w:rsidP="00376093">
      <w:pPr>
        <w:pStyle w:val="Lignefinal"/>
      </w:pPr>
    </w:p>
    <w:p w:rsidR="00376093" w:rsidRDefault="00376093" w:rsidP="00376093">
      <w:pPr>
        <w:pStyle w:val="pj"/>
        <w:spacing w:before="120"/>
      </w:pPr>
      <w:r w:rsidRPr="00376093">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376093">
        <w:instrText>COM(2018) 442 final ANNEXES 1 to 2</w:instrText>
      </w:r>
      <w:r>
        <w:instrText xml:space="preserve">" </w:instrText>
      </w:r>
      <w:r>
        <w:fldChar w:fldCharType="separate"/>
      </w:r>
      <w:r w:rsidRPr="00376093">
        <w:t>COM(2018) 442 final ANNEXES 1 to 2</w:t>
      </w:r>
      <w:r>
        <w:fldChar w:fldCharType="end"/>
      </w:r>
    </w:p>
    <w:p w:rsidR="00376093" w:rsidRPr="00376093" w:rsidRDefault="00376093" w:rsidP="00376093"/>
    <w:p w:rsidR="00376093" w:rsidRDefault="00376093" w:rsidP="00376093">
      <w:pPr>
        <w:rPr>
          <w:noProof/>
        </w:rPr>
        <w:sectPr w:rsidR="00376093" w:rsidSect="00376093">
          <w:headerReference w:type="even" r:id="rId11"/>
          <w:headerReference w:type="default" r:id="rId12"/>
          <w:footerReference w:type="even" r:id="rId13"/>
          <w:footerReference w:type="default" r:id="rId14"/>
          <w:headerReference w:type="first" r:id="rId15"/>
          <w:footerReference w:type="first" r:id="rId16"/>
          <w:pgSz w:w="11907" w:h="16839"/>
          <w:pgMar w:top="624" w:right="1134" w:bottom="1134" w:left="1134" w:header="567" w:footer="567" w:gutter="0"/>
          <w:pgNumType w:start="0"/>
          <w:cols w:space="720"/>
          <w:titlePg/>
          <w:docGrid w:linePitch="360"/>
        </w:sectPr>
      </w:pPr>
    </w:p>
    <w:p w:rsidR="00BC411D" w:rsidRDefault="00376093">
      <w:pPr>
        <w:pStyle w:val="Pagedecouverture"/>
        <w:rPr>
          <w:noProof/>
        </w:rPr>
      </w:pPr>
      <w:r>
        <w:rPr>
          <w:noProof/>
        </w:rPr>
        <w:lastRenderedPageBreak/>
        <w:t>––––</w:t>
      </w:r>
      <w:r w:rsidR="00046A8D">
        <w:rPr>
          <w:noProof/>
        </w:rPr>
        <w:pict>
          <v:shape id="_x0000_i1026" type="#_x0000_t75" alt="15B68721-A8A8-4467-AAC6-948176971E86" style="width:450.7pt;height:383.4pt">
            <v:imagedata r:id="rId17" o:title=""/>
          </v:shape>
        </w:pict>
      </w:r>
    </w:p>
    <w:p w:rsidR="00BC411D" w:rsidRDefault="00BC411D">
      <w:pPr>
        <w:rPr>
          <w:noProof/>
        </w:rPr>
        <w:sectPr w:rsidR="00BC411D">
          <w:headerReference w:type="even" r:id="rId18"/>
          <w:headerReference w:type="default" r:id="rId19"/>
          <w:footerReference w:type="even" r:id="rId20"/>
          <w:footerReference w:type="default" r:id="rId21"/>
          <w:headerReference w:type="first" r:id="rId22"/>
          <w:footerReference w:type="first" r:id="rId23"/>
          <w:pgSz w:w="11907" w:h="16839"/>
          <w:pgMar w:top="1134" w:right="1417" w:bottom="1134" w:left="1417" w:header="709" w:footer="709" w:gutter="0"/>
          <w:pgNumType w:start="0"/>
          <w:cols w:space="720"/>
          <w:docGrid w:linePitch="360"/>
        </w:sectPr>
      </w:pPr>
    </w:p>
    <w:p w:rsidR="00BC411D" w:rsidRDefault="00376093">
      <w:pPr>
        <w:pStyle w:val="Annexetitre"/>
        <w:rPr>
          <w:noProof/>
        </w:rPr>
      </w:pPr>
      <w:r>
        <w:rPr>
          <w:noProof/>
        </w:rPr>
        <w:lastRenderedPageBreak/>
        <w:t>PRILOGA 1</w:t>
      </w:r>
    </w:p>
    <w:p w:rsidR="00BC411D" w:rsidRDefault="00376093">
      <w:pPr>
        <w:spacing w:before="0" w:after="200" w:line="276" w:lineRule="auto"/>
        <w:jc w:val="center"/>
        <w:rPr>
          <w:b/>
          <w:noProof/>
        </w:rPr>
      </w:pPr>
      <w:r>
        <w:rPr>
          <w:b/>
          <w:noProof/>
        </w:rPr>
        <w:t xml:space="preserve">Neizčrpen seznam možnih oblik in ukrepov </w:t>
      </w:r>
      <w:r>
        <w:rPr>
          <w:b/>
          <w:noProof/>
        </w:rPr>
        <w:br/>
        <w:t>iz točk (a), (b) in (d) prvega pododstavka člena 7(3)</w:t>
      </w:r>
    </w:p>
    <w:p w:rsidR="00BC411D" w:rsidRDefault="00376093">
      <w:pPr>
        <w:spacing w:before="0" w:after="200" w:line="276" w:lineRule="auto"/>
        <w:jc w:val="left"/>
        <w:rPr>
          <w:noProof/>
        </w:rPr>
      </w:pPr>
      <w:r>
        <w:rPr>
          <w:noProof/>
        </w:rPr>
        <w:t xml:space="preserve">Ukrepi iz točk (a), (b) in (d) prvega pododstavka člena 7(3) so lahko med drugim v obliki: </w:t>
      </w:r>
    </w:p>
    <w:p w:rsidR="00BC411D" w:rsidRDefault="00376093">
      <w:pPr>
        <w:rPr>
          <w:noProof/>
        </w:rPr>
      </w:pPr>
      <w:r>
        <w:rPr>
          <w:noProof/>
        </w:rPr>
        <w:t>(a)</w:t>
      </w:r>
      <w:r>
        <w:rPr>
          <w:noProof/>
        </w:rPr>
        <w:tab/>
        <w:t xml:space="preserve">Kar zadeva sestanke in podobne </w:t>
      </w:r>
      <w:r>
        <w:rPr>
          <w:i/>
          <w:noProof/>
        </w:rPr>
        <w:t>ad hoc</w:t>
      </w:r>
      <w:r>
        <w:rPr>
          <w:noProof/>
        </w:rPr>
        <w:t xml:space="preserve"> dogodke:</w:t>
      </w:r>
    </w:p>
    <w:p w:rsidR="00BC411D" w:rsidRDefault="00376093">
      <w:pPr>
        <w:pStyle w:val="Tiret1"/>
        <w:numPr>
          <w:ilvl w:val="0"/>
          <w:numId w:val="9"/>
        </w:numPr>
        <w:rPr>
          <w:noProof/>
        </w:rPr>
      </w:pPr>
      <w:r>
        <w:rPr>
          <w:noProof/>
        </w:rPr>
        <w:t>seminar in delavnica, na katerih navadno prisostvujejo vse države in kjer potekajo predstavitve, udeleženci pa o vsebini razpravljajo in sodelujejo v dejavnostih, povezanih z zadevnim področjem;</w:t>
      </w:r>
    </w:p>
    <w:p w:rsidR="00BC411D" w:rsidRDefault="00376093">
      <w:pPr>
        <w:pStyle w:val="Tiret1"/>
        <w:rPr>
          <w:noProof/>
        </w:rPr>
      </w:pPr>
      <w:r>
        <w:rPr>
          <w:noProof/>
        </w:rPr>
        <w:t xml:space="preserve">delovni obisk, organiziran tako, da uradnikom omogoča pridobivanje ali izpopolnjevanje izkušenj in strokovnega znanja na področju carinskih zadev; </w:t>
      </w:r>
    </w:p>
    <w:p w:rsidR="00BC411D" w:rsidRDefault="00376093">
      <w:pPr>
        <w:rPr>
          <w:noProof/>
        </w:rPr>
      </w:pPr>
      <w:r>
        <w:rPr>
          <w:noProof/>
        </w:rPr>
        <w:t>(b)</w:t>
      </w:r>
      <w:r>
        <w:rPr>
          <w:noProof/>
        </w:rPr>
        <w:tab/>
        <w:t xml:space="preserve">Kar zadeva strukturirano sodelovanje na podlagi projektov: </w:t>
      </w:r>
    </w:p>
    <w:p w:rsidR="00BC411D" w:rsidRDefault="00376093">
      <w:pPr>
        <w:pStyle w:val="Tiret1"/>
        <w:rPr>
          <w:noProof/>
        </w:rPr>
      </w:pPr>
      <w:r>
        <w:rPr>
          <w:noProof/>
        </w:rPr>
        <w:t xml:space="preserve">projektne skupine, ki so običajno sestavljene iz omejenega števila držav in delujejo v omejenem obdobju, da bi uresničevale predhodno določen cilj z natančno opredeljenim rezultatom, vključno z usklajevanjem ali primerjalno analizo; </w:t>
      </w:r>
    </w:p>
    <w:p w:rsidR="00BC411D" w:rsidRDefault="00376093">
      <w:pPr>
        <w:pStyle w:val="Tiret1"/>
        <w:rPr>
          <w:noProof/>
        </w:rPr>
      </w:pPr>
      <w:r>
        <w:rPr>
          <w:noProof/>
        </w:rPr>
        <w:t>projektne skupine, ki so strukturirane oblike stalnega ali nestalnega sodelovanja in združujejo strokovno znanje in izkušnje za opravljanje nalog na posebnih področjih ali operativnih dejavnosti, po možnosti s podporo spletnega sodelovanja, upravne pomoči ter infrastrukture in opreme;</w:t>
      </w:r>
    </w:p>
    <w:p w:rsidR="00BC411D" w:rsidRDefault="00376093">
      <w:pPr>
        <w:pStyle w:val="Tiret1"/>
        <w:rPr>
          <w:noProof/>
        </w:rPr>
      </w:pPr>
      <w:r>
        <w:rPr>
          <w:noProof/>
        </w:rPr>
        <w:t>dejavnosti spremljanja, ki jih izvajajo skupne ekipe, ki jih sestavljajo uradniki Komisije in uradniki upravičenih organov, da bi analizirale carinske prakse, opredelile morebitne težave pri izvajanju pravil ter, kadar je ustrezno, oblikovale predloge za prilagoditev predpisov in delovnih metod Unije,</w:t>
      </w:r>
    </w:p>
    <w:p w:rsidR="00BC411D" w:rsidRDefault="00376093">
      <w:pPr>
        <w:rPr>
          <w:noProof/>
        </w:rPr>
      </w:pPr>
      <w:r>
        <w:rPr>
          <w:noProof/>
        </w:rPr>
        <w:t>(d)</w:t>
      </w:r>
      <w:r>
        <w:rPr>
          <w:noProof/>
        </w:rPr>
        <w:tab/>
        <w:t xml:space="preserve">Kar zadeva usposobljenost ljudi in ukrepe za izboljšanje sposobnosti: </w:t>
      </w:r>
    </w:p>
    <w:p w:rsidR="00BC411D" w:rsidRDefault="00376093">
      <w:pPr>
        <w:pStyle w:val="Tiret1"/>
        <w:rPr>
          <w:noProof/>
        </w:rPr>
      </w:pPr>
      <w:r>
        <w:rPr>
          <w:noProof/>
        </w:rPr>
        <w:t>skupno usposabljanje ali razvoj e-učenja za podporo krepitve potrebnih strokovnih znanj in spretnosti na področju carine;</w:t>
      </w:r>
    </w:p>
    <w:p w:rsidR="00BC411D" w:rsidRDefault="00376093">
      <w:pPr>
        <w:pStyle w:val="Tiret1"/>
        <w:rPr>
          <w:noProof/>
        </w:rPr>
      </w:pPr>
      <w:r>
        <w:rPr>
          <w:noProof/>
        </w:rPr>
        <w:t xml:space="preserve">tehnična podpora, namenjena izboljšanju upravnih postopkov, upravne zmogljivosti ter delovanja in dejavnosti carinskih organov z uvajanjem in izmenjavo dobrih praks. </w:t>
      </w:r>
    </w:p>
    <w:p w:rsidR="00BC411D" w:rsidRDefault="00376093">
      <w:pPr>
        <w:spacing w:before="0" w:after="200" w:line="276" w:lineRule="auto"/>
        <w:jc w:val="left"/>
        <w:rPr>
          <w:noProof/>
        </w:rPr>
      </w:pPr>
      <w:r>
        <w:rPr>
          <w:noProof/>
        </w:rPr>
        <w:br w:type="page"/>
      </w:r>
    </w:p>
    <w:p w:rsidR="00BC411D" w:rsidRDefault="00376093">
      <w:pPr>
        <w:pStyle w:val="Annexetitre"/>
        <w:rPr>
          <w:noProof/>
        </w:rPr>
      </w:pPr>
      <w:r>
        <w:rPr>
          <w:noProof/>
        </w:rPr>
        <w:lastRenderedPageBreak/>
        <w:t>PRILOGA 2</w:t>
      </w:r>
    </w:p>
    <w:p w:rsidR="00BC411D" w:rsidRDefault="00376093">
      <w:pPr>
        <w:spacing w:before="0" w:after="200" w:line="276" w:lineRule="auto"/>
        <w:jc w:val="center"/>
        <w:rPr>
          <w:noProof/>
        </w:rPr>
      </w:pPr>
      <w:r>
        <w:rPr>
          <w:b/>
          <w:noProof/>
        </w:rPr>
        <w:t xml:space="preserve">Kazalniki </w:t>
      </w:r>
    </w:p>
    <w:p w:rsidR="00BC411D" w:rsidRDefault="00376093">
      <w:pPr>
        <w:spacing w:before="0" w:after="200" w:line="276" w:lineRule="auto"/>
        <w:rPr>
          <w:noProof/>
        </w:rPr>
      </w:pPr>
      <w:r>
        <w:rPr>
          <w:noProof/>
        </w:rPr>
        <w:t>Specifični cilj: Podpora pripravi in enotnemu izvajanju carinske zakonodaje in politike ter carinskega sodelovanja in izboljšanja upravnih zmogljivosti, vključno z usposobljenostjo ljudi ter razvojem in delovanjem evropskih elektronskih sistemov za carino.</w:t>
      </w:r>
    </w:p>
    <w:p w:rsidR="00BC411D" w:rsidRDefault="00376093">
      <w:pPr>
        <w:spacing w:before="0" w:after="200" w:line="276" w:lineRule="auto"/>
        <w:rPr>
          <w:b/>
          <w:bCs/>
          <w:noProof/>
          <w:u w:val="single"/>
        </w:rPr>
      </w:pPr>
      <w:r>
        <w:rPr>
          <w:b/>
          <w:noProof/>
          <w:u w:val="single"/>
        </w:rPr>
        <w:t>1. Krepitev zmogljivosti (upravnih in človeških ter zmogljivosti na področju informacijske tehnologije):</w:t>
      </w:r>
    </w:p>
    <w:p w:rsidR="00BC411D" w:rsidRDefault="00376093">
      <w:pPr>
        <w:pStyle w:val="NumPar1"/>
        <w:numPr>
          <w:ilvl w:val="0"/>
          <w:numId w:val="25"/>
        </w:numPr>
        <w:rPr>
          <w:noProof/>
        </w:rPr>
      </w:pPr>
      <w:r>
        <w:rPr>
          <w:noProof/>
        </w:rPr>
        <w:t>Indeks uporabe in izvajanja zakonodaje in politike Unije (število ukrepov v okviru programa, organiziranih na tem področju, ter priporočila, izdana po teh ukrepih)</w:t>
      </w:r>
    </w:p>
    <w:p w:rsidR="00BC411D" w:rsidRDefault="00376093">
      <w:pPr>
        <w:pStyle w:val="NumPar1"/>
        <w:rPr>
          <w:noProof/>
        </w:rPr>
      </w:pPr>
      <w:r>
        <w:rPr>
          <w:noProof/>
        </w:rPr>
        <w:t>Indeks znanja (uporabljeni učni moduli; število usposobljenih uradnikov; točke za kakovost po udeležencih)</w:t>
      </w:r>
    </w:p>
    <w:p w:rsidR="00BC411D" w:rsidRDefault="00376093">
      <w:pPr>
        <w:pStyle w:val="NumPar1"/>
        <w:rPr>
          <w:noProof/>
        </w:rPr>
      </w:pPr>
      <w:r>
        <w:rPr>
          <w:noProof/>
        </w:rPr>
        <w:t>Razpoložljivost evropskih elektronskih sistemov (v odstotku časa)</w:t>
      </w:r>
    </w:p>
    <w:p w:rsidR="00BC411D" w:rsidRDefault="00376093">
      <w:pPr>
        <w:pStyle w:val="NumPar1"/>
        <w:rPr>
          <w:noProof/>
        </w:rPr>
      </w:pPr>
      <w:r>
        <w:rPr>
          <w:noProof/>
        </w:rPr>
        <w:t>Razpoložljivost skupnega komunikacijskega omrežja (v odstotku časa)</w:t>
      </w:r>
    </w:p>
    <w:p w:rsidR="00BC411D" w:rsidRDefault="00376093">
      <w:pPr>
        <w:pStyle w:val="NumPar1"/>
        <w:rPr>
          <w:noProof/>
        </w:rPr>
      </w:pPr>
      <w:r>
        <w:rPr>
          <w:noProof/>
        </w:rPr>
        <w:t>Uporaba ključnih evropskih elektronskih sistemov, katerih namen je povečanje medsebojne povezanosti in prehoda na brezpapirno carinsko unijo (število izmenjanih sporočil in opravljenih posvetovanj)</w:t>
      </w:r>
    </w:p>
    <w:p w:rsidR="00BC411D" w:rsidRDefault="00376093">
      <w:pPr>
        <w:pStyle w:val="NumPar1"/>
        <w:rPr>
          <w:bCs/>
          <w:noProof/>
          <w:u w:val="single"/>
        </w:rPr>
      </w:pPr>
      <w:r>
        <w:rPr>
          <w:noProof/>
        </w:rPr>
        <w:t>Stopnja uvajanja carinskega zakonika Unije (odstotek doseženih mejnikov pri uvajanju sistemov carinskega zakonika Unije)</w:t>
      </w:r>
    </w:p>
    <w:p w:rsidR="00BC411D" w:rsidRDefault="00376093">
      <w:pPr>
        <w:spacing w:before="0" w:after="200" w:line="276" w:lineRule="auto"/>
        <w:rPr>
          <w:b/>
          <w:bCs/>
          <w:noProof/>
          <w:u w:val="single"/>
        </w:rPr>
      </w:pPr>
      <w:r>
        <w:rPr>
          <w:b/>
          <w:noProof/>
          <w:u w:val="single"/>
        </w:rPr>
        <w:t>2. Izmenjava znanja in mreženje:</w:t>
      </w:r>
    </w:p>
    <w:p w:rsidR="00BC411D" w:rsidRDefault="00376093">
      <w:pPr>
        <w:pStyle w:val="NumPar1"/>
        <w:numPr>
          <w:ilvl w:val="0"/>
          <w:numId w:val="10"/>
        </w:numPr>
        <w:rPr>
          <w:noProof/>
        </w:rPr>
      </w:pPr>
      <w:r>
        <w:rPr>
          <w:noProof/>
        </w:rPr>
        <w:t>Indeks trdnosti sodelovanja (stopnja ustvarjenega mreženja, število srečanj v živo, število spletnih skupin za sodelovanje)</w:t>
      </w:r>
    </w:p>
    <w:p w:rsidR="00BC411D" w:rsidRDefault="00376093">
      <w:pPr>
        <w:pStyle w:val="NumPar1"/>
        <w:rPr>
          <w:noProof/>
        </w:rPr>
      </w:pPr>
      <w:r>
        <w:rPr>
          <w:noProof/>
        </w:rPr>
        <w:t>Indeks najboljših praks in smernic (število ukrepov v okviru programa, organiziranih na tem področju; odstotek udeležencev, ki so izkoristili delovno prakso oziroma uporabljali smernice, razvite s podporo iz programa)</w:t>
      </w:r>
    </w:p>
    <w:p w:rsidR="00BC411D" w:rsidRDefault="00BC411D">
      <w:pPr>
        <w:rPr>
          <w:noProof/>
        </w:rPr>
      </w:pPr>
    </w:p>
    <w:sectPr w:rsidR="00BC411D">
      <w:footerReference w:type="default" r:id="rId24"/>
      <w:footerReference w:type="first" r:id="rId25"/>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11D" w:rsidRDefault="00376093">
      <w:pPr>
        <w:spacing w:before="0" w:after="0"/>
      </w:pPr>
      <w:r>
        <w:separator/>
      </w:r>
    </w:p>
  </w:endnote>
  <w:endnote w:type="continuationSeparator" w:id="0">
    <w:p w:rsidR="00BC411D" w:rsidRDefault="0037609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1D" w:rsidRPr="00376093" w:rsidRDefault="00BC411D" w:rsidP="00376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76093" w:rsidRPr="00D94637" w:rsidTr="00376093">
      <w:trPr>
        <w:jc w:val="center"/>
      </w:trPr>
      <w:tc>
        <w:tcPr>
          <w:tcW w:w="5000" w:type="pct"/>
          <w:gridSpan w:val="7"/>
          <w:shd w:val="clear" w:color="auto" w:fill="auto"/>
          <w:tcMar>
            <w:top w:w="57" w:type="dxa"/>
          </w:tcMar>
        </w:tcPr>
        <w:p w:rsidR="00376093" w:rsidRPr="00D94637" w:rsidRDefault="00376093" w:rsidP="00D94637">
          <w:pPr>
            <w:pStyle w:val="FooterText"/>
            <w:pBdr>
              <w:top w:val="single" w:sz="4" w:space="1" w:color="auto"/>
            </w:pBdr>
            <w:spacing w:before="200"/>
            <w:rPr>
              <w:sz w:val="2"/>
              <w:szCs w:val="2"/>
            </w:rPr>
          </w:pPr>
          <w:bookmarkStart w:id="2" w:name="FOOTER_STANDARD"/>
        </w:p>
      </w:tc>
    </w:tr>
    <w:tr w:rsidR="00376093" w:rsidRPr="00B310DC" w:rsidTr="00376093">
      <w:trPr>
        <w:jc w:val="center"/>
      </w:trPr>
      <w:tc>
        <w:tcPr>
          <w:tcW w:w="2500" w:type="pct"/>
          <w:gridSpan w:val="2"/>
          <w:shd w:val="clear" w:color="auto" w:fill="auto"/>
          <w:tcMar>
            <w:top w:w="0" w:type="dxa"/>
          </w:tcMar>
        </w:tcPr>
        <w:p w:rsidR="00376093" w:rsidRPr="00AD7BF2" w:rsidRDefault="00376093" w:rsidP="004F54B2">
          <w:pPr>
            <w:pStyle w:val="FooterText"/>
          </w:pPr>
          <w:r>
            <w:t>9929/18</w:t>
          </w:r>
          <w:r w:rsidRPr="002511D8">
            <w:t xml:space="preserve"> </w:t>
          </w:r>
          <w:r>
            <w:t>ADD 1</w:t>
          </w:r>
        </w:p>
      </w:tc>
      <w:tc>
        <w:tcPr>
          <w:tcW w:w="625" w:type="pct"/>
          <w:shd w:val="clear" w:color="auto" w:fill="auto"/>
          <w:tcMar>
            <w:top w:w="0" w:type="dxa"/>
          </w:tcMar>
        </w:tcPr>
        <w:p w:rsidR="00376093" w:rsidRPr="00AD7BF2" w:rsidRDefault="00376093" w:rsidP="00D94637">
          <w:pPr>
            <w:pStyle w:val="FooterText"/>
            <w:jc w:val="center"/>
          </w:pPr>
        </w:p>
      </w:tc>
      <w:tc>
        <w:tcPr>
          <w:tcW w:w="1286" w:type="pct"/>
          <w:gridSpan w:val="3"/>
          <w:shd w:val="clear" w:color="auto" w:fill="auto"/>
          <w:tcMar>
            <w:top w:w="0" w:type="dxa"/>
          </w:tcMar>
        </w:tcPr>
        <w:p w:rsidR="00376093" w:rsidRPr="002511D8" w:rsidRDefault="00376093" w:rsidP="00D94637">
          <w:pPr>
            <w:pStyle w:val="FooterText"/>
            <w:jc w:val="center"/>
          </w:pPr>
          <w:r>
            <w:t>nr</w:t>
          </w:r>
        </w:p>
      </w:tc>
      <w:tc>
        <w:tcPr>
          <w:tcW w:w="589" w:type="pct"/>
          <w:shd w:val="clear" w:color="auto" w:fill="auto"/>
          <w:tcMar>
            <w:top w:w="0" w:type="dxa"/>
          </w:tcMar>
        </w:tcPr>
        <w:p w:rsidR="00376093" w:rsidRPr="00B310DC" w:rsidRDefault="00376093" w:rsidP="00376093">
          <w:pPr>
            <w:pStyle w:val="FooterText"/>
            <w:jc w:val="right"/>
          </w:pPr>
          <w:r>
            <w:fldChar w:fldCharType="begin"/>
          </w:r>
          <w:r>
            <w:instrText xml:space="preserve"> PAGE  \* MERGEFORMAT </w:instrText>
          </w:r>
          <w:r>
            <w:fldChar w:fldCharType="separate"/>
          </w:r>
          <w:r w:rsidR="00046A8D">
            <w:rPr>
              <w:noProof/>
            </w:rPr>
            <w:t>0</w:t>
          </w:r>
          <w:r>
            <w:fldChar w:fldCharType="end"/>
          </w:r>
        </w:p>
      </w:tc>
    </w:tr>
    <w:tr w:rsidR="00376093" w:rsidRPr="00D94637" w:rsidTr="00376093">
      <w:trPr>
        <w:jc w:val="center"/>
      </w:trPr>
      <w:tc>
        <w:tcPr>
          <w:tcW w:w="1774" w:type="pct"/>
          <w:shd w:val="clear" w:color="auto" w:fill="auto"/>
        </w:tcPr>
        <w:p w:rsidR="00376093" w:rsidRPr="00AD7BF2" w:rsidRDefault="00376093" w:rsidP="00D94637">
          <w:pPr>
            <w:pStyle w:val="FooterText"/>
            <w:spacing w:before="40"/>
          </w:pPr>
        </w:p>
      </w:tc>
      <w:tc>
        <w:tcPr>
          <w:tcW w:w="1455" w:type="pct"/>
          <w:gridSpan w:val="3"/>
          <w:shd w:val="clear" w:color="auto" w:fill="auto"/>
        </w:tcPr>
        <w:p w:rsidR="00376093" w:rsidRPr="00AD7BF2" w:rsidRDefault="00376093" w:rsidP="00D204D6">
          <w:pPr>
            <w:pStyle w:val="FooterText"/>
            <w:spacing w:before="40"/>
            <w:jc w:val="center"/>
          </w:pPr>
          <w:r>
            <w:t>DG G 3B</w:t>
          </w:r>
        </w:p>
      </w:tc>
      <w:tc>
        <w:tcPr>
          <w:tcW w:w="742" w:type="pct"/>
          <w:shd w:val="clear" w:color="auto" w:fill="auto"/>
        </w:tcPr>
        <w:p w:rsidR="00376093" w:rsidRPr="00D94637" w:rsidRDefault="00376093" w:rsidP="002F0099">
          <w:pPr>
            <w:pStyle w:val="FooterText"/>
            <w:jc w:val="center"/>
            <w:rPr>
              <w:b/>
              <w:position w:val="-4"/>
              <w:sz w:val="36"/>
            </w:rPr>
          </w:pPr>
        </w:p>
      </w:tc>
      <w:tc>
        <w:tcPr>
          <w:tcW w:w="1029" w:type="pct"/>
          <w:gridSpan w:val="2"/>
          <w:shd w:val="clear" w:color="auto" w:fill="auto"/>
        </w:tcPr>
        <w:p w:rsidR="00376093" w:rsidRPr="00D94637" w:rsidRDefault="00376093" w:rsidP="00D94637">
          <w:pPr>
            <w:pStyle w:val="FooterText"/>
            <w:jc w:val="right"/>
            <w:rPr>
              <w:sz w:val="16"/>
            </w:rPr>
          </w:pPr>
          <w:r>
            <w:rPr>
              <w:b/>
              <w:position w:val="-4"/>
              <w:sz w:val="36"/>
            </w:rPr>
            <w:t>SL</w:t>
          </w:r>
        </w:p>
      </w:tc>
    </w:tr>
    <w:bookmarkEnd w:id="2"/>
  </w:tbl>
  <w:p w:rsidR="00BC411D" w:rsidRPr="00376093" w:rsidRDefault="00BC411D" w:rsidP="00376093">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376093" w:rsidRPr="00D94637" w:rsidTr="00376093">
      <w:trPr>
        <w:jc w:val="center"/>
      </w:trPr>
      <w:tc>
        <w:tcPr>
          <w:tcW w:w="5000" w:type="pct"/>
          <w:gridSpan w:val="7"/>
          <w:shd w:val="clear" w:color="auto" w:fill="auto"/>
          <w:tcMar>
            <w:top w:w="57" w:type="dxa"/>
          </w:tcMar>
        </w:tcPr>
        <w:p w:rsidR="00376093" w:rsidRPr="00D94637" w:rsidRDefault="00376093" w:rsidP="00D94637">
          <w:pPr>
            <w:pStyle w:val="FooterText"/>
            <w:pBdr>
              <w:top w:val="single" w:sz="4" w:space="1" w:color="auto"/>
            </w:pBdr>
            <w:spacing w:before="200"/>
            <w:rPr>
              <w:sz w:val="2"/>
              <w:szCs w:val="2"/>
            </w:rPr>
          </w:pPr>
        </w:p>
      </w:tc>
    </w:tr>
    <w:tr w:rsidR="00376093" w:rsidRPr="00B310DC" w:rsidTr="00376093">
      <w:trPr>
        <w:jc w:val="center"/>
      </w:trPr>
      <w:tc>
        <w:tcPr>
          <w:tcW w:w="2500" w:type="pct"/>
          <w:gridSpan w:val="2"/>
          <w:shd w:val="clear" w:color="auto" w:fill="auto"/>
          <w:tcMar>
            <w:top w:w="0" w:type="dxa"/>
          </w:tcMar>
        </w:tcPr>
        <w:p w:rsidR="00376093" w:rsidRPr="00AD7BF2" w:rsidRDefault="00376093" w:rsidP="004F54B2">
          <w:pPr>
            <w:pStyle w:val="FooterText"/>
          </w:pPr>
          <w:r>
            <w:t>9929/18</w:t>
          </w:r>
          <w:r w:rsidRPr="002511D8">
            <w:t xml:space="preserve"> </w:t>
          </w:r>
          <w:r>
            <w:t>ADD 1</w:t>
          </w:r>
        </w:p>
      </w:tc>
      <w:tc>
        <w:tcPr>
          <w:tcW w:w="625" w:type="pct"/>
          <w:shd w:val="clear" w:color="auto" w:fill="auto"/>
          <w:tcMar>
            <w:top w:w="0" w:type="dxa"/>
          </w:tcMar>
        </w:tcPr>
        <w:p w:rsidR="00376093" w:rsidRPr="00AD7BF2" w:rsidRDefault="00376093" w:rsidP="00D94637">
          <w:pPr>
            <w:pStyle w:val="FooterText"/>
            <w:jc w:val="center"/>
          </w:pPr>
        </w:p>
      </w:tc>
      <w:tc>
        <w:tcPr>
          <w:tcW w:w="1286" w:type="pct"/>
          <w:gridSpan w:val="3"/>
          <w:shd w:val="clear" w:color="auto" w:fill="auto"/>
          <w:tcMar>
            <w:top w:w="0" w:type="dxa"/>
          </w:tcMar>
        </w:tcPr>
        <w:p w:rsidR="00376093" w:rsidRPr="002511D8" w:rsidRDefault="00376093" w:rsidP="00D94637">
          <w:pPr>
            <w:pStyle w:val="FooterText"/>
            <w:jc w:val="center"/>
          </w:pPr>
          <w:r>
            <w:t>nr</w:t>
          </w:r>
        </w:p>
      </w:tc>
      <w:tc>
        <w:tcPr>
          <w:tcW w:w="589" w:type="pct"/>
          <w:shd w:val="clear" w:color="auto" w:fill="auto"/>
          <w:tcMar>
            <w:top w:w="0" w:type="dxa"/>
          </w:tcMar>
        </w:tcPr>
        <w:p w:rsidR="00376093" w:rsidRPr="00B310DC" w:rsidRDefault="00376093" w:rsidP="00D94637">
          <w:pPr>
            <w:pStyle w:val="FooterText"/>
            <w:jc w:val="right"/>
          </w:pPr>
        </w:p>
      </w:tc>
    </w:tr>
    <w:tr w:rsidR="00376093" w:rsidRPr="00D94637" w:rsidTr="00376093">
      <w:trPr>
        <w:jc w:val="center"/>
      </w:trPr>
      <w:tc>
        <w:tcPr>
          <w:tcW w:w="1774" w:type="pct"/>
          <w:shd w:val="clear" w:color="auto" w:fill="auto"/>
        </w:tcPr>
        <w:p w:rsidR="00376093" w:rsidRPr="00AD7BF2" w:rsidRDefault="00376093" w:rsidP="00D94637">
          <w:pPr>
            <w:pStyle w:val="FooterText"/>
            <w:spacing w:before="40"/>
          </w:pPr>
        </w:p>
      </w:tc>
      <w:tc>
        <w:tcPr>
          <w:tcW w:w="1455" w:type="pct"/>
          <w:gridSpan w:val="3"/>
          <w:shd w:val="clear" w:color="auto" w:fill="auto"/>
        </w:tcPr>
        <w:p w:rsidR="00376093" w:rsidRPr="00AD7BF2" w:rsidRDefault="00376093" w:rsidP="00D204D6">
          <w:pPr>
            <w:pStyle w:val="FooterText"/>
            <w:spacing w:before="40"/>
            <w:jc w:val="center"/>
          </w:pPr>
          <w:r>
            <w:t>DG G 3B</w:t>
          </w:r>
        </w:p>
      </w:tc>
      <w:tc>
        <w:tcPr>
          <w:tcW w:w="742" w:type="pct"/>
          <w:shd w:val="clear" w:color="auto" w:fill="auto"/>
        </w:tcPr>
        <w:p w:rsidR="00376093" w:rsidRPr="00D94637" w:rsidRDefault="00376093" w:rsidP="002F0099">
          <w:pPr>
            <w:pStyle w:val="FooterText"/>
            <w:jc w:val="center"/>
            <w:rPr>
              <w:b/>
              <w:position w:val="-4"/>
              <w:sz w:val="36"/>
            </w:rPr>
          </w:pPr>
        </w:p>
      </w:tc>
      <w:tc>
        <w:tcPr>
          <w:tcW w:w="1029" w:type="pct"/>
          <w:gridSpan w:val="2"/>
          <w:shd w:val="clear" w:color="auto" w:fill="auto"/>
        </w:tcPr>
        <w:p w:rsidR="00376093" w:rsidRPr="00D94637" w:rsidRDefault="00376093" w:rsidP="00D94637">
          <w:pPr>
            <w:pStyle w:val="FooterText"/>
            <w:jc w:val="right"/>
            <w:rPr>
              <w:sz w:val="16"/>
            </w:rPr>
          </w:pPr>
          <w:r>
            <w:rPr>
              <w:b/>
              <w:position w:val="-4"/>
              <w:sz w:val="36"/>
            </w:rPr>
            <w:t>SL</w:t>
          </w:r>
        </w:p>
      </w:tc>
    </w:tr>
  </w:tbl>
  <w:p w:rsidR="00BC411D" w:rsidRPr="00376093" w:rsidRDefault="00BC411D" w:rsidP="00376093">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37609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376093">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37609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1D" w:rsidRDefault="00376093">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046A8D">
      <w:rPr>
        <w:noProof/>
      </w:rPr>
      <w:t>2</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1D" w:rsidRDefault="00BC4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11D" w:rsidRDefault="00376093">
      <w:pPr>
        <w:spacing w:before="0" w:after="0"/>
      </w:pPr>
      <w:r>
        <w:separator/>
      </w:r>
    </w:p>
  </w:footnote>
  <w:footnote w:type="continuationSeparator" w:id="0">
    <w:p w:rsidR="00BC411D" w:rsidRDefault="0037609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1D" w:rsidRPr="00376093" w:rsidRDefault="00BC411D" w:rsidP="00376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1D" w:rsidRPr="00376093" w:rsidRDefault="00376093" w:rsidP="00376093">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11D" w:rsidRPr="00376093" w:rsidRDefault="00376093" w:rsidP="00376093">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37609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37609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093" w:rsidRDefault="00376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7CD2D0"/>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03CE445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381E4E4A"/>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5D98063E"/>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8549706"/>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1E38B38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3048860E"/>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D5F6C3D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2"/>
    <w:lvlOverride w:ilvl="0">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 w:numId="28">
    <w:abstractNumId w:val="20"/>
  </w:num>
  <w:num w:numId="29">
    <w:abstractNumId w:val="11"/>
  </w:num>
  <w:num w:numId="30">
    <w:abstractNumId w:val="13"/>
  </w:num>
  <w:num w:numId="31">
    <w:abstractNumId w:val="9"/>
  </w:num>
  <w:num w:numId="32">
    <w:abstractNumId w:val="19"/>
  </w:num>
  <w:num w:numId="33">
    <w:abstractNumId w:val="8"/>
  </w:num>
  <w:num w:numId="34">
    <w:abstractNumId w:val="14"/>
  </w:num>
  <w:num w:numId="35">
    <w:abstractNumId w:val="16"/>
  </w:num>
  <w:num w:numId="36">
    <w:abstractNumId w:val="17"/>
  </w:num>
  <w:num w:numId="37">
    <w:abstractNumId w:val="10"/>
  </w:num>
  <w:num w:numId="38">
    <w:abstractNumId w:val="15"/>
  </w:num>
  <w:num w:numId="3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hideSpellingErrors/>
  <w:hideGrammaticalErrors/>
  <w:attachedTemplate r:id="rId1"/>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1.22&quot; technicalblockguid=&quot;5663563087795954689&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8-06-12&lt;/text&gt;_x000d__x000a_  &lt;/metadata&gt;_x000d__x000a_  &lt;metadata key=&quot;md_Prefix&quot;&gt;_x000d__x000a_    &lt;text&gt;&lt;/text&gt;_x000d__x000a_  &lt;/metadata&gt;_x000d__x000a_  &lt;metadata key=&quot;md_DocumentNumber&quot;&gt;_x000d__x000a_    &lt;text&gt;9929&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UD 119&lt;/text&gt;_x000d__x000a_      &lt;text&gt;ENFOCUSTOM 122&lt;/text&gt;_x000d__x000a_      &lt;text&gt;MI 445&lt;/text&gt;_x000d__x000a_      &lt;text&gt;COMER 54&lt;/text&gt;_x000d__x000a_      &lt;text&gt;TRANS 253&lt;/text&gt;_x000d__x000a_      &lt;text&gt;ECOFIN 594&lt;/text&gt;_x000d__x000a_      &lt;text&gt;CODEC 101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32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8) 442 final ANNEXES 1 to 2&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RILOGI k predlogu UREDBE EVROPSKEGA PARLAMENTA IN SVETA o vzpostavitvi programa &amp;#8222;Carina&amp;#8220; za sodelovanje na podro&amp;#269;ju carine&quot;&gt;&amp;lt;FlowDocument FontFamily=&quot;Arial Unicode MS&quot; FontSize=&quot;12&quot; PagePadding=&quot;5,0,5,0&quot; AllowDrop=&quot;False&quot; xmlns=&quot;http://schemas.microsoft.com/winfx/2006/xaml/presentation&quot;&amp;gt;&amp;lt;Paragraph&amp;gt;PRILOGI k predlogu UREDBE EVROPSKEGA PARLAMENTA IN SVETA o vzpostavitvi programa &amp;#8222;Carina&amp;#8220; za sodelovanje na podro&amp;#269;ju carine&amp;lt;/Paragraph&amp;gt;&amp;lt;/FlowDocument&amp;gt;&lt;/xaml&gt;_x000d__x000a_  &lt;/metadata&gt;_x000d__x000a_  &lt;metadata key=&quot;md_SubjectFootnote&quot; /&gt;_x000d__x000a_  &lt;metadata key=&quot;md_DG&quot;&gt;_x000d__x000a_    &lt;text&gt;DG G 3B&lt;/text&gt;_x000d__x000a_  &lt;/metadata&gt;_x000d__x000a_  &lt;metadata key=&quot;md_Initials&quot;&gt;_x000d__x000a_    &lt;text&gt;n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8&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ILOGI&lt;/text&gt;_x000d__x000a_  &lt;/metadata&gt;_x000d__x000a_  &lt;metadata key=&quot;md_SourceDocTitle&quot;&gt;_x000d__x000a_    &lt;text&gt;k predlogu _x000d__x000a_UREDBE EVROPSKEGA PARLAMENTA IN SVETA _x000d__x000a_o vzpostavitvi programa &amp;#8222;Carina&amp;#8220; za sodelovanje na podro&amp;#269;ju carine&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Caveat&quot;&gt;_x000d__x000a_    &lt;text&gt;&lt;/text&gt;_x000d__x000a_  &lt;/metadata&gt;_x000d__x000a_&lt;/metadataset&gt;"/>
    <w:docVar w:name="DQCDateTime" w:val="2018-06-14 09:41:14"/>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1"/>
    <w:docVar w:name="DQCResult_UnknownFonts" w:val="0;0"/>
    <w:docVar w:name="DQCResult_UnknownStyles" w:val="0;0"/>
    <w:docVar w:name="DQCStatus" w:val="Green"/>
    <w:docVar w:name="DQCVersion" w:val="3"/>
    <w:docVar w:name="DQCWithWarnings" w:val="0"/>
    <w:docVar w:name="LW_ACCOMPAGNANT" w:val="k predlogu"/>
    <w:docVar w:name="LW_ACCOMPAGNANT.CP" w:val="k predlogu"/>
    <w:docVar w:name="LW_ANNEX_NBR_FIRST" w:val="1"/>
    <w:docVar w:name="LW_ANNEX_NBR_LAST" w:val="2"/>
    <w:docVar w:name="LW_ANNEX_UNIQUE" w:val="0"/>
    <w:docVar w:name="LW_CORRIGENDUM" w:val="&lt;UNUSED&gt;"/>
    <w:docVar w:name="LW_COVERPAGE_EXISTS" w:val="True"/>
    <w:docVar w:name="LW_COVERPAGE_GUID" w:val="15B68721-A8A8-4467-AAC6-948176971E86"/>
    <w:docVar w:name="LW_COVERPAGE_TYPE" w:val="1"/>
    <w:docVar w:name="LW_CROSSREFERENCE" w:val="{SEC(2018) 295 final}_x000b_{SWD(2018) 321 final}_x000b_{SWD(2018) 322 final}"/>
    <w:docVar w:name="LW_DocType" w:val="ANNEX"/>
    <w:docVar w:name="LW_EMISSION" w:val="8.6.2018"/>
    <w:docVar w:name="LW_EMISSION_ISODATE" w:val="2018-06-08"/>
    <w:docVar w:name="LW_EMISSION_LOCATION" w:val="BRX"/>
    <w:docVar w:name="LW_EMISSION_PREFIX" w:val="Bruselj,"/>
    <w:docVar w:name="LW_EMISSION_SUFFIX" w:val="&lt;EMPTY&gt;"/>
    <w:docVar w:name="LW_ID_DOCSTRUCTURE" w:val="COM/ANNEX"/>
    <w:docVar w:name="LW_ID_DOCTYPE" w:val="SG-017"/>
    <w:docVar w:name="LW_LANGUE" w:val="SL"/>
    <w:docVar w:name="LW_LEVEL_OF_SENSITIVITY" w:val="Standard treatment"/>
    <w:docVar w:name="LW_NOM.INST" w:val="EVROPSKA KOMISIJA"/>
    <w:docVar w:name="LW_NOM.INST_JOINTDOC" w:val="&lt;EMPTY&gt;"/>
    <w:docVar w:name="LW_OBJETACTEPRINCIPAL" w:val="o vzpostavitvi programa \u8222?Carina\u8220? za sodelovanje na podro\u269?ju carine"/>
    <w:docVar w:name="LW_OBJETACTEPRINCIPAL.CP" w:val="o vzpostavitvi programa \u8222?Carina\u8220? za sodelovanje na podro\u269?ju carine"/>
    <w:docVar w:name="LW_PART_NBR" w:val="&lt;UNUSED&gt;"/>
    <w:docVar w:name="LW_PART_NBR_TOTAL" w:val="&lt;UNUSED&gt;"/>
    <w:docVar w:name="LW_REF.INST.NEW" w:val="COM"/>
    <w:docVar w:name="LW_REF.INST.NEW_ADOPTED" w:val="final"/>
    <w:docVar w:name="LW_REF.INST.NEW_TEXT" w:val="(2018) 442"/>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UPERTITRE" w:val="&lt;UNUSED&gt;"/>
    <w:docVar w:name="LW_TYPE.DOC" w:val="PRILOGI"/>
    <w:docVar w:name="LW_TYPE.DOC.CP" w:val="PRILOGI"/>
    <w:docVar w:name="LW_TYPEACTEPRINCIPAL" w:val="UREDBE EVROPSKEGA PARLAMENTA IN SVETA"/>
    <w:docVar w:name="LW_TYPEACTEPRINCIPAL.CP" w:val="UREDBE EVROPSKEGA PARLAMENTA IN SVETA"/>
  </w:docVars>
  <w:rsids>
    <w:rsidRoot w:val="00BC411D"/>
    <w:rsid w:val="00046A8D"/>
    <w:rsid w:val="00376093"/>
    <w:rsid w:val="00BC41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03833CD-E971-472F-85E0-BE267E9B3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32"/>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32"/>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32"/>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32"/>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lang w:val="sl-SI"/>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shd w:val="clear" w:color="auto" w:fill="auto"/>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shd w:val="clear" w:color="auto" w:fill="auto"/>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shd w:val="clear" w:color="auto" w:fill="auto"/>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26"/>
      </w:numPr>
    </w:pPr>
  </w:style>
  <w:style w:type="paragraph" w:customStyle="1" w:styleId="Tiret1">
    <w:name w:val="Tiret 1"/>
    <w:basedOn w:val="Point1"/>
    <w:pPr>
      <w:numPr>
        <w:numId w:val="27"/>
      </w:numPr>
    </w:pPr>
  </w:style>
  <w:style w:type="paragraph" w:customStyle="1" w:styleId="Tiret2">
    <w:name w:val="Tiret 2"/>
    <w:basedOn w:val="Point2"/>
    <w:pPr>
      <w:numPr>
        <w:numId w:val="28"/>
      </w:numPr>
    </w:pPr>
  </w:style>
  <w:style w:type="paragraph" w:customStyle="1" w:styleId="Tiret3">
    <w:name w:val="Tiret 3"/>
    <w:basedOn w:val="Point3"/>
    <w:pPr>
      <w:numPr>
        <w:numId w:val="29"/>
      </w:numPr>
    </w:pPr>
  </w:style>
  <w:style w:type="paragraph" w:customStyle="1" w:styleId="Tiret4">
    <w:name w:val="Tiret 4"/>
    <w:basedOn w:val="Point4"/>
    <w:pPr>
      <w:numPr>
        <w:numId w:val="30"/>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31"/>
      </w:numPr>
    </w:pPr>
  </w:style>
  <w:style w:type="paragraph" w:customStyle="1" w:styleId="NumPar2">
    <w:name w:val="NumPar 2"/>
    <w:basedOn w:val="Normal"/>
    <w:next w:val="Text1"/>
    <w:pPr>
      <w:numPr>
        <w:ilvl w:val="1"/>
        <w:numId w:val="31"/>
      </w:numPr>
    </w:pPr>
  </w:style>
  <w:style w:type="paragraph" w:customStyle="1" w:styleId="NumPar3">
    <w:name w:val="NumPar 3"/>
    <w:basedOn w:val="Normal"/>
    <w:next w:val="Text1"/>
    <w:pPr>
      <w:numPr>
        <w:ilvl w:val="2"/>
        <w:numId w:val="31"/>
      </w:numPr>
    </w:pPr>
  </w:style>
  <w:style w:type="paragraph" w:customStyle="1" w:styleId="NumPar4">
    <w:name w:val="NumPar 4"/>
    <w:basedOn w:val="Normal"/>
    <w:next w:val="Text1"/>
    <w:pPr>
      <w:numPr>
        <w:ilvl w:val="3"/>
        <w:numId w:val="31"/>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376093"/>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33"/>
      </w:numPr>
    </w:pPr>
  </w:style>
  <w:style w:type="paragraph" w:customStyle="1" w:styleId="Point1number">
    <w:name w:val="Point 1 (number)"/>
    <w:basedOn w:val="Normal"/>
    <w:pPr>
      <w:numPr>
        <w:ilvl w:val="2"/>
        <w:numId w:val="33"/>
      </w:numPr>
    </w:pPr>
  </w:style>
  <w:style w:type="paragraph" w:customStyle="1" w:styleId="Point2number">
    <w:name w:val="Point 2 (number)"/>
    <w:basedOn w:val="Normal"/>
    <w:pPr>
      <w:numPr>
        <w:ilvl w:val="4"/>
        <w:numId w:val="33"/>
      </w:numPr>
    </w:pPr>
  </w:style>
  <w:style w:type="paragraph" w:customStyle="1" w:styleId="Point3number">
    <w:name w:val="Point 3 (number)"/>
    <w:basedOn w:val="Normal"/>
    <w:pPr>
      <w:numPr>
        <w:ilvl w:val="6"/>
        <w:numId w:val="33"/>
      </w:numPr>
    </w:pPr>
  </w:style>
  <w:style w:type="paragraph" w:customStyle="1" w:styleId="Point0letter">
    <w:name w:val="Point 0 (letter)"/>
    <w:basedOn w:val="Normal"/>
    <w:pPr>
      <w:numPr>
        <w:ilvl w:val="1"/>
        <w:numId w:val="33"/>
      </w:numPr>
    </w:pPr>
  </w:style>
  <w:style w:type="paragraph" w:customStyle="1" w:styleId="Point1letter">
    <w:name w:val="Point 1 (letter)"/>
    <w:basedOn w:val="Normal"/>
    <w:pPr>
      <w:numPr>
        <w:ilvl w:val="3"/>
        <w:numId w:val="33"/>
      </w:numPr>
    </w:pPr>
  </w:style>
  <w:style w:type="paragraph" w:customStyle="1" w:styleId="Point2letter">
    <w:name w:val="Point 2 (letter)"/>
    <w:basedOn w:val="Normal"/>
    <w:pPr>
      <w:numPr>
        <w:ilvl w:val="5"/>
        <w:numId w:val="33"/>
      </w:numPr>
    </w:pPr>
  </w:style>
  <w:style w:type="paragraph" w:customStyle="1" w:styleId="Point3letter">
    <w:name w:val="Point 3 (letter)"/>
    <w:basedOn w:val="Normal"/>
    <w:pPr>
      <w:numPr>
        <w:ilvl w:val="7"/>
        <w:numId w:val="33"/>
      </w:numPr>
    </w:pPr>
  </w:style>
  <w:style w:type="paragraph" w:customStyle="1" w:styleId="Point4letter">
    <w:name w:val="Point 4 (letter)"/>
    <w:basedOn w:val="Normal"/>
    <w:pPr>
      <w:numPr>
        <w:ilvl w:val="8"/>
        <w:numId w:val="33"/>
      </w:numPr>
    </w:pPr>
  </w:style>
  <w:style w:type="paragraph" w:customStyle="1" w:styleId="Bullet0">
    <w:name w:val="Bullet 0"/>
    <w:basedOn w:val="Normal"/>
    <w:pPr>
      <w:numPr>
        <w:numId w:val="34"/>
      </w:numPr>
    </w:pPr>
  </w:style>
  <w:style w:type="paragraph" w:customStyle="1" w:styleId="Bullet1">
    <w:name w:val="Bullet 1"/>
    <w:basedOn w:val="Normal"/>
    <w:pPr>
      <w:numPr>
        <w:numId w:val="35"/>
      </w:numPr>
    </w:pPr>
  </w:style>
  <w:style w:type="paragraph" w:customStyle="1" w:styleId="Bullet2">
    <w:name w:val="Bullet 2"/>
    <w:basedOn w:val="Normal"/>
    <w:pPr>
      <w:numPr>
        <w:numId w:val="36"/>
      </w:numPr>
    </w:pPr>
  </w:style>
  <w:style w:type="paragraph" w:customStyle="1" w:styleId="Bullet3">
    <w:name w:val="Bullet 3"/>
    <w:basedOn w:val="Normal"/>
    <w:pPr>
      <w:numPr>
        <w:numId w:val="37"/>
      </w:numPr>
    </w:pPr>
  </w:style>
  <w:style w:type="paragraph" w:customStyle="1" w:styleId="Bullet4">
    <w:name w:val="Bullet 4"/>
    <w:basedOn w:val="Normal"/>
    <w:pPr>
      <w:numPr>
        <w:numId w:val="38"/>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link w:val="PagedecouvertureChar"/>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39"/>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Pagedecouverture"/>
    <w:link w:val="TechnicalBlockChar"/>
    <w:rsid w:val="00376093"/>
    <w:pPr>
      <w:spacing w:after="240"/>
      <w:jc w:val="center"/>
    </w:pPr>
    <w:rPr>
      <w:noProof/>
    </w:rPr>
  </w:style>
  <w:style w:type="character" w:customStyle="1" w:styleId="PagedecouvertureChar">
    <w:name w:val="Page de couverture Char"/>
    <w:basedOn w:val="DefaultParagraphFont"/>
    <w:link w:val="Pagedecouverture"/>
    <w:rsid w:val="00376093"/>
    <w:rPr>
      <w:rFonts w:ascii="Times New Roman" w:hAnsi="Times New Roman" w:cs="Times New Roman"/>
      <w:sz w:val="24"/>
    </w:rPr>
  </w:style>
  <w:style w:type="character" w:customStyle="1" w:styleId="TechnicalBlockChar">
    <w:name w:val="Technical Block Char"/>
    <w:basedOn w:val="PagedecouvertureChar"/>
    <w:link w:val="TechnicalBlock"/>
    <w:rsid w:val="00376093"/>
    <w:rPr>
      <w:rFonts w:ascii="Times New Roman" w:hAnsi="Times New Roman" w:cs="Times New Roman"/>
      <w:noProof/>
      <w:sz w:val="24"/>
    </w:rPr>
  </w:style>
  <w:style w:type="paragraph" w:customStyle="1" w:styleId="Lignefinal">
    <w:name w:val="Ligne final"/>
    <w:basedOn w:val="Normal"/>
    <w:next w:val="Normal"/>
    <w:rsid w:val="00376093"/>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376093"/>
    <w:pPr>
      <w:spacing w:line="360" w:lineRule="auto"/>
      <w:jc w:val="left"/>
    </w:pPr>
    <w:rPr>
      <w:lang w:eastAsia="en-US" w:bidi="ar-SA"/>
    </w:rPr>
  </w:style>
  <w:style w:type="paragraph" w:customStyle="1" w:styleId="pj">
    <w:name w:val="p.j."/>
    <w:basedOn w:val="Normal"/>
    <w:link w:val="pjChar"/>
    <w:rsid w:val="00376093"/>
    <w:pPr>
      <w:spacing w:before="1200"/>
      <w:ind w:left="1440" w:hanging="1440"/>
      <w:jc w:val="left"/>
    </w:pPr>
  </w:style>
  <w:style w:type="character" w:customStyle="1" w:styleId="pjChar">
    <w:name w:val="p.j. Char"/>
    <w:basedOn w:val="PagedecouvertureChar"/>
    <w:link w:val="pj"/>
    <w:rsid w:val="00376093"/>
    <w:rPr>
      <w:rFonts w:ascii="Times New Roman" w:hAnsi="Times New Roman" w:cs="Times New Roman"/>
      <w:sz w:val="24"/>
    </w:rPr>
  </w:style>
  <w:style w:type="paragraph" w:customStyle="1" w:styleId="nbbordered">
    <w:name w:val="nb bordered"/>
    <w:basedOn w:val="Normal"/>
    <w:link w:val="nbborderedChar"/>
    <w:rsid w:val="00376093"/>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PagedecouvertureChar"/>
    <w:link w:val="nbbordered"/>
    <w:rsid w:val="00376093"/>
    <w:rPr>
      <w:rFonts w:ascii="Times New Roman" w:hAnsi="Times New Roman" w:cs="Times New Roman"/>
      <w:b/>
      <w:sz w:val="24"/>
    </w:rPr>
  </w:style>
  <w:style w:type="paragraph" w:customStyle="1" w:styleId="HeaderCouncil">
    <w:name w:val="Header Council"/>
    <w:basedOn w:val="Normal"/>
    <w:link w:val="HeaderCouncilChar"/>
    <w:rsid w:val="00376093"/>
    <w:pPr>
      <w:spacing w:before="0" w:after="0"/>
    </w:pPr>
    <w:rPr>
      <w:sz w:val="2"/>
    </w:rPr>
  </w:style>
  <w:style w:type="character" w:customStyle="1" w:styleId="HeaderCouncilChar">
    <w:name w:val="Header Council Char"/>
    <w:basedOn w:val="DefaultParagraphFont"/>
    <w:link w:val="HeaderCouncil"/>
    <w:rsid w:val="00376093"/>
    <w:rPr>
      <w:rFonts w:ascii="Times New Roman" w:hAnsi="Times New Roman" w:cs="Times New Roman"/>
      <w:sz w:val="2"/>
    </w:rPr>
  </w:style>
  <w:style w:type="paragraph" w:customStyle="1" w:styleId="HeaderCouncilLarge">
    <w:name w:val="Header Council Large"/>
    <w:basedOn w:val="Normal"/>
    <w:link w:val="HeaderCouncilLargeChar"/>
    <w:rsid w:val="00376093"/>
    <w:pPr>
      <w:spacing w:before="0" w:after="440"/>
    </w:pPr>
    <w:rPr>
      <w:sz w:val="2"/>
    </w:rPr>
  </w:style>
  <w:style w:type="character" w:customStyle="1" w:styleId="HeaderCouncilLargeChar">
    <w:name w:val="Header Council Large Char"/>
    <w:basedOn w:val="DefaultParagraphFont"/>
    <w:link w:val="HeaderCouncilLarge"/>
    <w:rsid w:val="00376093"/>
    <w:rPr>
      <w:rFonts w:ascii="Times New Roman" w:hAnsi="Times New Roman" w:cs="Times New Roman"/>
      <w:sz w:val="2"/>
    </w:rPr>
  </w:style>
  <w:style w:type="paragraph" w:customStyle="1" w:styleId="FooterCouncil">
    <w:name w:val="Footer Council"/>
    <w:basedOn w:val="Normal"/>
    <w:link w:val="FooterCouncilChar"/>
    <w:rsid w:val="00376093"/>
    <w:pPr>
      <w:spacing w:before="0" w:after="0"/>
    </w:pPr>
    <w:rPr>
      <w:sz w:val="2"/>
    </w:rPr>
  </w:style>
  <w:style w:type="character" w:customStyle="1" w:styleId="FooterCouncilChar">
    <w:name w:val="Footer Council Char"/>
    <w:basedOn w:val="DefaultParagraphFont"/>
    <w:link w:val="FooterCouncil"/>
    <w:rsid w:val="00376093"/>
    <w:rPr>
      <w:rFonts w:ascii="Times New Roman" w:hAnsi="Times New Roman" w:cs="Times New Roman"/>
      <w:sz w:val="2"/>
    </w:rPr>
  </w:style>
  <w:style w:type="paragraph" w:customStyle="1" w:styleId="FooterText">
    <w:name w:val="Footer Text"/>
    <w:basedOn w:val="Normal"/>
    <w:rsid w:val="00376093"/>
    <w:pPr>
      <w:spacing w:before="0" w:after="0"/>
      <w:jc w:val="left"/>
    </w:pPr>
    <w:rPr>
      <w:rFonts w:eastAsia="Times New Roman"/>
      <w:szCs w:val="24"/>
      <w:lang w:val="en-GB" w:eastAsia="en-US" w:bidi="ar-SA"/>
    </w:rPr>
  </w:style>
  <w:style w:type="character" w:styleId="PlaceholderText">
    <w:name w:val="Placeholder Text"/>
    <w:basedOn w:val="DefaultParagraphFont"/>
    <w:uiPriority w:val="99"/>
    <w:semiHidden/>
    <w:rsid w:val="003760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8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emf"/><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1.emf"/><Relationship Id="rId19"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6B29732916DF4D831BB0FCE0DA1F47" ma:contentTypeVersion="0" ma:contentTypeDescription="Create a new document." ma:contentTypeScope="" ma:versionID="5e87b6185a4559021c2d2dd44491d6dc">
  <xsd:schema xmlns:xsd="http://www.w3.org/2001/XMLSchema" xmlns:xs="http://www.w3.org/2001/XMLSchema" xmlns:p="http://schemas.microsoft.com/office/2006/metadata/properties" targetNamespace="http://schemas.microsoft.com/office/2006/metadata/properties" ma:root="true" ma:fieldsID="520aa71ebba3a1c4bc292c1729acccd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F92C8-0112-4553-A5FA-179C2003E681}">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66E0759E-AF00-4DF5-B5D6-AF9F24E7B6FF}">
  <ds:schemaRefs>
    <ds:schemaRef ds:uri="http://schemas.microsoft.com/sharepoint/v3/contenttype/forms"/>
  </ds:schemaRefs>
</ds:datastoreItem>
</file>

<file path=customXml/itemProps3.xml><?xml version="1.0" encoding="utf-8"?>
<ds:datastoreItem xmlns:ds="http://schemas.openxmlformats.org/officeDocument/2006/customXml" ds:itemID="{88F07431-4EEC-4D63-A7AB-BFAE1F016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ANNEX.dotm</Template>
  <TotalTime>1</TotalTime>
  <Pages>4</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DEMOULIN Pierre-Yves (TAXUD)</dc:creator>
  <cp:lastModifiedBy>NOVAK Roman</cp:lastModifiedBy>
  <cp:revision>3</cp:revision>
  <cp:lastPrinted>2018-05-22T14:55:00Z</cp:lastPrinted>
  <dcterms:created xsi:type="dcterms:W3CDTF">2018-06-14T11:16:00Z</dcterms:created>
  <dcterms:modified xsi:type="dcterms:W3CDTF">2018-06-14T11:17:00Z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Version">
    <vt:lpwstr>6.0.1.0</vt:lpwstr>
  </property>
  <property fmtid="{D5CDD505-2E9C-101B-9397-08002B2CF9AE}" pid="4" name="Last edited using">
    <vt:lpwstr>DocuWrite 4.1.22, Build 20180604</vt:lpwstr>
  </property>
  <property fmtid="{D5CDD505-2E9C-101B-9397-08002B2CF9AE}" pid="5" name="Created using">
    <vt:lpwstr>DocuWrite 4.1.22, Build 20180604</vt:lpwstr>
  </property>
  <property fmtid="{D5CDD505-2E9C-101B-9397-08002B2CF9AE}" pid="6" name="First annex">
    <vt:lpwstr>1</vt:lpwstr>
  </property>
  <property fmtid="{D5CDD505-2E9C-101B-9397-08002B2CF9AE}" pid="7" name="Last annex">
    <vt:lpwstr>2</vt:lpwstr>
  </property>
  <property fmtid="{D5CDD505-2E9C-101B-9397-08002B2CF9AE}" pid="8" name="Unique annex">
    <vt:lpwstr>0</vt:lpwstr>
  </property>
  <property fmtid="{D5CDD505-2E9C-101B-9397-08002B2CF9AE}" pid="9" name="Part">
    <vt:lpwstr>&lt;UNUSED&gt;</vt:lpwstr>
  </property>
  <property fmtid="{D5CDD505-2E9C-101B-9397-08002B2CF9AE}" pid="10" name="Total parts">
    <vt:lpwstr>&lt;UNUSED&gt;</vt:lpwstr>
  </property>
  <property fmtid="{D5CDD505-2E9C-101B-9397-08002B2CF9AE}" pid="11" name="Level of sensitivity">
    <vt:lpwstr>Standard treatment</vt:lpwstr>
  </property>
  <property fmtid="{D5CDD505-2E9C-101B-9397-08002B2CF9AE}" pid="12" name="LWTemplateID">
    <vt:lpwstr>SG-017</vt:lpwstr>
  </property>
  <property fmtid="{D5CDD505-2E9C-101B-9397-08002B2CF9AE}" pid="13" name="IsMyDocuments">
    <vt:bool>true</vt:bool>
  </property>
  <property fmtid="{D5CDD505-2E9C-101B-9397-08002B2CF9AE}" pid="14" name="ContentTypeId">
    <vt:lpwstr>0x010100676B29732916DF4D831BB0FCE0DA1F47</vt:lpwstr>
  </property>
  <property fmtid="{D5CDD505-2E9C-101B-9397-08002B2CF9AE}" pid="15" name="DQCStatus">
    <vt:lpwstr>Green (DQC version 03)</vt:lpwstr>
  </property>
</Properties>
</file>