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Default="001625F3" w:rsidP="003D5F0D">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4e7b807-0cb6-4bce-81b4-0746265e6de7_0" style="width:568.5pt;height:369pt">
            <v:imagedata r:id="rId8" o:title=""/>
          </v:shape>
        </w:pict>
      </w:r>
      <w:bookmarkEnd w:id="0"/>
    </w:p>
    <w:p w:rsidR="003D5F0D" w:rsidRDefault="003D5F0D" w:rsidP="003D5F0D">
      <w:pPr>
        <w:pStyle w:val="EntText"/>
        <w:spacing w:before="480"/>
      </w:pPr>
      <w:r w:rsidRPr="003D5F0D">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D5F0D">
        <w:instrText>COM(2017) 457 final - ANNEX 1</w:instrText>
      </w:r>
      <w:r>
        <w:instrText xml:space="preserve">" </w:instrText>
      </w:r>
      <w:r>
        <w:fldChar w:fldCharType="separate"/>
      </w:r>
      <w:r w:rsidRPr="003D5F0D">
        <w:t>COM(2017) 457 final - ANNEX 1</w:t>
      </w:r>
      <w:r>
        <w:fldChar w:fldCharType="end"/>
      </w:r>
      <w:r w:rsidRPr="003D5F0D">
        <w:t>.</w:t>
      </w:r>
    </w:p>
    <w:p w:rsidR="003D5F0D" w:rsidRDefault="003D5F0D" w:rsidP="003D5F0D">
      <w:pPr>
        <w:pStyle w:val="Lignefinal"/>
      </w:pPr>
    </w:p>
    <w:p w:rsidR="003D5F0D" w:rsidRPr="003D5F0D" w:rsidRDefault="003D5F0D" w:rsidP="003D5F0D">
      <w:pPr>
        <w:pStyle w:val="pj"/>
        <w:spacing w:before="120"/>
      </w:pPr>
      <w:bookmarkStart w:id="1" w:name="_GoBack"/>
      <w:r w:rsidRPr="001625F3">
        <w:rPr>
          <w:u w:val="single"/>
        </w:rPr>
        <w:t>Priloga</w:t>
      </w:r>
      <w:bookmarkEnd w:id="1"/>
      <w:r w:rsidRPr="003D5F0D">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D5F0D">
        <w:instrText>COM(2017) 457 final - ANNEX 1</w:instrText>
      </w:r>
      <w:r>
        <w:instrText xml:space="preserve">" </w:instrText>
      </w:r>
      <w:r>
        <w:fldChar w:fldCharType="separate"/>
      </w:r>
      <w:r w:rsidRPr="003D5F0D">
        <w:t>COM(2017) 457 final - ANNEX 1</w:t>
      </w:r>
      <w:r>
        <w:fldChar w:fldCharType="end"/>
      </w:r>
    </w:p>
    <w:p w:rsidR="003D5F0D" w:rsidRDefault="003D5F0D" w:rsidP="003D5F0D">
      <w:pPr>
        <w:rPr>
          <w:noProof/>
        </w:rPr>
        <w:sectPr w:rsidR="003D5F0D" w:rsidSect="003D5F0D">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E54D84" w:rsidRDefault="001625F3">
      <w:pPr>
        <w:pStyle w:val="Pagedecouverture"/>
        <w:rPr>
          <w:noProof/>
        </w:rPr>
      </w:pPr>
      <w:r>
        <w:rPr>
          <w:noProof/>
        </w:rPr>
        <w:lastRenderedPageBreak/>
        <w:pict>
          <v:shape id="_x0000_i1026" type="#_x0000_t75" alt="B4912D85027B48588D69707E0D3A5657" style="width:450.75pt;height:366pt">
            <v:imagedata r:id="rId15" o:title=""/>
          </v:shape>
        </w:pict>
      </w:r>
    </w:p>
    <w:p w:rsidR="00E54D84" w:rsidRDefault="00E54D84">
      <w:pPr>
        <w:rPr>
          <w:noProof/>
        </w:rPr>
        <w:sectPr w:rsidR="00E54D84">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E54D84" w:rsidRDefault="003D5F0D">
      <w:pPr>
        <w:pStyle w:val="Annexetitre"/>
        <w:rPr>
          <w:noProof/>
        </w:rPr>
      </w:pPr>
      <w:r>
        <w:rPr>
          <w:noProof/>
        </w:rPr>
        <w:lastRenderedPageBreak/>
        <w:t>PRILOGA</w:t>
      </w:r>
    </w:p>
    <w:p w:rsidR="00E54D84" w:rsidRDefault="00E54D84">
      <w:pPr>
        <w:jc w:val="center"/>
        <w:rPr>
          <w:b/>
          <w:iCs/>
          <w:noProof/>
          <w:u w:val="single"/>
        </w:rPr>
      </w:pPr>
    </w:p>
    <w:p w:rsidR="00E54D84" w:rsidRDefault="003D5F0D">
      <w:pPr>
        <w:rPr>
          <w:i/>
          <w:iCs/>
          <w:noProof/>
        </w:rPr>
      </w:pPr>
      <w:r>
        <w:rPr>
          <w:i/>
          <w:noProof/>
        </w:rPr>
        <w:t>Države članice Unije, ki so članice OIV, podprejo sklep generalne skupščine OIV, v skladu s katerim se Evropski uniji dodeli posebni status na podlagi naslednje posebne ureditve med OIV in Evropsko unijo:</w:t>
      </w:r>
    </w:p>
    <w:p w:rsidR="00E54D84" w:rsidRDefault="00E54D84">
      <w:pPr>
        <w:rPr>
          <w:i/>
          <w:iCs/>
          <w:noProof/>
        </w:rPr>
      </w:pPr>
    </w:p>
    <w:p w:rsidR="00E54D84" w:rsidRDefault="003D5F0D">
      <w:pPr>
        <w:jc w:val="center"/>
        <w:rPr>
          <w:b/>
          <w:noProof/>
        </w:rPr>
      </w:pPr>
      <w:r>
        <w:rPr>
          <w:b/>
          <w:noProof/>
        </w:rPr>
        <w:t>Posebna ureditev, vezana na posebni status Evropske unije v Mednarodni organizaciji za trto in vino</w:t>
      </w:r>
    </w:p>
    <w:p w:rsidR="00E54D84" w:rsidRDefault="00E54D84">
      <w:pPr>
        <w:widowControl w:val="0"/>
        <w:outlineLvl w:val="0"/>
        <w:rPr>
          <w:noProof/>
        </w:rPr>
      </w:pPr>
    </w:p>
    <w:p w:rsidR="00E54D84" w:rsidRDefault="003D5F0D">
      <w:pPr>
        <w:widowControl w:val="0"/>
        <w:outlineLvl w:val="0"/>
        <w:rPr>
          <w:noProof/>
        </w:rPr>
      </w:pPr>
      <w:r>
        <w:rPr>
          <w:noProof/>
        </w:rPr>
        <w:t>1. PODROČJA SODELOVANJA</w:t>
      </w:r>
    </w:p>
    <w:p w:rsidR="00E54D84" w:rsidRDefault="003D5F0D">
      <w:pPr>
        <w:rPr>
          <w:noProof/>
        </w:rPr>
      </w:pPr>
      <w:r>
        <w:rPr>
          <w:noProof/>
        </w:rPr>
        <w:t>Mednarodna organizacija za trto in vino (OIV) in Evropska unija imata v sektorju trte in vina skupne cilje. Obe prispevata k usklajevanju praks in standardov na mednarodni ravni in ravni Unije, da bi olajšali proizvodnjo in trženje proizvodov iz trte in vina. OIV zlasti sprejema in objavlja resolucije v zvezi s trto in vinom ter pomaga drugim mednarodnim organizacijam pri njihovih dejavnostih standardizacije. Med dejavnostmi Unije na področjih, ki jih pokriva OIV, so pravila v zvezi z opredelitvijo, proizvodnjo in trženjem vin, aromatiziranih vinskih proizvodov, vinskih žganj, grozdnih sokov in namiznega grozdja.</w:t>
      </w:r>
    </w:p>
    <w:p w:rsidR="00E54D84" w:rsidRDefault="00E54D84">
      <w:pPr>
        <w:widowControl w:val="0"/>
        <w:outlineLvl w:val="0"/>
        <w:rPr>
          <w:noProof/>
        </w:rPr>
      </w:pPr>
    </w:p>
    <w:p w:rsidR="00E54D84" w:rsidRDefault="003D5F0D">
      <w:pPr>
        <w:widowControl w:val="0"/>
        <w:outlineLvl w:val="0"/>
        <w:rPr>
          <w:noProof/>
        </w:rPr>
      </w:pPr>
      <w:r>
        <w:rPr>
          <w:noProof/>
        </w:rPr>
        <w:t>2. POSEBNA PRAVILA NA PODROČJU SODELOVANJA</w:t>
      </w:r>
    </w:p>
    <w:p w:rsidR="00E54D84" w:rsidRDefault="003D5F0D">
      <w:pPr>
        <w:rPr>
          <w:noProof/>
        </w:rPr>
      </w:pPr>
      <w:r>
        <w:rPr>
          <w:noProof/>
        </w:rPr>
        <w:t>Unija, ki jo zastopa Evropska komisija, lahko sodeluje pri delu odborov, pododborov in strokovnih skupin OIV. Na teh sestankih lahko predstavnik Evropske komisije po potrebi predstavi zakonodajo Unije, ki morda obstaja na zadevnem področju, in posebni interes Unije za obravnavana vprašanja.</w:t>
      </w:r>
    </w:p>
    <w:p w:rsidR="00E54D84" w:rsidRDefault="003D5F0D">
      <w:pPr>
        <w:rPr>
          <w:noProof/>
        </w:rPr>
      </w:pPr>
      <w:r>
        <w:rPr>
          <w:noProof/>
        </w:rPr>
        <w:t>Predstavnik Evropske komisije se lahko udeležuje zasedanj generalne skupščine in izvršnega odbora. Na zahtevo in v skladu s poslovnikom OIV lahko oba organa obvesti o stališčih Unije glede vprašanj na dnevnem redu, ki so v neposrednem interesu Unije.</w:t>
      </w:r>
    </w:p>
    <w:p w:rsidR="00E54D84" w:rsidRDefault="003D5F0D">
      <w:pPr>
        <w:rPr>
          <w:noProof/>
        </w:rPr>
      </w:pPr>
      <w:r>
        <w:rPr>
          <w:noProof/>
        </w:rPr>
        <w:t>Evropska komisija bo OIV redno vabila na sestanke, da si bosta izmenjali informacije ter razpravljali o zadevah v skupnem interesu OIV in Unije.</w:t>
      </w:r>
    </w:p>
    <w:p w:rsidR="00E54D84" w:rsidRDefault="003D5F0D">
      <w:pPr>
        <w:rPr>
          <w:noProof/>
        </w:rPr>
      </w:pPr>
      <w:r>
        <w:rPr>
          <w:noProof/>
        </w:rPr>
        <w:t>OIV pošilja Evropski komisiji (prek poštnega predala AGRI-OIV@ec.europa.eu) in vsem članicam OIV istočasno vse ustrezne dokumente, vključno z osnutki resolucij, ki bi lahko bili predloženi v glasovanje generalni skupščini. Da bi se lahko po potrebi  stališča Unije določila pravočasno, bo OIV osnutke resolucij pošiljala čim prej pred generalno skupščino, na kateri bodo predloženi v glasovanje.</w:t>
      </w:r>
    </w:p>
    <w:p w:rsidR="00E54D84" w:rsidRDefault="003D5F0D">
      <w:pPr>
        <w:rPr>
          <w:noProof/>
        </w:rPr>
      </w:pPr>
      <w:r>
        <w:rPr>
          <w:noProof/>
        </w:rPr>
        <w:t>Evropska komisija pošilja OIV vse ustrezne dokumente v zvezi s sprejetjem novih pravnih aktov Unije, ki so v neposrednem interesu OIV, ko se ti dokumenti javno objavijo.</w:t>
      </w:r>
    </w:p>
    <w:p w:rsidR="00E54D84" w:rsidRDefault="003D5F0D">
      <w:pPr>
        <w:rPr>
          <w:noProof/>
        </w:rPr>
      </w:pPr>
      <w:r>
        <w:rPr>
          <w:noProof/>
        </w:rPr>
        <w:t>OIV se seznanja z dejstvom, da bo Unija plačevala letni finančni prispevek v višini 140 000 EUR.</w:t>
      </w:r>
    </w:p>
    <w:p w:rsidR="00E54D84" w:rsidRDefault="00E54D84">
      <w:pPr>
        <w:rPr>
          <w:noProof/>
        </w:rPr>
      </w:pPr>
    </w:p>
    <w:p w:rsidR="00E54D84" w:rsidRDefault="00E54D84">
      <w:pPr>
        <w:widowControl w:val="0"/>
        <w:rPr>
          <w:i/>
          <w:iCs/>
          <w:noProof/>
          <w:szCs w:val="20"/>
        </w:rPr>
      </w:pPr>
    </w:p>
    <w:p w:rsidR="00E54D84" w:rsidRDefault="00E54D84">
      <w:pPr>
        <w:widowControl w:val="0"/>
        <w:rPr>
          <w:noProof/>
          <w:szCs w:val="20"/>
        </w:rPr>
      </w:pPr>
    </w:p>
    <w:sectPr w:rsidR="00E54D84">
      <w:footerReference w:type="default" r:id="rId22"/>
      <w:footerReference w:type="first" r:id="rId2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84" w:rsidRDefault="003D5F0D">
      <w:pPr>
        <w:spacing w:before="0" w:after="0"/>
      </w:pPr>
      <w:r>
        <w:separator/>
      </w:r>
    </w:p>
  </w:endnote>
  <w:endnote w:type="continuationSeparator" w:id="0">
    <w:p w:rsidR="00E54D84" w:rsidRDefault="003D5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Pr="003D5F0D" w:rsidRDefault="00E54D84" w:rsidP="003D5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D5F0D" w:rsidRPr="00D94637" w:rsidTr="003D5F0D">
      <w:trPr>
        <w:jc w:val="center"/>
      </w:trPr>
      <w:tc>
        <w:tcPr>
          <w:tcW w:w="5000" w:type="pct"/>
          <w:gridSpan w:val="7"/>
          <w:shd w:val="clear" w:color="auto" w:fill="auto"/>
          <w:tcMar>
            <w:top w:w="57" w:type="dxa"/>
          </w:tcMar>
        </w:tcPr>
        <w:p w:rsidR="003D5F0D" w:rsidRPr="00D94637" w:rsidRDefault="003D5F0D" w:rsidP="00D94637">
          <w:pPr>
            <w:pStyle w:val="FooterText"/>
            <w:pBdr>
              <w:top w:val="single" w:sz="4" w:space="1" w:color="auto"/>
            </w:pBdr>
            <w:spacing w:before="200"/>
            <w:rPr>
              <w:sz w:val="2"/>
              <w:szCs w:val="2"/>
            </w:rPr>
          </w:pPr>
          <w:bookmarkStart w:id="2" w:name="FOOTER_STANDARD"/>
        </w:p>
      </w:tc>
    </w:tr>
    <w:tr w:rsidR="003D5F0D" w:rsidRPr="00B310DC" w:rsidTr="003D5F0D">
      <w:trPr>
        <w:jc w:val="center"/>
      </w:trPr>
      <w:tc>
        <w:tcPr>
          <w:tcW w:w="2500" w:type="pct"/>
          <w:gridSpan w:val="2"/>
          <w:shd w:val="clear" w:color="auto" w:fill="auto"/>
          <w:tcMar>
            <w:top w:w="0" w:type="dxa"/>
          </w:tcMar>
        </w:tcPr>
        <w:p w:rsidR="003D5F0D" w:rsidRPr="00AD7BF2" w:rsidRDefault="003D5F0D" w:rsidP="004F54B2">
          <w:pPr>
            <w:pStyle w:val="FooterText"/>
          </w:pPr>
          <w:r>
            <w:t>11869/17</w:t>
          </w:r>
          <w:r w:rsidRPr="002511D8">
            <w:t xml:space="preserve"> </w:t>
          </w:r>
          <w:r>
            <w:t>ADD 1</w:t>
          </w:r>
        </w:p>
      </w:tc>
      <w:tc>
        <w:tcPr>
          <w:tcW w:w="625" w:type="pct"/>
          <w:shd w:val="clear" w:color="auto" w:fill="auto"/>
          <w:tcMar>
            <w:top w:w="0" w:type="dxa"/>
          </w:tcMar>
        </w:tcPr>
        <w:p w:rsidR="003D5F0D" w:rsidRPr="00AD7BF2" w:rsidRDefault="003D5F0D" w:rsidP="00D94637">
          <w:pPr>
            <w:pStyle w:val="FooterText"/>
            <w:jc w:val="center"/>
          </w:pPr>
        </w:p>
      </w:tc>
      <w:tc>
        <w:tcPr>
          <w:tcW w:w="1286" w:type="pct"/>
          <w:gridSpan w:val="3"/>
          <w:shd w:val="clear" w:color="auto" w:fill="auto"/>
          <w:tcMar>
            <w:top w:w="0" w:type="dxa"/>
          </w:tcMar>
        </w:tcPr>
        <w:p w:rsidR="003D5F0D" w:rsidRPr="002511D8" w:rsidRDefault="003D5F0D" w:rsidP="00D94637">
          <w:pPr>
            <w:pStyle w:val="FooterText"/>
            <w:jc w:val="center"/>
          </w:pPr>
          <w:r>
            <w:t>tu</w:t>
          </w:r>
        </w:p>
      </w:tc>
      <w:tc>
        <w:tcPr>
          <w:tcW w:w="589" w:type="pct"/>
          <w:shd w:val="clear" w:color="auto" w:fill="auto"/>
          <w:tcMar>
            <w:top w:w="0" w:type="dxa"/>
          </w:tcMar>
        </w:tcPr>
        <w:p w:rsidR="003D5F0D" w:rsidRPr="00B310DC" w:rsidRDefault="003D5F0D"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D5F0D" w:rsidRPr="00D94637" w:rsidTr="003D5F0D">
      <w:trPr>
        <w:jc w:val="center"/>
      </w:trPr>
      <w:tc>
        <w:tcPr>
          <w:tcW w:w="1774" w:type="pct"/>
          <w:shd w:val="clear" w:color="auto" w:fill="auto"/>
        </w:tcPr>
        <w:p w:rsidR="003D5F0D" w:rsidRPr="00AD7BF2" w:rsidRDefault="003D5F0D" w:rsidP="00D94637">
          <w:pPr>
            <w:pStyle w:val="FooterText"/>
            <w:spacing w:before="40"/>
          </w:pPr>
        </w:p>
      </w:tc>
      <w:tc>
        <w:tcPr>
          <w:tcW w:w="1455" w:type="pct"/>
          <w:gridSpan w:val="3"/>
          <w:shd w:val="clear" w:color="auto" w:fill="auto"/>
        </w:tcPr>
        <w:p w:rsidR="003D5F0D" w:rsidRPr="00AD7BF2" w:rsidRDefault="003D5F0D" w:rsidP="00D204D6">
          <w:pPr>
            <w:pStyle w:val="FooterText"/>
            <w:spacing w:before="40"/>
            <w:jc w:val="center"/>
          </w:pPr>
          <w:r>
            <w:t>DGB 1 A</w:t>
          </w:r>
        </w:p>
      </w:tc>
      <w:tc>
        <w:tcPr>
          <w:tcW w:w="742" w:type="pct"/>
          <w:shd w:val="clear" w:color="auto" w:fill="auto"/>
        </w:tcPr>
        <w:p w:rsidR="003D5F0D" w:rsidRPr="00D94637" w:rsidRDefault="003D5F0D" w:rsidP="002F0099">
          <w:pPr>
            <w:pStyle w:val="FooterText"/>
            <w:jc w:val="center"/>
            <w:rPr>
              <w:b/>
              <w:position w:val="-4"/>
              <w:sz w:val="36"/>
            </w:rPr>
          </w:pPr>
        </w:p>
      </w:tc>
      <w:tc>
        <w:tcPr>
          <w:tcW w:w="1029" w:type="pct"/>
          <w:gridSpan w:val="2"/>
          <w:shd w:val="clear" w:color="auto" w:fill="auto"/>
        </w:tcPr>
        <w:p w:rsidR="003D5F0D" w:rsidRPr="00D94637" w:rsidRDefault="003D5F0D" w:rsidP="00D94637">
          <w:pPr>
            <w:pStyle w:val="FooterText"/>
            <w:jc w:val="right"/>
            <w:rPr>
              <w:sz w:val="16"/>
            </w:rPr>
          </w:pPr>
          <w:r>
            <w:rPr>
              <w:b/>
              <w:position w:val="-4"/>
              <w:sz w:val="36"/>
            </w:rPr>
            <w:t>SL</w:t>
          </w:r>
        </w:p>
      </w:tc>
    </w:tr>
    <w:bookmarkEnd w:id="2"/>
  </w:tbl>
  <w:p w:rsidR="00E54D84" w:rsidRPr="003D5F0D" w:rsidRDefault="00E54D84" w:rsidP="003D5F0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D5F0D" w:rsidRPr="00D94637" w:rsidTr="003D5F0D">
      <w:trPr>
        <w:jc w:val="center"/>
      </w:trPr>
      <w:tc>
        <w:tcPr>
          <w:tcW w:w="5000" w:type="pct"/>
          <w:gridSpan w:val="7"/>
          <w:shd w:val="clear" w:color="auto" w:fill="auto"/>
          <w:tcMar>
            <w:top w:w="57" w:type="dxa"/>
          </w:tcMar>
        </w:tcPr>
        <w:p w:rsidR="003D5F0D" w:rsidRPr="00D94637" w:rsidRDefault="003D5F0D" w:rsidP="00D94637">
          <w:pPr>
            <w:pStyle w:val="FooterText"/>
            <w:pBdr>
              <w:top w:val="single" w:sz="4" w:space="1" w:color="auto"/>
            </w:pBdr>
            <w:spacing w:before="200"/>
            <w:rPr>
              <w:sz w:val="2"/>
              <w:szCs w:val="2"/>
            </w:rPr>
          </w:pPr>
        </w:p>
      </w:tc>
    </w:tr>
    <w:tr w:rsidR="003D5F0D" w:rsidRPr="00B310DC" w:rsidTr="003D5F0D">
      <w:trPr>
        <w:jc w:val="center"/>
      </w:trPr>
      <w:tc>
        <w:tcPr>
          <w:tcW w:w="2500" w:type="pct"/>
          <w:gridSpan w:val="2"/>
          <w:shd w:val="clear" w:color="auto" w:fill="auto"/>
          <w:tcMar>
            <w:top w:w="0" w:type="dxa"/>
          </w:tcMar>
        </w:tcPr>
        <w:p w:rsidR="003D5F0D" w:rsidRPr="00AD7BF2" w:rsidRDefault="003D5F0D" w:rsidP="004F54B2">
          <w:pPr>
            <w:pStyle w:val="FooterText"/>
          </w:pPr>
          <w:r>
            <w:t>11869/17</w:t>
          </w:r>
          <w:r w:rsidRPr="002511D8">
            <w:t xml:space="preserve"> </w:t>
          </w:r>
          <w:r>
            <w:t>ADD 1</w:t>
          </w:r>
        </w:p>
      </w:tc>
      <w:tc>
        <w:tcPr>
          <w:tcW w:w="625" w:type="pct"/>
          <w:shd w:val="clear" w:color="auto" w:fill="auto"/>
          <w:tcMar>
            <w:top w:w="0" w:type="dxa"/>
          </w:tcMar>
        </w:tcPr>
        <w:p w:rsidR="003D5F0D" w:rsidRPr="00AD7BF2" w:rsidRDefault="003D5F0D" w:rsidP="00D94637">
          <w:pPr>
            <w:pStyle w:val="FooterText"/>
            <w:jc w:val="center"/>
          </w:pPr>
        </w:p>
      </w:tc>
      <w:tc>
        <w:tcPr>
          <w:tcW w:w="1286" w:type="pct"/>
          <w:gridSpan w:val="3"/>
          <w:shd w:val="clear" w:color="auto" w:fill="auto"/>
          <w:tcMar>
            <w:top w:w="0" w:type="dxa"/>
          </w:tcMar>
        </w:tcPr>
        <w:p w:rsidR="003D5F0D" w:rsidRPr="002511D8" w:rsidRDefault="003D5F0D" w:rsidP="00D94637">
          <w:pPr>
            <w:pStyle w:val="FooterText"/>
            <w:jc w:val="center"/>
          </w:pPr>
          <w:r>
            <w:t>tu</w:t>
          </w:r>
        </w:p>
      </w:tc>
      <w:tc>
        <w:tcPr>
          <w:tcW w:w="589" w:type="pct"/>
          <w:shd w:val="clear" w:color="auto" w:fill="auto"/>
          <w:tcMar>
            <w:top w:w="0" w:type="dxa"/>
          </w:tcMar>
        </w:tcPr>
        <w:p w:rsidR="003D5F0D" w:rsidRPr="00B310DC" w:rsidRDefault="003D5F0D" w:rsidP="00D94637">
          <w:pPr>
            <w:pStyle w:val="FooterText"/>
            <w:jc w:val="right"/>
          </w:pPr>
        </w:p>
      </w:tc>
    </w:tr>
    <w:tr w:rsidR="003D5F0D" w:rsidRPr="00D94637" w:rsidTr="003D5F0D">
      <w:trPr>
        <w:jc w:val="center"/>
      </w:trPr>
      <w:tc>
        <w:tcPr>
          <w:tcW w:w="1774" w:type="pct"/>
          <w:shd w:val="clear" w:color="auto" w:fill="auto"/>
        </w:tcPr>
        <w:p w:rsidR="003D5F0D" w:rsidRPr="00AD7BF2" w:rsidRDefault="003D5F0D" w:rsidP="00D94637">
          <w:pPr>
            <w:pStyle w:val="FooterText"/>
            <w:spacing w:before="40"/>
          </w:pPr>
        </w:p>
      </w:tc>
      <w:tc>
        <w:tcPr>
          <w:tcW w:w="1455" w:type="pct"/>
          <w:gridSpan w:val="3"/>
          <w:shd w:val="clear" w:color="auto" w:fill="auto"/>
        </w:tcPr>
        <w:p w:rsidR="003D5F0D" w:rsidRPr="00AD7BF2" w:rsidRDefault="003D5F0D" w:rsidP="00D204D6">
          <w:pPr>
            <w:pStyle w:val="FooterText"/>
            <w:spacing w:before="40"/>
            <w:jc w:val="center"/>
          </w:pPr>
          <w:r>
            <w:t>DGB 1 A</w:t>
          </w:r>
        </w:p>
      </w:tc>
      <w:tc>
        <w:tcPr>
          <w:tcW w:w="742" w:type="pct"/>
          <w:shd w:val="clear" w:color="auto" w:fill="auto"/>
        </w:tcPr>
        <w:p w:rsidR="003D5F0D" w:rsidRPr="00D94637" w:rsidRDefault="003D5F0D" w:rsidP="002F0099">
          <w:pPr>
            <w:pStyle w:val="FooterText"/>
            <w:jc w:val="center"/>
            <w:rPr>
              <w:b/>
              <w:position w:val="-4"/>
              <w:sz w:val="36"/>
            </w:rPr>
          </w:pPr>
        </w:p>
      </w:tc>
      <w:tc>
        <w:tcPr>
          <w:tcW w:w="1029" w:type="pct"/>
          <w:gridSpan w:val="2"/>
          <w:shd w:val="clear" w:color="auto" w:fill="auto"/>
        </w:tcPr>
        <w:p w:rsidR="003D5F0D" w:rsidRPr="00D94637" w:rsidRDefault="003D5F0D" w:rsidP="00D94637">
          <w:pPr>
            <w:pStyle w:val="FooterText"/>
            <w:jc w:val="right"/>
            <w:rPr>
              <w:sz w:val="16"/>
            </w:rPr>
          </w:pPr>
          <w:r>
            <w:rPr>
              <w:b/>
              <w:position w:val="-4"/>
              <w:sz w:val="36"/>
            </w:rPr>
            <w:t>SL</w:t>
          </w:r>
        </w:p>
      </w:tc>
    </w:tr>
  </w:tbl>
  <w:p w:rsidR="00E54D84" w:rsidRPr="003D5F0D" w:rsidRDefault="00E54D84" w:rsidP="003D5F0D">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Default="003D5F0D">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1625F3">
      <w:rPr>
        <w:noProof/>
      </w:rPr>
      <w:t>2</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Default="00E54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84" w:rsidRDefault="003D5F0D">
      <w:pPr>
        <w:spacing w:before="0" w:after="0"/>
      </w:pPr>
      <w:r>
        <w:separator/>
      </w:r>
    </w:p>
  </w:footnote>
  <w:footnote w:type="continuationSeparator" w:id="0">
    <w:p w:rsidR="00E54D84" w:rsidRDefault="003D5F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Pr="003D5F0D" w:rsidRDefault="00E54D84" w:rsidP="003D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Pr="003D5F0D" w:rsidRDefault="00E54D84" w:rsidP="003D5F0D">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D84" w:rsidRPr="003D5F0D" w:rsidRDefault="00E54D84" w:rsidP="003D5F0D">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0EEC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20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A26A0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C09E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6481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8C5E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509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A3D6D5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24e7b807-0cb6-4bce-81b4-0746265e6de7&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9-04&lt;/text&gt;_x000d__x000a_  &lt;/metadata&gt;_x000d__x000a_  &lt;metadata key=&quot;md_Prefix&quot;&gt;_x000d__x000a_    &lt;text&gt;&lt;/text&gt;_x000d__x000a_  &lt;/metadata&gt;_x000d__x000a_  &lt;metadata key=&quot;md_DocumentNumber&quot;&gt;_x000d__x000a_    &lt;text&gt;11869&lt;/text&gt;_x000d__x000a_  &lt;/metadata&gt;_x000d__x000a_  &lt;metadata key=&quot;md_YearDocumentNumber&quot;&gt;_x000d__x000a_    &lt;text&gt;2017&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OIV 13&lt;/text&gt;_x000d__x000a_      &lt;text&gt;AGRI 44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1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57 final -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ILOGA k Predlogu za Sklep Sveta o stali&amp;#353;&amp;#269;u, ki se v imenu Evropske unije zastopa v Mednarodni organizaciji za trto in vino&quot;&gt;&amp;lt;FlowDocument FontFamily=&quot;Arial Unicode MS&quot; FontSize=&quot;12&quot; PagePadding=&quot;5,0,5,0&quot; AllowDrop=&quot;False&quot; xmlns=&quot;http://schemas.microsoft.com/winfx/2006/xaml/presentation&quot;&amp;gt;&amp;lt;Paragraph&amp;gt;PRILOGA k Predlogu za Sklep Sveta o stali&amp;#353;&amp;#269;u, ki se v imenu Evropske unije zastopa v Mednarodni organizaciji za trto in vino&amp;lt;/Paragraph&amp;gt;&amp;lt;/FlowDocument&amp;gt;&lt;/xaml&gt;_x000d__x000a_  &lt;/metadata&gt;_x000d__x000a_  &lt;metadata key=&quot;md_SubjectFootnote&quot; /&gt;_x000d__x000a_  &lt;metadata key=&quot;md_DG&quot;&gt;_x000d__x000a_    &lt;text&gt;DGB 1 A&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A&lt;/text&gt;_x000d__x000a_  &lt;/metadata&gt;_x000d__x000a_  &lt;metadata key=&quot;md_SourceDocTitle&quot;&gt;_x000d__x000a_    &lt;text&gt;k _x000d__x000a_Predlogu za Sklep Sveta_x000d__x000a_o stali&amp;#353;&amp;#269;u, ki se v imenu Evropske unije zastopa v Mednarodni organizaciji za trto in vino&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18 16:34: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1"/>
    <w:docVar w:name="LW_CONFIDENCE" w:val=" "/>
    <w:docVar w:name="LW_CONST_RESTREINT_UE" w:val="RESTREINT UE"/>
    <w:docVar w:name="LW_CORRIGENDUM" w:val="&lt;UNUSED&gt;"/>
    <w:docVar w:name="LW_COVERPAGE_GUID" w:val="B4912D85027B48588D69707E0D3A5657"/>
    <w:docVar w:name="LW_CROSSREFERENCE" w:val="&lt;UNUSED&gt;"/>
    <w:docVar w:name="LW_DocType" w:val="ANNEX"/>
    <w:docVar w:name="LW_EMISSION" w:val="29.8.2017"/>
    <w:docVar w:name="LW_EMISSION_ISODATE" w:val="2017-08-29"/>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57"/>
    <w:docVar w:name="LW_REF.INTERNE" w:val="&lt;UNUSED&gt;"/>
    <w:docVar w:name="LW_SUPERTITRE" w:val="&lt;UNUSED&gt;"/>
    <w:docVar w:name="LW_TITRE.OBJ.CP" w:val="&lt;UNUSED&gt;"/>
    <w:docVar w:name="LW_TYPE.DOC" w:val="PRILOGA"/>
    <w:docVar w:name="LW_TYPE.DOC.CP" w:val="PRILOGA"/>
    <w:docVar w:name="LW_TYPEACTEPRINCIPAL" w:val="Predlogu za Sklep Sveta_x000b_o stali\u353?\u269?u, ki se v imenu Evropske unije zastopa v Mednarodni organizaciji za trto in vino"/>
    <w:docVar w:name="LW_TYPEACTEPRINCIPAL.CP" w:val="Predlogu za Sklep Sveta_x000b_o stali\u353?\u269?u, ki se v imenu Evropske unije zastopa v Mednarodni organizaciji za trto in vino"/>
  </w:docVars>
  <w:rsids>
    <w:rsidRoot w:val="00E54D84"/>
    <w:rsid w:val="001625F3"/>
    <w:rsid w:val="003D5F0D"/>
    <w:rsid w:val="00E5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D5F0D"/>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D5F0D"/>
    <w:pPr>
      <w:spacing w:before="0" w:after="240"/>
      <w:jc w:val="center"/>
    </w:pPr>
  </w:style>
  <w:style w:type="character" w:customStyle="1" w:styleId="TechnicalBlockChar">
    <w:name w:val="Technical Block Char"/>
    <w:basedOn w:val="DefaultParagraphFont"/>
    <w:link w:val="TechnicalBlock"/>
    <w:rsid w:val="003D5F0D"/>
    <w:rPr>
      <w:rFonts w:ascii="Times New Roman" w:hAnsi="Times New Roman" w:cs="Times New Roman"/>
      <w:sz w:val="24"/>
    </w:rPr>
  </w:style>
  <w:style w:type="paragraph" w:customStyle="1" w:styleId="Lignefinal">
    <w:name w:val="Ligne final"/>
    <w:basedOn w:val="Normal"/>
    <w:next w:val="Normal"/>
    <w:rsid w:val="003D5F0D"/>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D5F0D"/>
    <w:pPr>
      <w:spacing w:line="360" w:lineRule="auto"/>
      <w:jc w:val="left"/>
    </w:pPr>
    <w:rPr>
      <w:lang w:eastAsia="en-US" w:bidi="ar-SA"/>
    </w:rPr>
  </w:style>
  <w:style w:type="paragraph" w:customStyle="1" w:styleId="pj">
    <w:name w:val="p.j."/>
    <w:basedOn w:val="Normal"/>
    <w:link w:val="pjChar"/>
    <w:rsid w:val="003D5F0D"/>
    <w:pPr>
      <w:spacing w:before="1200"/>
      <w:ind w:left="1440" w:hanging="1440"/>
      <w:jc w:val="left"/>
    </w:pPr>
  </w:style>
  <w:style w:type="character" w:customStyle="1" w:styleId="pjChar">
    <w:name w:val="p.j. Char"/>
    <w:basedOn w:val="TechnicalBlockChar"/>
    <w:link w:val="pj"/>
    <w:rsid w:val="003D5F0D"/>
    <w:rPr>
      <w:rFonts w:ascii="Times New Roman" w:hAnsi="Times New Roman" w:cs="Times New Roman"/>
      <w:sz w:val="24"/>
    </w:rPr>
  </w:style>
  <w:style w:type="paragraph" w:customStyle="1" w:styleId="HeaderCouncil">
    <w:name w:val="Header Council"/>
    <w:basedOn w:val="Normal"/>
    <w:link w:val="HeaderCouncilChar"/>
    <w:rsid w:val="003D5F0D"/>
    <w:pPr>
      <w:spacing w:before="0" w:after="0"/>
    </w:pPr>
    <w:rPr>
      <w:sz w:val="2"/>
    </w:rPr>
  </w:style>
  <w:style w:type="character" w:customStyle="1" w:styleId="HeaderCouncilChar">
    <w:name w:val="Header Council Char"/>
    <w:basedOn w:val="pjChar"/>
    <w:link w:val="HeaderCouncil"/>
    <w:rsid w:val="003D5F0D"/>
    <w:rPr>
      <w:rFonts w:ascii="Times New Roman" w:hAnsi="Times New Roman" w:cs="Times New Roman"/>
      <w:sz w:val="2"/>
    </w:rPr>
  </w:style>
  <w:style w:type="paragraph" w:customStyle="1" w:styleId="HeaderCouncilLarge">
    <w:name w:val="Header Council Large"/>
    <w:basedOn w:val="Normal"/>
    <w:link w:val="HeaderCouncilLargeChar"/>
    <w:rsid w:val="003D5F0D"/>
    <w:pPr>
      <w:spacing w:before="0" w:after="440"/>
    </w:pPr>
    <w:rPr>
      <w:sz w:val="2"/>
    </w:rPr>
  </w:style>
  <w:style w:type="character" w:customStyle="1" w:styleId="HeaderCouncilLargeChar">
    <w:name w:val="Header Council Large Char"/>
    <w:basedOn w:val="pjChar"/>
    <w:link w:val="HeaderCouncilLarge"/>
    <w:rsid w:val="003D5F0D"/>
    <w:rPr>
      <w:rFonts w:ascii="Times New Roman" w:hAnsi="Times New Roman" w:cs="Times New Roman"/>
      <w:sz w:val="2"/>
    </w:rPr>
  </w:style>
  <w:style w:type="paragraph" w:customStyle="1" w:styleId="FooterCouncil">
    <w:name w:val="Footer Council"/>
    <w:basedOn w:val="Normal"/>
    <w:link w:val="FooterCouncilChar"/>
    <w:rsid w:val="003D5F0D"/>
    <w:pPr>
      <w:spacing w:before="0" w:after="0"/>
    </w:pPr>
    <w:rPr>
      <w:sz w:val="2"/>
    </w:rPr>
  </w:style>
  <w:style w:type="character" w:customStyle="1" w:styleId="FooterCouncilChar">
    <w:name w:val="Footer Council Char"/>
    <w:basedOn w:val="pjChar"/>
    <w:link w:val="FooterCouncil"/>
    <w:rsid w:val="003D5F0D"/>
    <w:rPr>
      <w:rFonts w:ascii="Times New Roman" w:hAnsi="Times New Roman" w:cs="Times New Roman"/>
      <w:sz w:val="2"/>
    </w:rPr>
  </w:style>
  <w:style w:type="paragraph" w:customStyle="1" w:styleId="FooterText">
    <w:name w:val="Footer Text"/>
    <w:basedOn w:val="Normal"/>
    <w:rsid w:val="003D5F0D"/>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D5F0D"/>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D5F0D"/>
    <w:pPr>
      <w:spacing w:before="0" w:after="240"/>
      <w:jc w:val="center"/>
    </w:pPr>
  </w:style>
  <w:style w:type="character" w:customStyle="1" w:styleId="TechnicalBlockChar">
    <w:name w:val="Technical Block Char"/>
    <w:basedOn w:val="DefaultParagraphFont"/>
    <w:link w:val="TechnicalBlock"/>
    <w:rsid w:val="003D5F0D"/>
    <w:rPr>
      <w:rFonts w:ascii="Times New Roman" w:hAnsi="Times New Roman" w:cs="Times New Roman"/>
      <w:sz w:val="24"/>
    </w:rPr>
  </w:style>
  <w:style w:type="paragraph" w:customStyle="1" w:styleId="Lignefinal">
    <w:name w:val="Ligne final"/>
    <w:basedOn w:val="Normal"/>
    <w:next w:val="Normal"/>
    <w:rsid w:val="003D5F0D"/>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D5F0D"/>
    <w:pPr>
      <w:spacing w:line="360" w:lineRule="auto"/>
      <w:jc w:val="left"/>
    </w:pPr>
    <w:rPr>
      <w:lang w:eastAsia="en-US" w:bidi="ar-SA"/>
    </w:rPr>
  </w:style>
  <w:style w:type="paragraph" w:customStyle="1" w:styleId="pj">
    <w:name w:val="p.j."/>
    <w:basedOn w:val="Normal"/>
    <w:link w:val="pjChar"/>
    <w:rsid w:val="003D5F0D"/>
    <w:pPr>
      <w:spacing w:before="1200"/>
      <w:ind w:left="1440" w:hanging="1440"/>
      <w:jc w:val="left"/>
    </w:pPr>
  </w:style>
  <w:style w:type="character" w:customStyle="1" w:styleId="pjChar">
    <w:name w:val="p.j. Char"/>
    <w:basedOn w:val="TechnicalBlockChar"/>
    <w:link w:val="pj"/>
    <w:rsid w:val="003D5F0D"/>
    <w:rPr>
      <w:rFonts w:ascii="Times New Roman" w:hAnsi="Times New Roman" w:cs="Times New Roman"/>
      <w:sz w:val="24"/>
    </w:rPr>
  </w:style>
  <w:style w:type="paragraph" w:customStyle="1" w:styleId="HeaderCouncil">
    <w:name w:val="Header Council"/>
    <w:basedOn w:val="Normal"/>
    <w:link w:val="HeaderCouncilChar"/>
    <w:rsid w:val="003D5F0D"/>
    <w:pPr>
      <w:spacing w:before="0" w:after="0"/>
    </w:pPr>
    <w:rPr>
      <w:sz w:val="2"/>
    </w:rPr>
  </w:style>
  <w:style w:type="character" w:customStyle="1" w:styleId="HeaderCouncilChar">
    <w:name w:val="Header Council Char"/>
    <w:basedOn w:val="pjChar"/>
    <w:link w:val="HeaderCouncil"/>
    <w:rsid w:val="003D5F0D"/>
    <w:rPr>
      <w:rFonts w:ascii="Times New Roman" w:hAnsi="Times New Roman" w:cs="Times New Roman"/>
      <w:sz w:val="2"/>
    </w:rPr>
  </w:style>
  <w:style w:type="paragraph" w:customStyle="1" w:styleId="HeaderCouncilLarge">
    <w:name w:val="Header Council Large"/>
    <w:basedOn w:val="Normal"/>
    <w:link w:val="HeaderCouncilLargeChar"/>
    <w:rsid w:val="003D5F0D"/>
    <w:pPr>
      <w:spacing w:before="0" w:after="440"/>
    </w:pPr>
    <w:rPr>
      <w:sz w:val="2"/>
    </w:rPr>
  </w:style>
  <w:style w:type="character" w:customStyle="1" w:styleId="HeaderCouncilLargeChar">
    <w:name w:val="Header Council Large Char"/>
    <w:basedOn w:val="pjChar"/>
    <w:link w:val="HeaderCouncilLarge"/>
    <w:rsid w:val="003D5F0D"/>
    <w:rPr>
      <w:rFonts w:ascii="Times New Roman" w:hAnsi="Times New Roman" w:cs="Times New Roman"/>
      <w:sz w:val="2"/>
    </w:rPr>
  </w:style>
  <w:style w:type="paragraph" w:customStyle="1" w:styleId="FooterCouncil">
    <w:name w:val="Footer Council"/>
    <w:basedOn w:val="Normal"/>
    <w:link w:val="FooterCouncilChar"/>
    <w:rsid w:val="003D5F0D"/>
    <w:pPr>
      <w:spacing w:before="0" w:after="0"/>
    </w:pPr>
    <w:rPr>
      <w:sz w:val="2"/>
    </w:rPr>
  </w:style>
  <w:style w:type="character" w:customStyle="1" w:styleId="FooterCouncilChar">
    <w:name w:val="Footer Council Char"/>
    <w:basedOn w:val="pjChar"/>
    <w:link w:val="FooterCouncil"/>
    <w:rsid w:val="003D5F0D"/>
    <w:rPr>
      <w:rFonts w:ascii="Times New Roman" w:hAnsi="Times New Roman" w:cs="Times New Roman"/>
      <w:sz w:val="2"/>
    </w:rPr>
  </w:style>
  <w:style w:type="paragraph" w:customStyle="1" w:styleId="FooterText">
    <w:name w:val="Footer Text"/>
    <w:basedOn w:val="Normal"/>
    <w:rsid w:val="003D5F0D"/>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UNGAR Tomaz</cp:lastModifiedBy>
  <cp:revision>3</cp:revision>
  <cp:lastPrinted>2017-04-07T10:51:00Z</cp:lastPrinted>
  <dcterms:created xsi:type="dcterms:W3CDTF">2017-09-04T14:25:00Z</dcterms:created>
  <dcterms:modified xsi:type="dcterms:W3CDTF">2017-09-04T14:25:00Z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