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1C" w:rsidRDefault="00C34697" w:rsidP="0038481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b91c08d-8423-41e4-9be8-f105713ac5b9_0" style="width:569pt;height:369pt">
            <v:imagedata r:id="rId9" o:title=""/>
          </v:shape>
        </w:pict>
      </w:r>
      <w:bookmarkEnd w:id="0"/>
    </w:p>
    <w:p w:rsidR="0038481C" w:rsidRDefault="0038481C" w:rsidP="0038481C">
      <w:pPr>
        <w:pStyle w:val="EntText"/>
        <w:spacing w:before="480"/>
      </w:pPr>
      <w:r w:rsidRPr="0038481C">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8481C">
        <w:instrText>COM(2017) 457 final</w:instrText>
      </w:r>
      <w:r>
        <w:instrText xml:space="preserve">" </w:instrText>
      </w:r>
      <w:r>
        <w:fldChar w:fldCharType="separate"/>
      </w:r>
      <w:r w:rsidRPr="0038481C">
        <w:t xml:space="preserve">COM(2017) 457 </w:t>
      </w:r>
      <w:proofErr w:type="spellStart"/>
      <w:r w:rsidRPr="0038481C">
        <w:t>final</w:t>
      </w:r>
      <w:proofErr w:type="spellEnd"/>
      <w:r>
        <w:fldChar w:fldCharType="end"/>
      </w:r>
      <w:r w:rsidRPr="0038481C">
        <w:t>.</w:t>
      </w:r>
    </w:p>
    <w:p w:rsidR="0038481C" w:rsidRDefault="0038481C" w:rsidP="0038481C">
      <w:pPr>
        <w:pStyle w:val="Lignefinal"/>
      </w:pPr>
    </w:p>
    <w:p w:rsidR="0038481C" w:rsidRPr="0038481C" w:rsidRDefault="0038481C" w:rsidP="0038481C">
      <w:pPr>
        <w:pStyle w:val="pj"/>
        <w:spacing w:before="120"/>
      </w:pPr>
      <w:r w:rsidRPr="0038481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8481C">
        <w:instrText>COM(2017) 457 final</w:instrText>
      </w:r>
      <w:r>
        <w:instrText xml:space="preserve">" </w:instrText>
      </w:r>
      <w:r>
        <w:fldChar w:fldCharType="separate"/>
      </w:r>
      <w:r w:rsidRPr="0038481C">
        <w:t xml:space="preserve">COM(2017) 457 </w:t>
      </w:r>
      <w:proofErr w:type="spellStart"/>
      <w:r w:rsidRPr="0038481C">
        <w:t>final</w:t>
      </w:r>
      <w:proofErr w:type="spellEnd"/>
      <w:r>
        <w:fldChar w:fldCharType="end"/>
      </w:r>
    </w:p>
    <w:p w:rsidR="0038481C" w:rsidRDefault="0038481C" w:rsidP="0038481C">
      <w:pPr>
        <w:rPr>
          <w:noProof/>
        </w:rPr>
        <w:sectPr w:rsidR="0038481C" w:rsidSect="0038481C">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bookmarkStart w:id="2" w:name="_GoBack"/>
      <w:bookmarkEnd w:id="2"/>
    </w:p>
    <w:p w:rsidR="008B4FEE" w:rsidRDefault="00C34697">
      <w:pPr>
        <w:pStyle w:val="Pagedecouverture"/>
        <w:rPr>
          <w:noProof/>
        </w:rPr>
      </w:pPr>
      <w:r>
        <w:rPr>
          <w:noProof/>
        </w:rPr>
        <w:lastRenderedPageBreak/>
        <w:pict>
          <v:shape id="_x0000_i1026" type="#_x0000_t75" alt="D7DD73A206ED462FB5C00F179AF68258" style="width:451pt;height:352pt">
            <v:imagedata r:id="rId16" o:title=""/>
          </v:shape>
        </w:pict>
      </w:r>
    </w:p>
    <w:p w:rsidR="008B4FEE" w:rsidRDefault="008B4FEE">
      <w:pPr>
        <w:rPr>
          <w:noProof/>
        </w:rPr>
        <w:sectPr w:rsidR="008B4FEE">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8B4FEE" w:rsidRDefault="0038481C">
      <w:pPr>
        <w:pStyle w:val="Exposdesmotifstitre"/>
        <w:rPr>
          <w:noProof/>
        </w:rPr>
      </w:pPr>
      <w:r>
        <w:rPr>
          <w:noProof/>
        </w:rPr>
        <w:lastRenderedPageBreak/>
        <w:t>OBRAZLOŽITVENI MEMORANDUM</w:t>
      </w:r>
    </w:p>
    <w:p w:rsidR="008B4FEE" w:rsidRDefault="0038481C">
      <w:pPr>
        <w:pStyle w:val="ManualHeading1"/>
        <w:rPr>
          <w:noProof/>
        </w:rPr>
      </w:pPr>
      <w:r>
        <w:rPr>
          <w:noProof/>
        </w:rPr>
        <w:t>1.</w:t>
      </w:r>
      <w:r>
        <w:rPr>
          <w:noProof/>
        </w:rPr>
        <w:tab/>
        <w:t>PREDMET UREJANJA PREDLOGA</w:t>
      </w:r>
    </w:p>
    <w:p w:rsidR="008B4FEE" w:rsidRDefault="0038481C">
      <w:pPr>
        <w:rPr>
          <w:noProof/>
        </w:rPr>
      </w:pPr>
      <w:r>
        <w:rPr>
          <w:noProof/>
        </w:rPr>
        <w:t>Ta predlog se nanaša na sklep o določitvi stališča, ki naj se v imenu Unije zastopa v Mednarodni organizaciji za trto in vino (OIV) v zvezi s predvidenim sprejetjem sklepa o dodelitvi posebnega statusa Uniji v OIV.</w:t>
      </w:r>
    </w:p>
    <w:p w:rsidR="008B4FEE" w:rsidRDefault="0038481C">
      <w:pPr>
        <w:pStyle w:val="ManualHeading1"/>
        <w:rPr>
          <w:noProof/>
        </w:rPr>
      </w:pPr>
      <w:r>
        <w:rPr>
          <w:noProof/>
        </w:rPr>
        <w:t xml:space="preserve">2. </w:t>
      </w:r>
      <w:r>
        <w:rPr>
          <w:noProof/>
        </w:rPr>
        <w:tab/>
        <w:t>OZADJE PREDLOGA</w:t>
      </w:r>
    </w:p>
    <w:p w:rsidR="008B4FEE" w:rsidRDefault="0038481C">
      <w:pPr>
        <w:pStyle w:val="Point0"/>
        <w:rPr>
          <w:b/>
          <w:noProof/>
        </w:rPr>
      </w:pPr>
      <w:r>
        <w:rPr>
          <w:b/>
          <w:noProof/>
        </w:rPr>
        <w:t>2.1</w:t>
      </w:r>
      <w:r>
        <w:rPr>
          <w:noProof/>
        </w:rPr>
        <w:tab/>
      </w:r>
      <w:r>
        <w:rPr>
          <w:b/>
          <w:noProof/>
        </w:rPr>
        <w:t>Sporazum o ustanovitvi Mednarodne organizacije za trto in vino</w:t>
      </w:r>
    </w:p>
    <w:p w:rsidR="008B4FEE" w:rsidRDefault="0038481C">
      <w:pPr>
        <w:rPr>
          <w:rFonts w:eastAsia="Arial Unicode MS"/>
          <w:noProof/>
        </w:rPr>
      </w:pPr>
      <w:r>
        <w:rPr>
          <w:noProof/>
        </w:rPr>
        <w:t>S Sporazumom o ustanovitvi Mednarodne organizacije za trto in vino, podpisanim v Parizu 3. aprila 2001 (v nadaljnjem besedilu: Sporazum), je bila ustanovljena Mednarodna organizacija za trto in vino, ki je nadomestila Urad za trto in vino. Sporazum je začel veljati 1. januarja 2004.</w:t>
      </w:r>
    </w:p>
    <w:p w:rsidR="008B4FEE" w:rsidRDefault="0038481C">
      <w:pPr>
        <w:rPr>
          <w:rFonts w:eastAsia="Arial Unicode MS"/>
          <w:noProof/>
        </w:rPr>
      </w:pPr>
      <w:r>
        <w:rPr>
          <w:noProof/>
        </w:rPr>
        <w:t>20 držav članic je pogodbenic Sporazuma</w:t>
      </w:r>
      <w:r>
        <w:rPr>
          <w:rStyle w:val="FootnoteReference"/>
          <w:noProof/>
        </w:rPr>
        <w:footnoteReference w:id="1"/>
      </w:r>
      <w:r>
        <w:rPr>
          <w:noProof/>
        </w:rPr>
        <w:t>.</w:t>
      </w:r>
    </w:p>
    <w:p w:rsidR="008B4FEE" w:rsidRDefault="0038481C">
      <w:pPr>
        <w:pStyle w:val="Point0"/>
        <w:rPr>
          <w:rFonts w:eastAsia="Times New Roman"/>
          <w:b/>
          <w:bCs/>
          <w:noProof/>
          <w:szCs w:val="26"/>
        </w:rPr>
      </w:pPr>
      <w:r>
        <w:rPr>
          <w:b/>
          <w:noProof/>
        </w:rPr>
        <w:t>2.2</w:t>
      </w:r>
      <w:r>
        <w:rPr>
          <w:noProof/>
        </w:rPr>
        <w:tab/>
      </w:r>
      <w:r>
        <w:rPr>
          <w:b/>
          <w:noProof/>
        </w:rPr>
        <w:t>Mednarodna organizacija za trto in vino</w:t>
      </w:r>
    </w:p>
    <w:p w:rsidR="008B4FEE" w:rsidRDefault="0038481C">
      <w:pPr>
        <w:rPr>
          <w:rFonts w:eastAsia="Arial Unicode MS"/>
          <w:noProof/>
        </w:rPr>
      </w:pPr>
      <w:r>
        <w:rPr>
          <w:noProof/>
        </w:rPr>
        <w:t xml:space="preserve">Mednarodna organizacija za trto in vino je medvladna znanstvena in tehnična organizacija, dejavna v sektorju trte, vina in drugih proizvodov iz trte. </w:t>
      </w:r>
    </w:p>
    <w:p w:rsidR="008B4FEE" w:rsidRDefault="0038481C">
      <w:pPr>
        <w:rPr>
          <w:rFonts w:eastAsia="Arial Unicode MS"/>
          <w:noProof/>
        </w:rPr>
      </w:pPr>
      <w:r>
        <w:rPr>
          <w:noProof/>
        </w:rPr>
        <w:t>OIV prispeva k mednarodnemu usklajevanju obstoječih praks in standardov, povezanih z vinom, z oblikovanjem resolucij na naslednjih področjih:</w:t>
      </w:r>
    </w:p>
    <w:p w:rsidR="008B4FEE" w:rsidRDefault="0038481C">
      <w:pPr>
        <w:rPr>
          <w:rFonts w:eastAsia="Arial Unicode MS"/>
          <w:noProof/>
        </w:rPr>
      </w:pPr>
      <w:r>
        <w:rPr>
          <w:noProof/>
        </w:rPr>
        <w:t>– razmere za proizvodnjo grozdja;</w:t>
      </w:r>
    </w:p>
    <w:p w:rsidR="008B4FEE" w:rsidRDefault="0038481C">
      <w:pPr>
        <w:rPr>
          <w:rFonts w:eastAsia="Arial Unicode MS"/>
          <w:noProof/>
        </w:rPr>
      </w:pPr>
      <w:r>
        <w:rPr>
          <w:noProof/>
        </w:rPr>
        <w:t>– enološki postopki;</w:t>
      </w:r>
    </w:p>
    <w:p w:rsidR="008B4FEE" w:rsidRDefault="0038481C">
      <w:pPr>
        <w:rPr>
          <w:rFonts w:eastAsia="Arial Unicode MS"/>
          <w:noProof/>
        </w:rPr>
      </w:pPr>
      <w:r>
        <w:rPr>
          <w:noProof/>
        </w:rPr>
        <w:t>– opredelitev in/ali opis proizvodov, označevanja in pogojev trženja;</w:t>
      </w:r>
    </w:p>
    <w:p w:rsidR="008B4FEE" w:rsidRDefault="0038481C">
      <w:pPr>
        <w:rPr>
          <w:rFonts w:eastAsia="Arial Unicode MS"/>
          <w:noProof/>
        </w:rPr>
      </w:pPr>
      <w:r>
        <w:rPr>
          <w:noProof/>
        </w:rPr>
        <w:t>– metode za analiziranje in ocenjevanje proizvodov iz trte.</w:t>
      </w:r>
    </w:p>
    <w:p w:rsidR="008B4FEE" w:rsidRDefault="0038481C">
      <w:pPr>
        <w:pStyle w:val="Point0"/>
        <w:rPr>
          <w:rFonts w:eastAsia="Times New Roman"/>
          <w:b/>
          <w:bCs/>
          <w:noProof/>
          <w:szCs w:val="26"/>
        </w:rPr>
      </w:pPr>
      <w:r>
        <w:rPr>
          <w:b/>
          <w:noProof/>
        </w:rPr>
        <w:t>2.3</w:t>
      </w:r>
      <w:r>
        <w:rPr>
          <w:noProof/>
        </w:rPr>
        <w:tab/>
      </w:r>
      <w:r>
        <w:rPr>
          <w:b/>
          <w:noProof/>
        </w:rPr>
        <w:t>Predvideni sklep OIV</w:t>
      </w:r>
    </w:p>
    <w:p w:rsidR="008B4FEE" w:rsidRDefault="0038481C">
      <w:pPr>
        <w:rPr>
          <w:rFonts w:eastAsia="Arial Unicode MS"/>
          <w:noProof/>
        </w:rPr>
      </w:pPr>
      <w:r>
        <w:rPr>
          <w:noProof/>
        </w:rPr>
        <w:t>To ni pobuda v okviru programa ustreznosti predpisov (REFIT).</w:t>
      </w:r>
    </w:p>
    <w:p w:rsidR="008B4FEE" w:rsidRDefault="0038481C">
      <w:pPr>
        <w:rPr>
          <w:rFonts w:eastAsia="Arial Unicode MS"/>
          <w:noProof/>
        </w:rPr>
      </w:pPr>
      <w:r>
        <w:rPr>
          <w:noProof/>
        </w:rPr>
        <w:t>OIV naj bi 20. oktobra 2017 na 16. zasedanju generalne skupščine sprejela sklep o dodelitvi posebnega statusa Uniji v OIV (v nadaljnjem besedilu: predvideni akt).</w:t>
      </w:r>
    </w:p>
    <w:p w:rsidR="008B4FEE" w:rsidRDefault="0038481C">
      <w:pPr>
        <w:rPr>
          <w:rFonts w:eastAsia="Arial Unicode MS"/>
          <w:noProof/>
        </w:rPr>
      </w:pPr>
      <w:r>
        <w:rPr>
          <w:noProof/>
        </w:rPr>
        <w:t xml:space="preserve">Unija v OIV nima uradnega statusa. Namen predvidenega akta je okrepiti in formalizirati vlogo Unije v OIV. </w:t>
      </w:r>
    </w:p>
    <w:p w:rsidR="008B4FEE" w:rsidRDefault="0038481C">
      <w:pPr>
        <w:pStyle w:val="ManualHeading2"/>
        <w:rPr>
          <w:rFonts w:eastAsia="Arial Unicode MS"/>
          <w:noProof/>
          <w:color w:val="000000"/>
          <w:u w:color="000000"/>
          <w:bdr w:val="nil"/>
        </w:rPr>
      </w:pPr>
      <w:r>
        <w:rPr>
          <w:noProof/>
          <w:color w:val="000000"/>
          <w:u w:color="000000"/>
          <w:bdr w:val="nil"/>
        </w:rPr>
        <w:lastRenderedPageBreak/>
        <w:t>3.</w:t>
      </w:r>
      <w:r>
        <w:rPr>
          <w:noProof/>
        </w:rPr>
        <w:tab/>
      </w:r>
      <w:r>
        <w:rPr>
          <w:noProof/>
          <w:color w:val="000000"/>
          <w:u w:color="000000"/>
          <w:bdr w:val="nil"/>
        </w:rPr>
        <w:t>STALIŠČE, KI SE ZASTOPA V IMENU UNIJE</w:t>
      </w:r>
    </w:p>
    <w:p w:rsidR="008B4FEE" w:rsidRDefault="0038481C">
      <w:pPr>
        <w:pStyle w:val="ManualHeading2"/>
        <w:rPr>
          <w:rFonts w:eastAsia="Arial Unicode MS"/>
          <w:noProof/>
          <w:color w:val="000000"/>
          <w:u w:color="000000"/>
          <w:bdr w:val="nil"/>
        </w:rPr>
      </w:pPr>
      <w:r>
        <w:rPr>
          <w:noProof/>
          <w:color w:val="000000"/>
          <w:u w:color="000000"/>
          <w:bdr w:val="nil"/>
        </w:rPr>
        <w:t>3.1</w:t>
      </w:r>
      <w:r>
        <w:rPr>
          <w:noProof/>
        </w:rPr>
        <w:tab/>
      </w:r>
      <w:r>
        <w:rPr>
          <w:noProof/>
          <w:color w:val="000000"/>
          <w:u w:color="000000"/>
          <w:bdr w:val="nil"/>
        </w:rPr>
        <w:t>Utemeljitev in namen stališča</w:t>
      </w:r>
    </w:p>
    <w:p w:rsidR="008B4FEE" w:rsidRDefault="0038481C">
      <w:pPr>
        <w:rPr>
          <w:rFonts w:eastAsia="Arial Unicode MS"/>
          <w:noProof/>
        </w:rPr>
      </w:pPr>
      <w:r>
        <w:rPr>
          <w:noProof/>
        </w:rPr>
        <w:t>Svet je 1. oktobra 2015 Komisijo pooblastil za začetek pripravljalnih pogovorov z OIV, katerih namen je pridobitev posebnega statusa Unije v skladu s členom 4 poslovnika OIV.</w:t>
      </w:r>
    </w:p>
    <w:p w:rsidR="008B4FEE" w:rsidRDefault="0038481C">
      <w:pPr>
        <w:rPr>
          <w:rFonts w:eastAsia="Arial Unicode MS"/>
          <w:noProof/>
        </w:rPr>
      </w:pPr>
      <w:r>
        <w:rPr>
          <w:noProof/>
        </w:rPr>
        <w:t>Ker Unija v OIV trenutno nima uradnega statusa, so predstavniki Komisije na sestanke skupin strokovnjakov, odborov in pododborov vabljeni samo neformalno, ne smejo pa se udeleževati zasedanj izvršnega odbora. Včasih so povabljeni na zasedanje generalne skupščine (brez pravice aktivnega sodelovanja), na katerem članice OIV sprejemajo resolucije. Unija OIV ne plačuje nikakršnih prispevkov.</w:t>
      </w:r>
    </w:p>
    <w:p w:rsidR="008B4FEE" w:rsidRDefault="0038481C">
      <w:pPr>
        <w:rPr>
          <w:rFonts w:eastAsia="Arial Unicode MS"/>
          <w:noProof/>
        </w:rPr>
      </w:pPr>
      <w:r>
        <w:rPr>
          <w:noProof/>
        </w:rPr>
        <w:t>Omejeno sodelovanje Komisiji onemogoča, da bi bila v celoti obveščena o pripravi novih resolucij.</w:t>
      </w:r>
    </w:p>
    <w:p w:rsidR="008B4FEE" w:rsidRDefault="0038481C">
      <w:pPr>
        <w:rPr>
          <w:rFonts w:eastAsia="Arial Unicode MS"/>
          <w:noProof/>
        </w:rPr>
      </w:pPr>
      <w:r>
        <w:rPr>
          <w:noProof/>
        </w:rPr>
        <w:t xml:space="preserve">Ker imajo nekatere resolucije OIV lahko pravni učinek in ima Unija pristojnost na večini področij, ki jih pokriva OIV, je namen predvidenega akta okrepiti in formalizirati vlogo Unije v OIV. </w:t>
      </w:r>
    </w:p>
    <w:p w:rsidR="008B4FEE" w:rsidRDefault="0038481C">
      <w:pPr>
        <w:rPr>
          <w:rFonts w:eastAsia="Arial Unicode MS"/>
          <w:noProof/>
        </w:rPr>
      </w:pPr>
      <w:r>
        <w:rPr>
          <w:noProof/>
        </w:rPr>
        <w:t>Ta status bi Komisiji omogočil, da je kot predstavnica Unije na podlagi člena 17 PEU v celoti obveščena o pripravi novih resolucij, da lahko uskladi skupno stališče Unije o navedenih resolucijah ter v imenu Unije uradno sodeluje pri delu odborov, pododborov in skupin strokovnjakov ter se udeležuje zasedanj generalne skupščine in izvršnega odbora. To bi zagotovilo, da bi imela Unija v OIV skupnega predstavnika in ne bi bilo dvoma o vlogi znanstvenih strokovnjakov iz držav članic Unije v OIV.</w:t>
      </w:r>
    </w:p>
    <w:p w:rsidR="008B4FEE" w:rsidRDefault="0038481C">
      <w:pPr>
        <w:rPr>
          <w:rFonts w:eastAsia="Arial Unicode MS"/>
          <w:noProof/>
        </w:rPr>
      </w:pPr>
      <w:r>
        <w:rPr>
          <w:noProof/>
        </w:rPr>
        <w:t>Poleg tega bi dodelitev tega statusa predstavnikom Unije omogočila dostop do vseh dokumentov OIV pod istimi pogoji, kot to velja za članice OIV. To bo pred glasovanjem o resolucijah na zasedanju generalne skupščine OIV olajšalo pripravo prihodnjih sklepov, ki jih bo Svet moral sprejeti v skladu s členom 218(9) PDEU.</w:t>
      </w:r>
    </w:p>
    <w:p w:rsidR="008B4FEE" w:rsidRDefault="0038481C">
      <w:pPr>
        <w:rPr>
          <w:rFonts w:eastAsia="Arial Unicode MS"/>
          <w:noProof/>
        </w:rPr>
      </w:pPr>
      <w:r>
        <w:rPr>
          <w:noProof/>
        </w:rPr>
        <w:t>Glede na navedeno bi bilo treba OIV predlagati, da Uniji dodeli posebni status v skladu s členom 4 poslovnika OIV. Komisar za kmetijstvo in razvoj podeželja bo pooblaščen za podpis izmenjave pisem v imenu Komisije in pod njeno odgovornostjo.</w:t>
      </w:r>
    </w:p>
    <w:p w:rsidR="008B4FEE" w:rsidRDefault="0038481C">
      <w:pPr>
        <w:pStyle w:val="ManualHeading2"/>
        <w:rPr>
          <w:rFonts w:eastAsia="Arial Unicode MS"/>
          <w:noProof/>
        </w:rPr>
      </w:pPr>
      <w:r>
        <w:rPr>
          <w:noProof/>
        </w:rPr>
        <w:t>3.2</w:t>
      </w:r>
      <w:r>
        <w:rPr>
          <w:noProof/>
        </w:rPr>
        <w:tab/>
        <w:t>Skladnost z veljavnimi predpisi s področja zadevne politike</w:t>
      </w:r>
    </w:p>
    <w:p w:rsidR="008B4FEE" w:rsidRDefault="0038481C">
      <w:pPr>
        <w:rPr>
          <w:rFonts w:eastAsia="Times New Roman"/>
          <w:noProof/>
        </w:rPr>
      </w:pPr>
      <w:r>
        <w:rPr>
          <w:noProof/>
        </w:rPr>
        <w:t>Čeprav resolucije OIV same po sebi na ravni Unije niso zavezujoče na podlagi Uredbe (EU) št. 1308/2013, imajo nekatere resolucije, ki jih sprejme in objavi OIV, lahko pravni učinek. Za vinske proizvode se pravo Unije na OIV sklicuje v naslednjih določbah:</w:t>
      </w:r>
    </w:p>
    <w:p w:rsidR="008B4FEE" w:rsidRDefault="0038481C">
      <w:pPr>
        <w:pStyle w:val="Tiret0"/>
        <w:numPr>
          <w:ilvl w:val="0"/>
          <w:numId w:val="1"/>
        </w:numPr>
        <w:rPr>
          <w:noProof/>
          <w:color w:val="000000"/>
          <w:szCs w:val="24"/>
        </w:rPr>
      </w:pPr>
      <w:r>
        <w:rPr>
          <w:noProof/>
        </w:rPr>
        <w:t xml:space="preserve">členu 80(5) uredbe o SUT, ki določa, da </w:t>
      </w:r>
      <w:r>
        <w:rPr>
          <w:noProof/>
          <w:color w:val="000000"/>
        </w:rPr>
        <w:t>analizne metode za vino temeljijo na metodah, ki jih priporoča in objavi OIV</w:t>
      </w:r>
      <w:r>
        <w:rPr>
          <w:noProof/>
        </w:rPr>
        <w:t>, razen če bi bile neučinkovite ali neustrezne glede na izpolnjevanje cilja Unije;</w:t>
      </w:r>
    </w:p>
    <w:p w:rsidR="008B4FEE" w:rsidRDefault="0038481C">
      <w:pPr>
        <w:pStyle w:val="Tiret0"/>
        <w:numPr>
          <w:ilvl w:val="0"/>
          <w:numId w:val="1"/>
        </w:numPr>
        <w:rPr>
          <w:noProof/>
          <w:color w:val="000000"/>
          <w:szCs w:val="24"/>
        </w:rPr>
      </w:pPr>
      <w:r>
        <w:rPr>
          <w:noProof/>
        </w:rPr>
        <w:t>členu 9 Uredbe Komisije (ES) št. 606/2009 o enoloških postopkih, ki določa, da so specifikacije čistosti in določanja snovi, uporabljenih pri enoloških postopkih, tiste, ki so določene in objavljene v Mednarodnem enološkem kodeksu OIV;</w:t>
      </w:r>
    </w:p>
    <w:p w:rsidR="008B4FEE" w:rsidRDefault="0038481C">
      <w:pPr>
        <w:pStyle w:val="Tiret0"/>
        <w:numPr>
          <w:ilvl w:val="0"/>
          <w:numId w:val="10"/>
        </w:numPr>
        <w:rPr>
          <w:noProof/>
          <w:szCs w:val="24"/>
        </w:rPr>
      </w:pPr>
      <w:r>
        <w:rPr>
          <w:noProof/>
        </w:rPr>
        <w:t>členu 80(3)(a) Uredbe o SUT, ki določa, da Komisija pri odobritvi enoloških postopkov upošteva enološke postopke, ki jih sprejme in objavi OIV;</w:t>
      </w:r>
    </w:p>
    <w:p w:rsidR="008B4FEE" w:rsidRDefault="0038481C">
      <w:pPr>
        <w:pStyle w:val="Tiret0"/>
        <w:numPr>
          <w:ilvl w:val="0"/>
          <w:numId w:val="10"/>
        </w:numPr>
        <w:rPr>
          <w:noProof/>
          <w:szCs w:val="24"/>
        </w:rPr>
      </w:pPr>
      <w:r>
        <w:rPr>
          <w:noProof/>
        </w:rPr>
        <w:lastRenderedPageBreak/>
        <w:t>členu 90(2) uredbe o SUT, v skladu s katerim morajo biti uvoženi vinski proizvodi pridelani po enoloških postopkih, ki jih dovoli Unija, ali po enoloških postopkih, ki jih priporoča OIV; in</w:t>
      </w:r>
    </w:p>
    <w:p w:rsidR="008B4FEE" w:rsidRDefault="0038481C">
      <w:pPr>
        <w:pStyle w:val="Tiret0"/>
        <w:numPr>
          <w:ilvl w:val="0"/>
          <w:numId w:val="10"/>
        </w:numPr>
        <w:rPr>
          <w:noProof/>
          <w:szCs w:val="24"/>
        </w:rPr>
      </w:pPr>
      <w:r>
        <w:rPr>
          <w:noProof/>
        </w:rPr>
        <w:t>členu 3 Uredbe (ES) št. 2870/2000, ki določa, da se za določanje in ugotavljanje vsebnosti snovi v nekaterih žganih pijačah ob odsotnosti analiznih metod Unije lahko uporabijo analizne metode, ki jih je priznala OIV.</w:t>
      </w:r>
    </w:p>
    <w:p w:rsidR="008B4FEE" w:rsidRDefault="0038481C">
      <w:pPr>
        <w:rPr>
          <w:noProof/>
        </w:rPr>
      </w:pPr>
      <w:r>
        <w:rPr>
          <w:noProof/>
        </w:rPr>
        <w:t>Ker imajo lahko resolucije OIV pravni učinek in ima Unija izključno pristojnost na teh področjih, mora Svet na podlagi člena 218(9) PDEU pred glasovanjem o teh resolucijah v OIV sprejeti skupno stališče v imenu Unije. Posebni status Unije v OIV bo olajšal pripravo takega stališča.</w:t>
      </w:r>
    </w:p>
    <w:p w:rsidR="008B4FEE" w:rsidRDefault="0038481C">
      <w:pPr>
        <w:pStyle w:val="ManualHeading2"/>
        <w:rPr>
          <w:rFonts w:eastAsia="Arial Unicode MS"/>
          <w:noProof/>
        </w:rPr>
      </w:pPr>
      <w:r>
        <w:rPr>
          <w:noProof/>
          <w:color w:val="000000"/>
          <w:u w:color="000000"/>
          <w:bdr w:val="nil"/>
        </w:rPr>
        <w:t>3.3</w:t>
      </w:r>
      <w:r>
        <w:rPr>
          <w:noProof/>
        </w:rPr>
        <w:tab/>
        <w:t>Skladnost z drugimi politikami Unije</w:t>
      </w:r>
    </w:p>
    <w:p w:rsidR="008B4FEE" w:rsidRDefault="0038481C">
      <w:pPr>
        <w:pBdr>
          <w:top w:val="nil"/>
          <w:left w:val="nil"/>
          <w:bottom w:val="nil"/>
          <w:right w:val="nil"/>
          <w:between w:val="nil"/>
          <w:bar w:val="nil"/>
        </w:pBdr>
        <w:spacing w:before="0" w:after="240"/>
        <w:rPr>
          <w:rFonts w:eastAsia="Arial Unicode MS"/>
          <w:noProof/>
        </w:rPr>
      </w:pPr>
      <w:r>
        <w:rPr>
          <w:noProof/>
        </w:rPr>
        <w:t>Resolucije OIV se lahko nanašajo tudi na področja, ki so zajeta v horizontalnih določbah Unije, kot so informacije o živilih za potrošnike in uporaba aditivov v živilih.</w:t>
      </w:r>
    </w:p>
    <w:p w:rsidR="008B4FEE" w:rsidRDefault="0038481C">
      <w:pPr>
        <w:rPr>
          <w:noProof/>
        </w:rPr>
      </w:pPr>
      <w:r>
        <w:rPr>
          <w:noProof/>
        </w:rPr>
        <w:t>Pomembno je, da se Uniji dodeli posebni status ter tako njenim predstavnikom omogoči dostop do vseh dokumentov OIV in preverjanje morebitnega neskladja resolucij OIV s pravom Unije in morebitnih pravnih posledic.</w:t>
      </w:r>
    </w:p>
    <w:p w:rsidR="008B4FEE" w:rsidRDefault="0038481C">
      <w:pPr>
        <w:pStyle w:val="ManualHeading1"/>
        <w:rPr>
          <w:noProof/>
        </w:rPr>
      </w:pPr>
      <w:r>
        <w:rPr>
          <w:noProof/>
        </w:rPr>
        <w:t>4.</w:t>
      </w:r>
      <w:r>
        <w:rPr>
          <w:noProof/>
        </w:rPr>
        <w:tab/>
        <w:t>PRAVNA PODLAGA</w:t>
      </w:r>
    </w:p>
    <w:p w:rsidR="008B4FEE" w:rsidRDefault="0038481C">
      <w:pPr>
        <w:rPr>
          <w:b/>
          <w:noProof/>
        </w:rPr>
      </w:pPr>
      <w:r>
        <w:rPr>
          <w:b/>
          <w:noProof/>
        </w:rPr>
        <w:t>4.1</w:t>
      </w:r>
      <w:r>
        <w:rPr>
          <w:noProof/>
        </w:rPr>
        <w:tab/>
      </w:r>
      <w:r>
        <w:rPr>
          <w:b/>
          <w:noProof/>
        </w:rPr>
        <w:t>Postopkovna pravna podlaga</w:t>
      </w:r>
    </w:p>
    <w:p w:rsidR="008B4FEE" w:rsidRDefault="0038481C">
      <w:pPr>
        <w:rPr>
          <w:noProof/>
        </w:rPr>
      </w:pPr>
      <w:r>
        <w:rPr>
          <w:b/>
          <w:noProof/>
        </w:rPr>
        <w:t>4.1.1</w:t>
      </w:r>
      <w:r>
        <w:rPr>
          <w:noProof/>
        </w:rPr>
        <w:tab/>
      </w:r>
      <w:r>
        <w:rPr>
          <w:b/>
          <w:noProof/>
        </w:rPr>
        <w:t>Načela</w:t>
      </w:r>
    </w:p>
    <w:p w:rsidR="008B4FEE" w:rsidRDefault="0038481C">
      <w:pPr>
        <w:rPr>
          <w:noProof/>
        </w:rPr>
      </w:pPr>
      <w:r>
        <w:rPr>
          <w:noProof/>
        </w:rPr>
        <w:t>V členu 218(9) Pogodbe o delovanju Evropske unije so predvideni sklepi o določitvi „stališč, ki naj se v imenu Unije zastopajo v organu, ustanovljenem s sporazumom, kadar ta organ sprejema akte s pravnim učinkom, razen aktov o spremembah ali dopolnitvah institucionalnega okvira sporazuma.“</w:t>
      </w:r>
    </w:p>
    <w:p w:rsidR="008B4FEE" w:rsidRDefault="0038481C">
      <w:pPr>
        <w:rPr>
          <w:noProof/>
        </w:rPr>
      </w:pPr>
      <w:r>
        <w:rPr>
          <w:noProof/>
        </w:rPr>
        <w:t xml:space="preserve">Člen 218(9) PDEU se uporablja ne glede na to, ali je Unija članica organa ali pogodbenica obravnavanega sporazuma. </w:t>
      </w:r>
    </w:p>
    <w:p w:rsidR="008B4FEE" w:rsidRDefault="0038481C">
      <w:pPr>
        <w:rPr>
          <w:noProof/>
        </w:rPr>
      </w:pPr>
      <w:r>
        <w:rPr>
          <w:noProof/>
        </w:rPr>
        <w:t xml:space="preserve">Pojem „akti s pravnim učinkom“ vključuje tudi akte, ki imajo pravni učinek zato, ker predstavljajo pravila mednarodnega prava, ki velja za zadevni organ. Vključuje tudi instrumente, ki nimajo zavezujočega učinka v mednarodnem pravu, a lahko odločilno vplivajo na vsebino ureditve, ki jo sprejme zakonodajalec Unije. </w:t>
      </w:r>
    </w:p>
    <w:p w:rsidR="008B4FEE" w:rsidRDefault="0038481C">
      <w:pPr>
        <w:rPr>
          <w:b/>
          <w:noProof/>
        </w:rPr>
      </w:pPr>
      <w:r>
        <w:rPr>
          <w:b/>
          <w:noProof/>
        </w:rPr>
        <w:t>4.1.2</w:t>
      </w:r>
      <w:r>
        <w:rPr>
          <w:noProof/>
        </w:rPr>
        <w:tab/>
      </w:r>
      <w:r>
        <w:rPr>
          <w:b/>
          <w:noProof/>
        </w:rPr>
        <w:t>Uporaba v obravnavanem primeru</w:t>
      </w:r>
    </w:p>
    <w:p w:rsidR="008B4FEE" w:rsidRDefault="0038481C">
      <w:pPr>
        <w:rPr>
          <w:noProof/>
        </w:rPr>
      </w:pPr>
      <w:r>
        <w:rPr>
          <w:noProof/>
        </w:rPr>
        <w:t>OIV je organ, ustanovljen s Sporazumom o ustanovitvi Mednarodne organizacije za trto in vino.</w:t>
      </w:r>
    </w:p>
    <w:p w:rsidR="008B4FEE" w:rsidRDefault="0038481C">
      <w:pPr>
        <w:rPr>
          <w:noProof/>
        </w:rPr>
      </w:pPr>
      <w:r>
        <w:rPr>
          <w:noProof/>
        </w:rPr>
        <w:t>Ker imajo lahko resolucije OIV pravni učinek in ima Unija izključno pristojnost na teh področjih, akt, k sprejetju katerega se poziva OIV, neposredno zadeva interese Unije.</w:t>
      </w:r>
    </w:p>
    <w:p w:rsidR="008B4FEE" w:rsidRDefault="0038481C">
      <w:pPr>
        <w:rPr>
          <w:noProof/>
        </w:rPr>
      </w:pPr>
      <w:r>
        <w:rPr>
          <w:noProof/>
        </w:rPr>
        <w:t>Predvideni akt ne dopolnjuje ali spreminja institucionalnega okvira Sporazuma.</w:t>
      </w:r>
    </w:p>
    <w:p w:rsidR="008B4FEE" w:rsidRDefault="0038481C">
      <w:pPr>
        <w:rPr>
          <w:noProof/>
        </w:rPr>
      </w:pPr>
      <w:r>
        <w:rPr>
          <w:noProof/>
        </w:rPr>
        <w:t>Postopkovna pravna podlaga za predlagani sklep je zato člen 218(9) PDEU.</w:t>
      </w:r>
    </w:p>
    <w:p w:rsidR="008B4FEE" w:rsidRDefault="0038481C">
      <w:pPr>
        <w:rPr>
          <w:b/>
          <w:noProof/>
        </w:rPr>
      </w:pPr>
      <w:r>
        <w:rPr>
          <w:b/>
          <w:noProof/>
        </w:rPr>
        <w:lastRenderedPageBreak/>
        <w:t>4.2</w:t>
      </w:r>
      <w:r>
        <w:rPr>
          <w:noProof/>
        </w:rPr>
        <w:tab/>
      </w:r>
      <w:r>
        <w:rPr>
          <w:b/>
          <w:noProof/>
        </w:rPr>
        <w:t>Materialna pravna podlaga</w:t>
      </w:r>
    </w:p>
    <w:p w:rsidR="008B4FEE" w:rsidRDefault="0038481C">
      <w:pPr>
        <w:rPr>
          <w:b/>
          <w:noProof/>
        </w:rPr>
      </w:pPr>
      <w:r>
        <w:rPr>
          <w:b/>
          <w:noProof/>
        </w:rPr>
        <w:t>4.2.1</w:t>
      </w:r>
      <w:r>
        <w:rPr>
          <w:noProof/>
        </w:rPr>
        <w:tab/>
      </w:r>
      <w:r>
        <w:rPr>
          <w:b/>
          <w:noProof/>
        </w:rPr>
        <w:t>Načela</w:t>
      </w:r>
    </w:p>
    <w:p w:rsidR="008B4FEE" w:rsidRDefault="0038481C">
      <w:pPr>
        <w:rPr>
          <w:noProof/>
        </w:rPr>
      </w:pPr>
      <w:r>
        <w:rPr>
          <w:noProof/>
        </w:rPr>
        <w:t>Materialna pravna podlaga za sklep iz člena 218(9) PDEU je odvisna predvsem od cilja in vsebine predvidenega akta, glede katerega se v imenu Unije zastopa stališče. Če ima predvideni akt dva cilja ali elementa in če je eden od teh ciljev ali elementov glavni, drugi pa postranski, mora sklep iz člena 218(9) temeljiti na samo eni materialni pravni podlagi, in sicer na tisti, ki se zahteva za glavni ali prevladujoči cilj ali element.</w:t>
      </w:r>
    </w:p>
    <w:p w:rsidR="008B4FEE" w:rsidRDefault="0038481C">
      <w:pPr>
        <w:rPr>
          <w:b/>
          <w:noProof/>
        </w:rPr>
      </w:pPr>
      <w:r>
        <w:rPr>
          <w:b/>
          <w:noProof/>
        </w:rPr>
        <w:t>4.2.2</w:t>
      </w:r>
      <w:r>
        <w:rPr>
          <w:noProof/>
        </w:rPr>
        <w:tab/>
      </w:r>
      <w:r>
        <w:rPr>
          <w:b/>
          <w:noProof/>
        </w:rPr>
        <w:t>Uporaba v obravnavanem primeru</w:t>
      </w:r>
    </w:p>
    <w:p w:rsidR="008B4FEE" w:rsidRDefault="0038481C">
      <w:pPr>
        <w:rPr>
          <w:noProof/>
        </w:rPr>
      </w:pPr>
      <w:r>
        <w:rPr>
          <w:noProof/>
        </w:rPr>
        <w:t>Glavni cilj in vsebina predvidenega akta se nanašata na skupno kmetijsko politiko.</w:t>
      </w:r>
    </w:p>
    <w:p w:rsidR="008B4FEE" w:rsidRDefault="0038481C">
      <w:pPr>
        <w:rPr>
          <w:noProof/>
        </w:rPr>
      </w:pPr>
      <w:r>
        <w:rPr>
          <w:noProof/>
        </w:rPr>
        <w:t>Materialna pravna podlaga za predlagani sklep je torej člen 43 PDEU.</w:t>
      </w:r>
    </w:p>
    <w:p w:rsidR="008B4FEE" w:rsidRDefault="0038481C">
      <w:pPr>
        <w:rPr>
          <w:b/>
          <w:noProof/>
        </w:rPr>
      </w:pPr>
      <w:r>
        <w:rPr>
          <w:b/>
          <w:noProof/>
        </w:rPr>
        <w:t>4.3</w:t>
      </w:r>
      <w:r>
        <w:rPr>
          <w:noProof/>
        </w:rPr>
        <w:tab/>
      </w:r>
      <w:r>
        <w:rPr>
          <w:b/>
          <w:noProof/>
        </w:rPr>
        <w:t>Zaključek</w:t>
      </w:r>
    </w:p>
    <w:p w:rsidR="008B4FEE" w:rsidRDefault="0038481C">
      <w:pPr>
        <w:rPr>
          <w:noProof/>
        </w:rPr>
      </w:pPr>
      <w:r>
        <w:rPr>
          <w:noProof/>
        </w:rPr>
        <w:t>Pravna podlaga predlaganega sklepa bi moral biti člen 43 PDEU v povezavi s členom 218(9) PDEU.</w:t>
      </w:r>
    </w:p>
    <w:p w:rsidR="008B4FEE" w:rsidRDefault="008B4FEE">
      <w:pPr>
        <w:rPr>
          <w:noProof/>
        </w:rPr>
        <w:sectPr w:rsidR="008B4FEE">
          <w:footerReference w:type="default" r:id="rId23"/>
          <w:footerReference w:type="first" r:id="rId24"/>
          <w:pgSz w:w="11907" w:h="16839"/>
          <w:pgMar w:top="1134" w:right="1417" w:bottom="1134" w:left="1417" w:header="709" w:footer="709" w:gutter="0"/>
          <w:cols w:space="708"/>
          <w:docGrid w:linePitch="360"/>
        </w:sectPr>
      </w:pPr>
    </w:p>
    <w:p w:rsidR="008B4FEE" w:rsidRDefault="0038481C">
      <w:pPr>
        <w:pStyle w:val="Rfrenceinterinstitutionnelle"/>
        <w:rPr>
          <w:noProof/>
        </w:rPr>
      </w:pPr>
      <w:r>
        <w:rPr>
          <w:noProof/>
        </w:rPr>
        <w:lastRenderedPageBreak/>
        <w:t>2017/0211 (NLE)</w:t>
      </w:r>
    </w:p>
    <w:p w:rsidR="008B4FEE" w:rsidRDefault="0038481C">
      <w:pPr>
        <w:pStyle w:val="Statut"/>
        <w:rPr>
          <w:noProof/>
        </w:rPr>
      </w:pPr>
      <w:r>
        <w:rPr>
          <w:noProof/>
        </w:rPr>
        <w:t>Predlog</w:t>
      </w:r>
    </w:p>
    <w:p w:rsidR="008B4FEE" w:rsidRDefault="0038481C">
      <w:pPr>
        <w:pStyle w:val="Typedudocument"/>
        <w:rPr>
          <w:noProof/>
        </w:rPr>
      </w:pPr>
      <w:r>
        <w:rPr>
          <w:noProof/>
        </w:rPr>
        <w:t>SKLEP SVETA</w:t>
      </w:r>
    </w:p>
    <w:p w:rsidR="008B4FEE" w:rsidRDefault="0038481C">
      <w:pPr>
        <w:pStyle w:val="Titreobjet"/>
        <w:rPr>
          <w:noProof/>
        </w:rPr>
      </w:pPr>
      <w:r>
        <w:rPr>
          <w:noProof/>
        </w:rPr>
        <w:t>o stališču, ki se v imenu Evropske unije zastopa v Mednarodni organizaciji za trto in vino</w:t>
      </w:r>
    </w:p>
    <w:p w:rsidR="008B4FEE" w:rsidRDefault="0038481C">
      <w:pPr>
        <w:pStyle w:val="Institutionquiagit"/>
        <w:rPr>
          <w:noProof/>
        </w:rPr>
      </w:pPr>
      <w:r>
        <w:rPr>
          <w:noProof/>
        </w:rPr>
        <w:t>SVET EVROPSKE UNIJE JE –</w:t>
      </w:r>
    </w:p>
    <w:p w:rsidR="008B4FEE" w:rsidRDefault="0038481C">
      <w:pPr>
        <w:rPr>
          <w:noProof/>
        </w:rPr>
      </w:pPr>
      <w:r>
        <w:rPr>
          <w:noProof/>
        </w:rPr>
        <w:t>ob upoštevanju Pogodbe o delovanju Evropske unije in zlasti člena 43 v povezavi s členom 218(9) Pogodbe,</w:t>
      </w:r>
    </w:p>
    <w:p w:rsidR="008B4FEE" w:rsidRDefault="0038481C">
      <w:pPr>
        <w:rPr>
          <w:noProof/>
        </w:rPr>
      </w:pPr>
      <w:r>
        <w:rPr>
          <w:noProof/>
        </w:rPr>
        <w:t>ob upoštevanju predloga Evropske komisije,</w:t>
      </w:r>
    </w:p>
    <w:p w:rsidR="008B4FEE" w:rsidRDefault="0038481C">
      <w:pPr>
        <w:rPr>
          <w:noProof/>
        </w:rPr>
      </w:pPr>
      <w:r>
        <w:rPr>
          <w:noProof/>
        </w:rPr>
        <w:t>ob upoštevanju naslednjega:</w:t>
      </w:r>
    </w:p>
    <w:p w:rsidR="008B4FEE" w:rsidRDefault="0038481C">
      <w:pPr>
        <w:pStyle w:val="ManualConsidrant"/>
        <w:rPr>
          <w:noProof/>
        </w:rPr>
      </w:pPr>
      <w:r>
        <w:t>(1)</w:t>
      </w:r>
      <w:r>
        <w:tab/>
      </w:r>
      <w:r>
        <w:rPr>
          <w:noProof/>
        </w:rPr>
        <w:t>Sporazum o ustanovitvi Mednarodne organizacije za trto in vino (v nadaljnjem besedilu: Sporazum) je začel veljati 1. januarja 2004.</w:t>
      </w:r>
    </w:p>
    <w:p w:rsidR="008B4FEE" w:rsidRDefault="0038481C">
      <w:pPr>
        <w:pStyle w:val="ManualConsidrant"/>
        <w:rPr>
          <w:noProof/>
        </w:rPr>
      </w:pPr>
      <w:r>
        <w:t>(2)</w:t>
      </w:r>
      <w:r>
        <w:tab/>
      </w:r>
      <w:r>
        <w:rPr>
          <w:noProof/>
        </w:rPr>
        <w:t>V skladu s členom 2 Sporazuma lahko Mednarodna organizacija za trto in vino (v nadaljnjem besedilu: OIV) sprejema priporočila o pogojih pridelave grozdja, enoloških postopkih, opredelitvi in/ali opisu proizvodov, označevanju in pogojih trženja ter metodah za analiziranje in ocenjevanje proizvodov iz trte.</w:t>
      </w:r>
    </w:p>
    <w:p w:rsidR="008B4FEE" w:rsidRDefault="0038481C">
      <w:pPr>
        <w:pStyle w:val="ManualConsidrant"/>
        <w:rPr>
          <w:noProof/>
        </w:rPr>
      </w:pPr>
      <w:r>
        <w:t>(3)</w:t>
      </w:r>
      <w:r>
        <w:tab/>
      </w:r>
      <w:r>
        <w:rPr>
          <w:noProof/>
        </w:rPr>
        <w:t>Zakonodaja Unije o enoloških postopkih upošteva priporočila OIV. Analizne metode Unije temeljijo na priporočilih OIV. Specifikacije snovi OIV so neposredno vključene v zakonodajo Unije. Tudi druga področja, ki jih obravnava OIV, so v pristojnosti Unije.</w:t>
      </w:r>
    </w:p>
    <w:p w:rsidR="008B4FEE" w:rsidRDefault="0038481C">
      <w:pPr>
        <w:pStyle w:val="ManualConsidrant"/>
        <w:rPr>
          <w:noProof/>
        </w:rPr>
      </w:pPr>
      <w:r>
        <w:t>(4)</w:t>
      </w:r>
      <w:r>
        <w:tab/>
      </w:r>
      <w:r>
        <w:rPr>
          <w:noProof/>
        </w:rPr>
        <w:t>V skupnem interesu OIV in Unije je, da je Unija v celoti obveščena o razpravah, ki se nanašajo na pripravo novih resolucij OIV. Z dejavnejšim sodelovanjem Unije pri delu OIV  bi se olajšala določitev stališč Unije glede osnutkov priporočil OIV in prihodnje oblikovanje pravil Unije v skladu s standardi OIV. Treba bi bilo jasno opredeliti način in obseg sodelovanja Unije v OIV.</w:t>
      </w:r>
    </w:p>
    <w:p w:rsidR="008B4FEE" w:rsidRDefault="0038481C">
      <w:pPr>
        <w:pStyle w:val="ManualConsidrant"/>
        <w:rPr>
          <w:noProof/>
        </w:rPr>
      </w:pPr>
      <w:r>
        <w:t>(5)</w:t>
      </w:r>
      <w:r>
        <w:tab/>
      </w:r>
      <w:r>
        <w:rPr>
          <w:noProof/>
        </w:rPr>
        <w:t>Unija trenutno v OIV nima uradnega statusa.</w:t>
      </w:r>
    </w:p>
    <w:p w:rsidR="008B4FEE" w:rsidRDefault="0038481C">
      <w:pPr>
        <w:pStyle w:val="ManualConsidrant"/>
        <w:rPr>
          <w:noProof/>
        </w:rPr>
      </w:pPr>
      <w:r>
        <w:t>(6)</w:t>
      </w:r>
      <w:r>
        <w:tab/>
      </w:r>
      <w:r>
        <w:rPr>
          <w:noProof/>
        </w:rPr>
        <w:t>V skladu s členom 4 poslovnika OIV lahko mednarodna medvladna organizacija zaprosi za posebni status, ki ji omogoča, da aktivno sodeluje pri delu odborov, pododborov in skupin strokovnjakov ter se udeležuje zasedanj generalne skupščine in izvršnega odbora. Navedeni člen določa, da se na predlog izvršnega odbora in s strinjanjem generalne skupščine med OIV in zadevno organizacijo uvede posebna ureditev, ki za vsak posamezni primer določa posebne pogoje sodelovanja, vključno z zneskom letnega finančnega prispevka. Točka A.5 Priloge 3 k poslovniku še določa, da sklep o dodelitvi takega statusa sprejme generalna skupščina OIV in da generalni direktor OIV navedeni sklep zadevni organizaciji predloži v obliki izmenjave pisem.</w:t>
      </w:r>
    </w:p>
    <w:p w:rsidR="008B4FEE" w:rsidRDefault="0038481C">
      <w:pPr>
        <w:pStyle w:val="ManualConsidrant"/>
        <w:rPr>
          <w:noProof/>
        </w:rPr>
      </w:pPr>
      <w:r>
        <w:lastRenderedPageBreak/>
        <w:t>(7)</w:t>
      </w:r>
      <w:r>
        <w:tab/>
      </w:r>
      <w:r>
        <w:rPr>
          <w:noProof/>
        </w:rPr>
        <w:t>Svet je 1. oktobra 2015 Komisijo pooblastil, da začne pripravljalne pogovore z OIV o pridobitvi posebnega statusa Unije v skladu s členom 4 poslovnika OIV</w:t>
      </w:r>
      <w:r>
        <w:rPr>
          <w:rStyle w:val="FootnoteReference"/>
          <w:noProof/>
        </w:rPr>
        <w:footnoteReference w:id="2"/>
      </w:r>
      <w:r>
        <w:rPr>
          <w:noProof/>
        </w:rPr>
        <w:t>. Posebna ureditev iz Priloge k temu sklepu je rezultat pripravljalnih pogovorov. Učinek posebnega statusa Unije v OIV bo omejen na posebne pogoje, ki so določeni v Prilogi.</w:t>
      </w:r>
    </w:p>
    <w:p w:rsidR="008B4FEE" w:rsidRDefault="0038481C">
      <w:pPr>
        <w:pStyle w:val="ManualConsidrant"/>
        <w:rPr>
          <w:noProof/>
        </w:rPr>
      </w:pPr>
      <w:r>
        <w:t>(8)</w:t>
      </w:r>
      <w:r>
        <w:tab/>
      </w:r>
      <w:r>
        <w:rPr>
          <w:noProof/>
        </w:rPr>
        <w:t>Kljub temu, da posebni status ne vključuje glasovalne pravice, bo omogočil večjo vključenost Unije v delo OIV, ne da bi se spremenila vloga držav članic, ki so članice OIV in bi morale svoj status ohraniti.</w:t>
      </w:r>
    </w:p>
    <w:p w:rsidR="008B4FEE" w:rsidRDefault="0038481C">
      <w:pPr>
        <w:pStyle w:val="ManualConsidrant"/>
        <w:rPr>
          <w:noProof/>
        </w:rPr>
      </w:pPr>
      <w:r>
        <w:t>(9)</w:t>
      </w:r>
      <w:r>
        <w:tab/>
      </w:r>
      <w:r>
        <w:rPr>
          <w:noProof/>
        </w:rPr>
        <w:t>Po pripravljalnih pogovorih je Svet Komisijo pooblastil, da v imenu Unije OIV pošlje pismo s prošnjo po dodelitvi posebnega statusa Uniji na podlagi posebne ureditve, določene v Prilogi k temu sklepu.</w:t>
      </w:r>
    </w:p>
    <w:p w:rsidR="008B4FEE" w:rsidRDefault="0038481C">
      <w:pPr>
        <w:pStyle w:val="ManualConsidrant"/>
        <w:rPr>
          <w:noProof/>
        </w:rPr>
      </w:pPr>
      <w:r>
        <w:t>(10)</w:t>
      </w:r>
      <w:r>
        <w:tab/>
      </w:r>
      <w:r>
        <w:rPr>
          <w:noProof/>
        </w:rPr>
        <w:t>Po prejemu pisma naj bi OIV na 16. zasedanju generalne skupščine 20. oktobra 2017 sprejela sklep o dodelitvi posebnega statusa Uniji v OIV (v nadaljnjem besedilu: predvideni akt).</w:t>
      </w:r>
    </w:p>
    <w:p w:rsidR="008B4FEE" w:rsidRDefault="0038481C">
      <w:pPr>
        <w:pStyle w:val="ManualConsidrant"/>
        <w:rPr>
          <w:noProof/>
        </w:rPr>
      </w:pPr>
      <w:r>
        <w:t>(11)</w:t>
      </w:r>
      <w:r>
        <w:tab/>
      </w:r>
      <w:r>
        <w:rPr>
          <w:noProof/>
        </w:rPr>
        <w:t>V OIV je včlanjenih 20 držav članic EU. Primerno je določiti stališče, ki naj ga te države članice na zasedanju generalne skupščine OIV zastopajo v imenu Unije, saj predvideni akt zadeva vlogo Unije v OIV in je zato v neposrednem interesu Unije.</w:t>
      </w:r>
    </w:p>
    <w:p w:rsidR="008B4FEE" w:rsidRDefault="0038481C">
      <w:pPr>
        <w:pStyle w:val="ManualConsidrant"/>
        <w:rPr>
          <w:noProof/>
        </w:rPr>
      </w:pPr>
      <w:r>
        <w:t>(12)</w:t>
      </w:r>
      <w:r>
        <w:tab/>
      </w:r>
      <w:r>
        <w:rPr>
          <w:noProof/>
        </w:rPr>
        <w:t>Države članice, ki so članice OIV, bi morale podpreti sklep generalne skupščine, da se Uniji dodeli takšen poseben status in da se uvede posebna ureditev z Unijo, kot je določena v Prilogi k temu sklepu, saj imajo nekatere resolucije OIV lahko pravni učinek in ima Unija pristojnost na večini področij, ki jih pokriva OIV.</w:t>
      </w:r>
    </w:p>
    <w:p w:rsidR="008B4FEE" w:rsidRDefault="0038481C">
      <w:pPr>
        <w:pStyle w:val="ManualConsidrant"/>
        <w:rPr>
          <w:noProof/>
        </w:rPr>
      </w:pPr>
      <w:r>
        <w:t>(13)</w:t>
      </w:r>
      <w:r>
        <w:tab/>
      </w:r>
      <w:r>
        <w:rPr>
          <w:noProof/>
        </w:rPr>
        <w:t>Sklep generalne skupščine OIV o dodelitvi takšnega statusa Uniji pošlje generalni direktor OIV in potrdi datum, s katerim se začne uporabljati posebni status Unije v OIV –</w:t>
      </w:r>
    </w:p>
    <w:p w:rsidR="008B4FEE" w:rsidRDefault="0038481C">
      <w:pPr>
        <w:pStyle w:val="Formuledadoption"/>
        <w:rPr>
          <w:noProof/>
        </w:rPr>
      </w:pPr>
      <w:r>
        <w:rPr>
          <w:noProof/>
        </w:rPr>
        <w:t>SPREJEL NASLEDNJI SKLEP:</w:t>
      </w:r>
    </w:p>
    <w:p w:rsidR="008B4FEE" w:rsidRDefault="0038481C">
      <w:pPr>
        <w:pStyle w:val="Titrearticle"/>
        <w:rPr>
          <w:noProof/>
        </w:rPr>
      </w:pPr>
      <w:r>
        <w:rPr>
          <w:noProof/>
        </w:rPr>
        <w:t>Člen 1</w:t>
      </w:r>
    </w:p>
    <w:p w:rsidR="008B4FEE" w:rsidRDefault="0038481C">
      <w:pPr>
        <w:rPr>
          <w:noProof/>
        </w:rPr>
      </w:pPr>
      <w:r>
        <w:rPr>
          <w:noProof/>
        </w:rPr>
        <w:t xml:space="preserve">Stališče, ki se v imenu Unije zastopa na 16. zasedanju generalne skupščine OIV o sklepu o dodelitvi posebnega statusa Uniji na podlagi posebne ureditve med OIV in Unijo, je navedeno v Prilogi. </w:t>
      </w:r>
    </w:p>
    <w:p w:rsidR="008B4FEE" w:rsidRDefault="0038481C">
      <w:pPr>
        <w:pStyle w:val="Titrearticle"/>
        <w:rPr>
          <w:noProof/>
        </w:rPr>
      </w:pPr>
      <w:r>
        <w:rPr>
          <w:noProof/>
        </w:rPr>
        <w:t>Člen 2</w:t>
      </w:r>
    </w:p>
    <w:p w:rsidR="008B4FEE" w:rsidRDefault="0038481C">
      <w:pPr>
        <w:rPr>
          <w:noProof/>
        </w:rPr>
      </w:pPr>
      <w:r>
        <w:rPr>
          <w:noProof/>
        </w:rPr>
        <w:t>Stališče iz člena 1 skupaj izrazijo države članice Unije, ki so članice OIV.</w:t>
      </w:r>
    </w:p>
    <w:p w:rsidR="008B4FEE" w:rsidRDefault="0038481C">
      <w:pPr>
        <w:rPr>
          <w:noProof/>
        </w:rPr>
      </w:pPr>
      <w:r>
        <w:rPr>
          <w:noProof/>
        </w:rPr>
        <w:br w:type="page"/>
      </w:r>
    </w:p>
    <w:p w:rsidR="008B4FEE" w:rsidRDefault="008B4FEE">
      <w:pPr>
        <w:rPr>
          <w:noProof/>
        </w:rPr>
      </w:pPr>
    </w:p>
    <w:p w:rsidR="008B4FEE" w:rsidRDefault="0038481C">
      <w:pPr>
        <w:pStyle w:val="Titrearticle"/>
        <w:rPr>
          <w:noProof/>
        </w:rPr>
      </w:pPr>
      <w:r>
        <w:rPr>
          <w:noProof/>
        </w:rPr>
        <w:t>Člen 3</w:t>
      </w:r>
    </w:p>
    <w:p w:rsidR="008B4FEE" w:rsidRDefault="0038481C">
      <w:pPr>
        <w:keepNext/>
        <w:keepLines/>
        <w:rPr>
          <w:noProof/>
        </w:rPr>
      </w:pPr>
      <w:r>
        <w:rPr>
          <w:noProof/>
        </w:rPr>
        <w:t>Ta sklep je naslovljen na države članice.</w:t>
      </w:r>
    </w:p>
    <w:p w:rsidR="008B4FEE" w:rsidRDefault="0038481C">
      <w:pPr>
        <w:pStyle w:val="Fait"/>
        <w:rPr>
          <w:noProof/>
        </w:rPr>
      </w:pPr>
      <w:r>
        <w:rPr>
          <w:noProof/>
        </w:rPr>
        <w:t>V Bruslju,</w:t>
      </w:r>
    </w:p>
    <w:p w:rsidR="008B4FEE" w:rsidRDefault="0038481C">
      <w:pPr>
        <w:pStyle w:val="Institutionquisigne"/>
        <w:rPr>
          <w:noProof/>
        </w:rPr>
      </w:pPr>
      <w:r>
        <w:rPr>
          <w:noProof/>
        </w:rPr>
        <w:tab/>
        <w:t>Za Svet</w:t>
      </w:r>
    </w:p>
    <w:p w:rsidR="008B4FEE" w:rsidRDefault="0038481C">
      <w:pPr>
        <w:pStyle w:val="Personnequisigne"/>
        <w:keepNext/>
        <w:rPr>
          <w:noProof/>
        </w:rPr>
      </w:pPr>
      <w:r>
        <w:rPr>
          <w:noProof/>
        </w:rPr>
        <w:tab/>
        <w:t>Predsednik</w:t>
      </w:r>
      <w:r>
        <w:rPr>
          <w:noProof/>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134"/>
      </w:tblGrid>
      <w:tr w:rsidR="008B4FEE">
        <w:trPr>
          <w:trHeight w:val="355"/>
        </w:trPr>
        <w:tc>
          <w:tcPr>
            <w:tcW w:w="7144" w:type="dxa"/>
            <w:gridSpan w:val="6"/>
            <w:vMerge w:val="restart"/>
          </w:tcPr>
          <w:p w:rsidR="008B4FEE" w:rsidRDefault="0038481C">
            <w:pPr>
              <w:pStyle w:val="Fichefinanciretitretable"/>
              <w:keepNext/>
              <w:rPr>
                <w:noProof/>
              </w:rPr>
            </w:pPr>
            <w:r>
              <w:rPr>
                <w:noProof/>
              </w:rPr>
              <w:t>OCENA FINANČNIH POSLEDIC</w:t>
            </w:r>
          </w:p>
        </w:tc>
        <w:tc>
          <w:tcPr>
            <w:tcW w:w="1984" w:type="dxa"/>
            <w:gridSpan w:val="3"/>
          </w:tcPr>
          <w:p w:rsidR="008B4FEE" w:rsidRDefault="0038481C">
            <w:pPr>
              <w:pStyle w:val="Fichefinanciretextetable"/>
              <w:keepNext/>
              <w:rPr>
                <w:noProof/>
              </w:rPr>
            </w:pPr>
            <w:r>
              <w:rPr>
                <w:noProof/>
              </w:rPr>
              <w:t>Fin Stat/17/MK/aj/</w:t>
            </w:r>
          </w:p>
          <w:p w:rsidR="008B4FEE" w:rsidRDefault="0038481C">
            <w:pPr>
              <w:pStyle w:val="Fichefinanciretextetable"/>
              <w:keepNext/>
              <w:rPr>
                <w:noProof/>
              </w:rPr>
            </w:pPr>
            <w:r>
              <w:rPr>
                <w:noProof/>
                <w:color w:val="000000" w:themeColor="text1"/>
              </w:rPr>
              <w:t>rev13364208</w:t>
            </w:r>
          </w:p>
          <w:p w:rsidR="008B4FEE" w:rsidRDefault="0038481C">
            <w:pPr>
              <w:pStyle w:val="Fichefinanciretextetable"/>
              <w:keepNext/>
            </w:pPr>
            <w:r>
              <w:rPr>
                <w:noProof/>
                <w:color w:val="000000" w:themeColor="text1"/>
              </w:rPr>
              <w:t>agri.ddg3.g.2(2017)3305536</w:t>
            </w:r>
          </w:p>
        </w:tc>
      </w:tr>
      <w:tr w:rsidR="008B4FEE">
        <w:trPr>
          <w:trHeight w:val="355"/>
        </w:trPr>
        <w:tc>
          <w:tcPr>
            <w:tcW w:w="7144" w:type="dxa"/>
            <w:gridSpan w:val="6"/>
            <w:vMerge/>
            <w:tcBorders>
              <w:bottom w:val="nil"/>
            </w:tcBorders>
          </w:tcPr>
          <w:p w:rsidR="008B4FEE" w:rsidRDefault="008B4FEE">
            <w:pPr>
              <w:pStyle w:val="Fichefinanciretitretable"/>
              <w:keepNext/>
              <w:rPr>
                <w:noProof/>
              </w:rPr>
            </w:pPr>
          </w:p>
        </w:tc>
        <w:tc>
          <w:tcPr>
            <w:tcW w:w="1984" w:type="dxa"/>
            <w:gridSpan w:val="3"/>
          </w:tcPr>
          <w:p w:rsidR="008B4FEE" w:rsidRDefault="0038481C">
            <w:pPr>
              <w:pStyle w:val="Fichefinanciretextetable"/>
              <w:keepNext/>
            </w:pPr>
            <w:r>
              <w:rPr>
                <w:rFonts w:ascii="Arial" w:hAnsi="Arial"/>
                <w:i/>
                <w:noProof/>
                <w:color w:val="000000" w:themeColor="text1"/>
                <w:spacing w:val="-3"/>
              </w:rPr>
              <w:t>6.221.2017.1</w:t>
            </w:r>
          </w:p>
        </w:tc>
      </w:tr>
      <w:tr w:rsidR="008B4FEE">
        <w:tc>
          <w:tcPr>
            <w:tcW w:w="7144" w:type="dxa"/>
            <w:gridSpan w:val="6"/>
            <w:tcBorders>
              <w:top w:val="nil"/>
            </w:tcBorders>
          </w:tcPr>
          <w:p w:rsidR="008B4FEE" w:rsidRDefault="008B4FEE">
            <w:pPr>
              <w:pStyle w:val="Fichefinanciretextetable"/>
              <w:keepNext/>
              <w:rPr>
                <w:noProof/>
              </w:rPr>
            </w:pPr>
          </w:p>
        </w:tc>
        <w:tc>
          <w:tcPr>
            <w:tcW w:w="1984" w:type="dxa"/>
            <w:gridSpan w:val="3"/>
          </w:tcPr>
          <w:p w:rsidR="008B4FEE" w:rsidRDefault="0038481C">
            <w:pPr>
              <w:pStyle w:val="Fichefinanciretextetable"/>
              <w:keepNext/>
              <w:rPr>
                <w:noProof/>
              </w:rPr>
            </w:pPr>
            <w:r>
              <w:rPr>
                <w:noProof/>
                <w:color w:val="000000" w:themeColor="text1"/>
              </w:rPr>
              <w:t>DATUM: 12</w:t>
            </w:r>
            <w:r>
              <w:rPr>
                <w:noProof/>
              </w:rPr>
              <w:t>. 6. 2017</w:t>
            </w:r>
          </w:p>
          <w:p w:rsidR="008B4FEE" w:rsidRDefault="008B4FEE">
            <w:pPr>
              <w:pStyle w:val="Fichefinanciretextetable"/>
              <w:keepNext/>
              <w:rPr>
                <w:noProof/>
                <w:color w:val="000000" w:themeColor="text1"/>
              </w:rPr>
            </w:pPr>
          </w:p>
        </w:tc>
      </w:tr>
      <w:tr w:rsidR="008B4FEE">
        <w:tc>
          <w:tcPr>
            <w:tcW w:w="567" w:type="dxa"/>
            <w:tcBorders>
              <w:right w:val="nil"/>
            </w:tcBorders>
          </w:tcPr>
          <w:p w:rsidR="008B4FEE" w:rsidRDefault="0038481C">
            <w:pPr>
              <w:pStyle w:val="Fichefinanciretextetable"/>
              <w:keepNext/>
              <w:rPr>
                <w:noProof/>
              </w:rPr>
            </w:pPr>
            <w:r>
              <w:rPr>
                <w:noProof/>
              </w:rPr>
              <w:t>1</w:t>
            </w:r>
          </w:p>
        </w:tc>
        <w:tc>
          <w:tcPr>
            <w:tcW w:w="6577" w:type="dxa"/>
            <w:gridSpan w:val="5"/>
            <w:tcBorders>
              <w:left w:val="nil"/>
              <w:right w:val="nil"/>
            </w:tcBorders>
          </w:tcPr>
          <w:p w:rsidR="008B4FEE" w:rsidRDefault="0038481C">
            <w:pPr>
              <w:pStyle w:val="Fichefinanciretextetable"/>
              <w:keepNext/>
              <w:rPr>
                <w:noProof/>
              </w:rPr>
            </w:pPr>
            <w:r>
              <w:rPr>
                <w:noProof/>
              </w:rPr>
              <w:t>PRORAČUNSKA POSTAVKA:</w:t>
            </w:r>
          </w:p>
          <w:p w:rsidR="008B4FEE" w:rsidRDefault="0038481C">
            <w:pPr>
              <w:pStyle w:val="Fichefinanciretextetable"/>
              <w:keepNext/>
              <w:rPr>
                <w:noProof/>
              </w:rPr>
            </w:pPr>
            <w:r>
              <w:rPr>
                <w:noProof/>
              </w:rPr>
              <w:t>Poglavje 05 06 – MEDNARODNI VIDIKI NA PODROČJU POLITIKE „KMETIJSTVO IN RAZVOJ PODEŽELJA“</w:t>
            </w:r>
          </w:p>
          <w:p w:rsidR="008B4FEE" w:rsidRDefault="0038481C">
            <w:pPr>
              <w:pStyle w:val="Fichefinanciretextetable"/>
              <w:keepNext/>
              <w:rPr>
                <w:noProof/>
              </w:rPr>
            </w:pPr>
            <w:r>
              <w:rPr>
                <w:noProof/>
              </w:rPr>
              <w:t>05 06 02 Mednarodne kmetijske organizacije</w:t>
            </w:r>
          </w:p>
        </w:tc>
        <w:tc>
          <w:tcPr>
            <w:tcW w:w="1984" w:type="dxa"/>
            <w:gridSpan w:val="3"/>
            <w:tcBorders>
              <w:left w:val="nil"/>
            </w:tcBorders>
          </w:tcPr>
          <w:p w:rsidR="008B4FEE" w:rsidRDefault="0038481C">
            <w:pPr>
              <w:pStyle w:val="Fichefinanciretextetable"/>
              <w:keepNext/>
              <w:rPr>
                <w:noProof/>
              </w:rPr>
            </w:pPr>
            <w:r>
              <w:rPr>
                <w:noProof/>
              </w:rPr>
              <w:t>ODOBRITVE:</w:t>
            </w:r>
          </w:p>
          <w:p w:rsidR="008B4FEE" w:rsidRDefault="008B4FEE">
            <w:pPr>
              <w:pStyle w:val="Fichefinanciretextetable"/>
              <w:keepNext/>
              <w:rPr>
                <w:noProof/>
              </w:rPr>
            </w:pPr>
          </w:p>
          <w:p w:rsidR="008B4FEE" w:rsidRDefault="0038481C">
            <w:pPr>
              <w:pStyle w:val="Fichefinanciretextetable"/>
              <w:keepNext/>
              <w:rPr>
                <w:noProof/>
              </w:rPr>
            </w:pPr>
            <w:r>
              <w:rPr>
                <w:noProof/>
              </w:rPr>
              <w:t>P 2017: 180 000 EUR</w:t>
            </w:r>
          </w:p>
        </w:tc>
      </w:tr>
      <w:tr w:rsidR="008B4FEE">
        <w:tc>
          <w:tcPr>
            <w:tcW w:w="567" w:type="dxa"/>
            <w:tcBorders>
              <w:bottom w:val="nil"/>
              <w:right w:val="nil"/>
            </w:tcBorders>
          </w:tcPr>
          <w:p w:rsidR="008B4FEE" w:rsidRDefault="0038481C">
            <w:pPr>
              <w:pStyle w:val="Fichefinanciretextetable"/>
              <w:keepNext/>
              <w:rPr>
                <w:noProof/>
              </w:rPr>
            </w:pPr>
            <w:r>
              <w:rPr>
                <w:noProof/>
              </w:rPr>
              <w:t>2</w:t>
            </w:r>
          </w:p>
        </w:tc>
        <w:tc>
          <w:tcPr>
            <w:tcW w:w="8561" w:type="dxa"/>
            <w:gridSpan w:val="8"/>
            <w:tcBorders>
              <w:left w:val="nil"/>
            </w:tcBorders>
          </w:tcPr>
          <w:p w:rsidR="008B4FEE" w:rsidRDefault="0038481C">
            <w:pPr>
              <w:pStyle w:val="Fichefinanciretextetable"/>
              <w:keepNext/>
              <w:rPr>
                <w:noProof/>
                <w:sz w:val="24"/>
                <w:szCs w:val="24"/>
              </w:rPr>
            </w:pPr>
            <w:r>
              <w:rPr>
                <w:noProof/>
              </w:rPr>
              <w:t>NASLOV:</w:t>
            </w:r>
            <w:r>
              <w:rPr>
                <w:noProof/>
              </w:rPr>
              <w:br/>
            </w:r>
            <w:r>
              <w:rPr>
                <w:noProof/>
                <w:sz w:val="24"/>
              </w:rPr>
              <w:t>Predlog za sklep Sveta o stališču, ki se v imenu Evropske unije zastopa v Mednarodni organizaciji za trto in vino</w:t>
            </w:r>
          </w:p>
          <w:p w:rsidR="008B4FEE" w:rsidRDefault="008B4FEE">
            <w:pPr>
              <w:pStyle w:val="Fichefinanciretextetable"/>
              <w:keepNext/>
              <w:rPr>
                <w:noProof/>
              </w:rPr>
            </w:pPr>
          </w:p>
        </w:tc>
      </w:tr>
      <w:tr w:rsidR="008B4FEE">
        <w:tc>
          <w:tcPr>
            <w:tcW w:w="567" w:type="dxa"/>
            <w:tcBorders>
              <w:bottom w:val="nil"/>
              <w:right w:val="nil"/>
            </w:tcBorders>
          </w:tcPr>
          <w:p w:rsidR="008B4FEE" w:rsidRDefault="0038481C">
            <w:pPr>
              <w:pStyle w:val="Fichefinanciretextetable"/>
              <w:keepNext/>
              <w:rPr>
                <w:noProof/>
              </w:rPr>
            </w:pPr>
            <w:r>
              <w:rPr>
                <w:noProof/>
              </w:rPr>
              <w:t>3</w:t>
            </w:r>
          </w:p>
        </w:tc>
        <w:tc>
          <w:tcPr>
            <w:tcW w:w="8561" w:type="dxa"/>
            <w:gridSpan w:val="8"/>
            <w:tcBorders>
              <w:left w:val="nil"/>
            </w:tcBorders>
          </w:tcPr>
          <w:p w:rsidR="008B4FEE" w:rsidRDefault="0038481C">
            <w:pPr>
              <w:keepNext/>
              <w:pBdr>
                <w:top w:val="nil"/>
                <w:left w:val="nil"/>
                <w:bottom w:val="nil"/>
                <w:right w:val="nil"/>
                <w:between w:val="nil"/>
                <w:bar w:val="nil"/>
              </w:pBdr>
              <w:spacing w:after="240"/>
              <w:rPr>
                <w:rFonts w:eastAsia="Arial Unicode MS"/>
                <w:noProof/>
              </w:rPr>
            </w:pPr>
            <w:r>
              <w:rPr>
                <w:noProof/>
              </w:rPr>
              <w:t>PRAVNA PODLAGA: Pravna podlaga za ta predlog je člen 43 v povezavi s členom 218(9) Pogodbe o delovanju Evropske unije.</w:t>
            </w:r>
          </w:p>
        </w:tc>
      </w:tr>
      <w:tr w:rsidR="008B4FEE">
        <w:tc>
          <w:tcPr>
            <w:tcW w:w="567" w:type="dxa"/>
            <w:tcBorders>
              <w:right w:val="nil"/>
            </w:tcBorders>
          </w:tcPr>
          <w:p w:rsidR="008B4FEE" w:rsidRDefault="0038481C">
            <w:pPr>
              <w:pStyle w:val="Fichefinanciretextetable"/>
              <w:keepNext/>
              <w:rPr>
                <w:noProof/>
              </w:rPr>
            </w:pPr>
            <w:r>
              <w:rPr>
                <w:noProof/>
              </w:rPr>
              <w:t>4</w:t>
            </w:r>
          </w:p>
        </w:tc>
        <w:tc>
          <w:tcPr>
            <w:tcW w:w="8561" w:type="dxa"/>
            <w:gridSpan w:val="8"/>
            <w:tcBorders>
              <w:left w:val="nil"/>
            </w:tcBorders>
          </w:tcPr>
          <w:p w:rsidR="008B4FEE" w:rsidRDefault="0038481C">
            <w:pPr>
              <w:pStyle w:val="Fichefinanciretextetable"/>
              <w:keepNext/>
              <w:rPr>
                <w:noProof/>
              </w:rPr>
            </w:pPr>
            <w:r>
              <w:rPr>
                <w:noProof/>
              </w:rPr>
              <w:t>CILJI:</w:t>
            </w:r>
          </w:p>
          <w:p w:rsidR="008B4FEE" w:rsidRDefault="0038481C">
            <w:pPr>
              <w:pStyle w:val="Fichefinanciretextetable"/>
              <w:keepNext/>
              <w:rPr>
                <w:noProof/>
              </w:rPr>
            </w:pPr>
            <w:r>
              <w:rPr>
                <w:noProof/>
              </w:rPr>
              <w:t xml:space="preserve"> Formalizirati vlogo Unije v OIV. </w:t>
            </w:r>
          </w:p>
        </w:tc>
      </w:tr>
      <w:tr w:rsidR="008B4FEE">
        <w:tc>
          <w:tcPr>
            <w:tcW w:w="567" w:type="dxa"/>
            <w:tcBorders>
              <w:bottom w:val="nil"/>
              <w:right w:val="nil"/>
            </w:tcBorders>
          </w:tcPr>
          <w:p w:rsidR="008B4FEE" w:rsidRDefault="0038481C">
            <w:pPr>
              <w:pStyle w:val="Fichefinanciretextetable"/>
              <w:keepNext/>
              <w:rPr>
                <w:noProof/>
              </w:rPr>
            </w:pPr>
            <w:r>
              <w:rPr>
                <w:noProof/>
              </w:rPr>
              <w:t>5</w:t>
            </w:r>
          </w:p>
        </w:tc>
        <w:tc>
          <w:tcPr>
            <w:tcW w:w="3884" w:type="dxa"/>
            <w:tcBorders>
              <w:left w:val="nil"/>
            </w:tcBorders>
          </w:tcPr>
          <w:p w:rsidR="008B4FEE" w:rsidRDefault="0038481C">
            <w:pPr>
              <w:pStyle w:val="Fichefinanciretextetable"/>
              <w:keepNext/>
              <w:rPr>
                <w:noProof/>
              </w:rPr>
            </w:pPr>
            <w:r>
              <w:rPr>
                <w:noProof/>
              </w:rPr>
              <w:t>FINANČNE POSLEDICE</w:t>
            </w:r>
          </w:p>
        </w:tc>
        <w:tc>
          <w:tcPr>
            <w:tcW w:w="1417" w:type="dxa"/>
            <w:gridSpan w:val="2"/>
          </w:tcPr>
          <w:p w:rsidR="008B4FEE" w:rsidRDefault="0038481C">
            <w:pPr>
              <w:pStyle w:val="Fichefinanciretextetable"/>
              <w:keepNext/>
              <w:jc w:val="center"/>
              <w:rPr>
                <w:noProof/>
              </w:rPr>
            </w:pPr>
            <w:r>
              <w:rPr>
                <w:noProof/>
              </w:rPr>
              <w:t>12-MESEČNO OBDOBJE</w:t>
            </w:r>
            <w:r>
              <w:rPr>
                <w:noProof/>
              </w:rPr>
              <w:br/>
            </w:r>
            <w:r>
              <w:rPr>
                <w:noProof/>
              </w:rPr>
              <w:br/>
              <w:t>(v EUR)</w:t>
            </w:r>
          </w:p>
        </w:tc>
        <w:tc>
          <w:tcPr>
            <w:tcW w:w="1559" w:type="dxa"/>
            <w:gridSpan w:val="3"/>
          </w:tcPr>
          <w:p w:rsidR="008B4FEE" w:rsidRDefault="0038481C">
            <w:pPr>
              <w:pStyle w:val="Fichefinanciretextetable"/>
              <w:keepNext/>
              <w:jc w:val="center"/>
              <w:rPr>
                <w:noProof/>
              </w:rPr>
            </w:pPr>
            <w:r>
              <w:rPr>
                <w:noProof/>
                <w:color w:val="000000" w:themeColor="text1"/>
              </w:rPr>
              <w:t>TEKOČE PRORAČUNSKO LETO</w:t>
            </w:r>
            <w:r>
              <w:rPr>
                <w:noProof/>
              </w:rPr>
              <w:t xml:space="preserve"> 2017</w:t>
            </w:r>
          </w:p>
          <w:p w:rsidR="008B4FEE" w:rsidRDefault="0038481C">
            <w:pPr>
              <w:pStyle w:val="Fichefinanciretextetable"/>
              <w:keepNext/>
              <w:jc w:val="center"/>
              <w:rPr>
                <w:noProof/>
                <w:color w:val="000000" w:themeColor="text1"/>
              </w:rPr>
            </w:pPr>
            <w:r>
              <w:rPr>
                <w:noProof/>
                <w:color w:val="000000" w:themeColor="text1"/>
              </w:rPr>
              <w:t>(v EUR)</w:t>
            </w:r>
          </w:p>
        </w:tc>
        <w:tc>
          <w:tcPr>
            <w:tcW w:w="1701" w:type="dxa"/>
            <w:gridSpan w:val="2"/>
          </w:tcPr>
          <w:p w:rsidR="008B4FEE" w:rsidRDefault="0038481C">
            <w:pPr>
              <w:pStyle w:val="Fichefinanciretextetable"/>
              <w:keepNext/>
              <w:jc w:val="center"/>
              <w:rPr>
                <w:noProof/>
                <w:color w:val="000000" w:themeColor="text1"/>
              </w:rPr>
            </w:pPr>
            <w:r>
              <w:rPr>
                <w:noProof/>
                <w:color w:val="000000" w:themeColor="text1"/>
              </w:rPr>
              <w:t>NASLEDNJE PRORAČUNSKO LETO</w:t>
            </w:r>
            <w:r>
              <w:rPr>
                <w:noProof/>
              </w:rPr>
              <w:t xml:space="preserve"> 2018</w:t>
            </w:r>
            <w:r>
              <w:rPr>
                <w:noProof/>
                <w:color w:val="000000" w:themeColor="text1"/>
              </w:rPr>
              <w:t xml:space="preserve"> </w:t>
            </w:r>
          </w:p>
          <w:p w:rsidR="008B4FEE" w:rsidRDefault="0038481C">
            <w:pPr>
              <w:pStyle w:val="Fichefinanciretextetable"/>
              <w:keepNext/>
              <w:jc w:val="center"/>
              <w:rPr>
                <w:noProof/>
                <w:color w:val="000000" w:themeColor="text1"/>
              </w:rPr>
            </w:pPr>
            <w:r>
              <w:rPr>
                <w:noProof/>
                <w:color w:val="000000" w:themeColor="text1"/>
              </w:rPr>
              <w:t>(v EUR)</w:t>
            </w:r>
          </w:p>
        </w:tc>
      </w:tr>
      <w:tr w:rsidR="008B4FEE">
        <w:tc>
          <w:tcPr>
            <w:tcW w:w="567" w:type="dxa"/>
            <w:tcBorders>
              <w:bottom w:val="nil"/>
              <w:right w:val="nil"/>
            </w:tcBorders>
          </w:tcPr>
          <w:p w:rsidR="008B4FEE" w:rsidRDefault="0038481C">
            <w:pPr>
              <w:pStyle w:val="Fichefinanciretextetable"/>
              <w:keepNext/>
              <w:rPr>
                <w:noProof/>
              </w:rPr>
            </w:pPr>
            <w:r>
              <w:rPr>
                <w:noProof/>
              </w:rPr>
              <w:t>5.0</w:t>
            </w:r>
          </w:p>
        </w:tc>
        <w:tc>
          <w:tcPr>
            <w:tcW w:w="3884" w:type="dxa"/>
            <w:tcBorders>
              <w:left w:val="nil"/>
            </w:tcBorders>
          </w:tcPr>
          <w:p w:rsidR="008B4FEE" w:rsidRDefault="0038481C">
            <w:pPr>
              <w:pStyle w:val="Fichefinanciretextetable"/>
              <w:keepNext/>
              <w:rPr>
                <w:noProof/>
              </w:rPr>
            </w:pPr>
            <w:r>
              <w:rPr>
                <w:noProof/>
              </w:rPr>
              <w:t>ODHODKI</w:t>
            </w:r>
          </w:p>
          <w:p w:rsidR="008B4FEE" w:rsidRDefault="0038481C">
            <w:pPr>
              <w:pStyle w:val="Fichefinanciretextetable"/>
              <w:keepNext/>
              <w:rPr>
                <w:noProof/>
              </w:rPr>
            </w:pPr>
            <w:r>
              <w:rPr>
                <w:noProof/>
              </w:rPr>
              <w:t>– V BREME PRORAČUNA EU (NADOMESTILA/INTERVENCIJE)</w:t>
            </w:r>
          </w:p>
          <w:p w:rsidR="008B4FEE" w:rsidRDefault="0038481C">
            <w:pPr>
              <w:pStyle w:val="Fichefinanciretextetable"/>
              <w:keepNext/>
              <w:rPr>
                <w:noProof/>
              </w:rPr>
            </w:pPr>
            <w:r>
              <w:rPr>
                <w:noProof/>
              </w:rPr>
              <w:t>– NACIONALNI ORGANI</w:t>
            </w:r>
          </w:p>
          <w:p w:rsidR="008B4FEE" w:rsidRDefault="0038481C">
            <w:pPr>
              <w:pStyle w:val="Fichefinanciretextetable"/>
              <w:keepNext/>
              <w:rPr>
                <w:noProof/>
              </w:rPr>
            </w:pPr>
            <w:r>
              <w:rPr>
                <w:noProof/>
              </w:rPr>
              <w:t>– DRUGO</w:t>
            </w:r>
          </w:p>
        </w:tc>
        <w:tc>
          <w:tcPr>
            <w:tcW w:w="1417" w:type="dxa"/>
            <w:gridSpan w:val="2"/>
          </w:tcPr>
          <w:p w:rsidR="008B4FEE" w:rsidRDefault="008B4FEE">
            <w:pPr>
              <w:pStyle w:val="Fichefinanciretextetable"/>
              <w:keepNext/>
              <w:jc w:val="center"/>
              <w:rPr>
                <w:noProof/>
              </w:rPr>
            </w:pPr>
          </w:p>
        </w:tc>
        <w:tc>
          <w:tcPr>
            <w:tcW w:w="1559" w:type="dxa"/>
            <w:gridSpan w:val="3"/>
          </w:tcPr>
          <w:p w:rsidR="008B4FEE" w:rsidRDefault="0038481C">
            <w:pPr>
              <w:pStyle w:val="Fichefinanciretextetable"/>
              <w:keepNext/>
              <w:jc w:val="center"/>
              <w:rPr>
                <w:noProof/>
                <w:color w:val="000000" w:themeColor="text1"/>
              </w:rPr>
            </w:pPr>
            <w:r>
              <w:rPr>
                <w:noProof/>
              </w:rPr>
              <w:t>140 000</w:t>
            </w:r>
          </w:p>
        </w:tc>
        <w:tc>
          <w:tcPr>
            <w:tcW w:w="1701" w:type="dxa"/>
            <w:gridSpan w:val="2"/>
          </w:tcPr>
          <w:p w:rsidR="008B4FEE" w:rsidRDefault="0038481C">
            <w:pPr>
              <w:pStyle w:val="Fichefinanciretextetable"/>
              <w:keepNext/>
              <w:tabs>
                <w:tab w:val="left" w:pos="435"/>
                <w:tab w:val="center" w:pos="794"/>
              </w:tabs>
              <w:rPr>
                <w:noProof/>
                <w:color w:val="000000" w:themeColor="text1"/>
              </w:rPr>
            </w:pPr>
            <w:r>
              <w:rPr>
                <w:noProof/>
              </w:rPr>
              <w:tab/>
              <w:t>140 000</w:t>
            </w:r>
          </w:p>
        </w:tc>
      </w:tr>
      <w:tr w:rsidR="008B4FEE">
        <w:tc>
          <w:tcPr>
            <w:tcW w:w="567" w:type="dxa"/>
            <w:tcBorders>
              <w:right w:val="nil"/>
            </w:tcBorders>
          </w:tcPr>
          <w:p w:rsidR="008B4FEE" w:rsidRDefault="0038481C">
            <w:pPr>
              <w:pStyle w:val="Fichefinanciretextetable"/>
              <w:keepNext/>
              <w:rPr>
                <w:noProof/>
              </w:rPr>
            </w:pPr>
            <w:r>
              <w:rPr>
                <w:noProof/>
              </w:rPr>
              <w:t>5.1</w:t>
            </w:r>
          </w:p>
        </w:tc>
        <w:tc>
          <w:tcPr>
            <w:tcW w:w="3884" w:type="dxa"/>
            <w:tcBorders>
              <w:left w:val="nil"/>
            </w:tcBorders>
          </w:tcPr>
          <w:p w:rsidR="008B4FEE" w:rsidRDefault="0038481C">
            <w:pPr>
              <w:pStyle w:val="Fichefinanciretextetable"/>
              <w:keepNext/>
              <w:rPr>
                <w:noProof/>
              </w:rPr>
            </w:pPr>
            <w:r>
              <w:rPr>
                <w:noProof/>
              </w:rPr>
              <w:t>PRIHODKI</w:t>
            </w:r>
          </w:p>
          <w:p w:rsidR="008B4FEE" w:rsidRDefault="0038481C">
            <w:pPr>
              <w:pStyle w:val="Fichefinanciretextetable"/>
              <w:keepNext/>
              <w:rPr>
                <w:noProof/>
              </w:rPr>
            </w:pPr>
            <w:r>
              <w:rPr>
                <w:noProof/>
              </w:rPr>
              <w:t>–</w:t>
            </w:r>
            <w:r>
              <w:rPr>
                <w:noProof/>
              </w:rPr>
              <w:tab/>
              <w:t xml:space="preserve">LASTNA SREDSTVA EU </w:t>
            </w:r>
            <w:r>
              <w:rPr>
                <w:noProof/>
              </w:rPr>
              <w:br/>
              <w:t>(PRELEVMANI/CARINSKE DAJATVE)</w:t>
            </w:r>
          </w:p>
          <w:p w:rsidR="008B4FEE" w:rsidRDefault="0038481C">
            <w:pPr>
              <w:pStyle w:val="Fichefinanciretextetable"/>
              <w:keepNext/>
              <w:rPr>
                <w:noProof/>
              </w:rPr>
            </w:pPr>
            <w:r>
              <w:rPr>
                <w:noProof/>
              </w:rPr>
              <w:t>– DRŽAVNA SREDSTVA</w:t>
            </w:r>
          </w:p>
        </w:tc>
        <w:tc>
          <w:tcPr>
            <w:tcW w:w="1417" w:type="dxa"/>
            <w:gridSpan w:val="2"/>
          </w:tcPr>
          <w:p w:rsidR="008B4FEE" w:rsidRDefault="008B4FEE">
            <w:pPr>
              <w:pStyle w:val="Fichefinanciretextetable"/>
              <w:keepNext/>
              <w:jc w:val="center"/>
              <w:rPr>
                <w:noProof/>
              </w:rPr>
            </w:pPr>
          </w:p>
        </w:tc>
        <w:tc>
          <w:tcPr>
            <w:tcW w:w="1559" w:type="dxa"/>
            <w:gridSpan w:val="3"/>
          </w:tcPr>
          <w:p w:rsidR="008B4FEE" w:rsidRDefault="008B4FEE">
            <w:pPr>
              <w:pStyle w:val="Fichefinanciretextetable"/>
              <w:keepNext/>
              <w:jc w:val="center"/>
              <w:rPr>
                <w:noProof/>
                <w:color w:val="000000" w:themeColor="text1"/>
              </w:rPr>
            </w:pPr>
          </w:p>
        </w:tc>
        <w:tc>
          <w:tcPr>
            <w:tcW w:w="1701" w:type="dxa"/>
            <w:gridSpan w:val="2"/>
          </w:tcPr>
          <w:p w:rsidR="008B4FEE" w:rsidRDefault="008B4FEE">
            <w:pPr>
              <w:pStyle w:val="Fichefinanciretextetable"/>
              <w:keepNext/>
              <w:jc w:val="center"/>
              <w:rPr>
                <w:noProof/>
                <w:color w:val="000000" w:themeColor="text1"/>
              </w:rPr>
            </w:pPr>
          </w:p>
        </w:tc>
      </w:tr>
      <w:tr w:rsidR="008B4FEE">
        <w:tc>
          <w:tcPr>
            <w:tcW w:w="567" w:type="dxa"/>
            <w:tcBorders>
              <w:bottom w:val="nil"/>
              <w:right w:val="nil"/>
            </w:tcBorders>
          </w:tcPr>
          <w:p w:rsidR="008B4FEE" w:rsidRDefault="008B4FEE">
            <w:pPr>
              <w:pStyle w:val="Fichefinanciretextetable"/>
              <w:keepNext/>
              <w:rPr>
                <w:noProof/>
              </w:rPr>
            </w:pPr>
          </w:p>
        </w:tc>
        <w:tc>
          <w:tcPr>
            <w:tcW w:w="3884" w:type="dxa"/>
            <w:tcBorders>
              <w:left w:val="nil"/>
              <w:bottom w:val="nil"/>
            </w:tcBorders>
          </w:tcPr>
          <w:p w:rsidR="008B4FEE" w:rsidRDefault="008B4FEE">
            <w:pPr>
              <w:pStyle w:val="Fichefinanciretextetable"/>
              <w:keepNext/>
              <w:rPr>
                <w:noProof/>
              </w:rPr>
            </w:pPr>
          </w:p>
        </w:tc>
        <w:tc>
          <w:tcPr>
            <w:tcW w:w="1275" w:type="dxa"/>
            <w:tcBorders>
              <w:bottom w:val="nil"/>
            </w:tcBorders>
          </w:tcPr>
          <w:p w:rsidR="008B4FEE" w:rsidRDefault="008B4FEE">
            <w:pPr>
              <w:pStyle w:val="Fichefinanciretextetable"/>
              <w:keepNext/>
              <w:jc w:val="center"/>
              <w:rPr>
                <w:noProof/>
              </w:rPr>
            </w:pPr>
          </w:p>
        </w:tc>
        <w:tc>
          <w:tcPr>
            <w:tcW w:w="1276" w:type="dxa"/>
            <w:gridSpan w:val="2"/>
            <w:tcBorders>
              <w:bottom w:val="nil"/>
            </w:tcBorders>
          </w:tcPr>
          <w:p w:rsidR="008B4FEE" w:rsidRDefault="008B4FEE">
            <w:pPr>
              <w:pStyle w:val="Fichefinanciretextetable"/>
              <w:keepNext/>
              <w:jc w:val="center"/>
            </w:pPr>
          </w:p>
        </w:tc>
        <w:tc>
          <w:tcPr>
            <w:tcW w:w="992" w:type="dxa"/>
            <w:gridSpan w:val="3"/>
            <w:tcBorders>
              <w:bottom w:val="nil"/>
            </w:tcBorders>
          </w:tcPr>
          <w:p w:rsidR="008B4FEE" w:rsidRDefault="008B4FEE">
            <w:pPr>
              <w:pStyle w:val="Fichefinanciretextetable"/>
              <w:keepNext/>
              <w:jc w:val="center"/>
            </w:pPr>
          </w:p>
        </w:tc>
        <w:tc>
          <w:tcPr>
            <w:tcW w:w="1134" w:type="dxa"/>
            <w:tcBorders>
              <w:bottom w:val="nil"/>
            </w:tcBorders>
          </w:tcPr>
          <w:p w:rsidR="008B4FEE" w:rsidRDefault="008B4FEE">
            <w:pPr>
              <w:pStyle w:val="Fichefinanciretextetable"/>
              <w:keepNext/>
              <w:jc w:val="center"/>
            </w:pPr>
          </w:p>
        </w:tc>
      </w:tr>
      <w:tr w:rsidR="008B4FEE">
        <w:tc>
          <w:tcPr>
            <w:tcW w:w="567" w:type="dxa"/>
            <w:tcBorders>
              <w:top w:val="nil"/>
              <w:bottom w:val="nil"/>
              <w:right w:val="nil"/>
            </w:tcBorders>
          </w:tcPr>
          <w:p w:rsidR="008B4FEE" w:rsidRDefault="0038481C">
            <w:pPr>
              <w:pStyle w:val="Fichefinanciretextetable"/>
              <w:keepNext/>
              <w:rPr>
                <w:noProof/>
              </w:rPr>
            </w:pPr>
            <w:r>
              <w:rPr>
                <w:noProof/>
              </w:rPr>
              <w:t>5.0.1</w:t>
            </w:r>
          </w:p>
        </w:tc>
        <w:tc>
          <w:tcPr>
            <w:tcW w:w="3884" w:type="dxa"/>
            <w:tcBorders>
              <w:top w:val="nil"/>
              <w:left w:val="nil"/>
              <w:bottom w:val="nil"/>
            </w:tcBorders>
          </w:tcPr>
          <w:p w:rsidR="008B4FEE" w:rsidRDefault="0038481C">
            <w:pPr>
              <w:pStyle w:val="Fichefinanciretextetable"/>
              <w:keepNext/>
              <w:rPr>
                <w:noProof/>
              </w:rPr>
            </w:pPr>
            <w:r>
              <w:rPr>
                <w:noProof/>
              </w:rPr>
              <w:t>OCENJENI ODHODKI</w:t>
            </w:r>
          </w:p>
        </w:tc>
        <w:tc>
          <w:tcPr>
            <w:tcW w:w="1275" w:type="dxa"/>
            <w:tcBorders>
              <w:bottom w:val="nil"/>
            </w:tcBorders>
          </w:tcPr>
          <w:p w:rsidR="008B4FEE" w:rsidRDefault="008B4FEE">
            <w:pPr>
              <w:pStyle w:val="Fichefinanciretextetable"/>
              <w:keepNext/>
              <w:rPr>
                <w:noProof/>
              </w:rPr>
            </w:pPr>
          </w:p>
        </w:tc>
        <w:tc>
          <w:tcPr>
            <w:tcW w:w="1276" w:type="dxa"/>
            <w:gridSpan w:val="2"/>
            <w:tcBorders>
              <w:bottom w:val="nil"/>
            </w:tcBorders>
          </w:tcPr>
          <w:p w:rsidR="008B4FEE" w:rsidRDefault="008B4FEE">
            <w:pPr>
              <w:pStyle w:val="Fichefinanciretextetable"/>
              <w:keepNext/>
              <w:jc w:val="center"/>
              <w:rPr>
                <w:noProof/>
                <w:color w:val="000000" w:themeColor="text1"/>
              </w:rPr>
            </w:pPr>
          </w:p>
        </w:tc>
        <w:tc>
          <w:tcPr>
            <w:tcW w:w="992" w:type="dxa"/>
            <w:gridSpan w:val="3"/>
            <w:tcBorders>
              <w:bottom w:val="nil"/>
            </w:tcBorders>
          </w:tcPr>
          <w:p w:rsidR="008B4FEE" w:rsidRDefault="008B4FEE">
            <w:pPr>
              <w:pStyle w:val="Fichefinanciretextetable"/>
              <w:keepNext/>
              <w:jc w:val="center"/>
              <w:rPr>
                <w:noProof/>
                <w:color w:val="000000" w:themeColor="text1"/>
              </w:rPr>
            </w:pPr>
          </w:p>
        </w:tc>
        <w:tc>
          <w:tcPr>
            <w:tcW w:w="1134" w:type="dxa"/>
            <w:tcBorders>
              <w:bottom w:val="nil"/>
            </w:tcBorders>
          </w:tcPr>
          <w:p w:rsidR="008B4FEE" w:rsidRDefault="008B4FEE">
            <w:pPr>
              <w:pStyle w:val="Fichefinanciretextetable"/>
              <w:keepNext/>
              <w:jc w:val="center"/>
              <w:rPr>
                <w:noProof/>
                <w:color w:val="000000" w:themeColor="text1"/>
              </w:rPr>
            </w:pPr>
          </w:p>
        </w:tc>
      </w:tr>
      <w:tr w:rsidR="008B4FEE">
        <w:tc>
          <w:tcPr>
            <w:tcW w:w="567" w:type="dxa"/>
            <w:tcBorders>
              <w:top w:val="nil"/>
              <w:right w:val="nil"/>
            </w:tcBorders>
          </w:tcPr>
          <w:p w:rsidR="008B4FEE" w:rsidRDefault="0038481C">
            <w:pPr>
              <w:pStyle w:val="Fichefinanciretextetable"/>
              <w:keepNext/>
              <w:rPr>
                <w:noProof/>
              </w:rPr>
            </w:pPr>
            <w:r>
              <w:rPr>
                <w:noProof/>
              </w:rPr>
              <w:t>5.1.1</w:t>
            </w:r>
          </w:p>
        </w:tc>
        <w:tc>
          <w:tcPr>
            <w:tcW w:w="3884" w:type="dxa"/>
            <w:tcBorders>
              <w:top w:val="nil"/>
              <w:left w:val="nil"/>
            </w:tcBorders>
          </w:tcPr>
          <w:p w:rsidR="008B4FEE" w:rsidRDefault="0038481C">
            <w:pPr>
              <w:pStyle w:val="Fichefinanciretextetable"/>
              <w:keepNext/>
              <w:rPr>
                <w:noProof/>
              </w:rPr>
            </w:pPr>
            <w:r>
              <w:rPr>
                <w:noProof/>
              </w:rPr>
              <w:t>OCENJENI PRIHODKI</w:t>
            </w:r>
          </w:p>
        </w:tc>
        <w:tc>
          <w:tcPr>
            <w:tcW w:w="1275" w:type="dxa"/>
            <w:tcBorders>
              <w:top w:val="nil"/>
            </w:tcBorders>
          </w:tcPr>
          <w:p w:rsidR="008B4FEE" w:rsidRDefault="008B4FEE">
            <w:pPr>
              <w:pStyle w:val="Fichefinanciretextetable"/>
              <w:keepNext/>
              <w:jc w:val="center"/>
              <w:rPr>
                <w:noProof/>
              </w:rPr>
            </w:pPr>
          </w:p>
        </w:tc>
        <w:tc>
          <w:tcPr>
            <w:tcW w:w="1276" w:type="dxa"/>
            <w:gridSpan w:val="2"/>
            <w:tcBorders>
              <w:top w:val="nil"/>
            </w:tcBorders>
          </w:tcPr>
          <w:p w:rsidR="008B4FEE" w:rsidRDefault="008B4FEE">
            <w:pPr>
              <w:pStyle w:val="Fichefinanciretextetable"/>
              <w:keepNext/>
              <w:jc w:val="center"/>
              <w:rPr>
                <w:noProof/>
                <w:color w:val="000000" w:themeColor="text1"/>
              </w:rPr>
            </w:pPr>
          </w:p>
        </w:tc>
        <w:tc>
          <w:tcPr>
            <w:tcW w:w="992" w:type="dxa"/>
            <w:gridSpan w:val="3"/>
            <w:tcBorders>
              <w:top w:val="nil"/>
            </w:tcBorders>
          </w:tcPr>
          <w:p w:rsidR="008B4FEE" w:rsidRDefault="008B4FEE">
            <w:pPr>
              <w:pStyle w:val="Fichefinanciretextetable"/>
              <w:keepNext/>
              <w:jc w:val="center"/>
              <w:rPr>
                <w:noProof/>
                <w:color w:val="000000" w:themeColor="text1"/>
              </w:rPr>
            </w:pPr>
          </w:p>
        </w:tc>
        <w:tc>
          <w:tcPr>
            <w:tcW w:w="1134" w:type="dxa"/>
            <w:tcBorders>
              <w:top w:val="nil"/>
            </w:tcBorders>
          </w:tcPr>
          <w:p w:rsidR="008B4FEE" w:rsidRDefault="008B4FEE">
            <w:pPr>
              <w:pStyle w:val="Fichefinanciretextetable"/>
              <w:keepNext/>
              <w:jc w:val="center"/>
              <w:rPr>
                <w:noProof/>
                <w:color w:val="000000" w:themeColor="text1"/>
              </w:rPr>
            </w:pPr>
          </w:p>
        </w:tc>
      </w:tr>
      <w:tr w:rsidR="008B4FEE">
        <w:tc>
          <w:tcPr>
            <w:tcW w:w="567" w:type="dxa"/>
            <w:tcBorders>
              <w:right w:val="nil"/>
            </w:tcBorders>
          </w:tcPr>
          <w:p w:rsidR="008B4FEE" w:rsidRDefault="0038481C">
            <w:pPr>
              <w:pStyle w:val="Fichefinanciretextetable"/>
              <w:keepNext/>
              <w:rPr>
                <w:noProof/>
              </w:rPr>
            </w:pPr>
            <w:r>
              <w:rPr>
                <w:noProof/>
              </w:rPr>
              <w:t>5.2</w:t>
            </w:r>
          </w:p>
        </w:tc>
        <w:tc>
          <w:tcPr>
            <w:tcW w:w="8561" w:type="dxa"/>
            <w:gridSpan w:val="8"/>
            <w:tcBorders>
              <w:left w:val="nil"/>
            </w:tcBorders>
          </w:tcPr>
          <w:p w:rsidR="008B4FEE" w:rsidRDefault="0038481C">
            <w:pPr>
              <w:pStyle w:val="Fichefinanciretextetable"/>
              <w:keepNext/>
              <w:spacing w:before="60" w:after="60"/>
              <w:rPr>
                <w:noProof/>
                <w:color w:val="000000" w:themeColor="text1"/>
              </w:rPr>
            </w:pPr>
            <w:r>
              <w:rPr>
                <w:noProof/>
                <w:color w:val="000000" w:themeColor="text1"/>
              </w:rPr>
              <w:t xml:space="preserve">METODA IZRAČUNA: </w:t>
            </w:r>
            <w:r>
              <w:rPr>
                <w:noProof/>
                <w:color w:val="000000" w:themeColor="text1"/>
                <w:sz w:val="24"/>
              </w:rPr>
              <w:t>Predvidena je posebna ureditev, vezana na posebni status Evropske unije v Mednarodni organizaciji za trto in vino (OIV). OIV je seznanjena, da bo ji bo Unija plačala letni finančni prispevek, vezan na ta posebni status.</w:t>
            </w:r>
          </w:p>
        </w:tc>
      </w:tr>
      <w:tr w:rsidR="008B4FEE">
        <w:tc>
          <w:tcPr>
            <w:tcW w:w="567" w:type="dxa"/>
            <w:tcBorders>
              <w:bottom w:val="nil"/>
              <w:right w:val="nil"/>
            </w:tcBorders>
          </w:tcPr>
          <w:p w:rsidR="008B4FEE" w:rsidRDefault="0038481C">
            <w:pPr>
              <w:pStyle w:val="Fichefinanciretextetable"/>
              <w:keepNext/>
              <w:rPr>
                <w:noProof/>
              </w:rPr>
            </w:pPr>
            <w:r>
              <w:rPr>
                <w:noProof/>
              </w:rPr>
              <w:t>6.0</w:t>
            </w:r>
          </w:p>
        </w:tc>
        <w:tc>
          <w:tcPr>
            <w:tcW w:w="7427" w:type="dxa"/>
            <w:gridSpan w:val="7"/>
            <w:tcBorders>
              <w:left w:val="nil"/>
              <w:right w:val="nil"/>
            </w:tcBorders>
          </w:tcPr>
          <w:p w:rsidR="008B4FEE" w:rsidRDefault="0038481C">
            <w:pPr>
              <w:pStyle w:val="Fichefinanciretextetable"/>
              <w:keepNext/>
              <w:spacing w:before="60" w:after="60"/>
              <w:rPr>
                <w:noProof/>
                <w:color w:val="000000" w:themeColor="text1"/>
              </w:rPr>
            </w:pPr>
            <w:r>
              <w:rPr>
                <w:noProof/>
                <w:color w:val="000000" w:themeColor="text1"/>
              </w:rPr>
              <w:t>ALI SE LAHKO PROJEKT FINANCIRA IZ ODOBRENIH PRORAČUNSKIH SREDSTEV, VPISANIH V USTREZNO POGLAVJE TEKOČEGA PRORAČUNA?</w:t>
            </w:r>
          </w:p>
        </w:tc>
        <w:tc>
          <w:tcPr>
            <w:tcW w:w="1134" w:type="dxa"/>
            <w:tcBorders>
              <w:left w:val="nil"/>
              <w:bottom w:val="nil"/>
            </w:tcBorders>
          </w:tcPr>
          <w:p w:rsidR="008B4FEE" w:rsidRDefault="0038481C">
            <w:pPr>
              <w:pStyle w:val="Fichefinanciretextetable"/>
              <w:keepNext/>
              <w:jc w:val="center"/>
              <w:rPr>
                <w:noProof/>
                <w:color w:val="000000" w:themeColor="text1"/>
              </w:rPr>
            </w:pPr>
            <w:r>
              <w:rPr>
                <w:noProof/>
              </w:rPr>
              <w:t>DA NE</w:t>
            </w:r>
          </w:p>
        </w:tc>
      </w:tr>
      <w:tr w:rsidR="008B4FEE">
        <w:tc>
          <w:tcPr>
            <w:tcW w:w="567" w:type="dxa"/>
            <w:tcBorders>
              <w:bottom w:val="nil"/>
              <w:right w:val="nil"/>
            </w:tcBorders>
          </w:tcPr>
          <w:p w:rsidR="008B4FEE" w:rsidRDefault="0038481C">
            <w:pPr>
              <w:pStyle w:val="Fichefinanciretextetable"/>
              <w:keepNext/>
              <w:rPr>
                <w:noProof/>
              </w:rPr>
            </w:pPr>
            <w:r>
              <w:rPr>
                <w:noProof/>
              </w:rPr>
              <w:t>6.1</w:t>
            </w:r>
          </w:p>
        </w:tc>
        <w:tc>
          <w:tcPr>
            <w:tcW w:w="7427" w:type="dxa"/>
            <w:gridSpan w:val="7"/>
            <w:tcBorders>
              <w:left w:val="nil"/>
              <w:right w:val="nil"/>
            </w:tcBorders>
          </w:tcPr>
          <w:p w:rsidR="008B4FEE" w:rsidRDefault="0038481C">
            <w:pPr>
              <w:pStyle w:val="Fichefinanciretextetable"/>
              <w:keepNext/>
              <w:spacing w:before="60" w:after="60"/>
              <w:rPr>
                <w:noProof/>
              </w:rPr>
            </w:pPr>
            <w:r>
              <w:rPr>
                <w:noProof/>
              </w:rPr>
              <w:t>ALI SE LAHKO PROJEKT FINANCIRA S PRENOSOM MED POGLAVJI TEKOČEGA PRORAČUNA?</w:t>
            </w:r>
          </w:p>
        </w:tc>
        <w:tc>
          <w:tcPr>
            <w:tcW w:w="1134" w:type="dxa"/>
            <w:tcBorders>
              <w:left w:val="nil"/>
              <w:bottom w:val="nil"/>
            </w:tcBorders>
          </w:tcPr>
          <w:p w:rsidR="008B4FEE" w:rsidRDefault="008B4FEE">
            <w:pPr>
              <w:pStyle w:val="Fichefinanciretextetable"/>
              <w:keepNext/>
              <w:jc w:val="center"/>
              <w:rPr>
                <w:noProof/>
              </w:rPr>
            </w:pPr>
          </w:p>
        </w:tc>
      </w:tr>
      <w:tr w:rsidR="008B4FEE">
        <w:tc>
          <w:tcPr>
            <w:tcW w:w="567" w:type="dxa"/>
            <w:tcBorders>
              <w:bottom w:val="nil"/>
              <w:right w:val="nil"/>
            </w:tcBorders>
          </w:tcPr>
          <w:p w:rsidR="008B4FEE" w:rsidRDefault="0038481C">
            <w:pPr>
              <w:pStyle w:val="Fichefinanciretextetable"/>
              <w:keepNext/>
              <w:rPr>
                <w:noProof/>
              </w:rPr>
            </w:pPr>
            <w:r>
              <w:rPr>
                <w:noProof/>
              </w:rPr>
              <w:t>6.2</w:t>
            </w:r>
          </w:p>
        </w:tc>
        <w:tc>
          <w:tcPr>
            <w:tcW w:w="7427" w:type="dxa"/>
            <w:gridSpan w:val="7"/>
            <w:tcBorders>
              <w:left w:val="nil"/>
              <w:right w:val="nil"/>
            </w:tcBorders>
          </w:tcPr>
          <w:p w:rsidR="008B4FEE" w:rsidRDefault="0038481C">
            <w:pPr>
              <w:pStyle w:val="Fichefinanciretextetable"/>
              <w:keepNext/>
              <w:spacing w:before="60" w:after="60"/>
              <w:rPr>
                <w:noProof/>
              </w:rPr>
            </w:pPr>
            <w:r>
              <w:rPr>
                <w:noProof/>
              </w:rPr>
              <w:t>ALI BO POTREBEN DOPOLNILNI PRORAČUN (REBALANS)?</w:t>
            </w:r>
          </w:p>
        </w:tc>
        <w:tc>
          <w:tcPr>
            <w:tcW w:w="1134" w:type="dxa"/>
            <w:tcBorders>
              <w:left w:val="nil"/>
              <w:bottom w:val="nil"/>
            </w:tcBorders>
          </w:tcPr>
          <w:p w:rsidR="008B4FEE" w:rsidRDefault="008B4FEE">
            <w:pPr>
              <w:pStyle w:val="Fichefinanciretextetable"/>
              <w:keepNext/>
              <w:rPr>
                <w:noProof/>
              </w:rPr>
            </w:pPr>
          </w:p>
        </w:tc>
      </w:tr>
      <w:tr w:rsidR="008B4FEE">
        <w:tc>
          <w:tcPr>
            <w:tcW w:w="567" w:type="dxa"/>
            <w:tcBorders>
              <w:right w:val="nil"/>
            </w:tcBorders>
          </w:tcPr>
          <w:p w:rsidR="008B4FEE" w:rsidRDefault="0038481C">
            <w:pPr>
              <w:pStyle w:val="Fichefinanciretextetable"/>
              <w:keepNext/>
              <w:rPr>
                <w:noProof/>
              </w:rPr>
            </w:pPr>
            <w:r>
              <w:rPr>
                <w:noProof/>
              </w:rPr>
              <w:t>6.3</w:t>
            </w:r>
          </w:p>
        </w:tc>
        <w:tc>
          <w:tcPr>
            <w:tcW w:w="7427" w:type="dxa"/>
            <w:gridSpan w:val="7"/>
            <w:tcBorders>
              <w:left w:val="nil"/>
              <w:right w:val="nil"/>
            </w:tcBorders>
          </w:tcPr>
          <w:p w:rsidR="008B4FEE" w:rsidRDefault="0038481C">
            <w:pPr>
              <w:pStyle w:val="Fichefinanciretextetable"/>
              <w:keepNext/>
              <w:spacing w:before="60" w:after="60"/>
              <w:rPr>
                <w:noProof/>
              </w:rPr>
            </w:pPr>
            <w:r>
              <w:rPr>
                <w:noProof/>
              </w:rPr>
              <w:t>ALI BO TREBA ODOBRENA PRORAČUNSKA SREDSTVA VKLJUČITI V PRIHODNJE PRORAČUNE?</w:t>
            </w:r>
          </w:p>
        </w:tc>
        <w:tc>
          <w:tcPr>
            <w:tcW w:w="1134" w:type="dxa"/>
            <w:tcBorders>
              <w:left w:val="nil"/>
            </w:tcBorders>
          </w:tcPr>
          <w:p w:rsidR="008B4FEE" w:rsidRDefault="0038481C">
            <w:pPr>
              <w:pStyle w:val="Fichefinanciretextetable"/>
              <w:keepNext/>
              <w:jc w:val="center"/>
            </w:pPr>
            <w:r>
              <w:rPr>
                <w:noProof/>
              </w:rPr>
              <w:t>DA NE</w:t>
            </w:r>
          </w:p>
        </w:tc>
      </w:tr>
      <w:tr w:rsidR="008B4FEE">
        <w:tc>
          <w:tcPr>
            <w:tcW w:w="9128" w:type="dxa"/>
            <w:gridSpan w:val="9"/>
          </w:tcPr>
          <w:p w:rsidR="008B4FEE" w:rsidRDefault="008B4FEE">
            <w:pPr>
              <w:keepNext/>
              <w:rPr>
                <w:noProof/>
              </w:rPr>
            </w:pPr>
          </w:p>
          <w:p w:rsidR="008B4FEE" w:rsidRDefault="0038481C">
            <w:pPr>
              <w:keepNext/>
              <w:rPr>
                <w:noProof/>
              </w:rPr>
            </w:pPr>
            <w:r>
              <w:rPr>
                <w:noProof/>
              </w:rPr>
              <w:t>Letni finančni prispevek Mednarodni organizaciji za trto in vino je določen v Prilogi k temu sklepu.</w:t>
            </w:r>
          </w:p>
          <w:p w:rsidR="008B4FEE" w:rsidRDefault="008B4FEE">
            <w:pPr>
              <w:keepNext/>
              <w:rPr>
                <w:noProof/>
              </w:rPr>
            </w:pPr>
          </w:p>
        </w:tc>
      </w:tr>
    </w:tbl>
    <w:p w:rsidR="008B4FEE" w:rsidRDefault="008B4FEE">
      <w:pPr>
        <w:rPr>
          <w:noProof/>
        </w:rPr>
      </w:pPr>
    </w:p>
    <w:sectPr w:rsidR="008B4FE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EE" w:rsidRDefault="0038481C">
      <w:pPr>
        <w:spacing w:before="0" w:after="0"/>
      </w:pPr>
      <w:r>
        <w:separator/>
      </w:r>
    </w:p>
  </w:endnote>
  <w:endnote w:type="continuationSeparator" w:id="0">
    <w:p w:rsidR="008B4FEE" w:rsidRDefault="0038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Pr="0038481C" w:rsidRDefault="0038481C" w:rsidP="00384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8481C" w:rsidRPr="00D94637" w:rsidTr="0038481C">
      <w:trPr>
        <w:jc w:val="center"/>
      </w:trPr>
      <w:tc>
        <w:tcPr>
          <w:tcW w:w="5000" w:type="pct"/>
          <w:gridSpan w:val="7"/>
          <w:shd w:val="clear" w:color="auto" w:fill="auto"/>
          <w:tcMar>
            <w:top w:w="57" w:type="dxa"/>
          </w:tcMar>
        </w:tcPr>
        <w:p w:rsidR="0038481C" w:rsidRPr="00D94637" w:rsidRDefault="0038481C" w:rsidP="00D94637">
          <w:pPr>
            <w:pStyle w:val="FooterText"/>
            <w:pBdr>
              <w:top w:val="single" w:sz="4" w:space="1" w:color="auto"/>
            </w:pBdr>
            <w:spacing w:before="200"/>
            <w:rPr>
              <w:sz w:val="2"/>
              <w:szCs w:val="2"/>
            </w:rPr>
          </w:pPr>
          <w:bookmarkStart w:id="1" w:name="FOOTER_STANDARD"/>
        </w:p>
      </w:tc>
    </w:tr>
    <w:tr w:rsidR="0038481C" w:rsidRPr="00B310DC" w:rsidTr="0038481C">
      <w:trPr>
        <w:jc w:val="center"/>
      </w:trPr>
      <w:tc>
        <w:tcPr>
          <w:tcW w:w="2500" w:type="pct"/>
          <w:gridSpan w:val="2"/>
          <w:shd w:val="clear" w:color="auto" w:fill="auto"/>
          <w:tcMar>
            <w:top w:w="0" w:type="dxa"/>
          </w:tcMar>
        </w:tcPr>
        <w:p w:rsidR="0038481C" w:rsidRPr="00AD7BF2" w:rsidRDefault="0038481C" w:rsidP="004F54B2">
          <w:pPr>
            <w:pStyle w:val="FooterText"/>
          </w:pPr>
          <w:r>
            <w:t>11869/17</w:t>
          </w:r>
          <w:r w:rsidRPr="002511D8">
            <w:t xml:space="preserve"> </w:t>
          </w:r>
        </w:p>
      </w:tc>
      <w:tc>
        <w:tcPr>
          <w:tcW w:w="625" w:type="pct"/>
          <w:shd w:val="clear" w:color="auto" w:fill="auto"/>
          <w:tcMar>
            <w:top w:w="0" w:type="dxa"/>
          </w:tcMar>
        </w:tcPr>
        <w:p w:rsidR="0038481C" w:rsidRPr="00AD7BF2" w:rsidRDefault="0038481C" w:rsidP="00D94637">
          <w:pPr>
            <w:pStyle w:val="FooterText"/>
            <w:jc w:val="center"/>
          </w:pPr>
        </w:p>
      </w:tc>
      <w:tc>
        <w:tcPr>
          <w:tcW w:w="1286" w:type="pct"/>
          <w:gridSpan w:val="3"/>
          <w:shd w:val="clear" w:color="auto" w:fill="auto"/>
          <w:tcMar>
            <w:top w:w="0" w:type="dxa"/>
          </w:tcMar>
        </w:tcPr>
        <w:p w:rsidR="0038481C" w:rsidRPr="002511D8" w:rsidRDefault="0038481C" w:rsidP="00D94637">
          <w:pPr>
            <w:pStyle w:val="FooterText"/>
            <w:jc w:val="center"/>
          </w:pPr>
          <w:proofErr w:type="spellStart"/>
          <w:r>
            <w:t>jst</w:t>
          </w:r>
          <w:proofErr w:type="spellEnd"/>
        </w:p>
      </w:tc>
      <w:tc>
        <w:tcPr>
          <w:tcW w:w="589" w:type="pct"/>
          <w:shd w:val="clear" w:color="auto" w:fill="auto"/>
          <w:tcMar>
            <w:top w:w="0" w:type="dxa"/>
          </w:tcMar>
        </w:tcPr>
        <w:p w:rsidR="0038481C" w:rsidRPr="00B310DC" w:rsidRDefault="0038481C"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8481C" w:rsidRPr="00D94637" w:rsidTr="0038481C">
      <w:trPr>
        <w:jc w:val="center"/>
      </w:trPr>
      <w:tc>
        <w:tcPr>
          <w:tcW w:w="1774" w:type="pct"/>
          <w:shd w:val="clear" w:color="auto" w:fill="auto"/>
        </w:tcPr>
        <w:p w:rsidR="0038481C" w:rsidRPr="00AD7BF2" w:rsidRDefault="0038481C" w:rsidP="00D94637">
          <w:pPr>
            <w:pStyle w:val="FooterText"/>
            <w:spacing w:before="40"/>
          </w:pPr>
        </w:p>
      </w:tc>
      <w:tc>
        <w:tcPr>
          <w:tcW w:w="1455" w:type="pct"/>
          <w:gridSpan w:val="3"/>
          <w:shd w:val="clear" w:color="auto" w:fill="auto"/>
        </w:tcPr>
        <w:p w:rsidR="0038481C" w:rsidRPr="00AD7BF2" w:rsidRDefault="0038481C" w:rsidP="00D204D6">
          <w:pPr>
            <w:pStyle w:val="FooterText"/>
            <w:spacing w:before="40"/>
            <w:jc w:val="center"/>
          </w:pPr>
          <w:r>
            <w:t>DGB 1 A</w:t>
          </w:r>
        </w:p>
      </w:tc>
      <w:tc>
        <w:tcPr>
          <w:tcW w:w="742" w:type="pct"/>
          <w:shd w:val="clear" w:color="auto" w:fill="auto"/>
        </w:tcPr>
        <w:p w:rsidR="0038481C" w:rsidRPr="00D94637" w:rsidRDefault="0038481C" w:rsidP="002F0099">
          <w:pPr>
            <w:pStyle w:val="FooterText"/>
            <w:jc w:val="center"/>
            <w:rPr>
              <w:b/>
              <w:position w:val="-4"/>
              <w:sz w:val="36"/>
            </w:rPr>
          </w:pPr>
        </w:p>
      </w:tc>
      <w:tc>
        <w:tcPr>
          <w:tcW w:w="1029" w:type="pct"/>
          <w:gridSpan w:val="2"/>
          <w:shd w:val="clear" w:color="auto" w:fill="auto"/>
        </w:tcPr>
        <w:p w:rsidR="0038481C" w:rsidRPr="00D94637" w:rsidRDefault="0038481C" w:rsidP="00D94637">
          <w:pPr>
            <w:pStyle w:val="FooterText"/>
            <w:jc w:val="right"/>
            <w:rPr>
              <w:sz w:val="16"/>
            </w:rPr>
          </w:pPr>
          <w:r>
            <w:rPr>
              <w:b/>
              <w:position w:val="-4"/>
              <w:sz w:val="36"/>
            </w:rPr>
            <w:t>SL</w:t>
          </w:r>
        </w:p>
      </w:tc>
    </w:tr>
    <w:bookmarkEnd w:id="1"/>
  </w:tbl>
  <w:p w:rsidR="008B4FEE" w:rsidRPr="0038481C" w:rsidRDefault="008B4FEE" w:rsidP="0038481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8481C" w:rsidRPr="00D94637" w:rsidTr="0038481C">
      <w:trPr>
        <w:jc w:val="center"/>
      </w:trPr>
      <w:tc>
        <w:tcPr>
          <w:tcW w:w="5000" w:type="pct"/>
          <w:gridSpan w:val="7"/>
          <w:shd w:val="clear" w:color="auto" w:fill="auto"/>
          <w:tcMar>
            <w:top w:w="57" w:type="dxa"/>
          </w:tcMar>
        </w:tcPr>
        <w:p w:rsidR="0038481C" w:rsidRPr="00D94637" w:rsidRDefault="0038481C" w:rsidP="00D94637">
          <w:pPr>
            <w:pStyle w:val="FooterText"/>
            <w:pBdr>
              <w:top w:val="single" w:sz="4" w:space="1" w:color="auto"/>
            </w:pBdr>
            <w:spacing w:before="200"/>
            <w:rPr>
              <w:sz w:val="2"/>
              <w:szCs w:val="2"/>
            </w:rPr>
          </w:pPr>
        </w:p>
      </w:tc>
    </w:tr>
    <w:tr w:rsidR="0038481C" w:rsidRPr="00B310DC" w:rsidTr="0038481C">
      <w:trPr>
        <w:jc w:val="center"/>
      </w:trPr>
      <w:tc>
        <w:tcPr>
          <w:tcW w:w="2500" w:type="pct"/>
          <w:gridSpan w:val="2"/>
          <w:shd w:val="clear" w:color="auto" w:fill="auto"/>
          <w:tcMar>
            <w:top w:w="0" w:type="dxa"/>
          </w:tcMar>
        </w:tcPr>
        <w:p w:rsidR="0038481C" w:rsidRPr="00AD7BF2" w:rsidRDefault="0038481C" w:rsidP="004F54B2">
          <w:pPr>
            <w:pStyle w:val="FooterText"/>
          </w:pPr>
          <w:r>
            <w:t>11869/17</w:t>
          </w:r>
          <w:r w:rsidRPr="002511D8">
            <w:t xml:space="preserve"> </w:t>
          </w:r>
        </w:p>
      </w:tc>
      <w:tc>
        <w:tcPr>
          <w:tcW w:w="625" w:type="pct"/>
          <w:shd w:val="clear" w:color="auto" w:fill="auto"/>
          <w:tcMar>
            <w:top w:w="0" w:type="dxa"/>
          </w:tcMar>
        </w:tcPr>
        <w:p w:rsidR="0038481C" w:rsidRPr="00AD7BF2" w:rsidRDefault="0038481C" w:rsidP="00D94637">
          <w:pPr>
            <w:pStyle w:val="FooterText"/>
            <w:jc w:val="center"/>
          </w:pPr>
        </w:p>
      </w:tc>
      <w:tc>
        <w:tcPr>
          <w:tcW w:w="1286" w:type="pct"/>
          <w:gridSpan w:val="3"/>
          <w:shd w:val="clear" w:color="auto" w:fill="auto"/>
          <w:tcMar>
            <w:top w:w="0" w:type="dxa"/>
          </w:tcMar>
        </w:tcPr>
        <w:p w:rsidR="0038481C" w:rsidRPr="002511D8" w:rsidRDefault="0038481C" w:rsidP="00D94637">
          <w:pPr>
            <w:pStyle w:val="FooterText"/>
            <w:jc w:val="center"/>
          </w:pPr>
          <w:proofErr w:type="spellStart"/>
          <w:r>
            <w:t>jst</w:t>
          </w:r>
          <w:proofErr w:type="spellEnd"/>
        </w:p>
      </w:tc>
      <w:tc>
        <w:tcPr>
          <w:tcW w:w="589" w:type="pct"/>
          <w:shd w:val="clear" w:color="auto" w:fill="auto"/>
          <w:tcMar>
            <w:top w:w="0" w:type="dxa"/>
          </w:tcMar>
        </w:tcPr>
        <w:p w:rsidR="0038481C" w:rsidRPr="00B310DC" w:rsidRDefault="0038481C" w:rsidP="00D94637">
          <w:pPr>
            <w:pStyle w:val="FooterText"/>
            <w:jc w:val="right"/>
          </w:pPr>
        </w:p>
      </w:tc>
    </w:tr>
    <w:tr w:rsidR="0038481C" w:rsidRPr="00D94637" w:rsidTr="0038481C">
      <w:trPr>
        <w:jc w:val="center"/>
      </w:trPr>
      <w:tc>
        <w:tcPr>
          <w:tcW w:w="1774" w:type="pct"/>
          <w:shd w:val="clear" w:color="auto" w:fill="auto"/>
        </w:tcPr>
        <w:p w:rsidR="0038481C" w:rsidRPr="00AD7BF2" w:rsidRDefault="0038481C" w:rsidP="00D94637">
          <w:pPr>
            <w:pStyle w:val="FooterText"/>
            <w:spacing w:before="40"/>
          </w:pPr>
        </w:p>
      </w:tc>
      <w:tc>
        <w:tcPr>
          <w:tcW w:w="1455" w:type="pct"/>
          <w:gridSpan w:val="3"/>
          <w:shd w:val="clear" w:color="auto" w:fill="auto"/>
        </w:tcPr>
        <w:p w:rsidR="0038481C" w:rsidRPr="00AD7BF2" w:rsidRDefault="0038481C" w:rsidP="00D204D6">
          <w:pPr>
            <w:pStyle w:val="FooterText"/>
            <w:spacing w:before="40"/>
            <w:jc w:val="center"/>
          </w:pPr>
          <w:r>
            <w:t>DGB 1 A</w:t>
          </w:r>
        </w:p>
      </w:tc>
      <w:tc>
        <w:tcPr>
          <w:tcW w:w="742" w:type="pct"/>
          <w:shd w:val="clear" w:color="auto" w:fill="auto"/>
        </w:tcPr>
        <w:p w:rsidR="0038481C" w:rsidRPr="00D94637" w:rsidRDefault="0038481C" w:rsidP="002F0099">
          <w:pPr>
            <w:pStyle w:val="FooterText"/>
            <w:jc w:val="center"/>
            <w:rPr>
              <w:b/>
              <w:position w:val="-4"/>
              <w:sz w:val="36"/>
            </w:rPr>
          </w:pPr>
        </w:p>
      </w:tc>
      <w:tc>
        <w:tcPr>
          <w:tcW w:w="1029" w:type="pct"/>
          <w:gridSpan w:val="2"/>
          <w:shd w:val="clear" w:color="auto" w:fill="auto"/>
        </w:tcPr>
        <w:p w:rsidR="0038481C" w:rsidRPr="00D94637" w:rsidRDefault="0038481C" w:rsidP="00D94637">
          <w:pPr>
            <w:pStyle w:val="FooterText"/>
            <w:jc w:val="right"/>
            <w:rPr>
              <w:sz w:val="16"/>
            </w:rPr>
          </w:pPr>
          <w:r>
            <w:rPr>
              <w:b/>
              <w:position w:val="-4"/>
              <w:sz w:val="36"/>
            </w:rPr>
            <w:t>SL</w:t>
          </w:r>
        </w:p>
      </w:tc>
    </w:tr>
  </w:tbl>
  <w:p w:rsidR="0038481C" w:rsidRPr="0038481C" w:rsidRDefault="0038481C" w:rsidP="0038481C">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SL</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EE" w:rsidRDefault="0038481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C34697">
      <w:rPr>
        <w:noProof/>
      </w:rPr>
      <w:t>5</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EE" w:rsidRDefault="008B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EE" w:rsidRDefault="0038481C">
      <w:pPr>
        <w:spacing w:before="0" w:after="0"/>
      </w:pPr>
      <w:r>
        <w:separator/>
      </w:r>
    </w:p>
  </w:footnote>
  <w:footnote w:type="continuationSeparator" w:id="0">
    <w:p w:rsidR="008B4FEE" w:rsidRDefault="0038481C">
      <w:pPr>
        <w:spacing w:before="0" w:after="0"/>
      </w:pPr>
      <w:r>
        <w:continuationSeparator/>
      </w:r>
    </w:p>
  </w:footnote>
  <w:footnote w:id="1">
    <w:p w:rsidR="008B4FEE" w:rsidRDefault="0038481C">
      <w:pPr>
        <w:pStyle w:val="FootnoteText"/>
      </w:pPr>
      <w:r>
        <w:rPr>
          <w:rStyle w:val="FootnoteReference"/>
        </w:rPr>
        <w:footnoteRef/>
      </w:r>
      <w:r>
        <w:tab/>
        <w:t xml:space="preserve">Avstrija, Belgija, Bolgarija, Ciper, Češka, Francija, Grčija, Hrvaška, Italija, Luksemburg, Madžarska, Malta, Nemčija, Nizozemska, Portugalska, Romunija, Slovaška, Slovenija, Španija in Švedska. </w:t>
      </w:r>
    </w:p>
  </w:footnote>
  <w:footnote w:id="2">
    <w:p w:rsidR="008B4FEE" w:rsidRDefault="0038481C">
      <w:pPr>
        <w:pStyle w:val="FootnoteText"/>
        <w:rPr>
          <w:lang w:val="fr-BE"/>
        </w:rPr>
      </w:pPr>
      <w:r>
        <w:rPr>
          <w:rStyle w:val="FootnoteReference"/>
        </w:rPr>
        <w:footnoteRef/>
      </w:r>
      <w:r>
        <w:tab/>
        <w:t>12434/15 in 12270/15.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Pr="0038481C" w:rsidRDefault="0038481C" w:rsidP="00384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Pr="0038481C" w:rsidRDefault="0038481C" w:rsidP="0038481C">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Pr="0038481C" w:rsidRDefault="0038481C" w:rsidP="0038481C">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1C" w:rsidRDefault="00384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6AB1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2E71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5408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E602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72BD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7A31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8842A8"/>
    <w:lvl w:ilvl="0">
      <w:start w:val="1"/>
      <w:numFmt w:val="decimal"/>
      <w:pStyle w:val="ListNumber"/>
      <w:lvlText w:val="%1."/>
      <w:lvlJc w:val="left"/>
      <w:pPr>
        <w:tabs>
          <w:tab w:val="num" w:pos="360"/>
        </w:tabs>
        <w:ind w:left="360" w:hanging="360"/>
      </w:pPr>
    </w:lvl>
  </w:abstractNum>
  <w:abstractNum w:abstractNumId="7">
    <w:nsid w:val="FFFFFF89"/>
    <w:multiLevelType w:val="singleLevel"/>
    <w:tmpl w:val="978A1C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18"/>
  </w:num>
  <w:num w:numId="11">
    <w:abstractNumId w:val="21"/>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8b91c08d-8423-41e4-9be8-f105713ac5b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9-04&lt;/text&gt;_x000d__x000a_  &lt;/metadata&gt;_x000d__x000a_  &lt;metadata key=&quot;md_Prefix&quot;&gt;_x000d__x000a_    &lt;text&gt;&lt;/text&gt;_x000d__x000a_  &lt;/metadata&gt;_x000d__x000a_  &lt;metadata key=&quot;md_DocumentNumber&quot;&gt;_x000d__x000a_    &lt;text&gt;11869&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OIV 13&lt;/text&gt;_x000d__x000a_      &lt;text&gt;AGRI 44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1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57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SKLEPA SVETA o stali&amp;#353;&amp;#269;u, ki se v imenu Evropske unije zastopa v Mednarodni organizaciji za trto in vino&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stali&amp;#353;&amp;#269;u, ki se v imenu Evropske unije zastopa v Mednarodni organizaciji za trto in vino&amp;lt;/Paragraph&amp;gt;&amp;lt;/FlowDocument&amp;gt;&lt;/xaml&gt;_x000d__x000a_  &lt;/metadata&gt;_x000d__x000a_  &lt;metadata key=&quot;md_SubjectFootnote&quot; /&gt;_x000d__x000a_  &lt;metadata key=&quot;md_DG&quot;&gt;_x000d__x000a_    &lt;text&gt;DGB 1 A&lt;/text&gt;_x000d__x000a_  &lt;/metadata&gt;_x000d__x000a_  &lt;metadata key=&quot;md_Initials&quot;&gt;_x000d__x000a_    &lt;text&gt;js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Mednarodni organizaciji za trto in vino&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18 16:33: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7DD73A206ED462FB5C00F179AF68258"/>
    <w:docVar w:name="LW_CROSSREFERENCE" w:val="&lt;UNUSED&gt;"/>
    <w:docVar w:name="LW_DocType" w:val="COM"/>
    <w:docVar w:name="LW_EMISSION" w:val="29.8.2017"/>
    <w:docVar w:name="LW_EMISSION_ISODATE" w:val="2017-08-29"/>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211"/>
    <w:docVar w:name="LW_REF.II.NEW.CP_YEAR" w:val="2017"/>
    <w:docVar w:name="LW_REF.INST.NEW" w:val="COM"/>
    <w:docVar w:name="LW_REF.INST.NEW_ADOPTED" w:val="final"/>
    <w:docVar w:name="LW_REF.INST.NEW_TEXT" w:val="(2017) 457"/>
    <w:docVar w:name="LW_REF.INTERNE" w:val="&lt;UNUSED&gt;"/>
    <w:docVar w:name="LW_SOUS.TITRE.OBJ.CP" w:val="&lt;UNUSED&gt;"/>
    <w:docVar w:name="LW_STATUT.CP" w:val="Predlog"/>
    <w:docVar w:name="LW_SUPERTITRE" w:val="&lt;UNUSED&gt;"/>
    <w:docVar w:name="LW_TITRE.OBJ.CP" w:val="o stali\u353?\u269?u, ki se v imenu Evropske unije zastopa v Mednarodni organizaciji za trto in vino"/>
    <w:docVar w:name="LW_TYPE.DOC.CP" w:val="SKLEP SVETA"/>
  </w:docVars>
  <w:rsids>
    <w:rsidRoot w:val="008B4FEE"/>
    <w:rsid w:val="0038481C"/>
    <w:rsid w:val="008B4FEE"/>
    <w:rsid w:val="00C34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8481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8481C"/>
    <w:pPr>
      <w:spacing w:before="0" w:after="240"/>
      <w:jc w:val="center"/>
    </w:pPr>
  </w:style>
  <w:style w:type="character" w:customStyle="1" w:styleId="TechnicalBlockChar">
    <w:name w:val="Technical Block Char"/>
    <w:basedOn w:val="DefaultParagraphFont"/>
    <w:link w:val="TechnicalBlock"/>
    <w:rsid w:val="0038481C"/>
    <w:rPr>
      <w:rFonts w:ascii="Times New Roman" w:hAnsi="Times New Roman" w:cs="Times New Roman"/>
      <w:sz w:val="24"/>
    </w:rPr>
  </w:style>
  <w:style w:type="paragraph" w:customStyle="1" w:styleId="Lignefinal">
    <w:name w:val="Ligne final"/>
    <w:basedOn w:val="Normal"/>
    <w:next w:val="Normal"/>
    <w:rsid w:val="0038481C"/>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8481C"/>
    <w:pPr>
      <w:spacing w:line="360" w:lineRule="auto"/>
      <w:jc w:val="left"/>
    </w:pPr>
    <w:rPr>
      <w:lang w:eastAsia="en-US" w:bidi="ar-SA"/>
    </w:rPr>
  </w:style>
  <w:style w:type="paragraph" w:customStyle="1" w:styleId="pj">
    <w:name w:val="p.j."/>
    <w:basedOn w:val="TechnicalBlock"/>
    <w:link w:val="pjChar"/>
    <w:rsid w:val="0038481C"/>
    <w:pPr>
      <w:spacing w:before="1200" w:after="120"/>
      <w:ind w:left="1440" w:hanging="1440"/>
      <w:jc w:val="left"/>
    </w:pPr>
  </w:style>
  <w:style w:type="character" w:customStyle="1" w:styleId="pjChar">
    <w:name w:val="p.j. Char"/>
    <w:basedOn w:val="TechnicalBlockChar"/>
    <w:link w:val="pj"/>
    <w:rsid w:val="0038481C"/>
    <w:rPr>
      <w:rFonts w:ascii="Times New Roman" w:hAnsi="Times New Roman" w:cs="Times New Roman"/>
      <w:sz w:val="24"/>
    </w:rPr>
  </w:style>
  <w:style w:type="paragraph" w:customStyle="1" w:styleId="HeaderCouncil">
    <w:name w:val="Header Council"/>
    <w:basedOn w:val="Normal"/>
    <w:link w:val="HeaderCouncilChar"/>
    <w:rsid w:val="0038481C"/>
    <w:pPr>
      <w:spacing w:before="0" w:after="0"/>
    </w:pPr>
    <w:rPr>
      <w:sz w:val="2"/>
    </w:rPr>
  </w:style>
  <w:style w:type="character" w:customStyle="1" w:styleId="HeaderCouncilChar">
    <w:name w:val="Header Council Char"/>
    <w:basedOn w:val="pjChar"/>
    <w:link w:val="HeaderCouncil"/>
    <w:rsid w:val="0038481C"/>
    <w:rPr>
      <w:rFonts w:ascii="Times New Roman" w:hAnsi="Times New Roman" w:cs="Times New Roman"/>
      <w:sz w:val="2"/>
    </w:rPr>
  </w:style>
  <w:style w:type="paragraph" w:customStyle="1" w:styleId="HeaderCouncilLarge">
    <w:name w:val="Header Council Large"/>
    <w:basedOn w:val="Normal"/>
    <w:link w:val="HeaderCouncilLargeChar"/>
    <w:rsid w:val="0038481C"/>
    <w:pPr>
      <w:spacing w:before="0" w:after="440"/>
    </w:pPr>
    <w:rPr>
      <w:sz w:val="2"/>
    </w:rPr>
  </w:style>
  <w:style w:type="character" w:customStyle="1" w:styleId="HeaderCouncilLargeChar">
    <w:name w:val="Header Council Large Char"/>
    <w:basedOn w:val="pjChar"/>
    <w:link w:val="HeaderCouncilLarge"/>
    <w:rsid w:val="0038481C"/>
    <w:rPr>
      <w:rFonts w:ascii="Times New Roman" w:hAnsi="Times New Roman" w:cs="Times New Roman"/>
      <w:sz w:val="2"/>
    </w:rPr>
  </w:style>
  <w:style w:type="paragraph" w:customStyle="1" w:styleId="FooterCouncil">
    <w:name w:val="Footer Council"/>
    <w:basedOn w:val="Normal"/>
    <w:link w:val="FooterCouncilChar"/>
    <w:rsid w:val="0038481C"/>
    <w:pPr>
      <w:spacing w:before="0" w:after="0"/>
    </w:pPr>
    <w:rPr>
      <w:sz w:val="2"/>
    </w:rPr>
  </w:style>
  <w:style w:type="character" w:customStyle="1" w:styleId="FooterCouncilChar">
    <w:name w:val="Footer Council Char"/>
    <w:basedOn w:val="pjChar"/>
    <w:link w:val="FooterCouncil"/>
    <w:rsid w:val="0038481C"/>
    <w:rPr>
      <w:rFonts w:ascii="Times New Roman" w:hAnsi="Times New Roman" w:cs="Times New Roman"/>
      <w:sz w:val="2"/>
    </w:rPr>
  </w:style>
  <w:style w:type="paragraph" w:customStyle="1" w:styleId="FooterText">
    <w:name w:val="Footer Text"/>
    <w:basedOn w:val="Normal"/>
    <w:rsid w:val="0038481C"/>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8481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8481C"/>
    <w:pPr>
      <w:spacing w:before="0" w:after="240"/>
      <w:jc w:val="center"/>
    </w:pPr>
  </w:style>
  <w:style w:type="character" w:customStyle="1" w:styleId="TechnicalBlockChar">
    <w:name w:val="Technical Block Char"/>
    <w:basedOn w:val="DefaultParagraphFont"/>
    <w:link w:val="TechnicalBlock"/>
    <w:rsid w:val="0038481C"/>
    <w:rPr>
      <w:rFonts w:ascii="Times New Roman" w:hAnsi="Times New Roman" w:cs="Times New Roman"/>
      <w:sz w:val="24"/>
    </w:rPr>
  </w:style>
  <w:style w:type="paragraph" w:customStyle="1" w:styleId="Lignefinal">
    <w:name w:val="Ligne final"/>
    <w:basedOn w:val="Normal"/>
    <w:next w:val="Normal"/>
    <w:rsid w:val="0038481C"/>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8481C"/>
    <w:pPr>
      <w:spacing w:line="360" w:lineRule="auto"/>
      <w:jc w:val="left"/>
    </w:pPr>
    <w:rPr>
      <w:lang w:eastAsia="en-US" w:bidi="ar-SA"/>
    </w:rPr>
  </w:style>
  <w:style w:type="paragraph" w:customStyle="1" w:styleId="pj">
    <w:name w:val="p.j."/>
    <w:basedOn w:val="TechnicalBlock"/>
    <w:link w:val="pjChar"/>
    <w:rsid w:val="0038481C"/>
    <w:pPr>
      <w:spacing w:before="1200" w:after="120"/>
      <w:ind w:left="1440" w:hanging="1440"/>
      <w:jc w:val="left"/>
    </w:pPr>
  </w:style>
  <w:style w:type="character" w:customStyle="1" w:styleId="pjChar">
    <w:name w:val="p.j. Char"/>
    <w:basedOn w:val="TechnicalBlockChar"/>
    <w:link w:val="pj"/>
    <w:rsid w:val="0038481C"/>
    <w:rPr>
      <w:rFonts w:ascii="Times New Roman" w:hAnsi="Times New Roman" w:cs="Times New Roman"/>
      <w:sz w:val="24"/>
    </w:rPr>
  </w:style>
  <w:style w:type="paragraph" w:customStyle="1" w:styleId="HeaderCouncil">
    <w:name w:val="Header Council"/>
    <w:basedOn w:val="Normal"/>
    <w:link w:val="HeaderCouncilChar"/>
    <w:rsid w:val="0038481C"/>
    <w:pPr>
      <w:spacing w:before="0" w:after="0"/>
    </w:pPr>
    <w:rPr>
      <w:sz w:val="2"/>
    </w:rPr>
  </w:style>
  <w:style w:type="character" w:customStyle="1" w:styleId="HeaderCouncilChar">
    <w:name w:val="Header Council Char"/>
    <w:basedOn w:val="pjChar"/>
    <w:link w:val="HeaderCouncil"/>
    <w:rsid w:val="0038481C"/>
    <w:rPr>
      <w:rFonts w:ascii="Times New Roman" w:hAnsi="Times New Roman" w:cs="Times New Roman"/>
      <w:sz w:val="2"/>
    </w:rPr>
  </w:style>
  <w:style w:type="paragraph" w:customStyle="1" w:styleId="HeaderCouncilLarge">
    <w:name w:val="Header Council Large"/>
    <w:basedOn w:val="Normal"/>
    <w:link w:val="HeaderCouncilLargeChar"/>
    <w:rsid w:val="0038481C"/>
    <w:pPr>
      <w:spacing w:before="0" w:after="440"/>
    </w:pPr>
    <w:rPr>
      <w:sz w:val="2"/>
    </w:rPr>
  </w:style>
  <w:style w:type="character" w:customStyle="1" w:styleId="HeaderCouncilLargeChar">
    <w:name w:val="Header Council Large Char"/>
    <w:basedOn w:val="pjChar"/>
    <w:link w:val="HeaderCouncilLarge"/>
    <w:rsid w:val="0038481C"/>
    <w:rPr>
      <w:rFonts w:ascii="Times New Roman" w:hAnsi="Times New Roman" w:cs="Times New Roman"/>
      <w:sz w:val="2"/>
    </w:rPr>
  </w:style>
  <w:style w:type="paragraph" w:customStyle="1" w:styleId="FooterCouncil">
    <w:name w:val="Footer Council"/>
    <w:basedOn w:val="Normal"/>
    <w:link w:val="FooterCouncilChar"/>
    <w:rsid w:val="0038481C"/>
    <w:pPr>
      <w:spacing w:before="0" w:after="0"/>
    </w:pPr>
    <w:rPr>
      <w:sz w:val="2"/>
    </w:rPr>
  </w:style>
  <w:style w:type="character" w:customStyle="1" w:styleId="FooterCouncilChar">
    <w:name w:val="Footer Council Char"/>
    <w:basedOn w:val="pjChar"/>
    <w:link w:val="FooterCouncil"/>
    <w:rsid w:val="0038481C"/>
    <w:rPr>
      <w:rFonts w:ascii="Times New Roman" w:hAnsi="Times New Roman" w:cs="Times New Roman"/>
      <w:sz w:val="2"/>
    </w:rPr>
  </w:style>
  <w:style w:type="paragraph" w:customStyle="1" w:styleId="FooterText">
    <w:name w:val="Footer Text"/>
    <w:basedOn w:val="Normal"/>
    <w:rsid w:val="0038481C"/>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LJ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48AE-D0EB-4ED3-8F4C-774E6054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HAINZ Jana</dc:creator>
  <cp:lastModifiedBy>HAINZ Jana</cp:lastModifiedBy>
  <cp:revision>2</cp:revision>
  <dcterms:created xsi:type="dcterms:W3CDTF">2017-09-04T12:55:00Z</dcterms:created>
  <dcterms:modified xsi:type="dcterms:W3CDTF">2017-09-04T12:55:00Z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