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1BA" w:rsidRDefault="00A419C5" w:rsidP="004A71BA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7470/18 ADD 1.&#10;Subject Codes: ENV 197 ENT 52 COMPET 181 IND 84 SAN 92 CONSOM 75 MI 213 CHIMIE 13 CODEC 441.&#10;Heading: PREDLOG.&#10;Originator: za generalnega sekretarja Evropske komisije: direktor Jordi AYET PUIGARNAU.&#10;Recipient: generalni sekretar Sveta Evropske unije Jeppe TRANHOLM-MIKKELSEN.&#10;Subject: PRILOGE k Predlogu Uredbe Evropskega parlamenta in Sveta o obstojnih organskih onesnaževalih (prenovitev).&#10;Commission Document Number: COM(2018) 144 final - ANNEXES 1 to 7.&#10;Preceeding Document Number: Not Set.&#10;Location: Bruselj.&#10;Date: 23. marec 2018.&#10;Interinstitutional Files: 2018/0070 (COD).&#10;Institutional Framework: Svet Evropske unije.&#10;Language: SL.&#10;Distribution Code: PUBLIC.&#10;GUID: 5671724711393196437_0" style="width:568.5pt;height:435.75pt">
            <v:imagedata r:id="rId8" o:title=""/>
          </v:shape>
        </w:pict>
      </w:r>
      <w:bookmarkEnd w:id="0"/>
    </w:p>
    <w:p w:rsidR="004A71BA" w:rsidRDefault="004A71BA" w:rsidP="004A71BA">
      <w:pPr>
        <w:pStyle w:val="EntText"/>
        <w:spacing w:before="480"/>
      </w:pPr>
      <w:r w:rsidRPr="004A71BA">
        <w:t xml:space="preserve">V prilogi vam pošiljamo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4A71BA">
        <w:instrText>COM(2018) 144 final - ANNEXES 1 to 7</w:instrText>
      </w:r>
      <w:r>
        <w:instrText xml:space="preserve">" </w:instrText>
      </w:r>
      <w:r>
        <w:fldChar w:fldCharType="separate"/>
      </w:r>
      <w:r w:rsidRPr="004A71BA">
        <w:t>COM(2018) 144 final - ANNEXES 1 to 7</w:t>
      </w:r>
      <w:r>
        <w:fldChar w:fldCharType="end"/>
      </w:r>
      <w:r w:rsidRPr="004A71BA">
        <w:t>.</w:t>
      </w:r>
    </w:p>
    <w:p w:rsidR="004A71BA" w:rsidRDefault="004A71BA" w:rsidP="004A71BA">
      <w:pPr>
        <w:pStyle w:val="Lignefinal"/>
      </w:pPr>
    </w:p>
    <w:p w:rsidR="004A71BA" w:rsidRPr="004A71BA" w:rsidRDefault="004A71BA" w:rsidP="004A71BA">
      <w:pPr>
        <w:pStyle w:val="pj"/>
        <w:spacing w:before="120"/>
      </w:pPr>
      <w:bookmarkStart w:id="1" w:name="_GoBack"/>
      <w:r w:rsidRPr="00A419C5">
        <w:rPr>
          <w:u w:val="single"/>
        </w:rPr>
        <w:t>Prilog</w:t>
      </w:r>
      <w:bookmarkEnd w:id="1"/>
      <w:r w:rsidRPr="004A71BA">
        <w:t xml:space="preserve">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4A71BA">
        <w:instrText>COM(2018) 144 final - ANNEXES 1 to 7</w:instrText>
      </w:r>
      <w:r>
        <w:instrText xml:space="preserve">" </w:instrText>
      </w:r>
      <w:r>
        <w:fldChar w:fldCharType="separate"/>
      </w:r>
      <w:r w:rsidRPr="004A71BA">
        <w:t>COM(2018) 144 final - ANNEXES 1 to 7</w:t>
      </w:r>
      <w:r>
        <w:fldChar w:fldCharType="end"/>
      </w:r>
    </w:p>
    <w:p w:rsidR="004A71BA" w:rsidRDefault="004A71BA" w:rsidP="004A71BA">
      <w:pPr>
        <w:rPr>
          <w:noProof/>
        </w:rPr>
        <w:sectPr w:rsidR="004A71BA" w:rsidSect="004A71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347E6A" w:rsidRDefault="003A4A18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E2EF5E9C-1879-46D4-8A98-5CB52A7D1E6A" style="width:450.75pt;height:369.75pt">
            <v:imagedata r:id="rId15" o:title=""/>
          </v:shape>
        </w:pict>
      </w:r>
    </w:p>
    <w:p w:rsidR="00347E6A" w:rsidRDefault="00347E6A">
      <w:pPr>
        <w:rPr>
          <w:noProof/>
        </w:rPr>
        <w:sectPr w:rsidR="00347E6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> 757/2010 čl. 1 in Priloga .1 (prilagojeno)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1</w:t>
      </w:r>
      <w:r>
        <w:rPr>
          <w:noProof/>
        </w:rPr>
        <w:t xml:space="preserve"> 293/2016 čl. 1 in Priloga 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2</w:t>
      </w:r>
      <w:r>
        <w:rPr>
          <w:noProof/>
        </w:rPr>
        <w:t> 519/2012 čl. 1 in Priloga .1(a)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3</w:t>
      </w:r>
      <w:r>
        <w:rPr>
          <w:noProof/>
        </w:rPr>
        <w:t> 519/2012 čl. 1 in Priloga .1(b)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4</w:t>
      </w:r>
      <w:r>
        <w:rPr>
          <w:noProof/>
        </w:rPr>
        <w:t> 519/2012 čl. 1 in Priloga .2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5</w:t>
      </w:r>
      <w:r>
        <w:rPr>
          <w:noProof/>
        </w:rPr>
        <w:t xml:space="preserve"> 2030/2015 čl. 1 in Priloga </w:t>
      </w:r>
    </w:p>
    <w:p w:rsidR="00347E6A" w:rsidRDefault="004A71BA">
      <w:pPr>
        <w:pStyle w:val="CRReference"/>
        <w:rPr>
          <w:noProof/>
          <w:highlight w:val="lightGray"/>
        </w:rPr>
      </w:pPr>
      <w:r>
        <w:rPr>
          <w:rStyle w:val="CRMarker"/>
          <w:noProof/>
          <w:highlight w:val="lightGray"/>
        </w:rPr>
        <w:t></w:t>
      </w:r>
      <w:r>
        <w:rPr>
          <w:noProof/>
          <w:highlight w:val="lightGray"/>
        </w:rPr>
        <w:t> novo</w:t>
      </w: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I</w:t>
      </w:r>
    </w:p>
    <w:p w:rsidR="00347E6A" w:rsidRDefault="004A71BA">
      <w:pPr>
        <w:jc w:val="center"/>
        <w:rPr>
          <w:noProof/>
        </w:rPr>
      </w:pPr>
      <w:r>
        <w:rPr>
          <w:b/>
          <w:bCs/>
          <w:noProof/>
        </w:rPr>
        <w:t xml:space="preserve">DEL A – Snovi </w:t>
      </w:r>
      <w:r>
        <w:rPr>
          <w:rStyle w:val="CRMinorChangeAdded"/>
          <w:b/>
          <w:noProof/>
        </w:rPr>
        <w:t>s seznamov</w:t>
      </w:r>
      <w:r>
        <w:rPr>
          <w:rStyle w:val="CRMinorChangeDeleted"/>
          <w:b/>
          <w:noProof/>
        </w:rPr>
        <w:t>, navedene</w:t>
      </w:r>
      <w:r>
        <w:rPr>
          <w:b/>
          <w:bCs/>
          <w:noProof/>
        </w:rPr>
        <w:t xml:space="preserve"> v Konvenciji in Protokolu, ter snovi, </w:t>
      </w:r>
      <w:r>
        <w:rPr>
          <w:rStyle w:val="CRMinorChangeDeleted"/>
          <w:b/>
          <w:noProof/>
        </w:rPr>
        <w:t>navedene</w:t>
      </w:r>
      <w:r>
        <w:rPr>
          <w:b/>
          <w:bCs/>
          <w:noProof/>
        </w:rPr>
        <w:t xml:space="preserve"> </w:t>
      </w:r>
      <w:r>
        <w:rPr>
          <w:rStyle w:val="CRMinorChangeAdded"/>
          <w:b/>
          <w:noProof/>
        </w:rPr>
        <w:t>ki so</w:t>
      </w:r>
      <w:r>
        <w:rPr>
          <w:b/>
          <w:bCs/>
          <w:noProof/>
        </w:rPr>
        <w:t xml:space="preserve"> samo </w:t>
      </w:r>
      <w:r>
        <w:rPr>
          <w:rStyle w:val="CRMinorChangeAdded"/>
          <w:b/>
          <w:noProof/>
        </w:rPr>
        <w:t>na seznamih</w:t>
      </w:r>
      <w:r>
        <w:rPr>
          <w:b/>
          <w:bCs/>
          <w:noProof/>
        </w:rPr>
        <w:t xml:space="preserve"> v Konvenciji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86"/>
        <w:gridCol w:w="2786"/>
        <w:gridCol w:w="1300"/>
        <w:gridCol w:w="2414"/>
      </w:tblGrid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Snov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CAS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ES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Posebna izjema </w:t>
            </w:r>
            <w:r>
              <w:rPr>
                <w:rStyle w:val="CRMinorChangeDeleted"/>
                <w:noProof/>
              </w:rPr>
              <w:t>v zvezi s proizvodi za vmesno</w:t>
            </w:r>
            <w:r>
              <w:rPr>
                <w:rStyle w:val="CRMinorChangeAdded"/>
                <w:noProof/>
              </w:rPr>
              <w:t>za</w:t>
            </w:r>
            <w:r>
              <w:rPr>
                <w:noProof/>
              </w:rPr>
              <w:t xml:space="preserve"> uporabo </w:t>
            </w:r>
            <w:r>
              <w:rPr>
                <w:rStyle w:val="CRMinorChangeAdded"/>
                <w:noProof/>
              </w:rPr>
              <w:t>snovi kot intermediata</w:t>
            </w:r>
            <w:r>
              <w:rPr>
                <w:noProof/>
              </w:rPr>
              <w:t xml:space="preserve"> ali druga specifikacija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Tetrabromodifenil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C12H6Br4O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40088-47-9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254-787-2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1. Za namene tega vnosa se člen 4(1)(b) uporablja za koncentracije tetrabromodifenil etra, enake ali nižje od 10 mg/kg (0,001 masnega %), kadar se pojavlja v snoveh,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, izdelkih ali kot sestavina ognjeodpornih delov izdelkov.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2. Z odstopanjem se dovoli proizvodnja, dajanje </w:t>
            </w:r>
            <w:r>
              <w:rPr>
                <w:rStyle w:val="CRMinorChangeDeleted"/>
                <w:noProof/>
              </w:rPr>
              <w:t>na trg</w:t>
            </w:r>
            <w:r>
              <w:rPr>
                <w:rStyle w:val="CRMinorChangeAdded"/>
                <w:noProof/>
              </w:rPr>
              <w:t>v promet</w:t>
            </w:r>
            <w:r>
              <w:rPr>
                <w:noProof/>
              </w:rPr>
              <w:t xml:space="preserve"> in uporaba: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(a) brez poseganja v pododstavek (b), izdelkov in </w:t>
            </w:r>
            <w:r>
              <w:rPr>
                <w:rStyle w:val="CRDeleted"/>
                <w:noProof/>
              </w:rPr>
              <w:t>pripravkov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, ki vsebujejo koncentracije tetrabromodifenil etra, </w:t>
            </w:r>
            <w:r>
              <w:rPr>
                <w:noProof/>
              </w:rPr>
              <w:lastRenderedPageBreak/>
              <w:t>nižje od 0,1 masnega %, kadar se delno ali v celoti proizvedejo iz recikliranih materialov ali materialov iz odpadkov, pripravljenih za ponovno uporabo;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(b) električne in elektronske opreme s področja uporabe Direktive 2002/95/ES Evropskega parlamenta in Sveta</w:t>
            </w:r>
            <w:r>
              <w:rPr>
                <w:rStyle w:val="FootnoteReference"/>
                <w:noProof/>
              </w:rPr>
              <w:footnoteReference w:id="1"/>
            </w:r>
            <w:r>
              <w:rPr>
                <w:noProof/>
              </w:rPr>
              <w:t>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3. Uporaba izdelkov, ki so </w:t>
            </w:r>
            <w:r>
              <w:rPr>
                <w:rStyle w:val="CRMinorChangeAdded"/>
                <w:noProof/>
              </w:rPr>
              <w:t>bili</w:t>
            </w:r>
            <w:r>
              <w:rPr>
                <w:noProof/>
              </w:rPr>
              <w:t xml:space="preserve"> v Uniji </w:t>
            </w:r>
            <w:r>
              <w:rPr>
                <w:rStyle w:val="CRMinorChangeDeleted"/>
                <w:noProof/>
              </w:rPr>
              <w:t>že</w:t>
            </w:r>
            <w:r>
              <w:rPr>
                <w:noProof/>
              </w:rPr>
              <w:t xml:space="preserve"> v uporabi </w:t>
            </w:r>
            <w:r>
              <w:rPr>
                <w:rStyle w:val="CRMinorChangeAdded"/>
                <w:noProof/>
              </w:rPr>
              <w:t>že</w:t>
            </w:r>
            <w:r>
              <w:rPr>
                <w:noProof/>
              </w:rPr>
              <w:t xml:space="preserve"> pred 25. avgustom 2010 in vsebujejo kot sestavino tetrabromodifenil eter, se dovoli. Za te izdelke se uporabljata tretji in četrti pododstavek člena 4(2).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Pentabromodifenil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C12H5Br5O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32534-81-9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251-084-2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1. Za namene tega vnosa se člen 4(1)(b) uporablja za koncentracije pentabromodifenil etra, enake ali nižje od 10 mg/kg (0,001 masnega %), kadar se pojavlja v snoveh, izdelkih,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ali kot </w:t>
            </w:r>
            <w:r>
              <w:rPr>
                <w:noProof/>
              </w:rPr>
              <w:lastRenderedPageBreak/>
              <w:t>sestavina ognjeodpornih delov izdelkov.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2. Z odstopanjem se dovoli proizvodnja, dajanje </w:t>
            </w:r>
            <w:r>
              <w:rPr>
                <w:rStyle w:val="CRMinorChangeDeleted"/>
                <w:noProof/>
              </w:rPr>
              <w:t>na trg</w:t>
            </w:r>
            <w:r>
              <w:rPr>
                <w:rStyle w:val="CRMinorChangeAdded"/>
                <w:noProof/>
              </w:rPr>
              <w:t>v</w:t>
            </w:r>
            <w:r>
              <w:rPr>
                <w:noProof/>
              </w:rPr>
              <w:t xml:space="preserve"> </w:t>
            </w:r>
            <w:r>
              <w:rPr>
                <w:rStyle w:val="CRMinorChangeAdded"/>
                <w:noProof/>
              </w:rPr>
              <w:t>promet</w:t>
            </w:r>
            <w:r>
              <w:rPr>
                <w:noProof/>
              </w:rPr>
              <w:t xml:space="preserve"> in uporaba: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(a) brez poseganja v pododstavek (b), izdelkov in </w:t>
            </w:r>
            <w:r>
              <w:rPr>
                <w:rStyle w:val="CRDeleted"/>
                <w:noProof/>
              </w:rPr>
              <w:t>pripravkov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>, ki vsebujejo koncentracije pentabromodifenil etra, nižje od 0,1 masnega %, kadar se delno ali v celoti proizvedejo iz recikliranih materialov ali materialov iz odpadkov, pripravljenih za ponovno uporabo;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(b) električne in elektronske opreme s področja uporabe Direktive 2002/95/ES.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3. Uporaba izdelkov, ki </w:t>
            </w:r>
            <w:r>
              <w:rPr>
                <w:rStyle w:val="CRMinorChangeAdded"/>
                <w:noProof/>
              </w:rPr>
              <w:t>bili</w:t>
            </w:r>
            <w:r>
              <w:rPr>
                <w:noProof/>
              </w:rPr>
              <w:t xml:space="preserve"> so v Uniji </w:t>
            </w:r>
            <w:r>
              <w:rPr>
                <w:rStyle w:val="CRMinorChangeDeleted"/>
                <w:noProof/>
              </w:rPr>
              <w:t>že</w:t>
            </w:r>
            <w:r>
              <w:rPr>
                <w:noProof/>
              </w:rPr>
              <w:t xml:space="preserve"> v </w:t>
            </w:r>
            <w:r>
              <w:rPr>
                <w:rStyle w:val="CRMinorChangeAdded"/>
                <w:noProof/>
              </w:rPr>
              <w:t>že</w:t>
            </w:r>
            <w:r>
              <w:rPr>
                <w:noProof/>
              </w:rPr>
              <w:t xml:space="preserve"> uporabi pred 25. avgustom 2010 in vsebujejo kot sestavino pentabromodifenil eter, se dovoli. Za te izdelke se uporabljata tretji in četrti </w:t>
            </w:r>
            <w:r>
              <w:rPr>
                <w:noProof/>
              </w:rPr>
              <w:lastRenderedPageBreak/>
              <w:t>pododstavek člena 4(2).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Heksabromodifenil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C12H4Br6O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36483-60-0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253-058-6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1. Za namene tega vnosa se člen 4(1)(b) uporablja za koncentracije heksabromodifenil etra, enake ali nižje od 10 mg/kg (0,001 masnega %), kadar se pojavlja v snoveh, izdelkih,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ali kot sestavina ognjeodpornih delov izdelkov.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2. Z odstopanjem se dovoli proizvodnja, dajanje </w:t>
            </w:r>
            <w:r>
              <w:rPr>
                <w:rStyle w:val="CRMinorChangeDeleted"/>
                <w:noProof/>
              </w:rPr>
              <w:t>na trg</w:t>
            </w:r>
            <w:r>
              <w:rPr>
                <w:rStyle w:val="CRMinorChangeAdded"/>
                <w:noProof/>
              </w:rPr>
              <w:t>v</w:t>
            </w:r>
            <w:r>
              <w:rPr>
                <w:noProof/>
              </w:rPr>
              <w:t xml:space="preserve"> </w:t>
            </w:r>
            <w:r>
              <w:rPr>
                <w:rStyle w:val="CRMinorChangeAdded"/>
                <w:noProof/>
              </w:rPr>
              <w:t>promet</w:t>
            </w:r>
            <w:r>
              <w:rPr>
                <w:noProof/>
              </w:rPr>
              <w:t xml:space="preserve"> in uporaba: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(a) brez poseganja v pododstavek (b), izdelkov in </w:t>
            </w:r>
            <w:r>
              <w:rPr>
                <w:rStyle w:val="CRDeleted"/>
                <w:noProof/>
              </w:rPr>
              <w:t>pripravkov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>, ki vsebujejo koncentracije heksabromodifenil etra, nižje od 0,1 masnega %, kadar se delno ali v celoti proizvedejo iz recikliranih materialov ali materialov iz odpadkov, pripravljenih za ponovno uporabo;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(b) električne in elektronske opreme s </w:t>
            </w:r>
            <w:r>
              <w:rPr>
                <w:noProof/>
              </w:rPr>
              <w:lastRenderedPageBreak/>
              <w:t>področja uporabe Direktive 2002/95/ES.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3. Uporaba izdelkov, ki so </w:t>
            </w:r>
            <w:r>
              <w:rPr>
                <w:rStyle w:val="CRMinorChangeAdded"/>
                <w:noProof/>
              </w:rPr>
              <w:t>bili</w:t>
            </w:r>
            <w:r>
              <w:rPr>
                <w:noProof/>
              </w:rPr>
              <w:t xml:space="preserve"> v Uniji </w:t>
            </w:r>
            <w:r>
              <w:rPr>
                <w:rStyle w:val="CRMinorChangeDeleted"/>
                <w:noProof/>
              </w:rPr>
              <w:t>že</w:t>
            </w:r>
            <w:r>
              <w:rPr>
                <w:noProof/>
              </w:rPr>
              <w:t xml:space="preserve"> v uporabi </w:t>
            </w:r>
            <w:r>
              <w:rPr>
                <w:rStyle w:val="CRMinorChangeAdded"/>
                <w:noProof/>
              </w:rPr>
              <w:t>že</w:t>
            </w:r>
            <w:r>
              <w:rPr>
                <w:noProof/>
              </w:rPr>
              <w:t xml:space="preserve"> pred 25. avgustom 2010 in vsebujejo kot sestavino heksabromodifenil eter, se dovoli. Za te izdelke se uporabljata tretji in četrti pododstavek člena 4(2).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Heptabromodifenil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C12H3Br7O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68928-80-3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273-031-2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1. Za namene tega vnosa se člen 4(1)(b) uporablja za koncentracije heptabromodifenil etra, enake ali nižje od 10 mg/kg (0,001 masnega %), kadar se pojavlja v snoveh,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, izdelkih ali kot sestavina ognjeodpornih delov izdelkov.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2. Z odstopanjem se dovoli proizvodnja, dajanje </w:t>
            </w:r>
            <w:r>
              <w:rPr>
                <w:rStyle w:val="CRMinorChangeDeleted"/>
                <w:noProof/>
              </w:rPr>
              <w:t>na trg</w:t>
            </w:r>
            <w:r>
              <w:rPr>
                <w:rStyle w:val="CRMinorChangeAdded"/>
                <w:noProof/>
              </w:rPr>
              <w:t>v</w:t>
            </w:r>
            <w:r>
              <w:rPr>
                <w:noProof/>
              </w:rPr>
              <w:t xml:space="preserve"> </w:t>
            </w:r>
            <w:r>
              <w:rPr>
                <w:rStyle w:val="CRMinorChangeAdded"/>
                <w:noProof/>
              </w:rPr>
              <w:t>promet</w:t>
            </w:r>
            <w:r>
              <w:rPr>
                <w:noProof/>
              </w:rPr>
              <w:t xml:space="preserve"> in uporaba: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(a) brez poseganja v pododstavek (b), izdelkov in </w:t>
            </w:r>
            <w:r>
              <w:rPr>
                <w:rStyle w:val="CRDeleted"/>
                <w:noProof/>
              </w:rPr>
              <w:t>pripravkov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, ki vsebujejo koncentracije heptabromodifenil etra, nižje od 0,1 masnega %, </w:t>
            </w:r>
            <w:r>
              <w:rPr>
                <w:noProof/>
              </w:rPr>
              <w:lastRenderedPageBreak/>
              <w:t>kadar se delno ali v celoti proizvedejo iz recikliranih materialov ali materialov iz odpadkov, pripravljenih za ponovno uporabo;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(b) električne in elektronske opreme s področja uporabe Direktive 2002/95/ES.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3. Uporaba izdelkov, ki so </w:t>
            </w:r>
            <w:r>
              <w:rPr>
                <w:rStyle w:val="CRMinorChangeAdded"/>
                <w:noProof/>
              </w:rPr>
              <w:t>bili</w:t>
            </w:r>
            <w:r>
              <w:rPr>
                <w:noProof/>
              </w:rPr>
              <w:t xml:space="preserve"> v Uniji </w:t>
            </w:r>
            <w:r>
              <w:rPr>
                <w:rStyle w:val="CRMinorChangeDeleted"/>
                <w:noProof/>
              </w:rPr>
              <w:t>že</w:t>
            </w:r>
            <w:r>
              <w:rPr>
                <w:noProof/>
              </w:rPr>
              <w:t xml:space="preserve"> v uporabi </w:t>
            </w:r>
            <w:r>
              <w:rPr>
                <w:rStyle w:val="CRMinorChangeAdded"/>
                <w:noProof/>
              </w:rPr>
              <w:t>že</w:t>
            </w:r>
            <w:r>
              <w:rPr>
                <w:noProof/>
              </w:rPr>
              <w:t xml:space="preserve"> pred 25. avgustom 2010 in vsebujejo kot sestavino heptabromodifenil eter, se dovoli. Za te izdelke se uporabljata tretji in četrti pododstavek člena 4(2).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Perfluorooktan sulfonska kislina in njeni derivati (PFOS)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C8F17SO2X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(X = OH, kovinska sol (O-M+), halogenid, amid in drugi derivati, vključno s polimeri)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 xml:space="preserve"> 1763-23-1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2795-39-3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29457-72-5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29081-56-9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70225-14-8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56773-42-3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251099-16-8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4151-50-2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31506-32-8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1691-99-2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24448-09-7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307-35-7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217-179-8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220-527-1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249-644-6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249-415-0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274-460-8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260-375-3</w:t>
            </w:r>
          </w:p>
          <w:p w:rsidR="00347E6A" w:rsidRDefault="00347E6A">
            <w:pPr>
              <w:pStyle w:val="NormalLeft"/>
              <w:rPr>
                <w:noProof/>
              </w:rPr>
            </w:pP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223-980-3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250-665-8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216-887-4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246-262-1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orderablesearchcontainer"/>
                <w:noProof/>
              </w:rPr>
              <w:t xml:space="preserve">206-200-6 </w:t>
            </w:r>
            <w:r>
              <w:rPr>
                <w:rStyle w:val="orderablesearchcontainer"/>
                <w:noProof/>
              </w:rPr>
              <w:lastRenderedPageBreak/>
              <w:t>in druge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 xml:space="preserve">1. Za namene tega vnosa se člen 4(1)(b) uporablja za koncentracije PFOS, enake ali nižje od 10 mg/kg (0,001 masnega %), kadar se pojavlja v snoveh ali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2. Za potrebe tega vnosa se člen 4(1)(b) uporablja za koncentracije PFOS v polizdelkih ali izdelkih ali njihovih delih, če je </w:t>
            </w:r>
            <w:r>
              <w:rPr>
                <w:noProof/>
              </w:rPr>
              <w:lastRenderedPageBreak/>
              <w:t>koncentracija PFOS nižja od 0,1 masnega %, izračunano glede na maso strukturno ali mikrostrukturno ločenih delov, ki vsebujejo PFOS, ali pri tekstilu ali drugih prevlečenih materialih, če je količina PFOS nižja od 1 μg/m2 prevlečenega materiala.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3. Uporaba izdelkov, ki so </w:t>
            </w:r>
            <w:r>
              <w:rPr>
                <w:rStyle w:val="CRMinorChangeAdded"/>
                <w:noProof/>
              </w:rPr>
              <w:t>bili</w:t>
            </w:r>
            <w:r>
              <w:rPr>
                <w:noProof/>
              </w:rPr>
              <w:t xml:space="preserve"> v Uniji </w:t>
            </w:r>
            <w:r>
              <w:rPr>
                <w:rStyle w:val="CRMinorChangeDeleted"/>
                <w:noProof/>
              </w:rPr>
              <w:t>že</w:t>
            </w:r>
            <w:r>
              <w:rPr>
                <w:noProof/>
              </w:rPr>
              <w:t xml:space="preserve"> v uporabi </w:t>
            </w:r>
            <w:r>
              <w:rPr>
                <w:rStyle w:val="CRMinorChangeAdded"/>
                <w:noProof/>
              </w:rPr>
              <w:t>že</w:t>
            </w:r>
            <w:r>
              <w:rPr>
                <w:noProof/>
              </w:rPr>
              <w:t xml:space="preserve"> pred 25. avgustom 2010 in vsebujejo kot sestavino PFOS, se dovoli. Za te izdelke se uporabljata tretji in četrti pododstavek člena 4(2).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4. Pene za gašenje požarov, ki so bile dane </w:t>
            </w:r>
            <w:r>
              <w:rPr>
                <w:rStyle w:val="CRMinorChangeDeleted"/>
                <w:noProof/>
              </w:rPr>
              <w:t>na trg</w:t>
            </w:r>
            <w:r>
              <w:rPr>
                <w:rStyle w:val="CRMinorChangeAdded"/>
                <w:noProof/>
              </w:rPr>
              <w:t>v promet</w:t>
            </w:r>
            <w:r>
              <w:rPr>
                <w:noProof/>
              </w:rPr>
              <w:t xml:space="preserve"> pred 27. decembrom 2006, se lahko uporabljajo do 27. junija 2011.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5. Če je količina izpusta v okolje minimizirana, se proizvodnja in dajanje v promet dovolita za naslednje posebne uporabe, če države članice vsaka štiri leta Komisiji poročajo o napredku pri odpravljanju PFOS: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(a) do 26. avgusta 2015 kot omočila za uporabo v nadzorovanih sistemih </w:t>
            </w:r>
            <w:r>
              <w:rPr>
                <w:noProof/>
              </w:rPr>
              <w:lastRenderedPageBreak/>
              <w:t>galvanizacije;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(b) svetlobno obstojni ali antirefleksni premazi v fotolitografskem postopku;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(c) fotografski premazi za filme, papir ali tiskarske plošče;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(d) snovi, ki preprečujejo rosenje na nedekorativnih oblogah iz trdega kroma (VI) v zaprtih sistemih;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(e) hidravlične tekočine, ki se uporabljajo v letalstvu.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Kadar odstopanja v točkah (a) do (e) zadevajo proizvodnjo ali uporabo v obratu v okviru področja uporabe Direktive 2008/1/ES </w:t>
            </w:r>
            <w:r>
              <w:rPr>
                <w:rStyle w:val="CRMinorChangeAdded"/>
                <w:noProof/>
              </w:rPr>
              <w:t>Evropskega parlamenta in Sveta</w:t>
            </w:r>
            <w:r>
              <w:rPr>
                <w:rStyle w:val="FootnoteReference"/>
                <w:noProof/>
              </w:rPr>
              <w:footnoteReference w:id="2"/>
            </w:r>
            <w:r>
              <w:rPr>
                <w:noProof/>
              </w:rPr>
              <w:t xml:space="preserve">, se uporabljajo ustrezne najboljše razpoložljive tehnike za preprečevanje in minimizacijo izpustov PFOS, opisane v informacijah, ki jih je v skladu z drugim odstavkom člena 17(2) Direktive </w:t>
            </w:r>
            <w:r>
              <w:rPr>
                <w:noProof/>
              </w:rPr>
              <w:lastRenderedPageBreak/>
              <w:t>2008/1/ES objavila Komisija.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Kakor hitro so na voljo nove informacije o podrobnostih uporabe in varnejše nadomestne snovi ali tehnologije za uporabe iz točk (b) do (e), Komisija ponovno pregleda odstopanja iz drugega odstavka, tako da:</w:t>
            </w:r>
          </w:p>
          <w:p w:rsidR="00347E6A" w:rsidRDefault="00347E6A">
            <w:pPr>
              <w:pStyle w:val="NormalLeft"/>
              <w:rPr>
                <w:noProof/>
              </w:rPr>
            </w:pP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(i) se opusti uporaba PFOS, kakor hitro je uporaba varnejših </w:t>
            </w:r>
            <w:r>
              <w:rPr>
                <w:rStyle w:val="CRMinorChangeAdded"/>
                <w:noProof/>
              </w:rPr>
              <w:t>nadomestkov</w:t>
            </w:r>
            <w:r>
              <w:rPr>
                <w:rStyle w:val="CRMinorChangeDeleted"/>
                <w:noProof/>
              </w:rPr>
              <w:t>alternativ</w:t>
            </w:r>
            <w:r>
              <w:rPr>
                <w:noProof/>
              </w:rPr>
              <w:t xml:space="preserve"> tehnično in ekonomsko izvedljiva;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(ii) odstopanje lahko še naprej velja le za nujne uporabe, za katere varnejše možnosti ne obstajajo in glede katerih se poroča o prizadevanjih za iskanje varnejših možnosti;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(iii) se z uporabo najboljših razpoložljivih tehnik </w:t>
            </w:r>
            <w:r>
              <w:rPr>
                <w:rStyle w:val="CRMinorChangeDeleted"/>
                <w:noProof/>
              </w:rPr>
              <w:t>sproščanje</w:t>
            </w:r>
            <w:r>
              <w:rPr>
                <w:rStyle w:val="CRMinorChangeAdded"/>
                <w:noProof/>
              </w:rPr>
              <w:t>izpusti</w:t>
            </w:r>
            <w:r>
              <w:rPr>
                <w:noProof/>
              </w:rPr>
              <w:t xml:space="preserve"> PFOS v </w:t>
            </w:r>
            <w:r>
              <w:rPr>
                <w:noProof/>
              </w:rPr>
              <w:lastRenderedPageBreak/>
              <w:t xml:space="preserve">okolje </w:t>
            </w:r>
            <w:r>
              <w:rPr>
                <w:rStyle w:val="CRMinorChangeAdded"/>
                <w:noProof/>
              </w:rPr>
              <w:t>minimizirajo</w:t>
            </w:r>
            <w:r>
              <w:rPr>
                <w:noProof/>
              </w:rPr>
              <w:t xml:space="preserve"> </w:t>
            </w:r>
            <w:r>
              <w:rPr>
                <w:rStyle w:val="CRMinorChangeDeleted"/>
                <w:noProof/>
              </w:rPr>
              <w:t>kar najbolj zmanjša</w:t>
            </w:r>
            <w:r>
              <w:rPr>
                <w:noProof/>
              </w:rPr>
              <w:t>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2</w:t>
            </w:r>
            <w:r>
              <w:rPr>
                <w:noProof/>
              </w:rPr>
              <w:t> 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6. Ko Evropski odbor za standardizacijo (CEN) sprejme standarde, se ti uporabljajo kot analizne testne metode za ugotavljanje skladnosti snovi, </w:t>
            </w:r>
            <w:r>
              <w:rPr>
                <w:rStyle w:val="CRDeleted"/>
                <w:noProof/>
              </w:rPr>
              <w:t>pripravkov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in izdelkov z odstavkoma 1 in 2. </w:t>
            </w:r>
            <w:r>
              <w:rPr>
                <w:rStyle w:val="CRMinorChangeAdded"/>
                <w:noProof/>
              </w:rPr>
              <w:t>Kot alternativa standardom CEN se lahko uporabi v</w:t>
            </w:r>
            <w:r>
              <w:rPr>
                <w:rStyle w:val="CRMinorChangeDeleted"/>
                <w:noProof/>
              </w:rPr>
              <w:t>V</w:t>
            </w:r>
            <w:r>
              <w:rPr>
                <w:noProof/>
              </w:rPr>
              <w:t>saka druga anali</w:t>
            </w:r>
            <w:r>
              <w:rPr>
                <w:rStyle w:val="CRMinorChangeDeleted"/>
                <w:noProof/>
              </w:rPr>
              <w:t>tič</w:t>
            </w:r>
            <w:r>
              <w:rPr>
                <w:rStyle w:val="CRMinorChangeAdded"/>
                <w:noProof/>
              </w:rPr>
              <w:t>z</w:t>
            </w:r>
            <w:r>
              <w:rPr>
                <w:noProof/>
              </w:rPr>
              <w:t>na metoda, za katero lahko uporabnik dokaže enakovredno zmogljivost</w:t>
            </w:r>
            <w:r>
              <w:rPr>
                <w:rStyle w:val="CRMinorChangeDeleted"/>
                <w:noProof/>
              </w:rPr>
              <w:t>, se lahko uporabi kot alternativa standardom CEN</w:t>
            </w:r>
            <w:r>
              <w:rPr>
                <w:noProof/>
              </w:rPr>
              <w:t>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lastRenderedPageBreak/>
              <w:t>DDT (1,1,1-trikloro-2,2-bis(4-klorofenil) etan)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50-29-3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200-024-3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Klordan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57-74-9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200-349-0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Heksaklorocikloheksani, vključno z lindanom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58-89-9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200-401-2</w:t>
            </w:r>
          </w:p>
        </w:tc>
        <w:tc>
          <w:tcPr>
            <w:tcW w:w="24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319-84-6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206-270-8</w:t>
            </w: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7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319-85-7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206-271-3</w:t>
            </w: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7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adjustRightInd w:val="0"/>
              <w:spacing w:before="0" w:after="0"/>
              <w:jc w:val="left"/>
              <w:rPr>
                <w:noProof/>
              </w:rPr>
            </w:pP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608-73-1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210-168-9</w:t>
            </w:r>
          </w:p>
        </w:tc>
        <w:tc>
          <w:tcPr>
            <w:tcW w:w="241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Dieldrin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60-57-1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200-484-5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Endrin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72-20-8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200-775-7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Heptaklor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76-44-8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200-962-3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3</w:t>
            </w:r>
            <w:r>
              <w:rPr>
                <w:noProof/>
              </w:rPr>
              <w:t> Endosulfan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3</w:t>
            </w:r>
            <w:r>
              <w:rPr>
                <w:noProof/>
              </w:rPr>
              <w:t> 115-29-7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959-98-8)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33213-65-9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3</w:t>
            </w:r>
            <w:r>
              <w:rPr>
                <w:noProof/>
              </w:rPr>
              <w:t> 204-079-4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3</w:t>
            </w:r>
            <w:r>
              <w:rPr>
                <w:noProof/>
              </w:rPr>
              <w:t> 1. Dajanje v promet in uporaba izdelkov, proizvedenih pred ali na 10. julij 2012, ki vsebujejo endosulfan kot sestavni del takih izdelkov, se dovoli do 10. januarja 2013.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2. Dajanje v promet in uporaba izdelkov, v uporabi že pred ali na 10. julij 2012, ki vsebujejo endosulfan kot sestavni del takih izdelkov, se dovoli.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3. Za izdelke iz odstavkov 1 in 2 se uporabljata tretji in četrti pododstavek člena 4(2). </w:t>
            </w:r>
            <w:r>
              <w:rPr>
                <w:rStyle w:val="CRMarker"/>
                <w:noProof/>
              </w:rPr>
              <w:t>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Heksaklorobenzen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118-74-1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200-273-9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Klordekon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143-50-0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205-601-3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Aldrin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309-00-2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206-215-8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Pentaklorobenzen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608-93-5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210-172-5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bifenili (PCB)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1336-36-3 in druge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215-648-1 in druge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Brez poseganja v Direktivo 96/59/ES se dovoli uporaba izdelkov, ki so že v uporabi ob začetku veljavnosti te uredbe.</w:t>
            </w:r>
          </w:p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Države članice identificirajo in iz uporabe odstranijo opremo (npr. transformatorje, kondenzatorje ali druge posode, ki vsebujejo zaloge tekočine), ki vsebuje več kot 0,005 % PCB-jev, s prostornino, večjo od 0,05 dm</w:t>
            </w:r>
            <w:r>
              <w:rPr>
                <w:noProof/>
                <w:highlight w:val="lightGray"/>
                <w:vertAlign w:val="superscript"/>
              </w:rPr>
              <w:t>3</w:t>
            </w:r>
            <w:r>
              <w:rPr>
                <w:noProof/>
                <w:highlight w:val="lightGray"/>
              </w:rPr>
              <w:t>, takoj ko je to mogoče, najpozneje pa do 31. decembra 2025.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Mireks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2385-85-5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219-196-6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Toksafen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8001-35-2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232-283-3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Heksabromobifenil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36355-01-8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252-994-2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—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Heksabromociklododekan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„Heksabromociklododekan“ pomeni: heksabromociklododekan, 1,2,5,6,9,10-heksabromociklododekan in njegov</w:t>
            </w:r>
            <w:r>
              <w:rPr>
                <w:rStyle w:val="CRMinorChangeAdded"/>
                <w:noProof/>
              </w:rPr>
              <w:t>e</w:t>
            </w:r>
            <w:r>
              <w:rPr>
                <w:rStyle w:val="CRMinorChangeDeleted"/>
                <w:noProof/>
              </w:rPr>
              <w:t>i</w:t>
            </w:r>
            <w:r>
              <w:rPr>
                <w:noProof/>
              </w:rPr>
              <w:t xml:space="preserve"> glavn</w:t>
            </w:r>
            <w:r>
              <w:rPr>
                <w:rStyle w:val="CRMinorChangeAdded"/>
                <w:noProof/>
              </w:rPr>
              <w:t>e</w:t>
            </w:r>
            <w:r>
              <w:rPr>
                <w:rStyle w:val="CRMinorChangeDeleted"/>
                <w:noProof/>
              </w:rPr>
              <w:t>i</w:t>
            </w:r>
            <w:r>
              <w:rPr>
                <w:noProof/>
              </w:rPr>
              <w:t xml:space="preserve"> diastereoizomer</w:t>
            </w:r>
            <w:r>
              <w:rPr>
                <w:rStyle w:val="CRMinorChangeAdded"/>
                <w:noProof/>
              </w:rPr>
              <w:t>e</w:t>
            </w:r>
            <w:r>
              <w:rPr>
                <w:rStyle w:val="CRMinorChangeDeleted"/>
                <w:noProof/>
              </w:rPr>
              <w:t>i</w:t>
            </w:r>
            <w:r>
              <w:rPr>
                <w:noProof/>
              </w:rPr>
              <w:t>: alfa-heksabromociklododekan; beta-heksabromociklododekan; in gama-heksabromociklododekan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25637-99-4,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3194-55-6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134237-50-6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134237-51-7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134237-52-8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247-148-4,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221-695-9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Point0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</w:t>
            </w:r>
            <w:r>
              <w:rPr>
                <w:noProof/>
              </w:rPr>
              <w:tab/>
              <w:t xml:space="preserve">1. Za namene tega vnosa se člen 4(1)(b) uporablja za koncentracije heksabromociklododekana, enake ali nižje od 100 mg/kg (0,01 mas. %), kadar se pojavlja v snoveh, </w:t>
            </w:r>
            <w:r>
              <w:rPr>
                <w:rStyle w:val="CRDeleted"/>
                <w:noProof/>
              </w:rPr>
              <w:t>pripravkih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, izdelkih ali kot sestavina ognjeodpornih delov izdelkov, to določbo pa mora Komisija revidirati do 22. marca 2019.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2. Uporaba heksabromociklododekana, </w:t>
            </w:r>
            <w:r>
              <w:rPr>
                <w:rStyle w:val="CRMinorChangeDeleted"/>
                <w:noProof/>
              </w:rPr>
              <w:t>samega</w:t>
            </w:r>
            <w:r>
              <w:rPr>
                <w:rStyle w:val="CRMinorChangeAdded"/>
                <w:noProof/>
              </w:rPr>
              <w:t>kot takega</w:t>
            </w:r>
            <w:r>
              <w:rPr>
                <w:noProof/>
              </w:rPr>
              <w:t xml:space="preserve"> ali v </w:t>
            </w:r>
            <w:r>
              <w:rPr>
                <w:rStyle w:val="CRDeleted"/>
                <w:noProof/>
              </w:rPr>
              <w:t>pripravkih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>, v proizvodnji izdelkov iz ekspandiranega polistirena ter proizvodnja in dajanje v promet heksabromociklododekana v te namene se dovolijo pod pogojem, da je bila za tako uporabo dodeljena avtorizacija v skladu z naslovom VII Uredbe (ES) št. 1907/2006 Evropskega parlamenta in Sveta</w:t>
            </w:r>
            <w:r>
              <w:rPr>
                <w:rStyle w:val="FootnoteReference"/>
                <w:noProof/>
              </w:rPr>
              <w:footnoteReference w:id="3"/>
            </w:r>
            <w:r>
              <w:rPr>
                <w:noProof/>
              </w:rPr>
              <w:t xml:space="preserve"> ali da je taka uporaba predmet vloge za avtorizacijo, ki je bila vložena pred 21. februarjem 2014 in o kateri še ni bilo odločeno.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 xml:space="preserve">Dajanje v promet in uporaba heksabromociklododekana, </w:t>
            </w:r>
            <w:r>
              <w:rPr>
                <w:rStyle w:val="CRMinorChangeAdded"/>
                <w:noProof/>
              </w:rPr>
              <w:t>samega</w:t>
            </w:r>
            <w:r>
              <w:rPr>
                <w:rStyle w:val="CRMinorChangeDeleted"/>
                <w:noProof/>
              </w:rPr>
              <w:t>kot takega</w:t>
            </w:r>
            <w:r>
              <w:rPr>
                <w:noProof/>
              </w:rPr>
              <w:t xml:space="preserve"> ali v </w:t>
            </w:r>
            <w:r>
              <w:rPr>
                <w:rStyle w:val="CRDeleted"/>
                <w:noProof/>
              </w:rPr>
              <w:t>pripravkih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zmeseh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, se v skladu s tem odstavkom dovoli samo do 26. novembra 2019 ali do datuma poteka obdobja pregleda iz odločitve o avtorizaciji v skladu z naslovom VII Uredbe (ES) št. 1907/2006, pri čemer se upošteva zgodnejši datum.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Dajanje v promet in uporaba v stavbah izdelkov iz ekspandiranega polistirena, ki vsebujejo heksabromociklododekan kot sestavino in ki se proizvajajo v skladu z izjemo iz tega odstavka, se dovoli do poteka 6 mesecev po datumu poteka veljavnosti te izjeme. Taki izdelki, ki so bili v uporabi že pred navedenim datumom, se lahko še naprej uporabljajo.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3. Brez poseganja v izjemo iz odstavka 2 se dajanje v promet in uporaba v stavbah izdelkov iz ekspandiranega polistirena in izdelkov iz ekstrudiranega polistirena, ki vsebujejo heksabromociklododekan kot sestavino in so proizvedeni pred ali na 22. marec 2016, dovoli do 22. junija 2016. Odstavek 6 se uporablja, kot če bi bili taki izdelki proizvedeni v skladu z izjemo iz odstavka 2.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4. Izdelki, ki vsebujejo heksabromociklododekan kot sestavino in ki so bili v uporabi že pred ali na 22. marec 2016, se lahko še naprej uporabljajo in dajejo v promet, odstavek 6 pa se ne uporablja. Za take izdelke se uporabljata tretji in četrti pododstavek člena 4(2).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5. Dajanje v promet in uporaba v stavbah uvoženih izdelkov iz ekspandiranega polistirena, ki vsebujejo heksabromociklododekan kot sestavino, se dovoli do datuma poteka veljavnosti izjeme iz odstavka 2, odstavek 6 pa se uporablja, če so bili taki izdelki proizvedeni v skladu z izjemo iz odstavka 2. Taki izdelki, ki so bili v uporabi že pred navedenim datumom, se lahko še naprej uporabljajo.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6. Brez poseganja v uporabo drugih določb Unije o razvrščanju, pakiranju in označevanju snovi in zmesi mora biti ekspandirani polistiren, v katerem je heksabromociklododekan uporabljen v skladu z izjemo iz odstavka 2, jasno označen ali drugače prepoznaven skozi celo življenjsko dobo. </w:t>
            </w:r>
            <w:r>
              <w:rPr>
                <w:rStyle w:val="CRMarker"/>
                <w:noProof/>
              </w:rPr>
              <w:t>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Heksaklorobutadien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87-68-3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201-765-5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1. Dajanje v promet in uporaba izdelkov, proizvedenih pred ali na 10. julij 2012, ki vsebujejo heksaklorobutadien kot sestavni del takih izdelkov, se dovoli do 10. januarja 2013.</w:t>
            </w:r>
          </w:p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noProof/>
                <w:highlight w:val="lightGray"/>
              </w:rPr>
              <w:t>2. Dajanje v promet in uporaba izdelkov, v uporabi že pred ali na 10. julij 2012, ki vsebujejo heksaklorobutadien kot sestavni del takih izdelkov, se dovoli.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  <w:highlight w:val="lightGray"/>
              </w:rPr>
              <w:t>3. Za izdelke iz odstavkov 1 in 2 se uporabljata tretji in četrti pododstavek člena 4(2).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Pentaklorofenol ter njegove soli in estri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87-86-5 in druge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201-778-6 in druge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Point0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-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</w:tr>
      <w:tr w:rsidR="00347E6A"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Poliklorirani naftaleni</w:t>
            </w:r>
            <w:r>
              <w:rPr>
                <w:rStyle w:val="FootnoteReference"/>
                <w:noProof/>
                <w:highlight w:val="lightGray"/>
              </w:rPr>
              <w:footnoteReference w:id="4"/>
            </w:r>
            <w:r>
              <w:rPr>
                <w:noProof/>
                <w:highlight w:val="lightGray"/>
              </w:rPr>
              <w:t>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70776-03-3 in druge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274-864-4 in druge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rStyle w:val="CRMarker"/>
                <w:noProof/>
                <w:highlight w:val="lightGray"/>
              </w:rPr>
              <w:t></w:t>
            </w:r>
            <w:r>
              <w:rPr>
                <w:noProof/>
                <w:highlight w:val="lightGray"/>
              </w:rPr>
              <w:t> 1. Dajanje v promet in uporaba izdelkov, proizvedenih pred ali na 10. julij 2012, ki vsebujejo poliklorirane naftalene kot sestavni del takih izdelkov, se dovoli do 10. januarja 2013.</w:t>
            </w:r>
          </w:p>
          <w:p w:rsidR="00347E6A" w:rsidRDefault="004A71BA">
            <w:pPr>
              <w:pStyle w:val="NormalLeft"/>
              <w:rPr>
                <w:noProof/>
                <w:highlight w:val="lightGray"/>
              </w:rPr>
            </w:pPr>
            <w:r>
              <w:rPr>
                <w:noProof/>
                <w:highlight w:val="lightGray"/>
              </w:rPr>
              <w:t>2. Dajanje v promet in uporaba izdelkov, v uporabi že pred ali na 10. julij 2012, ki vsebujejo poliklorirane naftalene kot sestavni del takih izdelkov, se dovoli.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  <w:highlight w:val="lightGray"/>
              </w:rPr>
              <w:t>3. Za izdelke iz odstavkov 1 in 2 se uporabljata tretji in četrti pododstavek člena 4(2).  </w:t>
            </w:r>
            <w:r>
              <w:rPr>
                <w:rStyle w:val="CRMarker"/>
                <w:noProof/>
                <w:highlight w:val="lightGray"/>
              </w:rPr>
              <w:t></w:t>
            </w:r>
          </w:p>
        </w:tc>
      </w:tr>
    </w:tbl>
    <w:p w:rsidR="00347E6A" w:rsidRDefault="00347E6A">
      <w:pPr>
        <w:rPr>
          <w:noProof/>
        </w:rPr>
      </w:pPr>
    </w:p>
    <w:p w:rsidR="00347E6A" w:rsidRDefault="004A71BA">
      <w:pPr>
        <w:jc w:val="center"/>
        <w:rPr>
          <w:noProof/>
        </w:rPr>
      </w:pPr>
      <w:r>
        <w:rPr>
          <w:b/>
          <w:noProof/>
        </w:rPr>
        <w:t xml:space="preserve">Del B – Snovi, ki so </w:t>
      </w:r>
      <w:r>
        <w:rPr>
          <w:rStyle w:val="CRMinorChangeDeleted"/>
          <w:b/>
          <w:noProof/>
        </w:rPr>
        <w:t>navedene</w:t>
      </w:r>
      <w:r>
        <w:rPr>
          <w:b/>
          <w:noProof/>
        </w:rPr>
        <w:t xml:space="preserve"> samo </w:t>
      </w:r>
      <w:r>
        <w:rPr>
          <w:rStyle w:val="CRMinorChangeAdded"/>
          <w:b/>
          <w:noProof/>
        </w:rPr>
        <w:t>na seznamih</w:t>
      </w:r>
      <w:r>
        <w:rPr>
          <w:b/>
          <w:noProof/>
        </w:rPr>
        <w:t xml:space="preserve"> v Protokolu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00"/>
        <w:gridCol w:w="1393"/>
        <w:gridCol w:w="1300"/>
        <w:gridCol w:w="3993"/>
      </w:tblGrid>
      <w:tr w:rsidR="00347E6A"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Snov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CAS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ES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 xml:space="preserve">Posebna izjema </w:t>
            </w:r>
            <w:r>
              <w:rPr>
                <w:rStyle w:val="CRMinorChangeDeleted"/>
                <w:noProof/>
              </w:rPr>
              <w:t>v zvezi s proizvodi</w:t>
            </w:r>
            <w:r>
              <w:rPr>
                <w:noProof/>
              </w:rPr>
              <w:t xml:space="preserve"> za </w:t>
            </w:r>
            <w:r>
              <w:rPr>
                <w:rStyle w:val="CRMinorChangeDeleted"/>
                <w:noProof/>
              </w:rPr>
              <w:t>vmesno</w:t>
            </w:r>
            <w:r>
              <w:rPr>
                <w:noProof/>
              </w:rPr>
              <w:t xml:space="preserve"> uporabo </w:t>
            </w:r>
            <w:r>
              <w:rPr>
                <w:rStyle w:val="CRMinorChangeAdded"/>
                <w:noProof/>
              </w:rPr>
              <w:t>snovi kot intermediata</w:t>
            </w:r>
            <w:r>
              <w:rPr>
                <w:noProof/>
              </w:rPr>
              <w:t xml:space="preserve"> ali druga specifikacija</w:t>
            </w:r>
          </w:p>
        </w:tc>
      </w:tr>
      <w:tr w:rsidR="00347E6A"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Heksaklorobutadien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87-68-3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201-765-5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rStyle w:val="CRRefonteDeleted"/>
                <w:noProof/>
                <w:highlight w:val="lightGray"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1. Dajanje v promet in uporaba izdelkov, proizvedenih pred ali na 10. julij 2012, ki vsebujejo heksaklorobutadien kot sestavni del takih izdelkov, se dovoli do 10. januarja 2013.</w:t>
            </w:r>
          </w:p>
          <w:p w:rsidR="00347E6A" w:rsidRDefault="004A71BA">
            <w:pPr>
              <w:pStyle w:val="NormalLeft"/>
              <w:rPr>
                <w:rStyle w:val="CRRefonteDeleted"/>
                <w:noProof/>
                <w:highlight w:val="lightGray"/>
              </w:rPr>
            </w:pPr>
            <w:r>
              <w:rPr>
                <w:rStyle w:val="CRRefonteDeleted"/>
                <w:noProof/>
                <w:highlight w:val="lightGray"/>
              </w:rPr>
              <w:t>2. Dajanje v promet in uporaba izdelkov, v uporabi že pred ali na 10. julij 2012, ki vsebujejo heksaklorobutadien kot sestavni del takih izdelkov, se dovoli.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RefonteDeleted"/>
                <w:noProof/>
                <w:highlight w:val="lightGray"/>
              </w:rPr>
              <w:t>3. Za izdelke iz odstavkov 1 in 2 se uporabljata tretji in četrti pododstavek člena 4(2).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</w:tr>
      <w:tr w:rsidR="00347E6A"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Poliklorirani naftaleni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rStyle w:val="CRRefonteDeleted"/>
                <w:noProof/>
                <w:highlight w:val="lightGray"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4</w:t>
            </w:r>
            <w:r>
              <w:rPr>
                <w:noProof/>
              </w:rPr>
              <w:t> </w:t>
            </w:r>
            <w:r>
              <w:rPr>
                <w:rStyle w:val="CRRefonteDeleted"/>
                <w:noProof/>
                <w:highlight w:val="lightGray"/>
              </w:rPr>
              <w:t>1. Dajanje v promet in uporaba izdelkov, proizvedenih pred ali na 10. julij 2012, ki vsebujejo poliklorirane naftalene kot sestavni del takih izdelkov, se dovoli do 10. januarja 2013.</w:t>
            </w:r>
          </w:p>
          <w:p w:rsidR="00347E6A" w:rsidRDefault="004A71BA">
            <w:pPr>
              <w:pStyle w:val="NormalLeft"/>
              <w:rPr>
                <w:rStyle w:val="CRRefonteDeleted"/>
                <w:noProof/>
                <w:highlight w:val="lightGray"/>
              </w:rPr>
            </w:pPr>
            <w:r>
              <w:rPr>
                <w:rStyle w:val="CRRefonteDeleted"/>
                <w:noProof/>
                <w:highlight w:val="lightGray"/>
              </w:rPr>
              <w:t>2. Dajanje v promet in uporaba izdelkov, v uporabi že pred ali na 10. julij 2012, ki vsebujejo poliklorirane naftalene kot sestavni del takih izdelkov, se dovoli.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RefonteDeleted"/>
                <w:noProof/>
                <w:highlight w:val="lightGray"/>
              </w:rPr>
              <w:t>3. Za izdelke iz odstavkov 1 in 2 se uporabljata tretji in četrti pododstavek člena 4(2).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</w:tr>
      <w:tr w:rsidR="00347E6A"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5</w:t>
            </w:r>
            <w:r>
              <w:rPr>
                <w:noProof/>
              </w:rPr>
              <w:t> Klorirani alkani C10–C13 (klorirani parafini s kratkimi verigami – SCCP)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5</w:t>
            </w:r>
            <w:r>
              <w:rPr>
                <w:noProof/>
              </w:rPr>
              <w:t> 85535-84-8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5</w:t>
            </w:r>
            <w:r>
              <w:rPr>
                <w:noProof/>
              </w:rPr>
              <w:t> 287-476-5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3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Point0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5</w:t>
            </w:r>
            <w:r>
              <w:rPr>
                <w:noProof/>
              </w:rPr>
              <w:t> </w:t>
            </w:r>
            <w:r>
              <w:rPr>
                <w:noProof/>
              </w:rPr>
              <w:tab/>
              <w:t xml:space="preserve">1. Z odstopanjem se dovoli proizvodnja, dajanje v promet in uporaba snovi ali </w:t>
            </w:r>
            <w:r>
              <w:rPr>
                <w:rStyle w:val="CRDeleted"/>
                <w:noProof/>
              </w:rPr>
              <w:t>pripravkov</w:t>
            </w:r>
            <w:r>
              <w:rPr>
                <w:noProof/>
              </w:rPr>
              <w:t xml:space="preserve">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zmesi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>, ki vsebujejo SCCP v koncentracijah, nižjih od 1 mas. %, ali izdelkov, ki vsebujejo SCCP v koncentracijah, nižjih od 0,15 mas. %.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2. Uporaba se dovoli v zvezi s</w:t>
            </w:r>
            <w:r>
              <w:rPr>
                <w:rStyle w:val="CRMinorChangeDeleted"/>
                <w:noProof/>
              </w:rPr>
              <w:t>/z</w:t>
            </w:r>
            <w:r>
              <w:rPr>
                <w:noProof/>
              </w:rPr>
              <w:t>:</w:t>
            </w:r>
          </w:p>
          <w:p w:rsidR="00347E6A" w:rsidRDefault="004A71BA">
            <w:pPr>
              <w:pStyle w:val="Point1"/>
              <w:rPr>
                <w:noProof/>
              </w:rPr>
            </w:pPr>
            <w:r>
              <w:rPr>
                <w:noProof/>
              </w:rPr>
              <w:tab/>
              <w:t xml:space="preserve">(a) transportnimi trakovi v rudarski industriji in tesnilnimi sredstvi </w:t>
            </w:r>
            <w:r>
              <w:rPr>
                <w:rStyle w:val="CRMinorChangeDeleted"/>
                <w:noProof/>
              </w:rPr>
              <w:t>pri jezovih</w:t>
            </w:r>
            <w:r>
              <w:rPr>
                <w:noProof/>
              </w:rPr>
              <w:t>, ki vsebujejo SCCP in so bili v uporabi že pred ali na 4. december 2015; ter</w:t>
            </w:r>
          </w:p>
          <w:p w:rsidR="00347E6A" w:rsidRDefault="004A71BA">
            <w:pPr>
              <w:pStyle w:val="Point1"/>
              <w:rPr>
                <w:noProof/>
              </w:rPr>
            </w:pPr>
            <w:r>
              <w:rPr>
                <w:noProof/>
              </w:rPr>
              <w:tab/>
              <w:t>(b) izdelki, ki vsebujejo SCCP, a niso navedeni v točki (a)</w:t>
            </w:r>
            <w:r>
              <w:rPr>
                <w:rStyle w:val="CRMinorChangeAdded"/>
                <w:noProof/>
              </w:rPr>
              <w:t>,</w:t>
            </w:r>
            <w:r>
              <w:rPr>
                <w:noProof/>
              </w:rPr>
              <w:t xml:space="preserve"> in ki so bili v uporabi že pred ali na 10. julij 2012.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3. Za izdelke iz točke 2 se uporabljata tretji in četrti pododstavek člena 4(2). </w:t>
            </w:r>
            <w:r>
              <w:rPr>
                <w:rStyle w:val="CRMarker"/>
                <w:noProof/>
              </w:rPr>
              <w:t></w:t>
            </w:r>
          </w:p>
        </w:tc>
      </w:tr>
    </w:tbl>
    <w:p w:rsidR="00347E6A" w:rsidRDefault="00347E6A">
      <w:pPr>
        <w:adjustRightInd w:val="0"/>
        <w:spacing w:before="0" w:after="0"/>
        <w:jc w:val="left"/>
        <w:rPr>
          <w:noProof/>
        </w:rPr>
        <w:sectPr w:rsidR="00347E6A">
          <w:footerReference w:type="default" r:id="rId22"/>
          <w:footerReference w:type="first" r:id="rId23"/>
          <w:pgSz w:w="11906" w:h="16838"/>
          <w:pgMar w:top="1134" w:right="1418" w:bottom="1134" w:left="1418" w:header="709" w:footer="709" w:gutter="0"/>
          <w:pgNumType w:start="1"/>
          <w:cols w:space="709"/>
          <w:docGrid w:linePitch="326"/>
        </w:sectPr>
      </w:pP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> Popravek, UL L 229, 29.6.2004, str. 5</w:t>
      </w: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II</w:t>
      </w:r>
    </w:p>
    <w:p w:rsidR="00347E6A" w:rsidRDefault="004A71BA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SEZNAM SNOVI, ZA KATERE VELJAJO OMEJITVE</w:t>
      </w:r>
    </w:p>
    <w:p w:rsidR="00347E6A" w:rsidRDefault="00347E6A">
      <w:pPr>
        <w:pStyle w:val="NormalCentered"/>
        <w:jc w:val="left"/>
        <w:rPr>
          <w:noProof/>
          <w:lang w:eastAsia="en-GB"/>
        </w:rPr>
      </w:pPr>
    </w:p>
    <w:p w:rsidR="00347E6A" w:rsidRDefault="004A71BA">
      <w:pPr>
        <w:pStyle w:val="NormalCentered"/>
        <w:jc w:val="left"/>
        <w:rPr>
          <w:b/>
          <w:noProof/>
        </w:rPr>
      </w:pPr>
      <w:r>
        <w:rPr>
          <w:b/>
          <w:noProof/>
        </w:rPr>
        <w:t xml:space="preserve">Del A – </w:t>
      </w:r>
      <w:r>
        <w:rPr>
          <w:rStyle w:val="CRMinorChangeAdded"/>
          <w:b/>
          <w:noProof/>
        </w:rPr>
        <w:t>S</w:t>
      </w:r>
      <w:r>
        <w:rPr>
          <w:rStyle w:val="CRMinorChangeDeleted"/>
          <w:b/>
          <w:noProof/>
        </w:rPr>
        <w:t>s</w:t>
      </w:r>
      <w:r>
        <w:rPr>
          <w:b/>
          <w:noProof/>
        </w:rPr>
        <w:t>novi s seznamov v Konvenciji in Protokolu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615"/>
        <w:gridCol w:w="1701"/>
        <w:gridCol w:w="3649"/>
      </w:tblGrid>
      <w:tr w:rsidR="00347E6A">
        <w:tc>
          <w:tcPr>
            <w:tcW w:w="2321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Snov</w:t>
            </w:r>
          </w:p>
        </w:tc>
        <w:tc>
          <w:tcPr>
            <w:tcW w:w="1615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Št. CAS</w:t>
            </w:r>
          </w:p>
        </w:tc>
        <w:tc>
          <w:tcPr>
            <w:tcW w:w="1701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Št. ES</w:t>
            </w:r>
          </w:p>
        </w:tc>
        <w:tc>
          <w:tcPr>
            <w:tcW w:w="3649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Pogoji za omejitve</w:t>
            </w:r>
          </w:p>
        </w:tc>
      </w:tr>
      <w:tr w:rsidR="00347E6A">
        <w:tc>
          <w:tcPr>
            <w:tcW w:w="2321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1615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1701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3649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</w:tr>
    </w:tbl>
    <w:p w:rsidR="00347E6A" w:rsidRDefault="00347E6A">
      <w:pPr>
        <w:pStyle w:val="NormalCentered"/>
        <w:jc w:val="left"/>
        <w:rPr>
          <w:noProof/>
        </w:rPr>
      </w:pPr>
    </w:p>
    <w:p w:rsidR="00347E6A" w:rsidRDefault="004A71BA">
      <w:pPr>
        <w:adjustRightInd w:val="0"/>
        <w:spacing w:before="0" w:after="0"/>
        <w:jc w:val="left"/>
        <w:rPr>
          <w:b/>
          <w:noProof/>
        </w:rPr>
      </w:pPr>
      <w:r>
        <w:rPr>
          <w:b/>
          <w:noProof/>
        </w:rPr>
        <w:t xml:space="preserve">Del B – </w:t>
      </w:r>
      <w:r>
        <w:rPr>
          <w:rStyle w:val="CRMinorChangeAdded"/>
          <w:b/>
          <w:noProof/>
        </w:rPr>
        <w:t>S</w:t>
      </w:r>
      <w:r>
        <w:rPr>
          <w:rStyle w:val="CRMinorChangeDeleted"/>
          <w:b/>
          <w:noProof/>
        </w:rPr>
        <w:t>s</w:t>
      </w:r>
      <w:r>
        <w:rPr>
          <w:b/>
          <w:noProof/>
        </w:rPr>
        <w:t>novi, ki so samo na seznamih v Protokolu</w:t>
      </w:r>
    </w:p>
    <w:p w:rsidR="00347E6A" w:rsidRDefault="00347E6A">
      <w:pPr>
        <w:adjustRightInd w:val="0"/>
        <w:spacing w:before="0" w:after="0"/>
        <w:jc w:val="left"/>
        <w:rPr>
          <w:noProof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615"/>
        <w:gridCol w:w="1701"/>
        <w:gridCol w:w="3649"/>
      </w:tblGrid>
      <w:tr w:rsidR="00347E6A">
        <w:tc>
          <w:tcPr>
            <w:tcW w:w="2321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Snov</w:t>
            </w:r>
          </w:p>
        </w:tc>
        <w:tc>
          <w:tcPr>
            <w:tcW w:w="1615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Št. CAS</w:t>
            </w:r>
          </w:p>
        </w:tc>
        <w:tc>
          <w:tcPr>
            <w:tcW w:w="1701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Št. ES</w:t>
            </w:r>
          </w:p>
        </w:tc>
        <w:tc>
          <w:tcPr>
            <w:tcW w:w="3649" w:type="dxa"/>
          </w:tcPr>
          <w:p w:rsidR="00347E6A" w:rsidRDefault="004A71BA">
            <w:pPr>
              <w:pStyle w:val="NormalCentered"/>
              <w:jc w:val="left"/>
              <w:rPr>
                <w:noProof/>
              </w:rPr>
            </w:pPr>
            <w:r>
              <w:rPr>
                <w:noProof/>
              </w:rPr>
              <w:t>Pogoji za omejitve</w:t>
            </w:r>
          </w:p>
        </w:tc>
      </w:tr>
      <w:tr w:rsidR="00347E6A">
        <w:tc>
          <w:tcPr>
            <w:tcW w:w="2321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1615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1701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  <w:tc>
          <w:tcPr>
            <w:tcW w:w="3649" w:type="dxa"/>
          </w:tcPr>
          <w:p w:rsidR="00347E6A" w:rsidRDefault="00347E6A">
            <w:pPr>
              <w:pStyle w:val="NormalCentered"/>
              <w:jc w:val="left"/>
              <w:rPr>
                <w:noProof/>
              </w:rPr>
            </w:pPr>
          </w:p>
        </w:tc>
      </w:tr>
    </w:tbl>
    <w:p w:rsidR="00347E6A" w:rsidRDefault="00347E6A">
      <w:pPr>
        <w:adjustRightInd w:val="0"/>
        <w:spacing w:before="0" w:after="0"/>
        <w:jc w:val="left"/>
        <w:rPr>
          <w:noProof/>
        </w:rPr>
        <w:sectPr w:rsidR="00347E6A">
          <w:pgSz w:w="11906" w:h="16838"/>
          <w:pgMar w:top="1134" w:right="1418" w:bottom="1134" w:left="1418" w:header="709" w:footer="709" w:gutter="0"/>
          <w:pgNumType w:start="0"/>
          <w:cols w:space="709"/>
          <w:docGrid w:linePitch="326"/>
        </w:sectPr>
      </w:pP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III</w:t>
      </w:r>
    </w:p>
    <w:p w:rsidR="00347E6A" w:rsidRDefault="004A71BA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SEZNAM SNOVI, ZA KATERE VELJAJO DOLOČBE O ZMANJŠANJU IZPUSTOV</w:t>
      </w:r>
    </w:p>
    <w:p w:rsidR="00347E6A" w:rsidRDefault="004A71BA">
      <w:pPr>
        <w:pStyle w:val="ManualHeading1"/>
        <w:ind w:left="851" w:hanging="851"/>
        <w:rPr>
          <w:noProof/>
        </w:rPr>
      </w:pPr>
      <w:r>
        <w:rPr>
          <w:noProof/>
        </w:rPr>
        <w:t>Snov (št. CAS)</w:t>
      </w:r>
    </w:p>
    <w:p w:rsidR="00347E6A" w:rsidRDefault="004A71BA">
      <w:pPr>
        <w:rPr>
          <w:noProof/>
        </w:rPr>
      </w:pPr>
      <w:r>
        <w:rPr>
          <w:noProof/>
        </w:rPr>
        <w:t>Poliklori</w:t>
      </w:r>
      <w:r>
        <w:rPr>
          <w:rStyle w:val="CRMinorChangeDeleted"/>
          <w:noProof/>
        </w:rPr>
        <w:t>ni</w:t>
      </w:r>
      <w:r>
        <w:rPr>
          <w:noProof/>
        </w:rPr>
        <w:t>rani dibenzo-p-dioksini in dibenzofurani (PCDD/PCDF)</w:t>
      </w:r>
    </w:p>
    <w:p w:rsidR="00347E6A" w:rsidRDefault="004A71BA">
      <w:pPr>
        <w:rPr>
          <w:noProof/>
        </w:rPr>
      </w:pPr>
      <w:r>
        <w:rPr>
          <w:noProof/>
        </w:rPr>
        <w:t>Heksaklorobenzen (HCB) (št. CAS: 118-74-1)</w:t>
      </w:r>
    </w:p>
    <w:p w:rsidR="00347E6A" w:rsidRDefault="004A71BA">
      <w:pPr>
        <w:rPr>
          <w:noProof/>
        </w:rPr>
      </w:pPr>
      <w:r>
        <w:rPr>
          <w:noProof/>
        </w:rPr>
        <w:t>Poliklori</w:t>
      </w:r>
      <w:r>
        <w:rPr>
          <w:rStyle w:val="CRMinorChangeDeleted"/>
          <w:noProof/>
        </w:rPr>
        <w:t>ni</w:t>
      </w:r>
      <w:r>
        <w:rPr>
          <w:noProof/>
        </w:rPr>
        <w:t>rani bifenili (PCB)</w:t>
      </w:r>
    </w:p>
    <w:p w:rsidR="00347E6A" w:rsidRDefault="004A71BA">
      <w:pPr>
        <w:rPr>
          <w:noProof/>
        </w:rPr>
      </w:pPr>
      <w:r>
        <w:rPr>
          <w:noProof/>
        </w:rPr>
        <w:t>Policiklični aromatski ogljikovodiki (PAO)</w:t>
      </w:r>
      <w:r>
        <w:rPr>
          <w:rStyle w:val="FootnoteReference"/>
          <w:noProof/>
        </w:rPr>
        <w:footnoteReference w:id="5"/>
      </w: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> 757/2010 čl. 1 in Priloga .2</w:t>
      </w:r>
    </w:p>
    <w:p w:rsidR="00347E6A" w:rsidRDefault="004A71BA">
      <w:pPr>
        <w:rPr>
          <w:noProof/>
        </w:rPr>
      </w:pPr>
      <w:r>
        <w:rPr>
          <w:noProof/>
        </w:rPr>
        <w:t>Pentaklorobenzen (št. CAS 608-93-5)</w:t>
      </w:r>
    </w:p>
    <w:p w:rsidR="00347E6A" w:rsidRDefault="00347E6A">
      <w:pPr>
        <w:adjustRightInd w:val="0"/>
        <w:spacing w:before="0" w:after="0"/>
        <w:jc w:val="left"/>
        <w:rPr>
          <w:noProof/>
        </w:rPr>
        <w:sectPr w:rsidR="00347E6A">
          <w:pgSz w:w="11906" w:h="16838"/>
          <w:pgMar w:top="1134" w:right="1418" w:bottom="1134" w:left="1418" w:header="709" w:footer="709" w:gutter="0"/>
          <w:pgNumType w:start="0"/>
          <w:cols w:space="709"/>
          <w:docGrid w:linePitch="326"/>
        </w:sectPr>
      </w:pP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> 1342/2014 čl. 1.1 in Priloga I (prilagojeno)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1</w:t>
      </w:r>
      <w:r>
        <w:rPr>
          <w:noProof/>
        </w:rPr>
        <w:t xml:space="preserve"> 460/2016 čl. 1 in Priloga </w:t>
      </w: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IV</w:t>
      </w:r>
    </w:p>
    <w:p w:rsidR="00347E6A" w:rsidRDefault="004A71BA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Seznam snovi, za katere veljajo določbe o ravnanju z odpadki iz člena 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2"/>
        <w:gridCol w:w="2321"/>
        <w:gridCol w:w="2322"/>
        <w:gridCol w:w="2321"/>
      </w:tblGrid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Snov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CAS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Št. ES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Mejna koncentracij</w:t>
            </w:r>
            <w:r>
              <w:rPr>
                <w:rStyle w:val="CRMinorChangeDeleted"/>
                <w:noProof/>
              </w:rPr>
              <w:t>sk</w:t>
            </w:r>
            <w:r>
              <w:rPr>
                <w:noProof/>
              </w:rPr>
              <w:t xml:space="preserve">a </w:t>
            </w:r>
            <w:r>
              <w:rPr>
                <w:rStyle w:val="CRMinorChangeDeleted"/>
                <w:noProof/>
              </w:rPr>
              <w:t>vrednost</w:t>
            </w:r>
            <w:r>
              <w:rPr>
                <w:noProof/>
              </w:rPr>
              <w:t xml:space="preserve"> iz člena 7(4)(a)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Endosulfan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115-29-7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959-98-8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33213-65-9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204-079-4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Heksaklorobutadien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87-68-3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201-765-5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naftaleni</w:t>
            </w:r>
            <w:r>
              <w:rPr>
                <w:rStyle w:val="FootnoteReference"/>
                <w:noProof/>
              </w:rPr>
              <w:footnoteReference w:id="6"/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Klorirani alkani C10–C13 (klorirani parafini s kratkimi verigami – SCCP)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85535-84-8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287-476-5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10 000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Tetrabromodifenil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C12H6Br4O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40088-47-9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254-787-2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Vsota koncentracij tetrabromodifenil etra, pentabromodifenil etra, heksabromodifenil etra in heptabromodifenil etra: 1 000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Pentabromodifenil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C12H5Br5O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32534-81-9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251-084-2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C12H4Br6O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36483-60-0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253-058-6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Heptabromodifenil eter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C12H3Br7O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68928-80-3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273-031-2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Perfluorooktansulfonska kislina in njeni derivati (PFOS)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C8F17SO2X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(X = OH, kovinska sol (O-M+), halogenid, amid in drugi derivati, vključno s polimeri)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 xml:space="preserve"> 1763-23-1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2795-39-3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29457-72-5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29081-56-9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70225-14-8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56773-42-3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251099-16-8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4151-50-2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31506-32-8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1691-99-2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24448-09-7 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307-35-7 in druge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217-179-8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220-527-1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249-644-6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249-415-0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274-460-8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260-375-3</w:t>
            </w:r>
          </w:p>
          <w:p w:rsidR="00347E6A" w:rsidRDefault="00347E6A">
            <w:pPr>
              <w:pStyle w:val="NormalLeft"/>
              <w:rPr>
                <w:noProof/>
              </w:rPr>
            </w:pP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223-980-3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250-665-8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216-887-4</w:t>
            </w:r>
          </w:p>
          <w:p w:rsidR="00347E6A" w:rsidRDefault="004A71BA">
            <w:pPr>
              <w:pStyle w:val="NormalLeft"/>
              <w:rPr>
                <w:rStyle w:val="orderablesearchcontainer"/>
                <w:noProof/>
              </w:rPr>
            </w:pPr>
            <w:r>
              <w:rPr>
                <w:rStyle w:val="orderablesearchcontainer"/>
                <w:noProof/>
              </w:rPr>
              <w:t>246-262-1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orderablesearchcontainer"/>
                <w:noProof/>
              </w:rPr>
              <w:t>206-200-6 in druge</w:t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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dibenzo-p-dioksini in dibenzofurani (PCDD/PCDF)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15 μg/kg</w:t>
            </w:r>
            <w:r>
              <w:rPr>
                <w:rStyle w:val="FootnoteReference"/>
                <w:noProof/>
              </w:rPr>
              <w:footnoteReference w:id="7"/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DDT (1,1,1-trikloro-2,2-bis (4-klorofenil)etan)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50-29-3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200-024-3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Klordan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57-74-9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200-349-0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Heksaklorocikloheksani, vključno z lindanom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58-89-9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319-84-6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319-85-7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608-73-1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210-168-9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200-401-2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206-270-8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206-271-3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Dieldrin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60-57-1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200-484-5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Endrin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72-20-8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200-775-7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Heptaklor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76-44-8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200-962-3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Heksaklorobenzen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118-74-1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200-273-9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Klordekon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143-50-0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205-601-3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Aldrin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309-00-2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206-215-8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Pentaklorobenzen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608-93-5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210-172-5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bifenili (PCB)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1336-36-3 in druge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215-648-1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  <w:r>
              <w:rPr>
                <w:rStyle w:val="FootnoteReference"/>
                <w:noProof/>
              </w:rPr>
              <w:footnoteReference w:id="8"/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Mireks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2385-85-5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219-196-6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Toksafen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8001-35-2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232-283-3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Heksabromobifenil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36355-01-8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252-994-2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50 mg/kg</w:t>
            </w:r>
          </w:p>
        </w:tc>
      </w:tr>
      <w:tr w:rsidR="00347E6A"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Heksabromociklododekan</w:t>
            </w:r>
            <w:r>
              <w:rPr>
                <w:rStyle w:val="FootnoteReference"/>
                <w:noProof/>
              </w:rPr>
              <w:footnoteReference w:id="9"/>
            </w: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25637-99-4,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3194-55-6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134237-50-6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134237-51-7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134237-52-8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247-148-4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221-695-9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1 000 mg/kg, zavezano pregledu Komisije do 20.4.2019 </w:t>
            </w:r>
            <w:r>
              <w:rPr>
                <w:rStyle w:val="CRMarker"/>
                <w:noProof/>
              </w:rPr>
              <w:t></w:t>
            </w:r>
          </w:p>
        </w:tc>
      </w:tr>
    </w:tbl>
    <w:p w:rsidR="00347E6A" w:rsidRDefault="00347E6A">
      <w:pPr>
        <w:rPr>
          <w:noProof/>
        </w:rPr>
      </w:pPr>
    </w:p>
    <w:p w:rsidR="00347E6A" w:rsidRDefault="00347E6A">
      <w:pPr>
        <w:adjustRightInd w:val="0"/>
        <w:spacing w:before="0" w:after="0"/>
        <w:jc w:val="left"/>
        <w:rPr>
          <w:noProof/>
        </w:rPr>
        <w:sectPr w:rsidR="00347E6A">
          <w:pgSz w:w="11906" w:h="16838"/>
          <w:pgMar w:top="1134" w:right="1418" w:bottom="1134" w:left="1418" w:header="709" w:footer="709" w:gutter="0"/>
          <w:pgNumType w:start="0"/>
          <w:cols w:space="709"/>
          <w:docGrid w:linePitch="326"/>
        </w:sectPr>
      </w:pP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> Popravek, UL L 229, 29.6.2004, str. 5 (prilagojeno)</w:t>
      </w: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</w:t>
      </w:r>
      <w:r>
        <w:rPr>
          <w:rStyle w:val="CRRefNum"/>
          <w:noProof/>
        </w:rPr>
        <w:t>1</w:t>
      </w:r>
      <w:r>
        <w:rPr>
          <w:noProof/>
        </w:rPr>
        <w:t> 304/2009 čl. 1 in Priloga .2(a)</w:t>
      </w: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V</w:t>
      </w:r>
    </w:p>
    <w:p w:rsidR="00347E6A" w:rsidRDefault="004A71BA">
      <w:pPr>
        <w:pStyle w:val="NormalCentered"/>
        <w:rPr>
          <w:b/>
          <w:bCs/>
          <w:noProof/>
        </w:rPr>
      </w:pPr>
      <w:r>
        <w:rPr>
          <w:b/>
          <w:bCs/>
          <w:noProof/>
        </w:rPr>
        <w:t>RAVNANJE Z ODPADKI</w:t>
      </w:r>
    </w:p>
    <w:p w:rsidR="00347E6A" w:rsidRDefault="004A71BA">
      <w:pPr>
        <w:pStyle w:val="ManualHeading1"/>
        <w:ind w:left="851" w:hanging="851"/>
        <w:rPr>
          <w:noProof/>
        </w:rPr>
      </w:pPr>
      <w:r>
        <w:rPr>
          <w:noProof/>
        </w:rPr>
        <w:t>Del 1 Odstranjevanje in predelava po členu 7(2)</w:t>
      </w:r>
    </w:p>
    <w:p w:rsidR="00347E6A" w:rsidRDefault="004A71BA">
      <w:pPr>
        <w:rPr>
          <w:noProof/>
        </w:rPr>
      </w:pPr>
      <w:r>
        <w:rPr>
          <w:noProof/>
        </w:rPr>
        <w:t xml:space="preserve">Naslednje dejavnosti odstranjevanja in predelave, kakor so predvidene v prilogah </w:t>
      </w:r>
      <w:r>
        <w:rPr>
          <w:rStyle w:val="CRMinorChangeAdded"/>
          <w:noProof/>
        </w:rPr>
        <w:t>I</w:t>
      </w:r>
      <w:r>
        <w:rPr>
          <w:rStyle w:val="CRMinorChangeDeleted"/>
          <w:noProof/>
        </w:rPr>
        <w:t>IIA</w:t>
      </w:r>
      <w:r>
        <w:rPr>
          <w:noProof/>
        </w:rPr>
        <w:t xml:space="preserve"> in II</w:t>
      </w:r>
      <w:r>
        <w:rPr>
          <w:rStyle w:val="CRMinorChangeDeleted"/>
          <w:noProof/>
        </w:rPr>
        <w:t>B</w:t>
      </w:r>
      <w:r>
        <w:rPr>
          <w:noProof/>
        </w:rPr>
        <w:t xml:space="preserve"> k Direktivi </w:t>
      </w:r>
      <w:r>
        <w:rPr>
          <w:rStyle w:val="CRMinorChangeAdded"/>
          <w:noProof/>
        </w:rPr>
        <w:t>2008/98/ES</w:t>
      </w:r>
      <w:r>
        <w:rPr>
          <w:rStyle w:val="CRMinorChangeDeleted"/>
          <w:noProof/>
        </w:rPr>
        <w:t>75/442/EGS</w:t>
      </w:r>
      <w:r>
        <w:rPr>
          <w:noProof/>
        </w:rPr>
        <w:t>, so dovoljene za namene člena 7(2), če se izvajajo tako, da se zagotovi uničenje ali trajna pretvorba obstojnih organskih onesnaževal: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3"/>
        <w:gridCol w:w="464"/>
        <w:gridCol w:w="8079"/>
      </w:tblGrid>
      <w:tr w:rsidR="00347E6A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D9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fizikalno-kemi</w:t>
            </w:r>
            <w:r>
              <w:rPr>
                <w:rStyle w:val="CRMinorChangeAdded"/>
                <w:noProof/>
              </w:rPr>
              <w:t>čn</w:t>
            </w:r>
            <w:r>
              <w:rPr>
                <w:rStyle w:val="CRMinorChangeDeleted"/>
                <w:noProof/>
              </w:rPr>
              <w:t>jsk</w:t>
            </w:r>
            <w:r>
              <w:rPr>
                <w:noProof/>
              </w:rPr>
              <w:t>a obdelava;</w:t>
            </w:r>
          </w:p>
        </w:tc>
      </w:tr>
      <w:tr w:rsidR="00347E6A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D10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sežiganje na kopnem;</w:t>
            </w:r>
          </w:p>
        </w:tc>
      </w:tr>
      <w:tr w:rsidR="00347E6A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R1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inorChangeDeleted"/>
                <w:noProof/>
              </w:rPr>
              <w:t>poglavitna</w:t>
            </w:r>
            <w:r>
              <w:rPr>
                <w:noProof/>
              </w:rPr>
              <w:t xml:space="preserve"> uporaba </w:t>
            </w:r>
            <w:r>
              <w:rPr>
                <w:rStyle w:val="CRMinorChangeAdded"/>
                <w:noProof/>
              </w:rPr>
              <w:t>načelno kot</w:t>
            </w:r>
            <w:r>
              <w:rPr>
                <w:rStyle w:val="CRMinorChangeDeleted"/>
                <w:noProof/>
              </w:rPr>
              <w:t>za</w:t>
            </w:r>
            <w:r>
              <w:rPr>
                <w:noProof/>
              </w:rPr>
              <w:t xml:space="preserve"> gorivo ali druga</w:t>
            </w:r>
            <w:r>
              <w:rPr>
                <w:rStyle w:val="CRMinorChangeAdded"/>
                <w:noProof/>
              </w:rPr>
              <w:t>če</w:t>
            </w:r>
            <w:r>
              <w:rPr>
                <w:noProof/>
              </w:rPr>
              <w:t xml:space="preserve"> </w:t>
            </w:r>
            <w:r>
              <w:rPr>
                <w:rStyle w:val="CRMinorChangeDeleted"/>
                <w:noProof/>
              </w:rPr>
              <w:t>sredstva</w:t>
            </w:r>
            <w:r>
              <w:rPr>
                <w:noProof/>
              </w:rPr>
              <w:t xml:space="preserve"> za </w:t>
            </w:r>
            <w:r>
              <w:rPr>
                <w:rStyle w:val="CRMinorChangeAdded"/>
                <w:noProof/>
              </w:rPr>
              <w:t>pridobivanje</w:t>
            </w:r>
            <w:r>
              <w:rPr>
                <w:rStyle w:val="CRMinorChangeDeleted"/>
                <w:noProof/>
              </w:rPr>
              <w:t>proizvodnjo</w:t>
            </w:r>
            <w:r>
              <w:rPr>
                <w:noProof/>
              </w:rPr>
              <w:t xml:space="preserve"> energije, razen odpadkov</w:t>
            </w:r>
            <w:r>
              <w:rPr>
                <w:rStyle w:val="CRMinorChangeAdded"/>
                <w:noProof/>
              </w:rPr>
              <w:t>,</w:t>
            </w:r>
            <w:r>
              <w:rPr>
                <w:noProof/>
              </w:rPr>
              <w:t xml:space="preserve"> </w:t>
            </w:r>
            <w:r>
              <w:rPr>
                <w:rStyle w:val="CRMinorChangeAdded"/>
                <w:noProof/>
              </w:rPr>
              <w:t>ki vsebujejo</w:t>
            </w:r>
            <w:r>
              <w:rPr>
                <w:rStyle w:val="CRMinorChangeDeleted"/>
                <w:noProof/>
              </w:rPr>
              <w:t>z vsebnostjo</w:t>
            </w:r>
            <w:r>
              <w:rPr>
                <w:noProof/>
              </w:rPr>
              <w:t xml:space="preserve"> PCB.</w:t>
            </w:r>
          </w:p>
        </w:tc>
      </w:tr>
      <w:tr w:rsidR="00347E6A"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R4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>  </w:t>
            </w:r>
            <w:r>
              <w:rPr>
                <w:rStyle w:val="CRMarker"/>
                <w:noProof/>
              </w:rPr>
              <w:t></w:t>
            </w:r>
          </w:p>
        </w:tc>
        <w:tc>
          <w:tcPr>
            <w:tcW w:w="8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rStyle w:val="CRMarker"/>
                <w:noProof/>
              </w:rPr>
              <w:t></w:t>
            </w:r>
            <w:r>
              <w:rPr>
                <w:rStyle w:val="CRRefNum"/>
                <w:noProof/>
              </w:rPr>
              <w:t>1</w:t>
            </w:r>
            <w:r>
              <w:rPr>
                <w:noProof/>
              </w:rPr>
              <w:t xml:space="preserve"> Recikliranje/pridobivanje kovin in njihovih spojin pod naslednjimi pogoji: Dejavnosti so omejene na ostanke, nastale v postopkih izdelave železa in jekla, kot so prah ali mulj, nastali med čiščenjem plinov, valjarniška škaja, filtrski prah </w:t>
            </w:r>
            <w:r>
              <w:rPr>
                <w:rStyle w:val="CRMinorChangeDeleted"/>
                <w:noProof/>
              </w:rPr>
              <w:t>z vsebnostjo cinka</w:t>
            </w:r>
            <w:r>
              <w:rPr>
                <w:noProof/>
              </w:rPr>
              <w:t xml:space="preserve"> iz jeklarn, </w:t>
            </w:r>
            <w:r>
              <w:rPr>
                <w:rStyle w:val="CRMinorChangeAdded"/>
                <w:noProof/>
              </w:rPr>
              <w:t>ki vsebuje cink,</w:t>
            </w:r>
            <w:r>
              <w:rPr>
                <w:noProof/>
              </w:rPr>
              <w:t xml:space="preserve"> prah iz sistemov za čiščenje plinov v talilnicah bakra in podobni odpadki ter ostanki luženja </w:t>
            </w:r>
            <w:r>
              <w:rPr>
                <w:rStyle w:val="CRMinorChangeDeleted"/>
                <w:noProof/>
              </w:rPr>
              <w:t>z vsebnostjo svinca</w:t>
            </w:r>
            <w:r>
              <w:rPr>
                <w:noProof/>
              </w:rPr>
              <w:t xml:space="preserve"> pri proizvodnji barvnih kovin</w:t>
            </w:r>
            <w:r>
              <w:rPr>
                <w:rStyle w:val="CRMinorChangeAdded"/>
                <w:noProof/>
              </w:rPr>
              <w:t>, ki vsebujejo svinec</w:t>
            </w:r>
            <w:r>
              <w:rPr>
                <w:noProof/>
              </w:rPr>
              <w:t xml:space="preserve">. Izključeni so odpadki, ki vsebujejo PCB. Dejavnosti so omejene na postopke predelave železa in železovih zlitin (plavži, jaškovne peči in martinovke) ter barvnih kovin (postopek z waelzovo rotacijsko pečjo, postopki taljenja v kopeli z uporabo vertikalnih ali horizontalnih peči) pod pogojem, da obrati izpolnjujejo minimalne zahteve glede mejnih vrednosti emisij za PCDD in PCDF, določene v </w:t>
            </w:r>
            <w:r>
              <w:rPr>
                <w:rStyle w:val="CRMarker"/>
                <w:noProof/>
              </w:rPr>
              <w:t></w:t>
            </w:r>
            <w:r>
              <w:rPr>
                <w:noProof/>
              </w:rPr>
              <w:t> skladu z </w:t>
            </w:r>
            <w:r>
              <w:rPr>
                <w:rStyle w:val="CRMarker"/>
                <w:noProof/>
              </w:rPr>
              <w:t></w:t>
            </w:r>
            <w:r>
              <w:rPr>
                <w:noProof/>
              </w:rPr>
              <w:t xml:space="preserve"> Direktiv</w:t>
            </w:r>
            <w:r>
              <w:rPr>
                <w:rStyle w:val="CRMinorChangeAdded"/>
                <w:noProof/>
              </w:rPr>
              <w:t>o</w:t>
            </w:r>
            <w:r>
              <w:rPr>
                <w:rStyle w:val="CRMinorChangeDeleted"/>
                <w:noProof/>
              </w:rPr>
              <w:t>i</w:t>
            </w:r>
            <w:r>
              <w:rPr>
                <w:noProof/>
              </w:rPr>
              <w:t xml:space="preserve"> </w:t>
            </w:r>
            <w:r>
              <w:rPr>
                <w:rStyle w:val="CRMinorChangeAdded"/>
                <w:noProof/>
              </w:rPr>
              <w:t>2010/75/EU Evropskega parlamenta in Sveta z dne 24. novembra 2010 o industrijskih emisijah</w:t>
            </w:r>
            <w:r>
              <w:rPr>
                <w:noProof/>
              </w:rPr>
              <w:t xml:space="preserve"> </w:t>
            </w:r>
            <w:r>
              <w:rPr>
                <w:rStyle w:val="CRMinorChangeDeleted"/>
                <w:noProof/>
              </w:rPr>
              <w:t>2000/76/ES Evropskega parlamenta in Sveta z dne 4. decembra 2000 o sežiganju odpadkov</w:t>
            </w:r>
            <w:r>
              <w:rPr>
                <w:rStyle w:val="FootnoteReference"/>
                <w:noProof/>
              </w:rPr>
              <w:footnoteReference w:id="10"/>
            </w:r>
            <w:r>
              <w:rPr>
                <w:noProof/>
              </w:rPr>
              <w:t xml:space="preserve">, in sicer ne glede na to, ali za </w:t>
            </w:r>
            <w:r>
              <w:rPr>
                <w:rStyle w:val="CRMinorChangeAdded"/>
                <w:noProof/>
              </w:rPr>
              <w:t>te</w:t>
            </w:r>
            <w:r>
              <w:rPr>
                <w:noProof/>
              </w:rPr>
              <w:t xml:space="preserve"> postopke </w:t>
            </w:r>
            <w:r>
              <w:rPr>
                <w:rStyle w:val="CRMinorChangeAdded"/>
                <w:noProof/>
              </w:rPr>
              <w:t>velja</w:t>
            </w:r>
            <w:r>
              <w:rPr>
                <w:noProof/>
              </w:rPr>
              <w:t xml:space="preserve"> navedena direktiva </w:t>
            </w:r>
            <w:r>
              <w:rPr>
                <w:rStyle w:val="CRMinorChangeDeleted"/>
                <w:noProof/>
              </w:rPr>
              <w:t>velja</w:t>
            </w:r>
            <w:r>
              <w:rPr>
                <w:noProof/>
              </w:rPr>
              <w:t xml:space="preserve">, in brez poseganja v druge določbe Direktive </w:t>
            </w:r>
            <w:r>
              <w:rPr>
                <w:rStyle w:val="CRDeleted"/>
                <w:noProof/>
              </w:rPr>
              <w:t>2000/76/ES, kadar se ta uporablja,</w:t>
            </w:r>
            <w:r>
              <w:rPr>
                <w:noProof/>
              </w:rPr>
              <w:t xml:space="preserve"> </w:t>
            </w:r>
            <w:r>
              <w:rPr>
                <w:rStyle w:val="CRRefonteDeleted"/>
                <w:noProof/>
                <w:highlight w:val="lightGray"/>
              </w:rPr>
              <w:t>in določbe Direktive 96/61/ES</w:t>
            </w:r>
            <w:r>
              <w:rPr>
                <w:noProof/>
              </w:rPr>
              <w:t>.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 </w:t>
            </w:r>
            <w:r>
              <w:rPr>
                <w:rStyle w:val="CRMarker"/>
                <w:noProof/>
              </w:rPr>
              <w:t></w:t>
            </w:r>
          </w:p>
        </w:tc>
      </w:tr>
    </w:tbl>
    <w:p w:rsidR="00347E6A" w:rsidRDefault="00347E6A">
      <w:pPr>
        <w:rPr>
          <w:noProof/>
        </w:rPr>
      </w:pPr>
    </w:p>
    <w:p w:rsidR="00347E6A" w:rsidRDefault="004A71BA">
      <w:pPr>
        <w:rPr>
          <w:noProof/>
        </w:rPr>
      </w:pPr>
      <w:r>
        <w:rPr>
          <w:noProof/>
        </w:rPr>
        <w:t>Postopek predobdelave pred uničenjem ali trajno pretvorbo v skladu s tem delom te priloge se lahko izvaja pod pogojem, da se snov s seznama v Prilogi IV izolira od odpadkov med postopkom predobdelave in pozneje odstrani v skladu s tem delom te priloge.</w:t>
      </w:r>
      <w:r>
        <w:rPr>
          <w:rStyle w:val="CRMarker"/>
          <w:noProof/>
        </w:rPr>
        <w:t></w:t>
      </w:r>
      <w:r>
        <w:rPr>
          <w:rStyle w:val="CRRefNum"/>
          <w:noProof/>
        </w:rPr>
        <w:t>1</w:t>
      </w:r>
      <w:r>
        <w:rPr>
          <w:noProof/>
        </w:rPr>
        <w:t> Kadar samo del proizvoda ali odpadka, kot je odpadna oprema, vsebuje obstojna organska onesnaževala ali je z njimi kontaminiran, se ta del loči in nato odstrani v skladu z zahtevami te uredbe. </w:t>
      </w:r>
      <w:r>
        <w:rPr>
          <w:rStyle w:val="CRMarker"/>
          <w:noProof/>
        </w:rPr>
        <w:t></w:t>
      </w:r>
      <w:r>
        <w:rPr>
          <w:noProof/>
        </w:rPr>
        <w:t xml:space="preserve"> Poleg tega se lahko postopki prepakiranja in začasnega </w:t>
      </w:r>
      <w:r>
        <w:rPr>
          <w:rStyle w:val="CRMinorChangeDeleted"/>
          <w:noProof/>
        </w:rPr>
        <w:t>u</w:t>
      </w:r>
      <w:r>
        <w:rPr>
          <w:noProof/>
        </w:rPr>
        <w:t>skladiščenja izvajajo pred to predobdelavo ali pred uničenjem ali trajno pretvorbo v skladu s tem delom te priloge.</w:t>
      </w: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 xml:space="preserve"> 172/2007 čl. 1 in Priloga </w:t>
      </w:r>
    </w:p>
    <w:p w:rsidR="00347E6A" w:rsidRDefault="004A71BA">
      <w:pPr>
        <w:pStyle w:val="ManualHeading1"/>
        <w:ind w:left="851" w:hanging="851"/>
        <w:rPr>
          <w:noProof/>
        </w:rPr>
      </w:pPr>
      <w:r>
        <w:rPr>
          <w:noProof/>
        </w:rPr>
        <w:t>Del 2 Odpadki in postopki, za katere velja člen 7(4)(b)</w:t>
      </w:r>
    </w:p>
    <w:p w:rsidR="00347E6A" w:rsidRDefault="004A71BA">
      <w:pPr>
        <w:rPr>
          <w:noProof/>
        </w:rPr>
      </w:pPr>
      <w:r>
        <w:rPr>
          <w:noProof/>
        </w:rPr>
        <w:t>Naslednji postopki so dovoljeni za namene člena 7(4)(b) v zvezi z navedenimi odpadki, ki so v Odločbi Komisije 2000/532/ES</w:t>
      </w:r>
      <w:r>
        <w:rPr>
          <w:rStyle w:val="FootnoteReference"/>
          <w:noProof/>
        </w:rPr>
        <w:footnoteReference w:id="11"/>
      </w:r>
      <w:r>
        <w:rPr>
          <w:noProof/>
        </w:rPr>
        <w:t xml:space="preserve"> razvrščeni po šestmestnih klasifikacijskih številkah.</w:t>
      </w: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 xml:space="preserve"> 323/2007 čl. 1 in Priloga </w:t>
      </w:r>
    </w:p>
    <w:p w:rsidR="00347E6A" w:rsidRDefault="004A71BA">
      <w:pPr>
        <w:rPr>
          <w:noProof/>
        </w:rPr>
      </w:pPr>
      <w:r>
        <w:rPr>
          <w:noProof/>
        </w:rPr>
        <w:t xml:space="preserve">Postopki predobdelave pred trajnim </w:t>
      </w:r>
      <w:r>
        <w:rPr>
          <w:rStyle w:val="CRMinorChangeDeleted"/>
          <w:noProof/>
        </w:rPr>
        <w:t>u</w:t>
      </w:r>
      <w:r>
        <w:rPr>
          <w:noProof/>
        </w:rPr>
        <w:t xml:space="preserve">skladiščenjem v skladu s tem delom te priloge se lahko izvajajo pod pogojem, da se snov s seznama v Prilogi IV izolira od odpadkov med postopkom predobdelave in pozneje odstrani v skladu z delom 1 te priloge. Poleg tega se lahko postopki prepakiranja in začasnega </w:t>
      </w:r>
      <w:r>
        <w:rPr>
          <w:rStyle w:val="CRMinorChangeDeleted"/>
          <w:noProof/>
        </w:rPr>
        <w:t>u</w:t>
      </w:r>
      <w:r>
        <w:rPr>
          <w:noProof/>
        </w:rPr>
        <w:t xml:space="preserve">skladiščenja izvajajo pred to predobdelavo ali pred trajnim </w:t>
      </w:r>
      <w:r>
        <w:rPr>
          <w:rStyle w:val="CRMinorChangeDeleted"/>
          <w:noProof/>
        </w:rPr>
        <w:t>u</w:t>
      </w:r>
      <w:r>
        <w:rPr>
          <w:noProof/>
        </w:rPr>
        <w:t>skladiščenjem v skladu s tem delom te priloge.</w:t>
      </w:r>
    </w:p>
    <w:p w:rsidR="00347E6A" w:rsidRDefault="00347E6A">
      <w:pPr>
        <w:pStyle w:val="CRSeparator"/>
        <w:rPr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</w:t>
      </w:r>
      <w:r>
        <w:rPr>
          <w:noProof/>
        </w:rPr>
        <w:t xml:space="preserve"> 460/2016 čl. 1 in Priloga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0"/>
        <w:gridCol w:w="1486"/>
        <w:gridCol w:w="4271"/>
        <w:gridCol w:w="2879"/>
      </w:tblGrid>
      <w:tr w:rsidR="00347E6A"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Odpadki, kakor so razvrščeni v Odločbi Komisije 2000/532/ES</w:t>
            </w:r>
          </w:p>
        </w:tc>
        <w:tc>
          <w:tcPr>
            <w:tcW w:w="4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Največje mejne koncentracij</w:t>
            </w:r>
            <w:r>
              <w:rPr>
                <w:rStyle w:val="CRMinorChangeDeleted"/>
                <w:noProof/>
              </w:rPr>
              <w:t>sk</w:t>
            </w:r>
            <w:r>
              <w:rPr>
                <w:noProof/>
              </w:rPr>
              <w:t xml:space="preserve">e </w:t>
            </w:r>
            <w:r>
              <w:rPr>
                <w:rStyle w:val="CRMinorChangeDeleted"/>
                <w:noProof/>
              </w:rPr>
              <w:t>vrednosti</w:t>
            </w:r>
            <w:r>
              <w:rPr>
                <w:noProof/>
              </w:rPr>
              <w:t xml:space="preserve"> snovi s seznama v Prilogi IV</w:t>
            </w:r>
            <w:r>
              <w:rPr>
                <w:rStyle w:val="FootnoteReference"/>
                <w:noProof/>
              </w:rPr>
              <w:footnoteReference w:id="12"/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Delovanje</w:t>
            </w: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TERMIČNIH PROCESOV</w:t>
            </w:r>
          </w:p>
        </w:tc>
        <w:tc>
          <w:tcPr>
            <w:tcW w:w="4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Klorirani alkani C10-C13 (klorirani parafini s kratkimi verigami – SCCP) 10 000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Aldrin: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Klordan: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Klordekon: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DDT (1,1,1-trikloro-2,2-bis (4-klorofenil)etan):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Dieldrin: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Endosulfan: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Endrin: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Heptaklor: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Heksabromobifenil: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Heksabromociklododekan</w:t>
            </w:r>
            <w:r>
              <w:rPr>
                <w:rStyle w:val="FootnoteReference"/>
                <w:noProof/>
              </w:rPr>
              <w:footnoteReference w:id="13"/>
            </w:r>
            <w:r>
              <w:rPr>
                <w:noProof/>
              </w:rPr>
              <w:t>: 1 000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Heksaklorobenzen: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Heksaklorobutadien: 1 000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Heksaklorocikloheksani, vključno z lindanom: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Mireks: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Pentaklorobenzen: 5 000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Perfluorooktan sulfonska kislina in njeni derivati (PFOS) (C8F17SO2X) (X = OH, kovinska sol (O-M+), hal</w:t>
            </w:r>
            <w:r>
              <w:rPr>
                <w:rStyle w:val="CRMinorChangeAdded"/>
                <w:noProof/>
              </w:rPr>
              <w:t>ogen</w:t>
            </w:r>
            <w:r>
              <w:rPr>
                <w:noProof/>
              </w:rPr>
              <w:t>id, amid in drugi derivati, vključno s polimeri): 50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bifenili (PCB)</w:t>
            </w:r>
            <w:r>
              <w:rPr>
                <w:rStyle w:val="FootnoteReference"/>
                <w:noProof/>
              </w:rPr>
              <w:footnoteReference w:id="14"/>
            </w:r>
            <w:r>
              <w:rPr>
                <w:noProof/>
              </w:rPr>
              <w:t>: 50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dibenzo-p-dioksini in dibenzofurani: 5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Poliklorirani naftaleni (*): 1 000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Vsota koncentracij tetrabromodifenil etra (C12H6Br4O), pentabromodifenil etra (C12H5Br5O), heksabromodifenil etra (C12H4Br6O) in heptabromodifenil etra (C12H3Br7O): 10 000 mg/kg;</w:t>
            </w:r>
          </w:p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Toksafen: 5 000 mg/kg;</w:t>
            </w:r>
          </w:p>
        </w:tc>
        <w:tc>
          <w:tcPr>
            <w:tcW w:w="28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Trajno skladiščenje se dovoli le, kadar so izpolnjeni vsi naslednji pogoji: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(1) skladiščenje poteka na enem izmed naslednjih mest:</w:t>
            </w:r>
          </w:p>
          <w:p w:rsidR="00347E6A" w:rsidRDefault="004A71BA">
            <w:pPr>
              <w:pStyle w:val="Tiret1"/>
              <w:numPr>
                <w:ilvl w:val="0"/>
                <w:numId w:val="9"/>
              </w:numPr>
              <w:autoSpaceDE w:val="0"/>
              <w:autoSpaceDN w:val="0"/>
              <w:ind w:left="1418" w:hanging="567"/>
              <w:rPr>
                <w:noProof/>
              </w:rPr>
            </w:pPr>
            <w:r>
              <w:rPr>
                <w:noProof/>
              </w:rPr>
              <w:t>v varnih, globokih, podzemnih, skalnatih formacijah,</w:t>
            </w:r>
          </w:p>
          <w:p w:rsidR="00347E6A" w:rsidRDefault="004A71BA">
            <w:pPr>
              <w:pStyle w:val="Tiret1"/>
              <w:numPr>
                <w:ilvl w:val="0"/>
                <w:numId w:val="9"/>
              </w:numPr>
              <w:autoSpaceDE w:val="0"/>
              <w:autoSpaceDN w:val="0"/>
              <w:ind w:left="1418" w:hanging="567"/>
              <w:rPr>
                <w:noProof/>
              </w:rPr>
            </w:pPr>
            <w:r>
              <w:rPr>
                <w:noProof/>
              </w:rPr>
              <w:t>v rudnikih soli,</w:t>
            </w:r>
          </w:p>
          <w:p w:rsidR="00347E6A" w:rsidRDefault="004A71BA">
            <w:pPr>
              <w:pStyle w:val="Tiret1"/>
              <w:numPr>
                <w:ilvl w:val="0"/>
                <w:numId w:val="9"/>
              </w:numPr>
              <w:autoSpaceDE w:val="0"/>
              <w:autoSpaceDN w:val="0"/>
              <w:ind w:left="1418" w:hanging="567"/>
              <w:rPr>
                <w:noProof/>
              </w:rPr>
            </w:pPr>
            <w:r>
              <w:rPr>
                <w:noProof/>
              </w:rPr>
              <w:t>na odlagališču nevarnih odpadkov (pod pogojem, da so odpadki utrjeni ali deloma stabilizirani, če je to tehnično izvedljivo, kakor je potrebno za razvrstitev odpadkov v podpoglavje 19 03 Odločbe 2000/532/ES);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(2) upoštevane so bile določbe Direktive Sveta 1999/31/ES</w:t>
            </w:r>
            <w:r>
              <w:rPr>
                <w:rStyle w:val="FootnoteReference"/>
                <w:noProof/>
              </w:rPr>
              <w:footnoteReference w:id="15"/>
            </w:r>
            <w:r>
              <w:rPr>
                <w:noProof/>
              </w:rPr>
              <w:t xml:space="preserve"> in Odločbe Sveta 2003/33/ES</w:t>
            </w:r>
            <w:r>
              <w:rPr>
                <w:rStyle w:val="FootnoteReference"/>
                <w:noProof/>
              </w:rPr>
              <w:footnoteReference w:id="16"/>
            </w:r>
            <w:r>
              <w:rPr>
                <w:noProof/>
              </w:rPr>
              <w:t>;</w:t>
            </w:r>
          </w:p>
          <w:p w:rsidR="00347E6A" w:rsidRDefault="004A71BA">
            <w:pPr>
              <w:pStyle w:val="Point0"/>
              <w:rPr>
                <w:noProof/>
              </w:rPr>
            </w:pPr>
            <w:r>
              <w:rPr>
                <w:noProof/>
              </w:rPr>
              <w:tab/>
              <w:t>(3) dokazano je, da je izbrana možnost okoljsko najsprejemljivejša.</w:t>
            </w: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 xml:space="preserve">Odpadki iz elektrarn in drugih kurilnih naprav (razen </w:t>
            </w:r>
            <w:r>
              <w:rPr>
                <w:rStyle w:val="CRMinorChangeDeleted"/>
                <w:noProof/>
              </w:rPr>
              <w:t>tistih, ki so zajeti v poglavju</w:t>
            </w:r>
            <w:r>
              <w:rPr>
                <w:noProof/>
              </w:rPr>
              <w:t> 19)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01 14 *</w:t>
            </w:r>
            <w:r>
              <w:rPr>
                <w:rStyle w:val="FootnoteReference"/>
                <w:noProof/>
              </w:rPr>
              <w:footnoteReference w:id="17"/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Pepel, žlindra in kotlovski prah, ki vsebujejo nevarne snovi, iz naprav za sosežig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01 16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Elektrofiltrski pepel, ki vsebuje nevarne snovi, iz naprav za sosežig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10 02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železarske in jeklarske industrije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02 07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Trdni odpadki, ki vsebujejo nevarne snovi, iz čiščenja odpadnih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10 03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termične metalurgije aluminija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04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Žlindr</w:t>
            </w:r>
            <w:r>
              <w:rPr>
                <w:rStyle w:val="CRMinorChangeAdded"/>
                <w:noProof/>
              </w:rPr>
              <w:t>e</w:t>
            </w:r>
            <w:r>
              <w:rPr>
                <w:rStyle w:val="CRMinorChangeDeleted"/>
                <w:noProof/>
              </w:rPr>
              <w:t>a</w:t>
            </w:r>
            <w:r>
              <w:rPr>
                <w:noProof/>
              </w:rPr>
              <w:t xml:space="preserve"> iz primarnega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08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Solne žlindre iz sekundarnega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09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Črni posnemki iz sekundarnega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19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plinov, ki vsebuje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21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Drugi delci in prah (vključno s prahom iz krogličnih mlinov), ki vsebujejo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03 29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obdelave solnih žlinder in črnih posnemkov, ki vsebujejo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10 04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termične metalurgije svinca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04 01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Žlindra iz primarnega in sekundarnega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04 02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Posnemki iz primarnega in sekundarnega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04 04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04 05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Drugi delci in prah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04 06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Trdni odpadki iz čiščenja odpadnih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10 05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termične metalurgije cinka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05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05 05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Trdni odpadki iz čiščenja odpadnih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10 06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termične metalurgije bakra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06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06 06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Trdni odpadki iz čiščenja odpadnih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10 08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termične metalurgije drugih barvnih kovin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08 08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Solna žlindra iz primarnega in sekundarnega taljenja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08 15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plinov, ki vsebuje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10 09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livarn železa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10 09 09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Prah dimnih plinov, ki vsebuje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ODPADKI, KI NISO NAVEDENI DRUGJE NA SEZNAMU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16 11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Odpadne obloge in ognjevzdržni materiali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16 11 01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Obloge in ognjevzdržni materiali na osnovi ogljika, ki vsebujejo nevarne snovi, iz metalurških postopkov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16 11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Druge obloge in ognjevzdržni materiali, ki vsebujejo nevarne snovi, iz metalurških postopkov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GRADBENI ODPADKI IN ODPADKI IZ RUŠENJA OBJEKTOV (VKLJUČNO Z ZEMELJSKIMI IZKOPI Z ONESNAŽENIH OBMOČIJ)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17 01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Beton, opeke, ploščice in keramika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 01 06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Mešanice ali ločene frakcije betona, opeke, ploščic in keramike, ki vsebujejo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17 05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Zemlja (vključno z zemljo, izkopano na onesnaženih območjih), kamenje in material, izkopan pri poglabljanju dna z bagranjem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 05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Zemlja in kamenje, ki vsebujeta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17 09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Drugi gradbeni odpadki in odpadki iz rušenja objektov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 09 02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Gradbeni odpadki in odpadki iz rušenja objektov, ki vsebujejo PCB, razen opreme, ki vsebuje PCB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17 09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Drugi gradbeni odpadki in odpadki iz rušenja objektov (vključno z mešanicami odpadkov), ki vsebujejo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NAPRAV ZA RAVNANJE Z ODPADKI, ČISTILNIH NAPRAV ZUNAJ KRAJA NASTANKA TER IZ PRIPRAVE PITNE VODE IN VODE ZA INDUSTRIJSKO RABO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19 01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Odpadki iz sežiga ali pirolize odpadkov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01 07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Trdni odpadki iz čiščenja odpadnih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01 11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Ogorki in žlindra, ki vsebujejo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01 13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Elektrofiltrski pepel, ki vsebuje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01 15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Kotlovski prah, ki vsebuje nevarne snovi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19 04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Zastekljeni odpadki in odpadki iz zastekljevanja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04 02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Elektrofiltrski pepel in drugi odpadki iz čiščenja dimnih plinov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  <w:tr w:rsidR="00347E6A">
        <w:tc>
          <w:tcPr>
            <w:tcW w:w="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19 04 03 *</w:t>
            </w:r>
          </w:p>
        </w:tc>
        <w:tc>
          <w:tcPr>
            <w:tcW w:w="14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Nezastekljena trdna faza</w:t>
            </w:r>
          </w:p>
        </w:tc>
        <w:tc>
          <w:tcPr>
            <w:tcW w:w="42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  <w:tc>
          <w:tcPr>
            <w:tcW w:w="28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347E6A">
            <w:pPr>
              <w:pStyle w:val="NormalLeft"/>
              <w:rPr>
                <w:noProof/>
              </w:rPr>
            </w:pPr>
          </w:p>
        </w:tc>
      </w:tr>
    </w:tbl>
    <w:p w:rsidR="00347E6A" w:rsidRDefault="00347E6A">
      <w:pPr>
        <w:rPr>
          <w:noProof/>
        </w:rPr>
      </w:pPr>
    </w:p>
    <w:p w:rsidR="00347E6A" w:rsidRDefault="004A71BA">
      <w:pPr>
        <w:rPr>
          <w:noProof/>
        </w:rPr>
      </w:pPr>
      <w:r>
        <w:rPr>
          <w:noProof/>
        </w:rPr>
        <w:t>Največja mejna koncentracij</w:t>
      </w:r>
      <w:r>
        <w:rPr>
          <w:rStyle w:val="CRMinorChangeDeleted"/>
          <w:noProof/>
        </w:rPr>
        <w:t>sk</w:t>
      </w:r>
      <w:r>
        <w:rPr>
          <w:noProof/>
        </w:rPr>
        <w:t xml:space="preserve">a </w:t>
      </w:r>
      <w:r>
        <w:rPr>
          <w:rStyle w:val="CRMinorChangeDeleted"/>
          <w:noProof/>
        </w:rPr>
        <w:t>vrednost</w:t>
      </w:r>
      <w:r>
        <w:rPr>
          <w:noProof/>
        </w:rPr>
        <w:t xml:space="preserve"> za poliklorirane dibenzo-p-dioksine in dibenzofurane (PCDD in PCDF) se izračuna glede na faktorje ekvivalence toksičnosti (TEF):</w:t>
      </w:r>
    </w:p>
    <w:tbl>
      <w:tblPr>
        <w:tblW w:w="0" w:type="auto"/>
        <w:tblInd w:w="3064" w:type="dxa"/>
        <w:tblLayout w:type="fixed"/>
        <w:tblLook w:val="0000" w:firstRow="0" w:lastRow="0" w:firstColumn="0" w:lastColumn="0" w:noHBand="0" w:noVBand="0"/>
      </w:tblPr>
      <w:tblGrid>
        <w:gridCol w:w="2178"/>
        <w:gridCol w:w="979"/>
      </w:tblGrid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PCDD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  <w:rPr>
                <w:noProof/>
              </w:rPr>
            </w:pPr>
            <w:r>
              <w:rPr>
                <w:noProof/>
              </w:rPr>
              <w:t>TEF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2,3,7,8-TeCDD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1,2,3,7,8-PeCDD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1,2,3,4,7,8-HxCDD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1,2,3,6,7,8-HxCDD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1,2,3,7,8,9-HxCDD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1,2,3,4,6,7,8-HpCDD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OCDD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0,0003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PCDF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TEF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2,3,7,8-TeCDF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1,2,3,7,8-PeCDF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0,03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2,3,4,7,8-PeCDF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1,2,3,4,7,8-HxCDF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1,2,3,6,7,8-HxCDF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1,2,3,7,8,9-HxCDF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2,3,4,6,7,8-HxCDF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1,2,3,4,6,7,8-HpCDF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1,2,3,4,7,8,9-HpCDF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0,01</w:t>
            </w:r>
          </w:p>
        </w:tc>
      </w:tr>
      <w:tr w:rsidR="00347E6A"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OCDF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  <w:rPr>
                <w:noProof/>
              </w:rPr>
            </w:pPr>
            <w:r>
              <w:rPr>
                <w:noProof/>
              </w:rPr>
              <w:t>0,0003</w:t>
            </w:r>
          </w:p>
        </w:tc>
      </w:tr>
    </w:tbl>
    <w:p w:rsidR="00347E6A" w:rsidRDefault="00347E6A">
      <w:pPr>
        <w:jc w:val="center"/>
        <w:rPr>
          <w:noProof/>
        </w:rPr>
        <w:sectPr w:rsidR="00347E6A"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 w:rsidR="00347E6A" w:rsidRDefault="00347E6A">
      <w:pPr>
        <w:pStyle w:val="CRSeparator"/>
        <w:rPr>
          <w:rFonts w:eastAsia="Times New Roman"/>
          <w:noProof/>
        </w:rPr>
      </w:pPr>
    </w:p>
    <w:p w:rsidR="00347E6A" w:rsidRDefault="004A71BA">
      <w:pPr>
        <w:pStyle w:val="CRReference"/>
        <w:rPr>
          <w:noProof/>
        </w:rPr>
      </w:pPr>
      <w:r>
        <w:rPr>
          <w:rStyle w:val="CRMarker"/>
          <w:noProof/>
        </w:rPr>
        <w:t></w:t>
      </w: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VI</w:t>
      </w:r>
    </w:p>
    <w:p w:rsidR="00347E6A" w:rsidRDefault="004A71BA">
      <w:pPr>
        <w:jc w:val="center"/>
        <w:rPr>
          <w:b/>
          <w:noProof/>
          <w:szCs w:val="24"/>
        </w:rPr>
      </w:pPr>
      <w:bookmarkStart w:id="3" w:name="_CopyToNewDocument_"/>
      <w:bookmarkEnd w:id="3"/>
      <w:r>
        <w:rPr>
          <w:b/>
          <w:noProof/>
          <w:szCs w:val="24"/>
        </w:rPr>
        <w:t>Razveljavljena uredba s seznamom njenih zaporednih sprememb</w:t>
      </w:r>
    </w:p>
    <w:tbl>
      <w:tblPr>
        <w:tblW w:w="900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2"/>
        <w:gridCol w:w="3428"/>
      </w:tblGrid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rStyle w:val="Strong"/>
                <w:noProof/>
                <w:color w:val="444444"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Evropskega parlamenta in Sveta (ES) št. 850/2004</w:t>
            </w:r>
            <w:r>
              <w:rPr>
                <w:noProof/>
              </w:rPr>
              <w:br/>
              <w:t>(UL L 158, 30.4.2004, str. 7)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Sveta (ES) št. 1195/2006</w:t>
            </w:r>
            <w:r>
              <w:rPr>
                <w:noProof/>
              </w:rPr>
              <w:br/>
              <w:t>(UL L 217, 8.8.2006, str. 1)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Sveta (ES) št. 172/2007</w:t>
            </w:r>
            <w:r>
              <w:rPr>
                <w:noProof/>
              </w:rPr>
              <w:br/>
              <w:t>(UL L 55, 23.2.2007, str. 1)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(ES) št. 323/2007</w:t>
            </w:r>
            <w:r>
              <w:rPr>
                <w:noProof/>
              </w:rPr>
              <w:br/>
              <w:t>(UL L 85, 27.3.2007, str. 3)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Evropskega parlamenta in Sveta (ES) št. 219/2009</w:t>
            </w:r>
            <w:r>
              <w:rPr>
                <w:noProof/>
              </w:rPr>
              <w:br/>
              <w:t>(UL L 87, 31.3.2009, str. 109)</w:t>
            </w:r>
          </w:p>
        </w:tc>
        <w:tc>
          <w:tcPr>
            <w:tcW w:w="3428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Samo točka 3.7 Priloge</w:t>
            </w: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rFonts w:eastAsia="Times New Roman"/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(ES) št. 304/2009</w:t>
            </w:r>
            <w:r>
              <w:rPr>
                <w:noProof/>
              </w:rPr>
              <w:br/>
              <w:t>(UL L 96, 15.4.2009, str. 33)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št. 756/2010</w:t>
            </w:r>
            <w:r>
              <w:rPr>
                <w:noProof/>
              </w:rPr>
              <w:br/>
              <w:t>(UL L 223, 25.8.2010, str. 20)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št. 757/2010</w:t>
            </w:r>
            <w:r>
              <w:rPr>
                <w:noProof/>
              </w:rPr>
              <w:br/>
              <w:t>(UL L 223, 25.8.2010, str. 29)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št. 519/2012</w:t>
            </w:r>
            <w:r>
              <w:rPr>
                <w:noProof/>
              </w:rPr>
              <w:br/>
              <w:t>(UL L 159, 20.6.2012, str. 1)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autoSpaceDE w:val="0"/>
              <w:autoSpaceDN w:val="0"/>
              <w:spacing w:before="240" w:after="60"/>
              <w:jc w:val="left"/>
              <w:rPr>
                <w:rFonts w:eastAsia="Times New Roman"/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št. 1342/2014</w:t>
            </w:r>
            <w:r>
              <w:rPr>
                <w:noProof/>
              </w:rPr>
              <w:br/>
              <w:t>(UL L 363, 18.12.2014, str. 67)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2015/2030</w:t>
            </w:r>
            <w:r>
              <w:rPr>
                <w:noProof/>
              </w:rPr>
              <w:br/>
              <w:t>(UL L 298, 14.11.2015, str. 1)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2016/293</w:t>
            </w:r>
            <w:r>
              <w:rPr>
                <w:noProof/>
              </w:rPr>
              <w:br/>
              <w:t>(UL L 55, 2.3.2016, str. 4)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  <w:tr w:rsidR="00347E6A">
        <w:trPr>
          <w:cantSplit/>
        </w:trPr>
        <w:tc>
          <w:tcPr>
            <w:tcW w:w="5572" w:type="dxa"/>
          </w:tcPr>
          <w:p w:rsidR="00347E6A" w:rsidRDefault="004A71BA">
            <w:pPr>
              <w:jc w:val="left"/>
              <w:rPr>
                <w:bCs/>
                <w:noProof/>
                <w:szCs w:val="24"/>
              </w:rPr>
            </w:pPr>
            <w:r>
              <w:rPr>
                <w:rStyle w:val="Strong"/>
                <w:noProof/>
                <w:color w:val="444444"/>
                <w:szCs w:val="24"/>
              </w:rPr>
              <w:t>Uredba Komisije (EU) 2016/460</w:t>
            </w:r>
            <w:r>
              <w:rPr>
                <w:noProof/>
              </w:rPr>
              <w:br/>
              <w:t>(UL L 80, 31.3.2016, str. 17)</w:t>
            </w:r>
          </w:p>
        </w:tc>
        <w:tc>
          <w:tcPr>
            <w:tcW w:w="3428" w:type="dxa"/>
          </w:tcPr>
          <w:p w:rsidR="00347E6A" w:rsidRDefault="00347E6A">
            <w:pPr>
              <w:jc w:val="left"/>
              <w:rPr>
                <w:noProof/>
                <w:szCs w:val="24"/>
                <w:lang w:eastAsia="en-GB"/>
              </w:rPr>
            </w:pPr>
          </w:p>
        </w:tc>
      </w:tr>
    </w:tbl>
    <w:p w:rsidR="00347E6A" w:rsidRDefault="004A71BA">
      <w:pPr>
        <w:jc w:val="center"/>
        <w:rPr>
          <w:noProof/>
          <w:szCs w:val="24"/>
        </w:rPr>
      </w:pPr>
      <w:r>
        <w:rPr>
          <w:noProof/>
        </w:rPr>
        <w:t>_____________</w:t>
      </w:r>
    </w:p>
    <w:p w:rsidR="00347E6A" w:rsidRDefault="00347E6A">
      <w:pPr>
        <w:rPr>
          <w:noProof/>
          <w:szCs w:val="24"/>
          <w:lang w:eastAsia="en-GB"/>
        </w:rPr>
        <w:sectPr w:rsidR="00347E6A">
          <w:pgSz w:w="11907" w:h="16839"/>
          <w:pgMar w:top="1134" w:right="1418" w:bottom="1134" w:left="1418" w:header="709" w:footer="709" w:gutter="0"/>
          <w:cols w:space="708"/>
          <w:docGrid w:linePitch="360"/>
        </w:sectPr>
      </w:pPr>
    </w:p>
    <w:p w:rsidR="00347E6A" w:rsidRDefault="004A71BA">
      <w:pPr>
        <w:pStyle w:val="Annexetitre"/>
        <w:rPr>
          <w:noProof/>
        </w:rPr>
      </w:pPr>
      <w:r>
        <w:rPr>
          <w:noProof/>
        </w:rPr>
        <w:t>PRILOGA VII</w:t>
      </w:r>
    </w:p>
    <w:p w:rsidR="00347E6A" w:rsidRDefault="004A71BA">
      <w:pPr>
        <w:keepNext/>
        <w:spacing w:before="360"/>
        <w:jc w:val="center"/>
        <w:outlineLvl w:val="0"/>
        <w:rPr>
          <w:b/>
          <w:smallCaps/>
          <w:noProof/>
          <w:szCs w:val="24"/>
        </w:rPr>
      </w:pPr>
      <w:r>
        <w:rPr>
          <w:b/>
          <w:smallCaps/>
          <w:noProof/>
          <w:szCs w:val="24"/>
        </w:rPr>
        <w:t>Korelacijska tabela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4"/>
        <w:gridCol w:w="4674"/>
      </w:tblGrid>
      <w:tr w:rsidR="00347E6A">
        <w:tc>
          <w:tcPr>
            <w:tcW w:w="4674" w:type="dxa"/>
          </w:tcPr>
          <w:p w:rsidR="00347E6A" w:rsidRDefault="004A71BA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Uredba (ES) št. 850/2004</w:t>
            </w:r>
          </w:p>
        </w:tc>
        <w:tc>
          <w:tcPr>
            <w:tcW w:w="4674" w:type="dxa"/>
          </w:tcPr>
          <w:p w:rsidR="00347E6A" w:rsidRDefault="004A71BA">
            <w:pPr>
              <w:jc w:val="center"/>
              <w:rPr>
                <w:b/>
                <w:noProof/>
                <w:szCs w:val="24"/>
              </w:rPr>
            </w:pPr>
            <w:r>
              <w:rPr>
                <w:b/>
                <w:noProof/>
                <w:szCs w:val="24"/>
              </w:rPr>
              <w:t>Ta uredba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1(1)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uvodno besedilo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uvodno besedilo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točke (a) do (d)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točke (a) do (d)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točki (e) in (f)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(e)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(g)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(f)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(h)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(g)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(i)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2, točka (j)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3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3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4(1)(a)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4(1)(a)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4(1)(b)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4(1)(b)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1(2)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4(1)(c)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4(2)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4(2)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4(3)(a)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4(3)(a)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4(3)(b)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4(3)(b)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 xml:space="preserve">Člen 4(3)(c) 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1(2)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4(4)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5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5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6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6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7(1)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7(1)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7(2)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7(2)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7(3)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7(3)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7(4)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7(4)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7(5)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7(5)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7(6)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7(6)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7(7)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8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8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9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9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10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10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11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11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12(1)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13(1)(a)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12(3)(a)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13(1)(b)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12(3)(b)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13(1)(c)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13(1)(d)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12(3)(c)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13(1)(e)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12(2)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13(1)(f)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13(2)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12(4)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12(5)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13(3)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12(6)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13(4)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13(5)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13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14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14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15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16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17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18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15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19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16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20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17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18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_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21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19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Člen 22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Priloge od I do V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Priloge od I do V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Priloga VI</w:t>
            </w:r>
          </w:p>
        </w:tc>
      </w:tr>
      <w:tr w:rsidR="00347E6A"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–</w:t>
            </w:r>
          </w:p>
        </w:tc>
        <w:tc>
          <w:tcPr>
            <w:tcW w:w="4674" w:type="dxa"/>
          </w:tcPr>
          <w:p w:rsidR="00347E6A" w:rsidRDefault="004A71BA">
            <w:pPr>
              <w:jc w:val="left"/>
              <w:rPr>
                <w:noProof/>
                <w:szCs w:val="24"/>
              </w:rPr>
            </w:pPr>
            <w:r>
              <w:rPr>
                <w:noProof/>
              </w:rPr>
              <w:t>Priloga VII</w:t>
            </w:r>
          </w:p>
        </w:tc>
      </w:tr>
    </w:tbl>
    <w:p w:rsidR="00347E6A" w:rsidRDefault="004A71BA">
      <w:pPr>
        <w:jc w:val="center"/>
        <w:rPr>
          <w:noProof/>
          <w:szCs w:val="24"/>
        </w:rPr>
      </w:pPr>
      <w:r>
        <w:rPr>
          <w:noProof/>
        </w:rPr>
        <w:t>_____________</w:t>
      </w:r>
    </w:p>
    <w:sectPr w:rsidR="00347E6A">
      <w:pgSz w:w="11906" w:h="16838"/>
      <w:pgMar w:top="1134" w:right="1418" w:bottom="1134" w:left="1418" w:header="709" w:footer="709" w:gutter="0"/>
      <w:pgNumType w:start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E6A" w:rsidRDefault="004A71BA">
      <w:pPr>
        <w:spacing w:before="0" w:after="0"/>
      </w:pPr>
      <w:r>
        <w:separator/>
      </w:r>
    </w:p>
  </w:endnote>
  <w:endnote w:type="continuationSeparator" w:id="0">
    <w:p w:rsidR="00347E6A" w:rsidRDefault="004A71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Pr="004A71BA" w:rsidRDefault="00347E6A" w:rsidP="004A7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4A71BA" w:rsidRPr="00D94637" w:rsidTr="004A71B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4A71BA" w:rsidRPr="00D94637" w:rsidRDefault="004A71BA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4A71BA" w:rsidRPr="00B310DC" w:rsidTr="004A71B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4A71BA" w:rsidRPr="00AD7BF2" w:rsidRDefault="004A71BA" w:rsidP="004F54B2">
          <w:pPr>
            <w:pStyle w:val="FooterText"/>
          </w:pPr>
          <w:r>
            <w:t>7470/18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4A71BA" w:rsidRPr="00AD7BF2" w:rsidRDefault="004A71BA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4A71BA" w:rsidRPr="002511D8" w:rsidRDefault="004A71BA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4A71BA" w:rsidRPr="00B310DC" w:rsidRDefault="004A71BA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419C5">
            <w:rPr>
              <w:noProof/>
            </w:rPr>
            <w:t>0</w:t>
          </w:r>
          <w:r>
            <w:fldChar w:fldCharType="end"/>
          </w:r>
        </w:p>
      </w:tc>
    </w:tr>
    <w:tr w:rsidR="004A71BA" w:rsidRPr="00D94637" w:rsidTr="004A71BA">
      <w:trPr>
        <w:jc w:val="center"/>
      </w:trPr>
      <w:tc>
        <w:tcPr>
          <w:tcW w:w="1774" w:type="pct"/>
          <w:shd w:val="clear" w:color="auto" w:fill="auto"/>
        </w:tcPr>
        <w:p w:rsidR="004A71BA" w:rsidRPr="00AD7BF2" w:rsidRDefault="004A71BA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4A71BA" w:rsidRPr="00AD7BF2" w:rsidRDefault="004A71BA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742" w:type="pct"/>
          <w:shd w:val="clear" w:color="auto" w:fill="auto"/>
        </w:tcPr>
        <w:p w:rsidR="004A71BA" w:rsidRPr="00D94637" w:rsidRDefault="004A71BA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4A71BA" w:rsidRPr="00D94637" w:rsidRDefault="004A71BA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  <w:bookmarkEnd w:id="2"/>
  </w:tbl>
  <w:p w:rsidR="00347E6A" w:rsidRPr="004A71BA" w:rsidRDefault="00347E6A" w:rsidP="004A71BA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4A71BA" w:rsidRPr="00D94637" w:rsidTr="004A71BA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4A71BA" w:rsidRPr="00D94637" w:rsidRDefault="004A71BA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4A71BA" w:rsidRPr="00B310DC" w:rsidTr="004A71BA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4A71BA" w:rsidRPr="00AD7BF2" w:rsidRDefault="004A71BA" w:rsidP="004F54B2">
          <w:pPr>
            <w:pStyle w:val="FooterText"/>
          </w:pPr>
          <w:r>
            <w:t>7470/18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4A71BA" w:rsidRPr="00AD7BF2" w:rsidRDefault="004A71BA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4A71BA" w:rsidRPr="002511D8" w:rsidRDefault="004A71BA" w:rsidP="00D94637">
          <w:pPr>
            <w:pStyle w:val="FooterText"/>
            <w:jc w:val="center"/>
          </w:pPr>
          <w:r>
            <w:t>tu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4A71BA" w:rsidRPr="00B310DC" w:rsidRDefault="004A71BA" w:rsidP="00D94637">
          <w:pPr>
            <w:pStyle w:val="FooterText"/>
            <w:jc w:val="right"/>
          </w:pPr>
        </w:p>
      </w:tc>
    </w:tr>
    <w:tr w:rsidR="004A71BA" w:rsidRPr="00D94637" w:rsidTr="004A71BA">
      <w:trPr>
        <w:jc w:val="center"/>
      </w:trPr>
      <w:tc>
        <w:tcPr>
          <w:tcW w:w="1774" w:type="pct"/>
          <w:shd w:val="clear" w:color="auto" w:fill="auto"/>
        </w:tcPr>
        <w:p w:rsidR="004A71BA" w:rsidRPr="00AD7BF2" w:rsidRDefault="004A71BA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4A71BA" w:rsidRPr="00AD7BF2" w:rsidRDefault="004A71BA" w:rsidP="00D204D6">
          <w:pPr>
            <w:pStyle w:val="FooterText"/>
            <w:spacing w:before="40"/>
            <w:jc w:val="center"/>
          </w:pPr>
          <w:r>
            <w:t>DG E 1A</w:t>
          </w:r>
        </w:p>
      </w:tc>
      <w:tc>
        <w:tcPr>
          <w:tcW w:w="742" w:type="pct"/>
          <w:shd w:val="clear" w:color="auto" w:fill="auto"/>
        </w:tcPr>
        <w:p w:rsidR="004A71BA" w:rsidRPr="00D94637" w:rsidRDefault="004A71BA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4A71BA" w:rsidRPr="00D94637" w:rsidRDefault="004A71BA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SL</w:t>
          </w:r>
        </w:p>
      </w:tc>
    </w:tr>
  </w:tbl>
  <w:p w:rsidR="00347E6A" w:rsidRPr="004A71BA" w:rsidRDefault="00347E6A" w:rsidP="004A71BA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Default="004A71BA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A419C5">
      <w:rPr>
        <w:noProof/>
      </w:rPr>
      <w:t>10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Default="00347E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E6A" w:rsidRDefault="004A71BA">
      <w:pPr>
        <w:spacing w:before="0" w:after="0"/>
      </w:pPr>
      <w:r>
        <w:separator/>
      </w:r>
    </w:p>
  </w:footnote>
  <w:footnote w:type="continuationSeparator" w:id="0">
    <w:p w:rsidR="00347E6A" w:rsidRDefault="004A71BA">
      <w:pPr>
        <w:spacing w:before="0" w:after="0"/>
      </w:pPr>
      <w:r>
        <w:continuationSeparator/>
      </w:r>
    </w:p>
  </w:footnote>
  <w:footnote w:id="1">
    <w:p w:rsidR="00347E6A" w:rsidRDefault="004A71BA">
      <w:pPr>
        <w:pStyle w:val="FootnoteText"/>
        <w:rPr>
          <w:lang w:val="pl-PL"/>
        </w:rPr>
      </w:pPr>
      <w:r>
        <w:rPr>
          <w:rStyle w:val="FootnoteReference"/>
          <w:lang w:val="en-US"/>
        </w:rPr>
        <w:footnoteRef/>
      </w:r>
      <w:r>
        <w:rPr>
          <w:lang w:val="pl-PL"/>
        </w:rPr>
        <w:tab/>
        <w:t>UL L 37, 13.2.2003, str. 19.</w:t>
      </w:r>
    </w:p>
  </w:footnote>
  <w:footnote w:id="2">
    <w:p w:rsidR="00347E6A" w:rsidRDefault="004A71BA">
      <w:pPr>
        <w:pStyle w:val="FootnoteText"/>
        <w:rPr>
          <w:lang w:val="pl-PL"/>
        </w:rPr>
      </w:pPr>
      <w:r>
        <w:rPr>
          <w:rStyle w:val="FootnoteReference"/>
          <w:lang w:val="en-US"/>
        </w:rPr>
        <w:footnoteRef/>
      </w:r>
      <w:r>
        <w:rPr>
          <w:lang w:val="pl-PL"/>
        </w:rPr>
        <w:tab/>
        <w:t>UL L 24, 29.1.2008, str. 8.</w:t>
      </w:r>
    </w:p>
  </w:footnote>
  <w:footnote w:id="3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rPr>
          <w:lang w:val="pl-PL"/>
        </w:rPr>
        <w:tab/>
      </w:r>
      <w:r>
        <w:fldChar w:fldCharType="begin"/>
      </w:r>
      <w:r>
        <w:rPr>
          <w:lang w:val="pl-PL"/>
        </w:rPr>
        <w:instrText xml:space="preserve"> QUOTE "</w:instrText>
      </w:r>
      <w:r>
        <w:rPr>
          <w:rStyle w:val="CRMarker"/>
          <w:lang w:val="pl-PL"/>
        </w:rPr>
        <w:instrText>è</w:instrText>
      </w:r>
      <w:r>
        <w:rPr>
          <w:lang w:val="pl-PL"/>
        </w:rPr>
        <w:instrText xml:space="preserve">" </w:instrText>
      </w:r>
      <w:r>
        <w:fldChar w:fldCharType="separate"/>
      </w:r>
      <w:r>
        <w:rPr>
          <w:rStyle w:val="CRMarker"/>
          <w:lang w:val="pl-PL"/>
        </w:rPr>
        <w:t>è</w:t>
      </w:r>
      <w:r>
        <w:fldChar w:fldCharType="end"/>
      </w:r>
      <w:r>
        <w:rPr>
          <w:rStyle w:val="CRRefNum"/>
          <w:lang w:val="pl-PL"/>
        </w:rPr>
        <w:t>1</w:t>
      </w:r>
      <w:r>
        <w:rPr>
          <w:lang w:val="pl-PL"/>
        </w:rPr>
        <w:t xml:space="preserve"> Uredba (ES) št. 1907/2006 Evropskega </w:t>
      </w:r>
      <w:r>
        <w:rPr>
          <w:rStyle w:val="CRMinorChangeAdded"/>
          <w:lang w:val="pl-PL"/>
        </w:rPr>
        <w:t>p</w:t>
      </w:r>
      <w:r>
        <w:rPr>
          <w:rStyle w:val="CRMinorChangeDeleted"/>
          <w:lang w:val="pl-PL"/>
        </w:rPr>
        <w:t>P</w:t>
      </w:r>
      <w:r>
        <w:rPr>
          <w:lang w:val="pl-PL"/>
        </w:rPr>
        <w:t xml:space="preserve">arlamenta in Sveta z dne 18. decembra 2006 o registraciji, evalvaciji, avtorizaciji in omejevanju kemikalij (REACH) </w:t>
      </w:r>
      <w:r>
        <w:rPr>
          <w:rStyle w:val="CRMinorChangeAdded"/>
          <w:lang w:val="pl-PL"/>
        </w:rPr>
        <w:t>ter</w:t>
      </w:r>
      <w:r>
        <w:rPr>
          <w:rStyle w:val="CRMinorChangeDeleted"/>
          <w:lang w:val="pl-PL"/>
        </w:rPr>
        <w:t>,</w:t>
      </w:r>
      <w:r>
        <w:rPr>
          <w:lang w:val="pl-PL"/>
        </w:rPr>
        <w:t xml:space="preserve"> o ustanovitvi Evropske agencije za kemikalije in o spremembi Direktive 1999/45/ES ter o razveljavitvi Uredbe Sveta (EGS) št. 793/93 in Uredbe Komisije (ES) št. 1488/94 ter Direktive Sveta 76/769/EGS in direktiv Komisije 91/155/EGS, 93/67/EGS, 93/105/ES in 2000/21/ES (UL L 396, 30.12.2006, str. 1). </w:t>
      </w:r>
      <w:r>
        <w:fldChar w:fldCharType="begin"/>
      </w:r>
      <w:r>
        <w:rPr>
          <w:lang w:val="pl-PL"/>
        </w:rPr>
        <w:instrText xml:space="preserve"> QUOTE "</w:instrText>
      </w:r>
      <w:r>
        <w:rPr>
          <w:rStyle w:val="CRMarker"/>
          <w:lang w:val="pl-PL"/>
        </w:rPr>
        <w:instrText>ç</w:instrText>
      </w:r>
      <w:r>
        <w:rPr>
          <w:lang w:val="pl-PL"/>
        </w:rPr>
        <w:instrText xml:space="preserve">" </w:instrText>
      </w:r>
      <w:r>
        <w:fldChar w:fldCharType="separate"/>
      </w:r>
      <w:r>
        <w:rPr>
          <w:rStyle w:val="CRMarker"/>
        </w:rPr>
        <w:t>ç</w:t>
      </w:r>
      <w:r>
        <w:fldChar w:fldCharType="end"/>
      </w:r>
    </w:p>
  </w:footnote>
  <w:footnote w:id="4">
    <w:p w:rsidR="00347E6A" w:rsidRDefault="004A71BA">
      <w:pPr>
        <w:pStyle w:val="FootnoteText"/>
        <w:rPr>
          <w:highlight w:val="lightGray"/>
        </w:rPr>
      </w:pPr>
      <w:r>
        <w:rPr>
          <w:rStyle w:val="FootnoteReference"/>
          <w:highlight w:val="lightGray"/>
          <w:lang w:val="en-US"/>
        </w:rPr>
        <w:footnoteRef/>
      </w:r>
      <w:r>
        <w:rPr>
          <w:highlight w:val="lightGray"/>
        </w:rPr>
        <w:tab/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QUOTE "</w:instrText>
      </w:r>
      <w:r>
        <w:rPr>
          <w:rStyle w:val="CRMarker"/>
          <w:highlight w:val="lightGray"/>
        </w:rPr>
        <w:instrText>è</w:instrText>
      </w:r>
      <w:r>
        <w:rPr>
          <w:highlight w:val="lightGray"/>
        </w:rPr>
        <w:instrText xml:space="preserve">" </w:instrText>
      </w:r>
      <w:r>
        <w:rPr>
          <w:highlight w:val="lightGray"/>
        </w:rPr>
        <w:fldChar w:fldCharType="separate"/>
      </w:r>
      <w:r>
        <w:rPr>
          <w:rStyle w:val="CRMarker"/>
          <w:highlight w:val="lightGray"/>
        </w:rPr>
        <w:t>è</w:t>
      </w:r>
      <w:r>
        <w:rPr>
          <w:highlight w:val="lightGray"/>
        </w:rPr>
        <w:fldChar w:fldCharType="end"/>
      </w:r>
      <w:r>
        <w:rPr>
          <w:rStyle w:val="CRRefNum"/>
          <w:highlight w:val="lightGray"/>
        </w:rPr>
        <w:t>4</w:t>
      </w:r>
      <w:r>
        <w:rPr>
          <w:highlight w:val="lightGray"/>
        </w:rPr>
        <w:t> Poliklorirani naftaleni so kemijske spojine, ki temeljijo na sistemu obročev naftalena, kjer se eden ali več vodikovih atomov nadomesti z atomi klora. 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QUOTE "</w:instrText>
      </w:r>
      <w:r>
        <w:rPr>
          <w:rStyle w:val="CRMarker"/>
          <w:highlight w:val="lightGray"/>
        </w:rPr>
        <w:instrText>ç</w:instrText>
      </w:r>
      <w:r>
        <w:rPr>
          <w:highlight w:val="lightGray"/>
        </w:rPr>
        <w:instrText xml:space="preserve">" </w:instrText>
      </w:r>
      <w:r>
        <w:rPr>
          <w:highlight w:val="lightGray"/>
        </w:rPr>
        <w:fldChar w:fldCharType="separate"/>
      </w:r>
      <w:r>
        <w:rPr>
          <w:rStyle w:val="CRMarker"/>
          <w:highlight w:val="lightGray"/>
        </w:rPr>
        <w:t>ç</w:t>
      </w:r>
      <w:r>
        <w:rPr>
          <w:highlight w:val="lightGray"/>
        </w:rPr>
        <w:fldChar w:fldCharType="end"/>
      </w:r>
    </w:p>
  </w:footnote>
  <w:footnote w:id="5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Za namen popisov emisij se uporabljajo naslednji štirje sestavljeni </w:t>
      </w:r>
      <w:r>
        <w:rPr>
          <w:rStyle w:val="CRMinorChangeAdded"/>
        </w:rPr>
        <w:t>kazalniki</w:t>
      </w:r>
      <w:r>
        <w:rPr>
          <w:rStyle w:val="CRMinorChangeDeleted"/>
        </w:rPr>
        <w:t>indikatorji</w:t>
      </w:r>
      <w:r>
        <w:t>: benzo(a)piren, benzo(b)fluoranten, benzo(k)fluoranten in indeno(1,2,3-cd)piren.</w:t>
      </w:r>
    </w:p>
  </w:footnote>
  <w:footnote w:id="6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Poliklorirani naftaleni so kemijske spojine, ki temeljijo na sistemu obročev naftalena, kjer se eden ali več vodikovih atomov nadomesti z atomi klora.</w:t>
      </w:r>
    </w:p>
  </w:footnote>
  <w:footnote w:id="7">
    <w:p w:rsidR="00347E6A" w:rsidRDefault="004A71BA">
      <w:pPr>
        <w:adjustRightInd w:val="0"/>
        <w:spacing w:before="0" w:after="0"/>
        <w:jc w:val="left"/>
      </w:pPr>
      <w:r>
        <w:rPr>
          <w:rStyle w:val="FootnoteReference"/>
          <w:lang w:val="en-US"/>
        </w:rPr>
        <w:footnoteRef/>
      </w:r>
      <w:r>
        <w:tab/>
        <w:t>Mejna vrednost se izračuna kot PCDD in PCDF glede na faktorje ekvivalence toksičnosti (TEF):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7"/>
        <w:gridCol w:w="2879"/>
      </w:tblGrid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PCDD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TEF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PCDF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TEF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PCDD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Centered"/>
            </w:pPr>
            <w:r>
              <w:t>TEF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2,3,7,8-TeCDD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1,2,3,7,8-PeCDD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1,2,3,4,7,8-HxCDD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1,2,3,6,7,8-HxCDD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1,2,3,7,8,9-HxCDD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1,2,3,4,6,7,8-HpCDD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OCDD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0,0003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2,3,7,8-TeCDF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1,2,3,7,8-PeCDF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0,03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2,3,4,7,8-PeCDF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0,3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1,2,3,4,7,8-HxCDF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1,2,3,6,7,8-HxCDF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1,2,3,7,8,9-HxCDF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2,3,4,6,7,8-HxCDF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1,2,3,4,6,7,8-HpCDF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1,2,3,4,7,8,9-HpCDF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0,01</w:t>
            </w:r>
          </w:p>
        </w:tc>
      </w:tr>
      <w:tr w:rsidR="00347E6A">
        <w:tc>
          <w:tcPr>
            <w:tcW w:w="6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OCDF</w:t>
            </w:r>
          </w:p>
        </w:tc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E6A" w:rsidRDefault="004A71BA">
            <w:pPr>
              <w:pStyle w:val="NormalLeft"/>
            </w:pPr>
            <w:r>
              <w:t>0,0003</w:t>
            </w:r>
          </w:p>
        </w:tc>
      </w:tr>
    </w:tbl>
    <w:p w:rsidR="00347E6A" w:rsidRDefault="00347E6A">
      <w:pPr>
        <w:spacing w:before="0" w:after="200" w:line="276" w:lineRule="auto"/>
        <w:jc w:val="left"/>
      </w:pPr>
    </w:p>
  </w:footnote>
  <w:footnote w:id="8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Kadar je primerno, se uporabi metoda izračuna iz evropskih standardov EN 12766-1 in EN 12766-2.</w:t>
      </w:r>
    </w:p>
  </w:footnote>
  <w:footnote w:id="9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</w:r>
      <w:r>
        <w:fldChar w:fldCharType="begin"/>
      </w:r>
      <w:r>
        <w:instrText xml:space="preserve"> QUOTE "</w:instrText>
      </w:r>
      <w:r>
        <w:rPr>
          <w:rStyle w:val="CRMarker"/>
        </w:rPr>
        <w:instrText>è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è</w:t>
      </w:r>
      <w:r>
        <w:fldChar w:fldCharType="end"/>
      </w:r>
      <w:r>
        <w:rPr>
          <w:rStyle w:val="CRRefNum"/>
        </w:rPr>
        <w:t>1</w:t>
      </w:r>
      <w:r>
        <w:t> „Heksabromociklododekan“ pomeni heksabromociklododekan, 1,2,5,6,9,10-heksabromociklododekan in njegove glavne diastereoizomere: alfa-heksabromociklododekan, beta-heksabromociklododekan in gama-heksabromociklododekan. </w:t>
      </w:r>
      <w:r>
        <w:fldChar w:fldCharType="begin"/>
      </w:r>
      <w:r>
        <w:instrText xml:space="preserve"> QUOTE "</w:instrText>
      </w:r>
      <w:r>
        <w:rPr>
          <w:rStyle w:val="CRMarker"/>
        </w:rPr>
        <w:instrText>ç</w:instrText>
      </w:r>
      <w:r>
        <w:instrText xml:space="preserve">" </w:instrText>
      </w:r>
      <w:r>
        <w:fldChar w:fldCharType="separate"/>
      </w:r>
      <w:r>
        <w:rPr>
          <w:rStyle w:val="CRMarker"/>
        </w:rPr>
        <w:t>ç</w:t>
      </w:r>
      <w:r>
        <w:fldChar w:fldCharType="end"/>
      </w:r>
    </w:p>
  </w:footnote>
  <w:footnote w:id="10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</w:r>
      <w:r>
        <w:rPr>
          <w:bCs/>
        </w:rPr>
        <w:t>Direktiva 2010/75/EU Evropskega parlamenta in Sveta z dne 24. novembra 2010 o industrijskih emisijah (celovito preprečevanje in nadzorovanje onesnaževanja) (UL L 334, 17.12.2010, str. 17).</w:t>
      </w:r>
    </w:p>
  </w:footnote>
  <w:footnote w:id="11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Odločba Komisije 2000/532/ES z dne 3. maja 2000 o nadomestitvi Odločbe 94/3/ES o oblikovanju seznama odpadkov skladno s členom 1(a) Direktive Sveta 75/442/EGS o odpadkih in Odločbe Sveta 94/904/ES o oblikovanju seznama nevarnih odpadkov skladno s členom 1(4) Direktive Sveta 91/689/EGS o nevarnih odpadkih (UL L 226, 6.9.2000, str. 3). Odločba, nazadnje spremenjena s Sklepom Komisije 2014/955/EU z dne 18. decembra 2014 (UL L 370, 30.12.2014).</w:t>
      </w:r>
    </w:p>
  </w:footnote>
  <w:footnote w:id="12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 xml:space="preserve">Te mejne vrednosti se uporabljajo </w:t>
      </w:r>
      <w:r>
        <w:rPr>
          <w:rStyle w:val="CRMinorChangeAdded"/>
        </w:rPr>
        <w:t>samo</w:t>
      </w:r>
      <w:r>
        <w:t xml:space="preserve"> za odlagališče nevarnih odpadkov in se ne uporabljajo za stalna podzemna skladišča nevarnih odpadkov, vključno z rudniki soli.</w:t>
      </w:r>
    </w:p>
  </w:footnote>
  <w:footnote w:id="13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„Heksabromociklododekan“ pomeni heksabromociklododekan, 1,2,5,6,9,10-</w:t>
      </w:r>
      <w:r>
        <w:rPr>
          <w:rStyle w:val="CRMinorChangeAdded"/>
        </w:rPr>
        <w:t>heksabromociklododekan</w:t>
      </w:r>
      <w:r>
        <w:rPr>
          <w:rStyle w:val="CRMinorChangeDeleted"/>
        </w:rPr>
        <w:t>hexabromocyclododecane</w:t>
      </w:r>
      <w:r>
        <w:t xml:space="preserve"> in njegove glavne diastereoizomere: alfa-heksabromociklododekan, beta-heksabromociklododekan in gama-heksabromociklododekan.</w:t>
      </w:r>
    </w:p>
  </w:footnote>
  <w:footnote w:id="14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Uporablja se metoda izračuna iz evropskih standardov EN 12766-1 in EN 12766-2.</w:t>
      </w:r>
    </w:p>
  </w:footnote>
  <w:footnote w:id="15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Direktiva Sveta 1999/31/ES z dne 26. aprila 1999 o odlaganju odpadkov na odlagališčih (UL L 182, 16.7.1999, str. 1).</w:t>
      </w:r>
    </w:p>
  </w:footnote>
  <w:footnote w:id="16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Odločba Sveta 2003/33/ES z dne 19. decembra 2002 o določitvi meril in postopkov za sprejemanje odpadkov na odlagališča na podlagi člena 16 in Priloge II k Direktivi 1999/31/ES (UL L 11, 16.1.2003, str. 27).</w:t>
      </w:r>
    </w:p>
  </w:footnote>
  <w:footnote w:id="17">
    <w:p w:rsidR="00347E6A" w:rsidRDefault="004A71BA">
      <w:pPr>
        <w:pStyle w:val="FootnoteText"/>
      </w:pPr>
      <w:r>
        <w:rPr>
          <w:rStyle w:val="FootnoteReference"/>
          <w:lang w:val="en-US"/>
        </w:rPr>
        <w:footnoteRef/>
      </w:r>
      <w:r>
        <w:tab/>
        <w:t>Vsi odpadki, označeni z zvezdico „*“, veljajo kot nevarni v skladu z Direktivo 2008/98/ES in za njih veljajo določbe navedene direktive.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Pr="004A71BA" w:rsidRDefault="00347E6A" w:rsidP="004A7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Pr="004A71BA" w:rsidRDefault="004A71BA" w:rsidP="004A71BA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6A" w:rsidRPr="004A71BA" w:rsidRDefault="004A71BA" w:rsidP="004A71BA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1BA" w:rsidRDefault="004A7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3C08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2B4E96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 w15:restartNumberingAfterBreak="0">
    <w:nsid w:val="FFFFFF7F"/>
    <w:multiLevelType w:val="singleLevel"/>
    <w:tmpl w:val="AFDAD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9AE47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53681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DF44A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24EE7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B187E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  <w:lvlOverride w:ilvl="0">
      <w:lvl w:ilvl="0">
        <w:start w:val="1"/>
        <w:numFmt w:val="bullet"/>
        <w:pStyle w:val="Tiret1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CR_Ref0" w:val="."/>
    <w:docVar w:name="CR_RefCount" w:val="1"/>
    <w:docVar w:name="CR_RefLast" w:val="0"/>
    <w:docVar w:name="DocuWriteMetaData" w:val="&lt;metadataset docuwriteversion=&quot;4.1.16&quot; technicalblockguid=&quot;5671724711393196437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PREDLOG&quot; /&gt;_x000d__x000a_    &lt;/basicdatatype&gt;_x000d__x000a_  &lt;/metadata&gt;_x000d__x000a_  &lt;metadata key=&quot;md_HeadingText&quot;&gt;_x000d__x000a_    &lt;headingtext text=&quot;PREDLOG&quot;&gt;_x000d__x000a_      &lt;formattedtext&gt;_x000d__x000a_        &lt;xaml text=&quot;PREDLOG&quot;&gt;&amp;lt;FlowDocument xmlns=&quot;http://schemas.microsoft.com/winfx/2006/xaml/presentation&quot;&amp;gt;&amp;lt;Paragraph&amp;gt;PREDLOG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18-03-23&lt;/text&gt;_x000d__x000a_  &lt;/metadata&gt;_x000d__x000a_  &lt;metadata key=&quot;md_Prefix&quot;&gt;_x000d__x000a_    &lt;text&gt;&lt;/text&gt;_x000d__x000a_  &lt;/metadata&gt;_x000d__x000a_  &lt;metadata key=&quot;md_DocumentNumber&quot;&gt;_x000d__x000a_    &lt;text&gt;7470&lt;/text&gt;_x000d__x000a_  &lt;/metadata&gt;_x000d__x000a_  &lt;metadata key=&quot;md_YearDocumentNumber&quot;&gt;_x000d__x000a_    &lt;text&gt;2018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197&lt;/text&gt;_x000d__x000a_      &lt;text&gt;ENT 52&lt;/text&gt;_x000d__x000a_      &lt;text&gt;COMPET 181&lt;/text&gt;_x000d__x000a_      &lt;text&gt;IND 84&lt;/text&gt;_x000d__x000a_      &lt;text&gt;SAN 92&lt;/text&gt;_x000d__x000a_      &lt;text&gt;CONSOM 75&lt;/text&gt;_x000d__x000a_      &lt;text&gt;MI 213&lt;/text&gt;_x000d__x000a_      &lt;text&gt;CHIMIE 13&lt;/text&gt;_x000d__x000a_      &lt;text&gt;CODEC 441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8/0070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za generalnega sekretarja Evropske komisije: direktor Jordi AYET PUIGARNAU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18-03-22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8) 144 final - ANNEXES 1 to 7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RILOGE k Predlogu Uredbe Evropskega parlamenta in Sveta o obstojnih organskih onesna&amp;#382;evalih (prenovitev)&quot;&gt;&amp;lt;FlowDocument FontFamily=&quot;Arial Unicode MS&quot; FontSize=&quot;12&quot; PagePadding=&quot;5,0,5,0&quot; AllowDrop=&quot;False&quot; xmlns=&quot;http://schemas.microsoft.com/winfx/2006/xaml/presentation&quot;&amp;gt;&amp;lt;Paragraph&amp;gt;PRILOGE k Predlogu Uredbe Evropskega parlamenta in Sveta o obstojnih organskih onesna&amp;#382;evalih (prenovitev)&amp;lt;/Paragraph&amp;gt;&amp;lt;/FlowDocument&amp;gt;&lt;/xaml&gt;_x000d__x000a_  &lt;/metadata&gt;_x000d__x000a_  &lt;metadata key=&quot;md_SubjectFootnote&quot; /&gt;_x000d__x000a_  &lt;metadata key=&quot;md_DG&quot;&gt;_x000d__x000a_    &lt;text&gt;DG E 1A&lt;/text&gt;_x000d__x000a_  &lt;/metadata&gt;_x000d__x000a_  &lt;metadata key=&quot;md_Initials&quot;&gt;_x000d__x000a_    &lt;text&gt;tu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8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8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LOGE&lt;/text&gt;_x000d__x000a_  &lt;/metadata&gt;_x000d__x000a_  &lt;metadata key=&quot;md_SourceDocTitle&quot;&gt;_x000d__x000a_    &lt;text&gt;k _x000d__x000a_Predlogu Uredbe Evropskega parlamenta in Sveta _x000d__x000a_o obstojnih organskih onesna&amp;#382;evalih (prenovitev)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Arial Unicode MS&quot; FontSize=&quot;12&quot; AllowDrop=&quot;False&quot; xmlns=&quot;http://schemas.microsoft.com/winfx/2006/xaml/presentation&quot; /&amp;gt;&lt;/xaml&gt;_x000d__x000a_  &lt;/metadata&gt;_x000d__x000a_  &lt;metadata key=&quot;md_WorkflowLinkStatus&quot; /&gt;_x000d__x000a_&lt;/metadataset&gt;"/>
    <w:docVar w:name="DQCDateTime" w:val="2018-03-15 08:18:48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5"/>
    <w:docVar w:name="DQCResult_StructureCheck" w:val="0;0"/>
    <w:docVar w:name="DQCResult_SuperfluousWhitespace" w:val="0;8"/>
    <w:docVar w:name="DQCResult_UnknownFonts" w:val="0;0"/>
    <w:docVar w:name="DQCResult_UnknownStyles" w:val="0;61"/>
    <w:docVar w:name="DQCStatus" w:val="Green"/>
    <w:docVar w:name="DQCVersion" w:val="3"/>
    <w:docVar w:name="DQCWithWarnings" w:val="0"/>
    <w:docVar w:name="LW_ACCOMPAGNANT" w:val="k"/>
    <w:docVar w:name="LW_ACCOMPAGNANT.CP" w:val="k"/>
    <w:docVar w:name="LW_ANNEX_NBR_FIRST" w:val="1"/>
    <w:docVar w:name="LW_ANNEX_NBR_LAST" w:val="7"/>
    <w:docVar w:name="LW_ANNEX_UNIQUE" w:val="0"/>
    <w:docVar w:name="LW_CORRIGENDUM" w:val="&lt;UNUSED&gt;"/>
    <w:docVar w:name="LW_COVERPAGE_EXISTS" w:val="True"/>
    <w:docVar w:name="LW_COVERPAGE_GUID" w:val="E2EF5E9C-1879-46D4-8A98-5CB52A7D1E6A"/>
    <w:docVar w:name="LW_COVERPAGE_TYPE" w:val="1"/>
    <w:docVar w:name="LW_CROSSREFERENCE" w:val="&lt;UNUSED&gt;"/>
    <w:docVar w:name="LW_DocType" w:val="ANNEX"/>
    <w:docVar w:name="LW_EMISSION" w:val="22.3.2018"/>
    <w:docVar w:name="LW_EMISSION_ISODATE" w:val="2018-03-22"/>
    <w:docVar w:name="LW_EMISSION_LOCATION" w:val="BRX"/>
    <w:docVar w:name="LW_EMISSION_PREFIX" w:val="Bruselj,"/>
    <w:docVar w:name="LW_EMISSION_SUFFIX" w:val=" "/>
    <w:docVar w:name="LW_ID_DOCSTRUCTURE" w:val="COM/ANNEX"/>
    <w:docVar w:name="LW_ID_DOCTYPE" w:val="SG-017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OBJETACTEPRINCIPAL" w:val="o obstojnih organskih onesna\u382?evalih (prenovitev)"/>
    <w:docVar w:name="LW_OBJETACTEPRINCIPAL.CP" w:val="o obstojnih organskih onesna\u382?evalih (prenovitev)"/>
    <w:docVar w:name="LW_PART_NBR" w:val="&lt;UNUSED&gt;"/>
    <w:docVar w:name="LW_PART_NBR_TOTAL" w:val="&lt;UNUSED&gt;"/>
    <w:docVar w:name="LW_REF.INST.NEW" w:val="COM"/>
    <w:docVar w:name="LW_REF.INST.NEW_ADOPTED" w:val="final"/>
    <w:docVar w:name="LW_REF.INST.NEW_TEXT" w:val="(2018) 144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 xsi:nil=&quot;true&quot; /&gt;_x000d__x000a_  &lt;limited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footnote xsi:nil=&quot;true&quot; /&gt;_x000d__x000a_  &lt;isRestricted&gt;false&lt;/isRestricted&gt;_x000d__x000a_&lt;/SensitivityLevel&gt;"/>
    <w:docVar w:name="LW_SUPERTITRE" w:val="&lt;UNUSED&gt;"/>
    <w:docVar w:name="LW_TYPE.DOC" w:val="PRILOGE"/>
    <w:docVar w:name="LW_TYPE.DOC.CP" w:val="PRILOGE"/>
    <w:docVar w:name="LW_TYPEACTEPRINCIPAL" w:val="Predlogu Uredbe Evropskega parlamenta in Sveta"/>
    <w:docVar w:name="LW_TYPEACTEPRINCIPAL.CP" w:val="Predlogu Uredbe Evropskega parlamenta in Sveta"/>
  </w:docVars>
  <w:rsids>
    <w:rsidRoot w:val="00347E6A"/>
    <w:rsid w:val="00347E6A"/>
    <w:rsid w:val="003A4A18"/>
    <w:rsid w:val="004A71BA"/>
    <w:rsid w:val="00A4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06E6E774-7CE2-42EB-AF54-4C7A9CAA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etitreacte">
    <w:name w:val="Annexe titre (acte)"/>
    <w:basedOn w:val="Normal"/>
    <w:next w:val="Normal"/>
    <w:uiPriority w:val="99"/>
    <w:pPr>
      <w:autoSpaceDE w:val="0"/>
      <w:autoSpaceDN w:val="0"/>
      <w:jc w:val="center"/>
    </w:pPr>
    <w:rPr>
      <w:rFonts w:eastAsiaTheme="minorEastAsia"/>
      <w:b/>
      <w:bCs/>
      <w:szCs w:val="24"/>
      <w:u w:val="single"/>
      <w:lang w:eastAsia="en-GB"/>
    </w:rPr>
  </w:style>
  <w:style w:type="character" w:customStyle="1" w:styleId="CRMarker">
    <w:name w:val="CR Marker"/>
    <w:basedOn w:val="DefaultParagraphFont"/>
    <w:uiPriority w:val="99"/>
    <w:rPr>
      <w:rFonts w:ascii="Wingdings" w:hAnsi="Wingdings" w:cs="Wingdings"/>
    </w:rPr>
  </w:style>
  <w:style w:type="paragraph" w:customStyle="1" w:styleId="CRSeparator">
    <w:name w:val="CR Separator"/>
    <w:basedOn w:val="Normal"/>
    <w:next w:val="CRReference"/>
    <w:uiPriority w:val="99"/>
    <w:pPr>
      <w:keepNext/>
      <w:pBdr>
        <w:top w:val="single" w:sz="4" w:space="1" w:color="auto"/>
      </w:pBdr>
      <w:autoSpaceDE w:val="0"/>
      <w:autoSpaceDN w:val="0"/>
      <w:spacing w:before="0" w:after="0"/>
    </w:pPr>
    <w:rPr>
      <w:rFonts w:eastAsiaTheme="minorEastAsia"/>
      <w:szCs w:val="24"/>
      <w:lang w:eastAsia="en-GB"/>
    </w:rPr>
  </w:style>
  <w:style w:type="paragraph" w:customStyle="1" w:styleId="CRReference">
    <w:name w:val="CR Reference"/>
    <w:basedOn w:val="Normal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0" w:after="0"/>
      <w:ind w:left="5670"/>
      <w:jc w:val="left"/>
    </w:pPr>
    <w:rPr>
      <w:rFonts w:eastAsiaTheme="minorEastAsia"/>
      <w:szCs w:val="24"/>
      <w:lang w:eastAsia="en-GB"/>
    </w:rPr>
  </w:style>
  <w:style w:type="character" w:customStyle="1" w:styleId="CRRefNum">
    <w:name w:val="CR RefNum"/>
    <w:basedOn w:val="DefaultParagraphFont"/>
    <w:uiPriority w:val="99"/>
    <w:rPr>
      <w:rFonts w:cs="Times New Roman"/>
      <w:vertAlign w:val="subscrip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l-SI"/>
    </w:rPr>
  </w:style>
  <w:style w:type="character" w:customStyle="1" w:styleId="orderablesearchcontainer">
    <w:name w:val="orderablesearchcontain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Sous-titreobjet">
    <w:name w:val="Sous-titre objet"/>
    <w:basedOn w:val="Normal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</w:style>
  <w:style w:type="paragraph" w:customStyle="1" w:styleId="TitreobjetPagedecouverture">
    <w:name w:val="Titre objet (Page de couverture)"/>
    <w:basedOn w:val="Titreobjet"/>
    <w:next w:val="Sous-titreobjetPagedecouverture"/>
  </w:style>
  <w:style w:type="character" w:customStyle="1" w:styleId="CRDeleted">
    <w:name w:val="CR Deleted"/>
    <w:basedOn w:val="DefaultParagraphFont"/>
    <w:rPr>
      <w:strike w:val="0"/>
      <w:dstrike/>
    </w:rPr>
  </w:style>
  <w:style w:type="character" w:customStyle="1" w:styleId="CRRefonteDeleted">
    <w:name w:val="CR Refonte Deleted"/>
    <w:basedOn w:val="DefaultParagraphFont"/>
    <w:rPr>
      <w:strike w:val="0"/>
      <w:dstrike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MinorChangeAdded">
    <w:name w:val="CR Minor Change Added"/>
    <w:basedOn w:val="DefaultParagraphFont"/>
    <w:rPr>
      <w:b w:val="0"/>
      <w:bCs w:val="0"/>
      <w:u w:val="double"/>
    </w:rPr>
  </w:style>
  <w:style w:type="character" w:customStyle="1" w:styleId="CRMinorChangeDeleted">
    <w:name w:val="CR Minor Change Deleted"/>
    <w:basedOn w:val="DefaultParagraphFont"/>
    <w:rPr>
      <w:b w:val="0"/>
      <w:bCs w:val="0"/>
      <w:strike w:val="0"/>
      <w:dstrike/>
      <w:u w:val="doub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4A71BA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ypedudocumentPagedecouverture">
    <w:name w:val="Type du document (Page de couverture)"/>
    <w:basedOn w:val="Typedudocument"/>
    <w:next w:val="Accompagnan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4A71B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4A71BA"/>
    <w:rPr>
      <w:rFonts w:ascii="Times New Roman" w:hAnsi="Times New Roman" w:cs="Times New Roman"/>
      <w:sz w:val="24"/>
    </w:rPr>
  </w:style>
  <w:style w:type="paragraph" w:customStyle="1" w:styleId="Lignefinal">
    <w:name w:val="Ligne final"/>
    <w:basedOn w:val="Normal"/>
    <w:next w:val="Normal"/>
    <w:rsid w:val="004A71B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EntText">
    <w:name w:val="EntText"/>
    <w:basedOn w:val="Normal"/>
    <w:rsid w:val="004A71BA"/>
    <w:pPr>
      <w:spacing w:line="360" w:lineRule="auto"/>
      <w:jc w:val="left"/>
    </w:pPr>
  </w:style>
  <w:style w:type="paragraph" w:customStyle="1" w:styleId="pj">
    <w:name w:val="p.j."/>
    <w:basedOn w:val="Normal"/>
    <w:link w:val="pjChar"/>
    <w:rsid w:val="004A71B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4A71BA"/>
    <w:rPr>
      <w:rFonts w:ascii="Times New Roman" w:hAnsi="Times New Roman" w:cs="Times New Roman"/>
      <w:sz w:val="24"/>
    </w:rPr>
  </w:style>
  <w:style w:type="paragraph" w:customStyle="1" w:styleId="HeaderCouncil">
    <w:name w:val="Header Council"/>
    <w:basedOn w:val="Normal"/>
    <w:link w:val="HeaderCouncilChar"/>
    <w:rsid w:val="004A71BA"/>
    <w:pPr>
      <w:spacing w:before="0" w:after="0"/>
    </w:pPr>
    <w:rPr>
      <w:sz w:val="2"/>
    </w:rPr>
  </w:style>
  <w:style w:type="character" w:customStyle="1" w:styleId="HeaderCouncilChar">
    <w:name w:val="Header Council Char"/>
    <w:basedOn w:val="pjChar"/>
    <w:link w:val="HeaderCouncil"/>
    <w:rsid w:val="004A71BA"/>
    <w:rPr>
      <w:rFonts w:ascii="Times New Roman" w:hAnsi="Times New Roman" w:cs="Times New Roman"/>
      <w:sz w:val="2"/>
    </w:rPr>
  </w:style>
  <w:style w:type="paragraph" w:customStyle="1" w:styleId="HeaderCouncilLarge">
    <w:name w:val="Header Council Large"/>
    <w:basedOn w:val="Normal"/>
    <w:link w:val="HeaderCouncilLargeChar"/>
    <w:rsid w:val="004A71BA"/>
    <w:pPr>
      <w:spacing w:before="0" w:after="440"/>
    </w:pPr>
    <w:rPr>
      <w:sz w:val="2"/>
    </w:rPr>
  </w:style>
  <w:style w:type="character" w:customStyle="1" w:styleId="HeaderCouncilLargeChar">
    <w:name w:val="Header Council Large Char"/>
    <w:basedOn w:val="pjChar"/>
    <w:link w:val="HeaderCouncilLarge"/>
    <w:rsid w:val="004A71BA"/>
    <w:rPr>
      <w:rFonts w:ascii="Times New Roman" w:hAnsi="Times New Roman" w:cs="Times New Roman"/>
      <w:sz w:val="2"/>
    </w:rPr>
  </w:style>
  <w:style w:type="paragraph" w:customStyle="1" w:styleId="FooterCouncil">
    <w:name w:val="Footer Council"/>
    <w:basedOn w:val="Normal"/>
    <w:link w:val="FooterCouncilChar"/>
    <w:rsid w:val="004A71BA"/>
    <w:pPr>
      <w:spacing w:before="0" w:after="0"/>
    </w:pPr>
    <w:rPr>
      <w:sz w:val="2"/>
    </w:rPr>
  </w:style>
  <w:style w:type="character" w:customStyle="1" w:styleId="FooterCouncilChar">
    <w:name w:val="Footer Council Char"/>
    <w:basedOn w:val="pjChar"/>
    <w:link w:val="FooterCouncil"/>
    <w:rsid w:val="004A71B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al"/>
    <w:rsid w:val="004A71BA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4A71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2900-72D4-40CC-B5BD-CB6DDE73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12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QUIRKE</dc:creator>
  <cp:lastModifiedBy>UNGAR Tomaz</cp:lastModifiedBy>
  <cp:revision>4</cp:revision>
  <dcterms:created xsi:type="dcterms:W3CDTF">2018-03-23T16:08:00Z</dcterms:created>
  <dcterms:modified xsi:type="dcterms:W3CDTF">2018-03-23T16:08:00Z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5.84.2.0</vt:lpwstr>
  </property>
  <property fmtid="{D5CDD505-2E9C-101B-9397-08002B2CF9AE}" pid="4" name="Last edited using">
    <vt:lpwstr>DocuWrite 4.1.16, Build 20180302</vt:lpwstr>
  </property>
  <property fmtid="{D5CDD505-2E9C-101B-9397-08002B2CF9AE}" pid="5" name="Created using">
    <vt:lpwstr>DocuWrite 4.1.16, Build 20180302</vt:lpwstr>
  </property>
  <property fmtid="{D5CDD505-2E9C-101B-9397-08002B2CF9AE}" pid="6" name="First annex">
    <vt:lpwstr>1</vt:lpwstr>
  </property>
  <property fmtid="{D5CDD505-2E9C-101B-9397-08002B2CF9AE}" pid="7" name="Last annex">
    <vt:lpwstr>7</vt:lpwstr>
  </property>
  <property fmtid="{D5CDD505-2E9C-101B-9397-08002B2CF9AE}" pid="8" name="Part">
    <vt:lpwstr>&lt;UNUSED&gt;</vt:lpwstr>
  </property>
  <property fmtid="{D5CDD505-2E9C-101B-9397-08002B2CF9AE}" pid="9" name="Total parts">
    <vt:lpwstr>&lt;UNUSED&gt;</vt:lpwstr>
  </property>
  <property fmtid="{D5CDD505-2E9C-101B-9397-08002B2CF9AE}" pid="10" name="LWTemplateID">
    <vt:lpwstr>SG-017</vt:lpwstr>
  </property>
  <property fmtid="{D5CDD505-2E9C-101B-9397-08002B2CF9AE}" pid="11" name="Level of sensitivity">
    <vt:lpwstr>Standard treatment</vt:lpwstr>
  </property>
  <property fmtid="{D5CDD505-2E9C-101B-9397-08002B2CF9AE}" pid="12" name="LWCR IsRefonte">
    <vt:lpwstr>True</vt:lpwstr>
  </property>
  <property fmtid="{D5CDD505-2E9C-101B-9397-08002B2CF9AE}" pid="13" name="Unique annex">
    <vt:lpwstr>0</vt:lpwstr>
  </property>
  <property fmtid="{D5CDD505-2E9C-101B-9397-08002B2CF9AE}" pid="14" name="DQCStatus">
    <vt:lpwstr>Green (DQC version 03)</vt:lpwstr>
  </property>
</Properties>
</file>