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53" w:rsidRDefault="00E92353" w:rsidP="00E92353">
      <w:pPr>
        <w:pStyle w:val="TechnicalBlock"/>
        <w:ind w:left="-1134" w:right="-1134"/>
      </w:pPr>
      <w:bookmarkStart w:id="0" w:name="DW_BM_COVERPAGE"/>
      <w:r>
        <w:rPr>
          <w:noProof/>
          <w:lang w:val="en-GB"/>
        </w:rPr>
        <w:drawing>
          <wp:inline distT="0" distB="0" distL="0" distR="0">
            <wp:extent cx="7219950" cy="4857750"/>
            <wp:effectExtent l="0" t="0" r="0" b="0"/>
            <wp:docPr id="6" name="Picture 6" descr="0d323cb1-75bd-4e4b-92e8-5db6b518c8cb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d323cb1-75bd-4e4b-92e8-5db6b518c8cb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9950" cy="4857750"/>
                    </a:xfrm>
                    <a:prstGeom prst="rect">
                      <a:avLst/>
                    </a:prstGeom>
                    <a:noFill/>
                    <a:ln>
                      <a:noFill/>
                    </a:ln>
                  </pic:spPr>
                </pic:pic>
              </a:graphicData>
            </a:graphic>
          </wp:inline>
        </w:drawing>
      </w:r>
      <w:bookmarkEnd w:id="0"/>
    </w:p>
    <w:p w:rsidR="00E92353" w:rsidRDefault="00E92353" w:rsidP="00E92353">
      <w:pPr>
        <w:pStyle w:val="EntText"/>
        <w:spacing w:before="480"/>
      </w:pPr>
      <w:r w:rsidRPr="00E92353">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92353">
        <w:instrText>COM(2017) 416 final</w:instrText>
      </w:r>
      <w:r>
        <w:instrText xml:space="preserve">" </w:instrText>
      </w:r>
      <w:r>
        <w:fldChar w:fldCharType="separate"/>
      </w:r>
      <w:r w:rsidRPr="00E92353">
        <w:t>COM(2017) 416 final</w:t>
      </w:r>
      <w:r>
        <w:fldChar w:fldCharType="end"/>
      </w:r>
      <w:r w:rsidRPr="00E92353">
        <w:t>.</w:t>
      </w:r>
    </w:p>
    <w:p w:rsidR="00E92353" w:rsidRDefault="00E92353" w:rsidP="00E92353">
      <w:pPr>
        <w:pStyle w:val="Lignefinal"/>
      </w:pPr>
    </w:p>
    <w:p w:rsidR="00E92353" w:rsidRPr="00E92353" w:rsidRDefault="00E92353" w:rsidP="00E92353">
      <w:pPr>
        <w:pStyle w:val="pj"/>
        <w:spacing w:before="120"/>
      </w:pPr>
      <w:bookmarkStart w:id="1" w:name="_GoBack"/>
      <w:r w:rsidRPr="008A02C6">
        <w:rPr>
          <w:u w:val="single"/>
        </w:rPr>
        <w:t>Priloga</w:t>
      </w:r>
      <w:bookmarkEnd w:id="1"/>
      <w:r w:rsidRPr="00E92353">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92353">
        <w:instrText>COM(2017) 416 final</w:instrText>
      </w:r>
      <w:r>
        <w:instrText xml:space="preserve">" </w:instrText>
      </w:r>
      <w:r>
        <w:fldChar w:fldCharType="separate"/>
      </w:r>
      <w:r w:rsidRPr="00E92353">
        <w:t>COM(2017) 416 final</w:t>
      </w:r>
      <w:r>
        <w:fldChar w:fldCharType="end"/>
      </w:r>
    </w:p>
    <w:p w:rsidR="00E92353" w:rsidRDefault="00E92353" w:rsidP="00E92353">
      <w:pPr>
        <w:rPr>
          <w:noProof/>
        </w:rPr>
        <w:sectPr w:rsidR="00E92353" w:rsidSect="00E92353">
          <w:headerReference w:type="even" r:id="rId11"/>
          <w:headerReference w:type="default" r:id="rId12"/>
          <w:footerReference w:type="even" r:id="rId13"/>
          <w:footerReference w:type="default" r:id="rId14"/>
          <w:headerReference w:type="first" r:id="rId15"/>
          <w:footerReference w:type="first" r:id="rId16"/>
          <w:pgSz w:w="11907" w:h="16839" w:code="9"/>
          <w:pgMar w:top="624" w:right="1134" w:bottom="1134" w:left="1134" w:header="567" w:footer="567" w:gutter="0"/>
          <w:pgNumType w:start="0"/>
          <w:cols w:space="720"/>
          <w:titlePg/>
          <w:docGrid w:linePitch="360"/>
        </w:sectPr>
      </w:pPr>
    </w:p>
    <w:p w:rsidR="00990604" w:rsidRDefault="00E92353">
      <w:pPr>
        <w:pStyle w:val="Pagedecouverture"/>
        <w:rPr>
          <w:noProof/>
        </w:rPr>
      </w:pPr>
      <w:r>
        <w:rPr>
          <w:noProof/>
          <w:lang w:val="en-GB"/>
        </w:rPr>
        <w:lastRenderedPageBreak/>
        <w:drawing>
          <wp:inline distT="0" distB="0" distL="0" distR="0">
            <wp:extent cx="5724525" cy="4467225"/>
            <wp:effectExtent l="0" t="0" r="0" b="0"/>
            <wp:docPr id="1" name="Picture 1" descr="14012A2C312D48EBB8B7B922548D1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A2C312D48EBB8B7B922548D1D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4467225"/>
                    </a:xfrm>
                    <a:prstGeom prst="rect">
                      <a:avLst/>
                    </a:prstGeom>
                    <a:noFill/>
                    <a:ln>
                      <a:noFill/>
                    </a:ln>
                  </pic:spPr>
                </pic:pic>
              </a:graphicData>
            </a:graphic>
          </wp:inline>
        </w:drawing>
      </w:r>
    </w:p>
    <w:p w:rsidR="00990604" w:rsidRDefault="00990604">
      <w:pPr>
        <w:rPr>
          <w:noProof/>
        </w:rPr>
        <w:sectPr w:rsidR="00990604">
          <w:headerReference w:type="even" r:id="rId18"/>
          <w:headerReference w:type="default" r:id="rId19"/>
          <w:footerReference w:type="even" r:id="rId20"/>
          <w:footerReference w:type="default" r:id="rId21"/>
          <w:headerReference w:type="first" r:id="rId22"/>
          <w:footerReference w:type="first" r:id="rId23"/>
          <w:pgSz w:w="11907" w:h="16839" w:code="9"/>
          <w:pgMar w:top="1134" w:right="1417" w:bottom="1134" w:left="1417" w:header="709" w:footer="709" w:gutter="0"/>
          <w:pgNumType w:start="1"/>
          <w:cols w:space="720"/>
          <w:docGrid w:linePitch="360"/>
        </w:sectPr>
      </w:pPr>
    </w:p>
    <w:p w:rsidR="00990604" w:rsidRDefault="00E92353">
      <w:pPr>
        <w:pStyle w:val="Exposdesmotifstitre"/>
        <w:rPr>
          <w:noProof/>
        </w:rPr>
      </w:pPr>
      <w:r>
        <w:rPr>
          <w:noProof/>
        </w:rPr>
        <w:lastRenderedPageBreak/>
        <w:t>OBRAZLOŽITVENI MEMORANDUM</w:t>
      </w:r>
    </w:p>
    <w:p w:rsidR="00990604" w:rsidRDefault="00E92353">
      <w:pPr>
        <w:pStyle w:val="ManualHeading1"/>
        <w:rPr>
          <w:rFonts w:eastAsia="Arial Unicode MS"/>
          <w:noProof/>
        </w:rPr>
      </w:pPr>
      <w:r>
        <w:t>1.</w:t>
      </w:r>
      <w:r>
        <w:tab/>
      </w:r>
      <w:r>
        <w:rPr>
          <w:noProof/>
        </w:rPr>
        <w:t>Predmet urejanja predloga</w:t>
      </w:r>
    </w:p>
    <w:p w:rsidR="00990604" w:rsidRDefault="00E92353">
      <w:pPr>
        <w:rPr>
          <w:rFonts w:eastAsia="Arial Unicode MS"/>
          <w:noProof/>
        </w:rPr>
      </w:pPr>
      <w:r>
        <w:rPr>
          <w:noProof/>
        </w:rPr>
        <w:t xml:space="preserve">Ta predlog se nanaša na sklep o določitvi stališča, ki se v imenu Unije zastopa v Mednarodnem svetu za sladkor v zvezi s predvideno odločitvijo o podaljšanju Mednarodnega sporazuma o sladkorju iz leta 1992 za nadaljnji dve leti. </w:t>
      </w:r>
    </w:p>
    <w:p w:rsidR="00990604" w:rsidRDefault="00E92353">
      <w:pPr>
        <w:pStyle w:val="ManualHeading1"/>
        <w:rPr>
          <w:rFonts w:eastAsia="Arial Unicode MS"/>
          <w:noProof/>
        </w:rPr>
      </w:pPr>
      <w:r>
        <w:t>2.</w:t>
      </w:r>
      <w:r>
        <w:tab/>
      </w:r>
      <w:r>
        <w:rPr>
          <w:noProof/>
        </w:rPr>
        <w:t>Ozadje predloga</w:t>
      </w:r>
    </w:p>
    <w:p w:rsidR="00990604" w:rsidRDefault="00E92353">
      <w:pPr>
        <w:pStyle w:val="ManualHeading2"/>
        <w:rPr>
          <w:noProof/>
        </w:rPr>
      </w:pPr>
      <w:r>
        <w:t>2.1.</w:t>
      </w:r>
      <w:r>
        <w:tab/>
      </w:r>
      <w:r>
        <w:rPr>
          <w:noProof/>
        </w:rPr>
        <w:t>Mednarodni sporazum o sladkorju iz leta 1992</w:t>
      </w:r>
    </w:p>
    <w:p w:rsidR="00990604" w:rsidRDefault="00E92353">
      <w:pPr>
        <w:pStyle w:val="NormalWeb"/>
        <w:jc w:val="both"/>
        <w:rPr>
          <w:rFonts w:eastAsia="Arial Unicode MS"/>
          <w:i/>
          <w:noProof/>
        </w:rPr>
      </w:pPr>
      <w:r>
        <w:rPr>
          <w:noProof/>
        </w:rPr>
        <w:t>Cilj Mednarodnega sporazuma o sladkorju iz leta 1992 (v nadaljnjem besedilu: Sporazum) je zagotoviti okrepljeno mednarodno sodelovanje v zvezi s sladkorjem na svetovnih trgih in povezanih vprašanjih, oblikovati forum za medvladna posvetovanja o sladkorju in načinih za izboljšanje svetovnega gospodarstva na tem trgu, poenostaviti trgovanje s sladkorjem in drugimi sladili z zbiranjem in širjenjem informacij o dogajanju na tem področju ter spodbujati vse večje povpraševanje po sladkorju, zlasti za netradicionalne rabe. Sporazum je začel veljati 1. januarja 1993.</w:t>
      </w:r>
      <w:r>
        <w:rPr>
          <w:noProof/>
          <w:highlight w:val="yellow"/>
        </w:rPr>
        <w:t xml:space="preserve"> </w:t>
      </w:r>
    </w:p>
    <w:p w:rsidR="00990604" w:rsidRDefault="00E92353">
      <w:pPr>
        <w:rPr>
          <w:rFonts w:eastAsia="Arial Unicode MS"/>
          <w:noProof/>
        </w:rPr>
      </w:pPr>
      <w:r>
        <w:rPr>
          <w:noProof/>
        </w:rPr>
        <w:t>Evropska unija je pogodbenica Sporazuma</w:t>
      </w:r>
      <w:r>
        <w:rPr>
          <w:rStyle w:val="FootnoteReference"/>
          <w:noProof/>
        </w:rPr>
        <w:footnoteReference w:id="1"/>
      </w:r>
      <w:r>
        <w:rPr>
          <w:noProof/>
        </w:rPr>
        <w:t xml:space="preserve">. </w:t>
      </w:r>
    </w:p>
    <w:p w:rsidR="00990604" w:rsidRDefault="00E92353">
      <w:pPr>
        <w:pStyle w:val="ManualHeading2"/>
        <w:rPr>
          <w:noProof/>
        </w:rPr>
      </w:pPr>
      <w:r>
        <w:t>2.2.</w:t>
      </w:r>
      <w:r>
        <w:tab/>
      </w:r>
      <w:r>
        <w:rPr>
          <w:noProof/>
        </w:rPr>
        <w:t>Mednarodni svet za sladkor</w:t>
      </w:r>
    </w:p>
    <w:p w:rsidR="00990604" w:rsidRDefault="00E92353">
      <w:pPr>
        <w:pStyle w:val="NormalWeb"/>
        <w:jc w:val="both"/>
        <w:rPr>
          <w:noProof/>
          <w:color w:val="111111"/>
          <w:sz w:val="23"/>
          <w:szCs w:val="23"/>
        </w:rPr>
      </w:pPr>
      <w:r>
        <w:rPr>
          <w:noProof/>
        </w:rPr>
        <w:t>Mednarodni svet za sladkor je pristojno telo za opravljanje vseh nalog za izvajanje določb Sporazuma. Sprejema pravila in uredbe, vključno s poslovnikom Sveta in njegovih odborov, ter finančne in kadrovske predpise. Svet vodi vse potrebne evidence ter objavi letno poročilo in po potrebi tudi druge informacije</w:t>
      </w:r>
      <w:r>
        <w:rPr>
          <w:noProof/>
          <w:color w:val="111111"/>
          <w:sz w:val="23"/>
        </w:rPr>
        <w:t xml:space="preserve">. </w:t>
      </w:r>
    </w:p>
    <w:p w:rsidR="00990604" w:rsidRDefault="00E92353">
      <w:pPr>
        <w:pStyle w:val="NormalWeb"/>
        <w:jc w:val="both"/>
        <w:rPr>
          <w:noProof/>
          <w:color w:val="202020"/>
          <w:sz w:val="23"/>
          <w:szCs w:val="23"/>
        </w:rPr>
      </w:pPr>
      <w:r>
        <w:rPr>
          <w:noProof/>
          <w:color w:val="111111"/>
          <w:sz w:val="23"/>
        </w:rPr>
        <w:t>Članice Sporazuma imajo skupaj 2000 glasov. Vsaka članica Sporazuma ima določeno število glasov, ki se spreminja vsako leto po vnaprej določenih merilih v Sporazumu. Svet načeloma odloča s soglasjem, razen če Sporazum ne določa drugače. Če ni soglasja, se sklepi sprejmejo z navadno večino glasov, razen kadar Sporazum predvideva posebno glasovanje.</w:t>
      </w:r>
    </w:p>
    <w:p w:rsidR="00990604" w:rsidRDefault="00E92353">
      <w:pPr>
        <w:pStyle w:val="ManualHeading2"/>
        <w:rPr>
          <w:noProof/>
        </w:rPr>
      </w:pPr>
      <w:r>
        <w:t>2.3.</w:t>
      </w:r>
      <w:r>
        <w:tab/>
      </w:r>
      <w:r>
        <w:rPr>
          <w:noProof/>
        </w:rPr>
        <w:t>Predvideni akt Mednarodnega sveta za sladkor</w:t>
      </w:r>
    </w:p>
    <w:p w:rsidR="00990604" w:rsidRDefault="00E92353">
      <w:pPr>
        <w:rPr>
          <w:rFonts w:eastAsia="Arial Unicode MS"/>
          <w:noProof/>
        </w:rPr>
      </w:pPr>
      <w:r>
        <w:rPr>
          <w:noProof/>
        </w:rPr>
        <w:t xml:space="preserve">Na podlagi svojega 51. zasedanja 22. junija 2017 mora Mednarodni svet za sladkor sprejeti odločitev v zvezi s podaljšanjem Mednarodnega sporazuma o sladkorju iz leta 1992 za nadaljnji dve leti (v nadaljnjem besedilu: predvideni akt). Odločitev bo sprejeta po pisnem postopku. </w:t>
      </w:r>
    </w:p>
    <w:p w:rsidR="00990604" w:rsidRDefault="00E92353">
      <w:pPr>
        <w:rPr>
          <w:rFonts w:eastAsia="Arial Unicode MS"/>
          <w:noProof/>
        </w:rPr>
      </w:pPr>
      <w:r>
        <w:rPr>
          <w:noProof/>
        </w:rPr>
        <w:t>Predvideni akt postane zavezujoč za pogodbenice v skladu s členom 45(2) Sporazuma, ki določa:</w:t>
      </w:r>
      <w:r>
        <w:t xml:space="preserve"> </w:t>
      </w:r>
      <w:r>
        <w:rPr>
          <w:noProof/>
          <w:color w:val="111111"/>
          <w:sz w:val="23"/>
        </w:rPr>
        <w:t xml:space="preserve">Svet lahko s posebnim glasovanjem podaljša ta sporazum po 31. decembru 1995 za zaporedna obdobja, ki niso </w:t>
      </w:r>
      <w:r>
        <w:rPr>
          <w:noProof/>
        </w:rPr>
        <w:t>nikoli daljša od dveh let. Vsaka članica, ki ne sprejme takšnega podaljšanja tega sporazuma, o tem v pisni obliki obvesti Svet in preneha biti pogodbenica tega sporazuma od začetka obdobja podaljšanja</w:t>
      </w:r>
      <w:r>
        <w:t xml:space="preserve">. </w:t>
      </w:r>
    </w:p>
    <w:p w:rsidR="00990604" w:rsidRDefault="00E92353">
      <w:pPr>
        <w:pStyle w:val="ManualHeading1"/>
        <w:rPr>
          <w:rFonts w:eastAsia="Arial Unicode MS"/>
          <w:noProof/>
        </w:rPr>
      </w:pPr>
      <w:r>
        <w:lastRenderedPageBreak/>
        <w:t>3.</w:t>
      </w:r>
      <w:r>
        <w:tab/>
      </w:r>
      <w:r>
        <w:rPr>
          <w:noProof/>
        </w:rPr>
        <w:t>Stališče, ki se zastopa v imenu Unije</w:t>
      </w:r>
    </w:p>
    <w:p w:rsidR="00990604" w:rsidRDefault="00E92353">
      <w:pPr>
        <w:rPr>
          <w:rFonts w:eastAsia="Arial Unicode MS"/>
          <w:noProof/>
        </w:rPr>
      </w:pPr>
      <w:r>
        <w:rPr>
          <w:noProof/>
        </w:rPr>
        <w:t xml:space="preserve">Mednarodni sporazum o sladkorju iz leta 1992 (v nadaljnjem besedilu: Sporazum) je Skupnost sklenila s Sklepom Sveta 92/580/EGS in je začel veljati 1. januarja 1993 za tri leta do 31. decembra 1995. Od takrat ga je redno podaljševala za nadaljnja obdobja dveh let. Sporazum je bil nazadnje podaljšan s sklepom Mednarodnega sveta za sladkor junija 2015 in je veljaven do 31. decembra 2017. V interesu Evropske unije je, da se Sporazum nadalje podaljša za obdobje do dveh let. </w:t>
      </w:r>
    </w:p>
    <w:p w:rsidR="00990604" w:rsidRDefault="00E92353">
      <w:pPr>
        <w:rPr>
          <w:rFonts w:eastAsia="Arial Unicode MS"/>
          <w:noProof/>
        </w:rPr>
      </w:pPr>
      <w:r>
        <w:rPr>
          <w:noProof/>
        </w:rPr>
        <w:t xml:space="preserve">S podaljšanjem Sporazuma bi se podaljšalo plačevanje prispevka EU v upravni proračun Sporazuma in povzročil pravni učinek. Navedeni prispevek je v proračunu EU izkazan v členu 05 06 01 (Mednarodni kmetijski sporazumi). </w:t>
      </w:r>
    </w:p>
    <w:p w:rsidR="00990604" w:rsidRDefault="00E92353">
      <w:pPr>
        <w:rPr>
          <w:rFonts w:eastAsia="Arial Unicode MS"/>
          <w:noProof/>
        </w:rPr>
      </w:pPr>
      <w:r>
        <w:rPr>
          <w:noProof/>
        </w:rPr>
        <w:t xml:space="preserve">S tem predlogom Svet pooblasti Komisijo, da v imenu Unije v pisni obliki obvesti Mednarodni svet za sladkor, da se Unija strinja s podaljšanjem Sporazuma do 31. decembra 2019. </w:t>
      </w:r>
    </w:p>
    <w:p w:rsidR="00990604" w:rsidRDefault="00E92353">
      <w:pPr>
        <w:rPr>
          <w:rFonts w:eastAsia="Arial Unicode MS"/>
          <w:noProof/>
        </w:rPr>
      </w:pPr>
      <w:r>
        <w:rPr>
          <w:noProof/>
        </w:rPr>
        <w:t xml:space="preserve">Ker podaljšanje Sporazuma ustvarja pravni učinek za Unijo, je potrebno stališče Unije. </w:t>
      </w:r>
    </w:p>
    <w:p w:rsidR="00990604" w:rsidRDefault="00E92353">
      <w:pPr>
        <w:pStyle w:val="ManualHeading1"/>
        <w:rPr>
          <w:noProof/>
        </w:rPr>
      </w:pPr>
      <w:r>
        <w:t>4.</w:t>
      </w:r>
      <w:r>
        <w:tab/>
      </w:r>
      <w:r>
        <w:rPr>
          <w:noProof/>
        </w:rPr>
        <w:t>Pravna podlaga</w:t>
      </w:r>
    </w:p>
    <w:p w:rsidR="00990604" w:rsidRDefault="00E92353">
      <w:pPr>
        <w:pStyle w:val="ManualHeading2"/>
        <w:rPr>
          <w:noProof/>
        </w:rPr>
      </w:pPr>
      <w:r>
        <w:t>4.1.</w:t>
      </w:r>
      <w:r>
        <w:tab/>
      </w:r>
      <w:r>
        <w:rPr>
          <w:noProof/>
        </w:rPr>
        <w:t>Postopkovna pravna podlaga</w:t>
      </w:r>
    </w:p>
    <w:p w:rsidR="00990604" w:rsidRDefault="00E92353">
      <w:pPr>
        <w:pStyle w:val="ManualHeading3"/>
        <w:rPr>
          <w:noProof/>
        </w:rPr>
      </w:pPr>
      <w:r>
        <w:t>4.1.1.</w:t>
      </w:r>
      <w:r>
        <w:tab/>
      </w:r>
      <w:r>
        <w:rPr>
          <w:noProof/>
        </w:rPr>
        <w:t>Načela</w:t>
      </w:r>
    </w:p>
    <w:p w:rsidR="00990604" w:rsidRDefault="00E92353">
      <w:pPr>
        <w:rPr>
          <w:noProof/>
        </w:rPr>
      </w:pPr>
      <w:r>
        <w:rPr>
          <w:noProof/>
        </w:rPr>
        <w:t>V členu 218(9) Pogodbe o delovanju Evropske unije (v nadaljnjem besedilu: PDEU) so predvideni sklepi o določitvi „stališč, ki naj se v imenu Unije zastopajo v organu, ustanovljenem s sporazumom, kadar ta organ sprejema akte s pravnim učinkom, razen aktov o spremembah ali dopolnitvah institucionalnega okvira sporazuma“.</w:t>
      </w:r>
    </w:p>
    <w:p w:rsidR="00990604" w:rsidRDefault="00E92353">
      <w:pPr>
        <w:rPr>
          <w:noProof/>
        </w:rPr>
      </w:pPr>
      <w:r>
        <w:rPr>
          <w:noProof/>
        </w:rPr>
        <w:t>Pojem „</w:t>
      </w:r>
      <w:r>
        <w:rPr>
          <w:i/>
          <w:noProof/>
        </w:rPr>
        <w:t>akti s pravnim učinkom</w:t>
      </w:r>
      <w:r>
        <w:rPr>
          <w:noProof/>
        </w:rPr>
        <w:t>“ vključuje tudi akte, ki imajo pravni učinek zato, ker predstavljajo pravila mednarodnega prava, ki velja za zadevni organ. Vključuje tudi instrumente, ki nimajo zavezujočega učinka v mednarodnem pravu, a „</w:t>
      </w:r>
      <w:r>
        <w:rPr>
          <w:i/>
          <w:noProof/>
        </w:rPr>
        <w:t>lahko odločilno vplivajo na vsebino ureditve, ki jo sprejme zakonodajalec Unije</w:t>
      </w:r>
      <w:r>
        <w:rPr>
          <w:noProof/>
        </w:rPr>
        <w:t>“</w:t>
      </w:r>
      <w:r>
        <w:rPr>
          <w:rStyle w:val="FootnoteReference"/>
          <w:noProof/>
        </w:rPr>
        <w:footnoteReference w:id="2"/>
      </w:r>
      <w:r>
        <w:rPr>
          <w:noProof/>
        </w:rPr>
        <w:t>.</w:t>
      </w:r>
    </w:p>
    <w:p w:rsidR="00990604" w:rsidRDefault="00E92353">
      <w:pPr>
        <w:pStyle w:val="ManualHeading3"/>
        <w:rPr>
          <w:noProof/>
        </w:rPr>
      </w:pPr>
      <w:r>
        <w:t>4.1.2.</w:t>
      </w:r>
      <w:r>
        <w:tab/>
      </w:r>
      <w:r>
        <w:rPr>
          <w:noProof/>
        </w:rPr>
        <w:t>Uporaba v obravnavanem primeru</w:t>
      </w:r>
    </w:p>
    <w:p w:rsidR="00990604" w:rsidRDefault="00E92353">
      <w:pPr>
        <w:rPr>
          <w:noProof/>
        </w:rPr>
      </w:pPr>
      <w:r>
        <w:rPr>
          <w:noProof/>
        </w:rPr>
        <w:t>Mednarodni svet za sladkor je organ, ustanovljen s sporazumom, in sicer Mednarodnim sporazumom o sladkorju iz leta 1992.</w:t>
      </w:r>
    </w:p>
    <w:p w:rsidR="00990604" w:rsidRDefault="00E92353">
      <w:pPr>
        <w:rPr>
          <w:noProof/>
        </w:rPr>
      </w:pPr>
      <w:r>
        <w:rPr>
          <w:noProof/>
        </w:rPr>
        <w:t xml:space="preserve">Akt, k sprejetju katerega se poziva Mednarodni svet za sladkor, je akt s pravnim učinkom. Predvideni akt bo zavezujoč v mednarodnem pravu v skladu s členom 45(2) Sporazuma. </w:t>
      </w:r>
    </w:p>
    <w:p w:rsidR="00990604" w:rsidRDefault="00E92353">
      <w:pPr>
        <w:rPr>
          <w:noProof/>
        </w:rPr>
      </w:pPr>
      <w:r>
        <w:rPr>
          <w:noProof/>
        </w:rPr>
        <w:t>Predvideni akt ne dopolnjuje ali spreminja institucionalnega okvira sporazuma.</w:t>
      </w:r>
    </w:p>
    <w:p w:rsidR="00990604" w:rsidRDefault="00E92353">
      <w:pPr>
        <w:rPr>
          <w:noProof/>
        </w:rPr>
      </w:pPr>
      <w:r>
        <w:rPr>
          <w:noProof/>
        </w:rPr>
        <w:t>Postopkovna pravna podlaga za predlagani sklep je zato člen 218(9) PDEU.</w:t>
      </w:r>
    </w:p>
    <w:p w:rsidR="00990604" w:rsidRDefault="00E92353">
      <w:pPr>
        <w:pStyle w:val="ManualHeading2"/>
        <w:rPr>
          <w:noProof/>
        </w:rPr>
      </w:pPr>
      <w:r>
        <w:lastRenderedPageBreak/>
        <w:t>4.2.</w:t>
      </w:r>
      <w:r>
        <w:tab/>
      </w:r>
      <w:r>
        <w:rPr>
          <w:noProof/>
        </w:rPr>
        <w:t>Materialna pravna podlaga</w:t>
      </w:r>
    </w:p>
    <w:p w:rsidR="00990604" w:rsidRDefault="00E92353">
      <w:pPr>
        <w:pStyle w:val="ManualHeading3"/>
        <w:rPr>
          <w:noProof/>
        </w:rPr>
      </w:pPr>
      <w:r>
        <w:t>4.2.1.</w:t>
      </w:r>
      <w:r>
        <w:tab/>
      </w:r>
      <w:r>
        <w:rPr>
          <w:noProof/>
        </w:rPr>
        <w:t>Načela</w:t>
      </w:r>
    </w:p>
    <w:p w:rsidR="00990604" w:rsidRDefault="00E92353">
      <w:pPr>
        <w:rPr>
          <w:noProof/>
        </w:rPr>
      </w:pPr>
      <w:r>
        <w:rPr>
          <w:noProof/>
        </w:rPr>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rsidR="00990604" w:rsidRDefault="00E92353">
      <w:pPr>
        <w:pStyle w:val="ManualHeading3"/>
        <w:rPr>
          <w:noProof/>
        </w:rPr>
      </w:pPr>
      <w:r>
        <w:t>4.2.2.</w:t>
      </w:r>
      <w:r>
        <w:tab/>
      </w:r>
      <w:r>
        <w:rPr>
          <w:noProof/>
        </w:rPr>
        <w:t>Uporaba v obravnavanem primeru</w:t>
      </w:r>
    </w:p>
    <w:p w:rsidR="00990604" w:rsidRDefault="00E92353">
      <w:r>
        <w:rPr>
          <w:noProof/>
        </w:rPr>
        <w:t>Glavni cilj in vsebina predvidenega akta se nanašata na skupno trgovinsko politiko.</w:t>
      </w:r>
    </w:p>
    <w:p w:rsidR="00990604" w:rsidRDefault="00E92353">
      <w:pPr>
        <w:rPr>
          <w:noProof/>
        </w:rPr>
      </w:pPr>
      <w:r>
        <w:rPr>
          <w:noProof/>
        </w:rPr>
        <w:t>Materialna pravna podlaga za predlagani sklep je torej člen 207 PDEU.</w:t>
      </w:r>
    </w:p>
    <w:p w:rsidR="00990604" w:rsidRDefault="00E92353">
      <w:pPr>
        <w:pStyle w:val="ManualHeading2"/>
        <w:rPr>
          <w:noProof/>
        </w:rPr>
      </w:pPr>
      <w:r>
        <w:t>4.3.</w:t>
      </w:r>
      <w:r>
        <w:tab/>
      </w:r>
      <w:r>
        <w:rPr>
          <w:noProof/>
        </w:rPr>
        <w:t>Zaključek</w:t>
      </w:r>
    </w:p>
    <w:p w:rsidR="00990604" w:rsidRDefault="00E92353">
      <w:pPr>
        <w:rPr>
          <w:noProof/>
        </w:rPr>
      </w:pPr>
      <w:r>
        <w:rPr>
          <w:noProof/>
        </w:rPr>
        <w:t>Pravna podlaga predlaganega sklepa bi moral biti člen 207 PDEU v povezavi s členom 218(9) PDEU.</w:t>
      </w:r>
    </w:p>
    <w:p w:rsidR="00990604" w:rsidRDefault="00990604">
      <w:pPr>
        <w:rPr>
          <w:noProof/>
        </w:rPr>
        <w:sectPr w:rsidR="00990604">
          <w:footerReference w:type="default" r:id="rId24"/>
          <w:footerReference w:type="first" r:id="rId25"/>
          <w:pgSz w:w="11907" w:h="16839"/>
          <w:pgMar w:top="1134" w:right="1417" w:bottom="1134" w:left="1417" w:header="709" w:footer="709" w:gutter="0"/>
          <w:cols w:space="708"/>
          <w:docGrid w:linePitch="360"/>
        </w:sectPr>
      </w:pPr>
    </w:p>
    <w:p w:rsidR="00990604" w:rsidRDefault="00E92353">
      <w:pPr>
        <w:pStyle w:val="Rfrenceinterinstitutionnelle"/>
        <w:rPr>
          <w:noProof/>
        </w:rPr>
      </w:pPr>
      <w:r>
        <w:rPr>
          <w:noProof/>
        </w:rPr>
        <w:lastRenderedPageBreak/>
        <w:t>2017/0187 (NLE)</w:t>
      </w:r>
    </w:p>
    <w:p w:rsidR="00990604" w:rsidRDefault="00E92353">
      <w:pPr>
        <w:pStyle w:val="Statut"/>
        <w:rPr>
          <w:noProof/>
        </w:rPr>
      </w:pPr>
      <w:r>
        <w:rPr>
          <w:noProof/>
        </w:rPr>
        <w:t>Predlog</w:t>
      </w:r>
    </w:p>
    <w:p w:rsidR="00990604" w:rsidRDefault="00E92353">
      <w:pPr>
        <w:pStyle w:val="Typedudocument"/>
        <w:rPr>
          <w:noProof/>
        </w:rPr>
      </w:pPr>
      <w:r>
        <w:rPr>
          <w:noProof/>
        </w:rPr>
        <w:t>SKLEP SVETA</w:t>
      </w:r>
    </w:p>
    <w:p w:rsidR="00990604" w:rsidRDefault="00E92353">
      <w:pPr>
        <w:pStyle w:val="Titreobjet"/>
        <w:rPr>
          <w:noProof/>
        </w:rPr>
      </w:pPr>
      <w:r>
        <w:rPr>
          <w:noProof/>
        </w:rPr>
        <w:t>o stališču, ki se zastopa v imenu Evropske unije v Mednarodnem svetu za sladkor v zvezi s podaljšanjem Mednarodnega sporazuma o sladkorju iz leta 1992</w:t>
      </w:r>
    </w:p>
    <w:p w:rsidR="00990604" w:rsidRDefault="00E92353">
      <w:pPr>
        <w:pStyle w:val="Institutionquiagit"/>
        <w:rPr>
          <w:noProof/>
        </w:rPr>
      </w:pPr>
      <w:r>
        <w:rPr>
          <w:noProof/>
        </w:rPr>
        <w:t>SVET EVROPSKE UNIJE JE –</w:t>
      </w:r>
    </w:p>
    <w:p w:rsidR="00990604" w:rsidRDefault="00E92353">
      <w:pPr>
        <w:rPr>
          <w:noProof/>
        </w:rPr>
      </w:pPr>
      <w:r>
        <w:rPr>
          <w:noProof/>
        </w:rPr>
        <w:t>ob upoštevanju Pogodbe o delovanju Evropske unije in zlasti člena 207 v povezavi s členom 218(9) Pogodbe,</w:t>
      </w:r>
    </w:p>
    <w:p w:rsidR="00990604" w:rsidRDefault="00E92353">
      <w:pPr>
        <w:rPr>
          <w:noProof/>
        </w:rPr>
      </w:pPr>
      <w:r>
        <w:rPr>
          <w:noProof/>
        </w:rPr>
        <w:t>ob upoštevanju predloga Evropske komisije,</w:t>
      </w:r>
    </w:p>
    <w:p w:rsidR="00990604" w:rsidRDefault="00E92353">
      <w:pPr>
        <w:rPr>
          <w:noProof/>
        </w:rPr>
      </w:pPr>
      <w:r>
        <w:rPr>
          <w:noProof/>
        </w:rPr>
        <w:t>ob upoštevanju naslednjega:</w:t>
      </w:r>
    </w:p>
    <w:p w:rsidR="00990604" w:rsidRDefault="00E92353">
      <w:pPr>
        <w:pStyle w:val="ManualConsidrant"/>
        <w:rPr>
          <w:noProof/>
        </w:rPr>
      </w:pPr>
      <w:r>
        <w:t>(1)</w:t>
      </w:r>
      <w:r>
        <w:tab/>
      </w:r>
      <w:r>
        <w:rPr>
          <w:noProof/>
        </w:rPr>
        <w:t>Mednarodni sporazum o sladkorju iz leta 1992 (v nadaljnjem besedilu: Sporazum) je bil sklenjen s Sklepom Sveta 92/580/EGS</w:t>
      </w:r>
      <w:r>
        <w:rPr>
          <w:rStyle w:val="FootnoteReference"/>
          <w:noProof/>
        </w:rPr>
        <w:footnoteReference w:id="3"/>
      </w:r>
      <w:r>
        <w:rPr>
          <w:noProof/>
        </w:rPr>
        <w:t xml:space="preserve"> in je začel veljati 1. januarja 1993 za tri leta do 31. decembra 1995. Od takrat se je redno podaljševal za nadaljnja obdobja dveh let. Nazadnje je bil podaljšan s sklepom Mednarodnega sveta za sladkor junija 2015</w:t>
      </w:r>
      <w:r>
        <w:rPr>
          <w:rStyle w:val="FootnoteReference"/>
          <w:noProof/>
        </w:rPr>
        <w:footnoteReference w:id="4"/>
      </w:r>
      <w:r>
        <w:rPr>
          <w:noProof/>
        </w:rPr>
        <w:t xml:space="preserve"> in je veljaven do 31. decembra 2017. </w:t>
      </w:r>
    </w:p>
    <w:p w:rsidR="00990604" w:rsidRDefault="00E92353">
      <w:pPr>
        <w:pStyle w:val="ManualConsidrant"/>
        <w:rPr>
          <w:noProof/>
        </w:rPr>
      </w:pPr>
      <w:r>
        <w:t>(2)</w:t>
      </w:r>
      <w:r>
        <w:tab/>
      </w:r>
      <w:r>
        <w:rPr>
          <w:noProof/>
        </w:rPr>
        <w:t>Na podlagi člena 45(2) Sporazuma lahko Svet s posebnim glasovanjem podaljša ta sporazum po 31. decembru 1995 za zaporedna obdobja, ki niso nikoli daljša od dveh let. Vsaka članica, ki ne sprejme takšnega podaljšanja tega sporazuma, o tem v pisni obliki obvesti Svet in preneha biti pogodbenica tega sporazuma od začetka obdobja podaljšanja.</w:t>
      </w:r>
    </w:p>
    <w:p w:rsidR="00990604" w:rsidRDefault="00E92353">
      <w:pPr>
        <w:pStyle w:val="ManualConsidrant"/>
        <w:rPr>
          <w:noProof/>
        </w:rPr>
      </w:pPr>
      <w:r>
        <w:t>(3)</w:t>
      </w:r>
      <w:r>
        <w:tab/>
      </w:r>
      <w:r>
        <w:rPr>
          <w:noProof/>
        </w:rPr>
        <w:t xml:space="preserve"> Na podlagi svojega 51. zasedanja 22. junija 2017 mora Mednarodni svet za sladkor sprejeti odločitev v zvezi s podaljšanjem Mednarodnega sporazuma o sladkorju iz leta 1992 za nadaljnji dve leti (v nadaljnjem besedilu: predvideni akt). Odločitev bo sprejeta po pisnem postopku. </w:t>
      </w:r>
    </w:p>
    <w:p w:rsidR="00990604" w:rsidRDefault="00E92353">
      <w:pPr>
        <w:pStyle w:val="ManualConsidrant"/>
        <w:rPr>
          <w:noProof/>
        </w:rPr>
      </w:pPr>
      <w:r>
        <w:t>(4)</w:t>
      </w:r>
      <w:r>
        <w:tab/>
      </w:r>
      <w:r>
        <w:rPr>
          <w:noProof/>
        </w:rPr>
        <w:t>Primerno je, da se določi stališče, ki se v imenu Unije zastopa v Mednarodnem svetu za sladkor, saj bo podaljšanje Sporazuma zavezujoče za Unijo.</w:t>
      </w:r>
    </w:p>
    <w:p w:rsidR="00990604" w:rsidRDefault="00E92353">
      <w:pPr>
        <w:pStyle w:val="ManualConsidrant"/>
        <w:rPr>
          <w:noProof/>
        </w:rPr>
      </w:pPr>
      <w:r>
        <w:t>(5)</w:t>
      </w:r>
      <w:r>
        <w:tab/>
      </w:r>
      <w:r>
        <w:rPr>
          <w:noProof/>
        </w:rPr>
        <w:t>V interesu Evropske unije je, da se Sporazum nadalje podaljša za obdobje do dveh let.</w:t>
      </w:r>
    </w:p>
    <w:p w:rsidR="00990604" w:rsidRDefault="00E92353">
      <w:pPr>
        <w:pStyle w:val="ManualConsidrant"/>
        <w:rPr>
          <w:noProof/>
        </w:rPr>
      </w:pPr>
      <w:r>
        <w:t>(6)</w:t>
      </w:r>
      <w:r>
        <w:tab/>
      </w:r>
      <w:r>
        <w:rPr>
          <w:noProof/>
        </w:rPr>
        <w:t>V Mednarodnem svetu za sladkor Unijo zastopa Komisija v skladu s členom 17(1) Pogodbe o Evropski uniji –</w:t>
      </w:r>
    </w:p>
    <w:p w:rsidR="00990604" w:rsidRDefault="00E92353">
      <w:pPr>
        <w:pStyle w:val="Formuledadoption"/>
        <w:rPr>
          <w:noProof/>
        </w:rPr>
      </w:pPr>
      <w:r>
        <w:rPr>
          <w:noProof/>
        </w:rPr>
        <w:lastRenderedPageBreak/>
        <w:t>SPREJEL NASLEDNJI SKLEP:</w:t>
      </w:r>
    </w:p>
    <w:p w:rsidR="00990604" w:rsidRDefault="00E92353">
      <w:pPr>
        <w:pStyle w:val="Titrearticle"/>
        <w:rPr>
          <w:noProof/>
        </w:rPr>
      </w:pPr>
      <w:r>
        <w:rPr>
          <w:noProof/>
        </w:rPr>
        <w:t>Člen 1</w:t>
      </w:r>
    </w:p>
    <w:p w:rsidR="00990604" w:rsidRDefault="00E92353">
      <w:pPr>
        <w:rPr>
          <w:noProof/>
        </w:rPr>
      </w:pPr>
      <w:r>
        <w:rPr>
          <w:noProof/>
        </w:rPr>
        <w:t>Pisno stališče, ki se v imenu Unije zastopa na podlagi 51. zasedanja Mednarodnega sveta za sladkor, je naslednje:</w:t>
      </w:r>
    </w:p>
    <w:p w:rsidR="00990604" w:rsidRDefault="00E92353">
      <w:pPr>
        <w:rPr>
          <w:noProof/>
        </w:rPr>
      </w:pPr>
      <w:r>
        <w:rPr>
          <w:noProof/>
        </w:rPr>
        <w:t>pooblastiti Komisijo, da sprejme stališče v prid podaljšanja Mednarodnega sporazuma o sladkorju iz leta 1992 za nadaljnje obdobje do dveh let.</w:t>
      </w:r>
    </w:p>
    <w:p w:rsidR="00990604" w:rsidRDefault="00E92353">
      <w:pPr>
        <w:pStyle w:val="Titrearticle"/>
        <w:rPr>
          <w:noProof/>
        </w:rPr>
      </w:pPr>
      <w:r>
        <w:rPr>
          <w:noProof/>
        </w:rPr>
        <w:t xml:space="preserve"> Člen 2</w:t>
      </w:r>
    </w:p>
    <w:p w:rsidR="00990604" w:rsidRDefault="00E92353">
      <w:pPr>
        <w:rPr>
          <w:noProof/>
        </w:rPr>
      </w:pPr>
      <w:r>
        <w:rPr>
          <w:noProof/>
        </w:rPr>
        <w:t>Akt Mednarodnega sveta za sladkor se po sprejetju objavi v Uradnem listu Evropske unije.</w:t>
      </w:r>
    </w:p>
    <w:p w:rsidR="00990604" w:rsidRDefault="00E92353">
      <w:pPr>
        <w:pStyle w:val="Titrearticle"/>
        <w:rPr>
          <w:noProof/>
        </w:rPr>
      </w:pPr>
      <w:r>
        <w:rPr>
          <w:noProof/>
        </w:rPr>
        <w:t>Člen 3</w:t>
      </w:r>
    </w:p>
    <w:p w:rsidR="00990604" w:rsidRDefault="00E92353">
      <w:pPr>
        <w:pStyle w:val="Titrearticle"/>
        <w:keepLines/>
        <w:jc w:val="both"/>
        <w:rPr>
          <w:noProof/>
        </w:rPr>
      </w:pPr>
      <w:r>
        <w:rPr>
          <w:i w:val="0"/>
          <w:noProof/>
        </w:rPr>
        <w:t>Ta sklep je naslovljen na Komisijo.</w:t>
      </w:r>
    </w:p>
    <w:p w:rsidR="00990604" w:rsidRDefault="00E92353">
      <w:pPr>
        <w:pStyle w:val="Fait"/>
        <w:rPr>
          <w:noProof/>
        </w:rPr>
      </w:pPr>
      <w:r>
        <w:rPr>
          <w:noProof/>
        </w:rPr>
        <w:t>V Bruslju,</w:t>
      </w:r>
    </w:p>
    <w:p w:rsidR="00990604" w:rsidRDefault="00E92353">
      <w:pPr>
        <w:pStyle w:val="Institutionquisigne"/>
        <w:rPr>
          <w:noProof/>
        </w:rPr>
      </w:pPr>
      <w:r>
        <w:rPr>
          <w:noProof/>
        </w:rPr>
        <w:tab/>
        <w:t>Za Svet</w:t>
      </w:r>
    </w:p>
    <w:p w:rsidR="00990604" w:rsidRDefault="00E92353">
      <w:pPr>
        <w:pStyle w:val="Personnequisigne"/>
        <w:keepNext/>
        <w:rPr>
          <w:noProof/>
        </w:rPr>
        <w:sectPr w:rsidR="00990604">
          <w:pgSz w:w="11907" w:h="16839"/>
          <w:pgMar w:top="1134" w:right="1417" w:bottom="1134" w:left="1417" w:header="709" w:footer="709" w:gutter="0"/>
          <w:cols w:space="708"/>
          <w:docGrid w:linePitch="360"/>
        </w:sectPr>
      </w:pPr>
      <w:r>
        <w:rPr>
          <w:noProof/>
        </w:rPr>
        <w:tab/>
        <w:t>Predsednik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2"/>
        <w:gridCol w:w="283"/>
        <w:gridCol w:w="567"/>
        <w:gridCol w:w="1134"/>
      </w:tblGrid>
      <w:tr w:rsidR="00990604">
        <w:trPr>
          <w:trHeight w:val="355"/>
        </w:trPr>
        <w:tc>
          <w:tcPr>
            <w:tcW w:w="7144" w:type="dxa"/>
            <w:gridSpan w:val="6"/>
            <w:vMerge w:val="restart"/>
          </w:tcPr>
          <w:p w:rsidR="00990604" w:rsidRDefault="00E92353">
            <w:pPr>
              <w:pStyle w:val="Fichefinanciretitretable"/>
              <w:keepNext/>
              <w:rPr>
                <w:noProof/>
              </w:rPr>
            </w:pPr>
            <w:r>
              <w:rPr>
                <w:noProof/>
              </w:rPr>
              <w:lastRenderedPageBreak/>
              <w:t>OCENA FINANČNIH POSLEDIC</w:t>
            </w:r>
          </w:p>
        </w:tc>
        <w:tc>
          <w:tcPr>
            <w:tcW w:w="1984" w:type="dxa"/>
            <w:gridSpan w:val="3"/>
          </w:tcPr>
          <w:p w:rsidR="00990604" w:rsidRDefault="00E92353">
            <w:pPr>
              <w:pStyle w:val="Fichefinanciretextetable"/>
              <w:keepNext/>
            </w:pPr>
            <w:r>
              <w:t>Fin Stat/17/MK/ig/</w:t>
            </w:r>
          </w:p>
          <w:p w:rsidR="00990604" w:rsidRDefault="00E92353">
            <w:pPr>
              <w:pStyle w:val="Fichefinanciretextetable"/>
              <w:keepNext/>
            </w:pPr>
            <w:r>
              <w:rPr>
                <w:noProof/>
              </w:rPr>
              <w:t>rev1_3163147</w:t>
            </w:r>
          </w:p>
          <w:p w:rsidR="00990604" w:rsidRDefault="00E92353">
            <w:pPr>
              <w:pStyle w:val="Fichefinanciretextetable"/>
              <w:keepNext/>
            </w:pPr>
            <w:r>
              <w:rPr>
                <w:noProof/>
                <w:sz w:val="16"/>
              </w:rPr>
              <w:t>agri.ddg3.g.4(2017)3127013</w:t>
            </w:r>
          </w:p>
        </w:tc>
      </w:tr>
      <w:tr w:rsidR="00990604">
        <w:trPr>
          <w:trHeight w:val="355"/>
        </w:trPr>
        <w:tc>
          <w:tcPr>
            <w:tcW w:w="7144" w:type="dxa"/>
            <w:gridSpan w:val="6"/>
            <w:vMerge/>
            <w:tcBorders>
              <w:bottom w:val="nil"/>
            </w:tcBorders>
          </w:tcPr>
          <w:p w:rsidR="00990604" w:rsidRDefault="00990604">
            <w:pPr>
              <w:pStyle w:val="Fichefinanciretitretable"/>
              <w:keepNext/>
              <w:rPr>
                <w:noProof/>
              </w:rPr>
            </w:pPr>
          </w:p>
        </w:tc>
        <w:tc>
          <w:tcPr>
            <w:tcW w:w="1984" w:type="dxa"/>
            <w:gridSpan w:val="3"/>
          </w:tcPr>
          <w:p w:rsidR="00990604" w:rsidRDefault="00E92353">
            <w:pPr>
              <w:pStyle w:val="Fichefinanciretextetable"/>
              <w:keepNext/>
            </w:pPr>
            <w:r>
              <w:rPr>
                <w:rFonts w:ascii="Arial" w:hAnsi="Arial"/>
                <w:i/>
                <w:noProof/>
                <w:spacing w:val="-3"/>
              </w:rPr>
              <w:t>6.221.2017.1</w:t>
            </w:r>
          </w:p>
        </w:tc>
      </w:tr>
      <w:tr w:rsidR="00990604">
        <w:tc>
          <w:tcPr>
            <w:tcW w:w="7144" w:type="dxa"/>
            <w:gridSpan w:val="6"/>
            <w:tcBorders>
              <w:top w:val="nil"/>
            </w:tcBorders>
          </w:tcPr>
          <w:p w:rsidR="00990604" w:rsidRDefault="00990604">
            <w:pPr>
              <w:pStyle w:val="Fichefinanciretextetable"/>
              <w:keepNext/>
              <w:rPr>
                <w:noProof/>
              </w:rPr>
            </w:pPr>
          </w:p>
        </w:tc>
        <w:tc>
          <w:tcPr>
            <w:tcW w:w="1984" w:type="dxa"/>
            <w:gridSpan w:val="3"/>
          </w:tcPr>
          <w:p w:rsidR="00990604" w:rsidRDefault="00E92353">
            <w:pPr>
              <w:pStyle w:val="Fichefinanciretextetable"/>
              <w:keepNext/>
            </w:pPr>
            <w:r>
              <w:rPr>
                <w:noProof/>
              </w:rPr>
              <w:t xml:space="preserve">DATUM: 11. </w:t>
            </w:r>
            <w:r>
              <w:t>7. 2017</w:t>
            </w:r>
          </w:p>
          <w:p w:rsidR="00990604" w:rsidRDefault="00990604">
            <w:pPr>
              <w:pStyle w:val="Fichefinanciretextetable"/>
              <w:keepNext/>
              <w:rPr>
                <w:noProof/>
              </w:rPr>
            </w:pPr>
          </w:p>
        </w:tc>
      </w:tr>
      <w:tr w:rsidR="00990604">
        <w:tc>
          <w:tcPr>
            <w:tcW w:w="567" w:type="dxa"/>
            <w:tcBorders>
              <w:right w:val="nil"/>
            </w:tcBorders>
          </w:tcPr>
          <w:p w:rsidR="00990604" w:rsidRDefault="00E92353">
            <w:pPr>
              <w:pStyle w:val="Fichefinanciretextetable"/>
              <w:keepNext/>
              <w:rPr>
                <w:noProof/>
              </w:rPr>
            </w:pPr>
            <w:r>
              <w:rPr>
                <w:noProof/>
              </w:rPr>
              <w:t>1.</w:t>
            </w:r>
          </w:p>
        </w:tc>
        <w:tc>
          <w:tcPr>
            <w:tcW w:w="6577" w:type="dxa"/>
            <w:gridSpan w:val="5"/>
            <w:tcBorders>
              <w:left w:val="nil"/>
              <w:right w:val="nil"/>
            </w:tcBorders>
          </w:tcPr>
          <w:p w:rsidR="00990604" w:rsidRDefault="00E92353">
            <w:pPr>
              <w:pStyle w:val="Fichefinanciretextetable"/>
              <w:keepNext/>
              <w:rPr>
                <w:noProof/>
              </w:rPr>
            </w:pPr>
            <w:r>
              <w:rPr>
                <w:noProof/>
              </w:rPr>
              <w:t>PRORAČUNSKA POSTAVKA:</w:t>
            </w:r>
          </w:p>
          <w:p w:rsidR="00990604" w:rsidRDefault="00E92353">
            <w:pPr>
              <w:pStyle w:val="Fichefinanciretextetable"/>
              <w:keepNext/>
              <w:rPr>
                <w:noProof/>
              </w:rPr>
            </w:pPr>
            <w:r>
              <w:rPr>
                <w:noProof/>
              </w:rPr>
              <w:t>Poglavje 05 06 – MEDNARODNI VIDIKI NA PODROČJU POLITIKE „KMETIJSTVO IN RAZVOJ PODEŽELJA“</w:t>
            </w:r>
          </w:p>
          <w:p w:rsidR="00990604" w:rsidRDefault="00E92353">
            <w:pPr>
              <w:pStyle w:val="Fichefinanciretextetable"/>
              <w:keepNext/>
              <w:rPr>
                <w:noProof/>
              </w:rPr>
            </w:pPr>
            <w:r>
              <w:rPr>
                <w:noProof/>
              </w:rPr>
              <w:t>05 06 01 Mednarodni kmetijski sporazumi</w:t>
            </w:r>
          </w:p>
          <w:p w:rsidR="00990604" w:rsidRDefault="00990604">
            <w:pPr>
              <w:pStyle w:val="Fichefinanciretextetable"/>
              <w:keepNext/>
              <w:rPr>
                <w:noProof/>
              </w:rPr>
            </w:pPr>
          </w:p>
        </w:tc>
        <w:tc>
          <w:tcPr>
            <w:tcW w:w="1984" w:type="dxa"/>
            <w:gridSpan w:val="3"/>
            <w:tcBorders>
              <w:left w:val="nil"/>
            </w:tcBorders>
          </w:tcPr>
          <w:p w:rsidR="00990604" w:rsidRDefault="00E92353">
            <w:pPr>
              <w:pStyle w:val="Fichefinanciretextetable"/>
              <w:keepNext/>
              <w:rPr>
                <w:noProof/>
              </w:rPr>
            </w:pPr>
            <w:r>
              <w:rPr>
                <w:noProof/>
              </w:rPr>
              <w:t>ODOBRITVE:</w:t>
            </w:r>
          </w:p>
          <w:p w:rsidR="00990604" w:rsidRDefault="00990604">
            <w:pPr>
              <w:pStyle w:val="Fichefinanciretextetable"/>
              <w:keepNext/>
              <w:rPr>
                <w:noProof/>
              </w:rPr>
            </w:pPr>
          </w:p>
          <w:p w:rsidR="00990604" w:rsidRDefault="00E92353">
            <w:pPr>
              <w:pStyle w:val="Fichefinanciretextetable"/>
              <w:keepNext/>
              <w:rPr>
                <w:noProof/>
              </w:rPr>
            </w:pPr>
            <w:r>
              <w:rPr>
                <w:noProof/>
              </w:rPr>
              <w:t>B2017: 8 105 849 EUR</w:t>
            </w:r>
          </w:p>
          <w:p w:rsidR="00990604" w:rsidRDefault="00E92353">
            <w:pPr>
              <w:pStyle w:val="Fichefinanciretextetable"/>
              <w:keepNext/>
              <w:rPr>
                <w:noProof/>
              </w:rPr>
            </w:pPr>
            <w:r>
              <w:rPr>
                <w:noProof/>
              </w:rPr>
              <w:t>DB2018: 7 228 000 EUR</w:t>
            </w:r>
          </w:p>
        </w:tc>
      </w:tr>
      <w:tr w:rsidR="00990604">
        <w:tc>
          <w:tcPr>
            <w:tcW w:w="567" w:type="dxa"/>
            <w:tcBorders>
              <w:bottom w:val="nil"/>
              <w:right w:val="nil"/>
            </w:tcBorders>
          </w:tcPr>
          <w:p w:rsidR="00990604" w:rsidRDefault="00E92353">
            <w:pPr>
              <w:pStyle w:val="Fichefinanciretextetable"/>
              <w:keepNext/>
              <w:rPr>
                <w:noProof/>
              </w:rPr>
            </w:pPr>
            <w:r>
              <w:rPr>
                <w:noProof/>
              </w:rPr>
              <w:t>2.</w:t>
            </w:r>
          </w:p>
        </w:tc>
        <w:tc>
          <w:tcPr>
            <w:tcW w:w="8561" w:type="dxa"/>
            <w:gridSpan w:val="8"/>
            <w:tcBorders>
              <w:left w:val="nil"/>
            </w:tcBorders>
          </w:tcPr>
          <w:p w:rsidR="00990604" w:rsidRDefault="00E92353">
            <w:pPr>
              <w:pStyle w:val="Fichefinanciretextetable"/>
              <w:keepNext/>
              <w:rPr>
                <w:noProof/>
              </w:rPr>
            </w:pPr>
            <w:r>
              <w:rPr>
                <w:noProof/>
              </w:rPr>
              <w:t>NASLOV:</w:t>
            </w:r>
            <w:r>
              <w:rPr>
                <w:noProof/>
              </w:rPr>
              <w:br/>
              <w:t>Predlog Sklepa Sveta o stališču, ki se zastopa v imenu Evropske unije v Mednarodnem svetu za sladkor v zvezi s podaljšanjem Mednarodnega sporazuma o sladkorju iz leta 1992</w:t>
            </w:r>
          </w:p>
          <w:p w:rsidR="00990604" w:rsidRDefault="00990604">
            <w:pPr>
              <w:pStyle w:val="Fichefinanciretextetable"/>
              <w:keepNext/>
              <w:rPr>
                <w:noProof/>
              </w:rPr>
            </w:pPr>
          </w:p>
        </w:tc>
      </w:tr>
      <w:tr w:rsidR="00990604">
        <w:tc>
          <w:tcPr>
            <w:tcW w:w="567" w:type="dxa"/>
            <w:tcBorders>
              <w:bottom w:val="nil"/>
              <w:right w:val="nil"/>
            </w:tcBorders>
          </w:tcPr>
          <w:p w:rsidR="00990604" w:rsidRDefault="00E92353">
            <w:pPr>
              <w:pStyle w:val="Fichefinanciretextetable"/>
              <w:keepNext/>
              <w:rPr>
                <w:noProof/>
              </w:rPr>
            </w:pPr>
            <w:r>
              <w:rPr>
                <w:noProof/>
              </w:rPr>
              <w:t>3.</w:t>
            </w:r>
          </w:p>
        </w:tc>
        <w:tc>
          <w:tcPr>
            <w:tcW w:w="8561" w:type="dxa"/>
            <w:gridSpan w:val="8"/>
            <w:tcBorders>
              <w:left w:val="nil"/>
            </w:tcBorders>
          </w:tcPr>
          <w:p w:rsidR="00990604" w:rsidRDefault="00E92353">
            <w:pPr>
              <w:pStyle w:val="Fichefinanciretextetable"/>
              <w:keepNext/>
              <w:rPr>
                <w:noProof/>
              </w:rPr>
            </w:pPr>
            <w:r>
              <w:rPr>
                <w:noProof/>
              </w:rPr>
              <w:t>PRAVNA PODLAGA: Člen 207 v povezavi s členom 218(9) Pogodbe o delovanju Evropske unije.</w:t>
            </w:r>
          </w:p>
          <w:p w:rsidR="00990604" w:rsidRDefault="00990604">
            <w:pPr>
              <w:pStyle w:val="Fichefinanciretextetable"/>
              <w:keepNext/>
              <w:rPr>
                <w:noProof/>
              </w:rPr>
            </w:pPr>
          </w:p>
        </w:tc>
      </w:tr>
      <w:tr w:rsidR="00990604">
        <w:tc>
          <w:tcPr>
            <w:tcW w:w="567" w:type="dxa"/>
            <w:tcBorders>
              <w:right w:val="nil"/>
            </w:tcBorders>
          </w:tcPr>
          <w:p w:rsidR="00990604" w:rsidRDefault="00E92353">
            <w:pPr>
              <w:pStyle w:val="Fichefinanciretextetable"/>
              <w:keepNext/>
              <w:rPr>
                <w:noProof/>
              </w:rPr>
            </w:pPr>
            <w:r>
              <w:rPr>
                <w:noProof/>
              </w:rPr>
              <w:t>4.</w:t>
            </w:r>
          </w:p>
        </w:tc>
        <w:tc>
          <w:tcPr>
            <w:tcW w:w="8561" w:type="dxa"/>
            <w:gridSpan w:val="8"/>
            <w:tcBorders>
              <w:left w:val="nil"/>
            </w:tcBorders>
          </w:tcPr>
          <w:p w:rsidR="00990604" w:rsidRDefault="00E92353">
            <w:pPr>
              <w:pStyle w:val="Fichefinanciretextetable"/>
              <w:keepNext/>
              <w:rPr>
                <w:noProof/>
              </w:rPr>
            </w:pPr>
            <w:r>
              <w:rPr>
                <w:noProof/>
              </w:rPr>
              <w:t>CILJI:</w:t>
            </w:r>
          </w:p>
          <w:p w:rsidR="00990604" w:rsidRDefault="00E92353">
            <w:pPr>
              <w:pStyle w:val="Fichefinanciretextetable"/>
              <w:keepNext/>
              <w:rPr>
                <w:noProof/>
              </w:rPr>
            </w:pPr>
            <w:r>
              <w:rPr>
                <w:noProof/>
              </w:rPr>
              <w:t>Podaljšanje veljavnega Mednarodnega sporazuma o sladkorju za nadaljnji dve leti (1. 1. 2018–31. 12. 2019). (Brez vpliva v letu 2017)</w:t>
            </w:r>
          </w:p>
          <w:p w:rsidR="00990604" w:rsidRDefault="00990604">
            <w:pPr>
              <w:pStyle w:val="Fichefinanciretextetable"/>
              <w:keepNext/>
              <w:rPr>
                <w:noProof/>
              </w:rPr>
            </w:pPr>
          </w:p>
        </w:tc>
      </w:tr>
      <w:tr w:rsidR="00990604">
        <w:tc>
          <w:tcPr>
            <w:tcW w:w="567" w:type="dxa"/>
            <w:tcBorders>
              <w:bottom w:val="nil"/>
              <w:right w:val="nil"/>
            </w:tcBorders>
          </w:tcPr>
          <w:p w:rsidR="00990604" w:rsidRDefault="00E92353">
            <w:pPr>
              <w:pStyle w:val="Fichefinanciretextetable"/>
              <w:keepNext/>
              <w:rPr>
                <w:noProof/>
              </w:rPr>
            </w:pPr>
            <w:r>
              <w:rPr>
                <w:noProof/>
              </w:rPr>
              <w:t>5.</w:t>
            </w:r>
          </w:p>
        </w:tc>
        <w:tc>
          <w:tcPr>
            <w:tcW w:w="3884" w:type="dxa"/>
            <w:tcBorders>
              <w:left w:val="nil"/>
            </w:tcBorders>
          </w:tcPr>
          <w:p w:rsidR="00990604" w:rsidRDefault="00E92353">
            <w:pPr>
              <w:pStyle w:val="Fichefinanciretextetable"/>
              <w:keepNext/>
              <w:rPr>
                <w:noProof/>
              </w:rPr>
            </w:pPr>
            <w:r>
              <w:rPr>
                <w:noProof/>
              </w:rPr>
              <w:t>FINANČNE POSLEDICE</w:t>
            </w:r>
          </w:p>
        </w:tc>
        <w:tc>
          <w:tcPr>
            <w:tcW w:w="1417" w:type="dxa"/>
            <w:gridSpan w:val="2"/>
          </w:tcPr>
          <w:p w:rsidR="00990604" w:rsidRDefault="00E92353">
            <w:pPr>
              <w:pStyle w:val="Fichefinanciretextetable"/>
              <w:keepNext/>
              <w:jc w:val="center"/>
              <w:rPr>
                <w:noProof/>
              </w:rPr>
            </w:pPr>
            <w:r>
              <w:rPr>
                <w:noProof/>
              </w:rPr>
              <w:t>12-MESEČNO OBDOBJE</w:t>
            </w:r>
            <w:r>
              <w:rPr>
                <w:noProof/>
              </w:rPr>
              <w:br/>
            </w:r>
            <w:r>
              <w:rPr>
                <w:noProof/>
              </w:rPr>
              <w:br/>
            </w:r>
            <w:r>
              <w:rPr>
                <w:noProof/>
              </w:rPr>
              <w:br/>
              <w:t>(v mio. EUR)</w:t>
            </w:r>
          </w:p>
        </w:tc>
        <w:tc>
          <w:tcPr>
            <w:tcW w:w="1559" w:type="dxa"/>
            <w:gridSpan w:val="3"/>
          </w:tcPr>
          <w:p w:rsidR="00990604" w:rsidRDefault="00E92353">
            <w:pPr>
              <w:pStyle w:val="Fichefinanciretextetable"/>
              <w:keepNext/>
              <w:jc w:val="center"/>
              <w:rPr>
                <w:noProof/>
              </w:rPr>
            </w:pPr>
            <w:r>
              <w:rPr>
                <w:noProof/>
              </w:rPr>
              <w:t>TEKOČE PRORAČUNSKO LETO</w:t>
            </w:r>
          </w:p>
          <w:p w:rsidR="00990604" w:rsidRDefault="00E92353">
            <w:pPr>
              <w:pStyle w:val="Fichefinanciretextetable"/>
              <w:keepNext/>
              <w:jc w:val="center"/>
              <w:rPr>
                <w:noProof/>
              </w:rPr>
            </w:pPr>
            <w:r>
              <w:rPr>
                <w:noProof/>
              </w:rPr>
              <w:t>2017</w:t>
            </w:r>
          </w:p>
          <w:p w:rsidR="00990604" w:rsidRDefault="00E92353">
            <w:pPr>
              <w:pStyle w:val="Fichefinanciretextetable"/>
              <w:keepNext/>
              <w:jc w:val="center"/>
              <w:rPr>
                <w:noProof/>
              </w:rPr>
            </w:pPr>
            <w:r>
              <w:rPr>
                <w:noProof/>
              </w:rPr>
              <w:t>(v mio. EUR)</w:t>
            </w:r>
          </w:p>
        </w:tc>
        <w:tc>
          <w:tcPr>
            <w:tcW w:w="1701" w:type="dxa"/>
            <w:gridSpan w:val="2"/>
          </w:tcPr>
          <w:p w:rsidR="00990604" w:rsidRDefault="00E92353">
            <w:pPr>
              <w:pStyle w:val="Fichefinanciretextetable"/>
              <w:keepNext/>
              <w:jc w:val="center"/>
              <w:rPr>
                <w:noProof/>
              </w:rPr>
            </w:pPr>
            <w:r>
              <w:rPr>
                <w:noProof/>
              </w:rPr>
              <w:t>NASLEDNJE PRORAČUNSKO LETO</w:t>
            </w:r>
          </w:p>
          <w:p w:rsidR="00990604" w:rsidRDefault="00E92353">
            <w:pPr>
              <w:pStyle w:val="Fichefinanciretextetable"/>
              <w:keepNext/>
              <w:jc w:val="center"/>
              <w:rPr>
                <w:noProof/>
              </w:rPr>
            </w:pPr>
            <w:r>
              <w:rPr>
                <w:noProof/>
              </w:rPr>
              <w:t>2018 (v mio. EUR)</w:t>
            </w:r>
          </w:p>
        </w:tc>
      </w:tr>
      <w:tr w:rsidR="00990604">
        <w:tc>
          <w:tcPr>
            <w:tcW w:w="567" w:type="dxa"/>
            <w:tcBorders>
              <w:bottom w:val="nil"/>
              <w:right w:val="nil"/>
            </w:tcBorders>
          </w:tcPr>
          <w:p w:rsidR="00990604" w:rsidRDefault="00E92353">
            <w:pPr>
              <w:pStyle w:val="Fichefinanciretextetable"/>
              <w:keepNext/>
              <w:rPr>
                <w:noProof/>
              </w:rPr>
            </w:pPr>
            <w:r>
              <w:rPr>
                <w:noProof/>
              </w:rPr>
              <w:t>5.0</w:t>
            </w:r>
          </w:p>
        </w:tc>
        <w:tc>
          <w:tcPr>
            <w:tcW w:w="3884" w:type="dxa"/>
            <w:tcBorders>
              <w:left w:val="nil"/>
            </w:tcBorders>
          </w:tcPr>
          <w:p w:rsidR="00990604" w:rsidRDefault="00E92353">
            <w:pPr>
              <w:pStyle w:val="Fichefinanciretextetable"/>
              <w:keepNext/>
              <w:rPr>
                <w:noProof/>
              </w:rPr>
            </w:pPr>
            <w:r>
              <w:rPr>
                <w:noProof/>
              </w:rPr>
              <w:t>ODHODKI</w:t>
            </w:r>
          </w:p>
          <w:p w:rsidR="00990604" w:rsidRDefault="00E92353">
            <w:pPr>
              <w:pStyle w:val="Fichefinanciretextetable"/>
              <w:keepNext/>
              <w:rPr>
                <w:noProof/>
              </w:rPr>
            </w:pPr>
            <w:r>
              <w:rPr>
                <w:noProof/>
              </w:rPr>
              <w:t>–</w:t>
            </w:r>
            <w:r>
              <w:rPr>
                <w:noProof/>
              </w:rPr>
              <w:tab/>
              <w:t>V BREME PRORAČUNA EU</w:t>
            </w:r>
            <w:r>
              <w:rPr>
                <w:noProof/>
              </w:rPr>
              <w:br/>
              <w:t>(NADOMESTILA/INTERVENCIJE)</w:t>
            </w:r>
          </w:p>
          <w:p w:rsidR="00990604" w:rsidRDefault="00E92353">
            <w:pPr>
              <w:pStyle w:val="Fichefinanciretextetable"/>
              <w:keepNext/>
              <w:rPr>
                <w:noProof/>
              </w:rPr>
            </w:pPr>
            <w:r>
              <w:rPr>
                <w:noProof/>
              </w:rPr>
              <w:t>–</w:t>
            </w:r>
            <w:r>
              <w:rPr>
                <w:noProof/>
              </w:rPr>
              <w:tab/>
              <w:t>NACIONALNI ORGANI</w:t>
            </w:r>
          </w:p>
          <w:p w:rsidR="00990604" w:rsidRDefault="00E92353">
            <w:pPr>
              <w:pStyle w:val="Fichefinanciretextetable"/>
              <w:keepNext/>
              <w:rPr>
                <w:noProof/>
              </w:rPr>
            </w:pPr>
            <w:r>
              <w:rPr>
                <w:noProof/>
              </w:rPr>
              <w:t>–</w:t>
            </w:r>
            <w:r>
              <w:rPr>
                <w:noProof/>
              </w:rPr>
              <w:tab/>
              <w:t>DRUGO</w:t>
            </w:r>
          </w:p>
        </w:tc>
        <w:tc>
          <w:tcPr>
            <w:tcW w:w="1417" w:type="dxa"/>
            <w:gridSpan w:val="2"/>
          </w:tcPr>
          <w:p w:rsidR="00990604" w:rsidRDefault="00990604">
            <w:pPr>
              <w:pStyle w:val="Fichefinanciretextetable"/>
              <w:keepNext/>
              <w:jc w:val="center"/>
              <w:rPr>
                <w:noProof/>
              </w:rPr>
            </w:pPr>
          </w:p>
        </w:tc>
        <w:tc>
          <w:tcPr>
            <w:tcW w:w="1559" w:type="dxa"/>
            <w:gridSpan w:val="3"/>
          </w:tcPr>
          <w:p w:rsidR="00990604" w:rsidRDefault="00990604">
            <w:pPr>
              <w:pStyle w:val="Fichefinanciretextetable"/>
              <w:keepNext/>
              <w:jc w:val="center"/>
              <w:rPr>
                <w:noProof/>
              </w:rPr>
            </w:pPr>
          </w:p>
        </w:tc>
        <w:tc>
          <w:tcPr>
            <w:tcW w:w="1701" w:type="dxa"/>
            <w:gridSpan w:val="2"/>
          </w:tcPr>
          <w:p w:rsidR="00990604" w:rsidRDefault="00E92353">
            <w:pPr>
              <w:pStyle w:val="Fichefinanciretextetable"/>
              <w:keepNext/>
              <w:tabs>
                <w:tab w:val="left" w:pos="435"/>
                <w:tab w:val="center" w:pos="794"/>
              </w:tabs>
              <w:rPr>
                <w:noProof/>
              </w:rPr>
            </w:pPr>
            <w:r>
              <w:rPr>
                <w:noProof/>
              </w:rPr>
              <w:tab/>
              <w:t>0,49</w:t>
            </w:r>
          </w:p>
        </w:tc>
      </w:tr>
      <w:tr w:rsidR="00990604">
        <w:tc>
          <w:tcPr>
            <w:tcW w:w="567" w:type="dxa"/>
            <w:tcBorders>
              <w:right w:val="nil"/>
            </w:tcBorders>
          </w:tcPr>
          <w:p w:rsidR="00990604" w:rsidRDefault="00E92353">
            <w:pPr>
              <w:pStyle w:val="Fichefinanciretextetable"/>
              <w:keepNext/>
              <w:rPr>
                <w:noProof/>
              </w:rPr>
            </w:pPr>
            <w:r>
              <w:rPr>
                <w:noProof/>
              </w:rPr>
              <w:t>5.1</w:t>
            </w:r>
          </w:p>
        </w:tc>
        <w:tc>
          <w:tcPr>
            <w:tcW w:w="3884" w:type="dxa"/>
            <w:tcBorders>
              <w:left w:val="nil"/>
            </w:tcBorders>
          </w:tcPr>
          <w:p w:rsidR="00990604" w:rsidRDefault="00E92353">
            <w:pPr>
              <w:pStyle w:val="Fichefinanciretextetable"/>
              <w:keepNext/>
              <w:rPr>
                <w:noProof/>
              </w:rPr>
            </w:pPr>
            <w:r>
              <w:rPr>
                <w:noProof/>
              </w:rPr>
              <w:t>PRIHODKI</w:t>
            </w:r>
          </w:p>
          <w:p w:rsidR="00990604" w:rsidRDefault="00E92353">
            <w:pPr>
              <w:pStyle w:val="Fichefinanciretextetable"/>
              <w:keepNext/>
              <w:rPr>
                <w:noProof/>
              </w:rPr>
            </w:pPr>
            <w:r>
              <w:rPr>
                <w:noProof/>
              </w:rPr>
              <w:t>–</w:t>
            </w:r>
            <w:r>
              <w:rPr>
                <w:noProof/>
              </w:rPr>
              <w:tab/>
              <w:t xml:space="preserve">LASTNA SREDSTVA EU </w:t>
            </w:r>
            <w:r>
              <w:rPr>
                <w:noProof/>
              </w:rPr>
              <w:br/>
              <w:t>(PRELEVMANI/CARINE)</w:t>
            </w:r>
          </w:p>
          <w:p w:rsidR="00990604" w:rsidRDefault="00E92353">
            <w:pPr>
              <w:pStyle w:val="Fichefinanciretextetable"/>
              <w:keepNext/>
              <w:rPr>
                <w:noProof/>
              </w:rPr>
            </w:pPr>
            <w:r>
              <w:rPr>
                <w:noProof/>
              </w:rPr>
              <w:t>–</w:t>
            </w:r>
            <w:r>
              <w:rPr>
                <w:noProof/>
              </w:rPr>
              <w:tab/>
              <w:t>NACIONALNI</w:t>
            </w:r>
          </w:p>
        </w:tc>
        <w:tc>
          <w:tcPr>
            <w:tcW w:w="1417" w:type="dxa"/>
            <w:gridSpan w:val="2"/>
          </w:tcPr>
          <w:p w:rsidR="00990604" w:rsidRDefault="00990604">
            <w:pPr>
              <w:pStyle w:val="Fichefinanciretextetable"/>
              <w:keepNext/>
              <w:jc w:val="center"/>
              <w:rPr>
                <w:noProof/>
              </w:rPr>
            </w:pPr>
          </w:p>
        </w:tc>
        <w:tc>
          <w:tcPr>
            <w:tcW w:w="1559" w:type="dxa"/>
            <w:gridSpan w:val="3"/>
          </w:tcPr>
          <w:p w:rsidR="00990604" w:rsidRDefault="00990604">
            <w:pPr>
              <w:pStyle w:val="Fichefinanciretextetable"/>
              <w:keepNext/>
              <w:jc w:val="center"/>
              <w:rPr>
                <w:noProof/>
              </w:rPr>
            </w:pPr>
          </w:p>
        </w:tc>
        <w:tc>
          <w:tcPr>
            <w:tcW w:w="1701" w:type="dxa"/>
            <w:gridSpan w:val="2"/>
          </w:tcPr>
          <w:p w:rsidR="00990604" w:rsidRDefault="00990604">
            <w:pPr>
              <w:pStyle w:val="Fichefinanciretextetable"/>
              <w:keepNext/>
              <w:jc w:val="center"/>
              <w:rPr>
                <w:noProof/>
              </w:rPr>
            </w:pPr>
          </w:p>
        </w:tc>
      </w:tr>
      <w:tr w:rsidR="00990604">
        <w:tc>
          <w:tcPr>
            <w:tcW w:w="567" w:type="dxa"/>
            <w:tcBorders>
              <w:bottom w:val="nil"/>
              <w:right w:val="nil"/>
            </w:tcBorders>
          </w:tcPr>
          <w:p w:rsidR="00990604" w:rsidRDefault="00990604">
            <w:pPr>
              <w:pStyle w:val="Fichefinanciretextetable"/>
              <w:keepNext/>
              <w:rPr>
                <w:noProof/>
              </w:rPr>
            </w:pPr>
          </w:p>
        </w:tc>
        <w:tc>
          <w:tcPr>
            <w:tcW w:w="3884" w:type="dxa"/>
            <w:tcBorders>
              <w:left w:val="nil"/>
              <w:bottom w:val="nil"/>
            </w:tcBorders>
          </w:tcPr>
          <w:p w:rsidR="00990604" w:rsidRDefault="00990604">
            <w:pPr>
              <w:pStyle w:val="Fichefinanciretextetable"/>
              <w:keepNext/>
              <w:rPr>
                <w:noProof/>
              </w:rPr>
            </w:pPr>
          </w:p>
        </w:tc>
        <w:tc>
          <w:tcPr>
            <w:tcW w:w="1275" w:type="dxa"/>
            <w:tcBorders>
              <w:bottom w:val="nil"/>
            </w:tcBorders>
          </w:tcPr>
          <w:p w:rsidR="00990604" w:rsidRDefault="00E92353">
            <w:pPr>
              <w:pStyle w:val="Fichefinanciretextetable"/>
              <w:keepNext/>
              <w:jc w:val="center"/>
              <w:rPr>
                <w:noProof/>
              </w:rPr>
            </w:pPr>
            <w:r>
              <w:rPr>
                <w:noProof/>
              </w:rPr>
              <w:t>2019</w:t>
            </w:r>
          </w:p>
          <w:p w:rsidR="00990604" w:rsidRDefault="00E92353">
            <w:pPr>
              <w:pStyle w:val="Fichefinanciretextetable"/>
              <w:keepNext/>
              <w:jc w:val="center"/>
              <w:rPr>
                <w:noProof/>
              </w:rPr>
            </w:pPr>
            <w:r>
              <w:rPr>
                <w:noProof/>
              </w:rPr>
              <w:t>(v mio. EUR)</w:t>
            </w:r>
          </w:p>
        </w:tc>
        <w:tc>
          <w:tcPr>
            <w:tcW w:w="1276" w:type="dxa"/>
            <w:gridSpan w:val="2"/>
            <w:tcBorders>
              <w:bottom w:val="nil"/>
            </w:tcBorders>
          </w:tcPr>
          <w:p w:rsidR="00990604" w:rsidRDefault="00990604">
            <w:pPr>
              <w:pStyle w:val="Fichefinanciretextetable"/>
              <w:keepNext/>
              <w:jc w:val="center"/>
            </w:pPr>
          </w:p>
        </w:tc>
        <w:tc>
          <w:tcPr>
            <w:tcW w:w="992" w:type="dxa"/>
            <w:gridSpan w:val="3"/>
            <w:tcBorders>
              <w:bottom w:val="nil"/>
            </w:tcBorders>
          </w:tcPr>
          <w:p w:rsidR="00990604" w:rsidRDefault="00990604">
            <w:pPr>
              <w:pStyle w:val="Fichefinanciretextetable"/>
              <w:keepNext/>
              <w:jc w:val="center"/>
            </w:pPr>
          </w:p>
        </w:tc>
        <w:tc>
          <w:tcPr>
            <w:tcW w:w="1134" w:type="dxa"/>
            <w:tcBorders>
              <w:bottom w:val="nil"/>
            </w:tcBorders>
          </w:tcPr>
          <w:p w:rsidR="00990604" w:rsidRDefault="00990604">
            <w:pPr>
              <w:pStyle w:val="Fichefinanciretextetable"/>
              <w:keepNext/>
              <w:jc w:val="center"/>
            </w:pPr>
          </w:p>
        </w:tc>
      </w:tr>
      <w:tr w:rsidR="00990604">
        <w:tc>
          <w:tcPr>
            <w:tcW w:w="567" w:type="dxa"/>
            <w:tcBorders>
              <w:top w:val="nil"/>
              <w:bottom w:val="nil"/>
              <w:right w:val="nil"/>
            </w:tcBorders>
          </w:tcPr>
          <w:p w:rsidR="00990604" w:rsidRDefault="00E92353">
            <w:pPr>
              <w:pStyle w:val="Fichefinanciretextetable"/>
              <w:keepNext/>
              <w:rPr>
                <w:noProof/>
              </w:rPr>
            </w:pPr>
            <w:r>
              <w:rPr>
                <w:noProof/>
              </w:rPr>
              <w:t>5.0.1</w:t>
            </w:r>
          </w:p>
        </w:tc>
        <w:tc>
          <w:tcPr>
            <w:tcW w:w="3884" w:type="dxa"/>
            <w:tcBorders>
              <w:top w:val="nil"/>
              <w:left w:val="nil"/>
              <w:bottom w:val="nil"/>
            </w:tcBorders>
          </w:tcPr>
          <w:p w:rsidR="00990604" w:rsidRDefault="00E92353">
            <w:pPr>
              <w:pStyle w:val="Fichefinanciretextetable"/>
              <w:keepNext/>
              <w:rPr>
                <w:noProof/>
              </w:rPr>
            </w:pPr>
            <w:r>
              <w:rPr>
                <w:noProof/>
              </w:rPr>
              <w:t>OCENJENI ODHODKI</w:t>
            </w:r>
          </w:p>
        </w:tc>
        <w:tc>
          <w:tcPr>
            <w:tcW w:w="1275" w:type="dxa"/>
            <w:tcBorders>
              <w:bottom w:val="nil"/>
            </w:tcBorders>
          </w:tcPr>
          <w:p w:rsidR="00990604" w:rsidRDefault="00E92353">
            <w:pPr>
              <w:pStyle w:val="Fichefinanciretextetable"/>
              <w:keepNext/>
              <w:jc w:val="center"/>
              <w:rPr>
                <w:noProof/>
              </w:rPr>
            </w:pPr>
            <w:r>
              <w:rPr>
                <w:noProof/>
              </w:rPr>
              <w:t>0,57</w:t>
            </w:r>
          </w:p>
        </w:tc>
        <w:tc>
          <w:tcPr>
            <w:tcW w:w="1276" w:type="dxa"/>
            <w:gridSpan w:val="2"/>
            <w:tcBorders>
              <w:bottom w:val="nil"/>
            </w:tcBorders>
          </w:tcPr>
          <w:p w:rsidR="00990604" w:rsidRDefault="00990604">
            <w:pPr>
              <w:pStyle w:val="Fichefinanciretextetable"/>
              <w:keepNext/>
              <w:jc w:val="center"/>
              <w:rPr>
                <w:noProof/>
              </w:rPr>
            </w:pPr>
          </w:p>
        </w:tc>
        <w:tc>
          <w:tcPr>
            <w:tcW w:w="992" w:type="dxa"/>
            <w:gridSpan w:val="3"/>
            <w:tcBorders>
              <w:bottom w:val="nil"/>
            </w:tcBorders>
          </w:tcPr>
          <w:p w:rsidR="00990604" w:rsidRDefault="00990604">
            <w:pPr>
              <w:pStyle w:val="Fichefinanciretextetable"/>
              <w:keepNext/>
              <w:jc w:val="center"/>
              <w:rPr>
                <w:noProof/>
              </w:rPr>
            </w:pPr>
          </w:p>
        </w:tc>
        <w:tc>
          <w:tcPr>
            <w:tcW w:w="1134" w:type="dxa"/>
            <w:tcBorders>
              <w:bottom w:val="nil"/>
            </w:tcBorders>
          </w:tcPr>
          <w:p w:rsidR="00990604" w:rsidRDefault="00990604">
            <w:pPr>
              <w:pStyle w:val="Fichefinanciretextetable"/>
              <w:keepNext/>
              <w:jc w:val="center"/>
              <w:rPr>
                <w:noProof/>
              </w:rPr>
            </w:pPr>
          </w:p>
        </w:tc>
      </w:tr>
      <w:tr w:rsidR="00990604">
        <w:tc>
          <w:tcPr>
            <w:tcW w:w="567" w:type="dxa"/>
            <w:tcBorders>
              <w:top w:val="nil"/>
              <w:right w:val="nil"/>
            </w:tcBorders>
          </w:tcPr>
          <w:p w:rsidR="00990604" w:rsidRDefault="00E92353">
            <w:pPr>
              <w:pStyle w:val="Fichefinanciretextetable"/>
              <w:keepNext/>
              <w:rPr>
                <w:noProof/>
              </w:rPr>
            </w:pPr>
            <w:r>
              <w:rPr>
                <w:noProof/>
              </w:rPr>
              <w:t>5.1.1</w:t>
            </w:r>
          </w:p>
        </w:tc>
        <w:tc>
          <w:tcPr>
            <w:tcW w:w="3884" w:type="dxa"/>
            <w:tcBorders>
              <w:top w:val="nil"/>
              <w:left w:val="nil"/>
            </w:tcBorders>
          </w:tcPr>
          <w:p w:rsidR="00990604" w:rsidRDefault="00E92353">
            <w:pPr>
              <w:pStyle w:val="Fichefinanciretextetable"/>
              <w:keepNext/>
              <w:rPr>
                <w:noProof/>
              </w:rPr>
            </w:pPr>
            <w:r>
              <w:rPr>
                <w:noProof/>
              </w:rPr>
              <w:t>OCENJENI PRIHODKI</w:t>
            </w:r>
          </w:p>
        </w:tc>
        <w:tc>
          <w:tcPr>
            <w:tcW w:w="1275" w:type="dxa"/>
            <w:tcBorders>
              <w:top w:val="nil"/>
            </w:tcBorders>
          </w:tcPr>
          <w:p w:rsidR="00990604" w:rsidRDefault="00990604">
            <w:pPr>
              <w:pStyle w:val="Fichefinanciretextetable"/>
              <w:keepNext/>
              <w:jc w:val="center"/>
              <w:rPr>
                <w:noProof/>
              </w:rPr>
            </w:pPr>
          </w:p>
        </w:tc>
        <w:tc>
          <w:tcPr>
            <w:tcW w:w="1276" w:type="dxa"/>
            <w:gridSpan w:val="2"/>
            <w:tcBorders>
              <w:top w:val="nil"/>
            </w:tcBorders>
          </w:tcPr>
          <w:p w:rsidR="00990604" w:rsidRDefault="00990604">
            <w:pPr>
              <w:pStyle w:val="Fichefinanciretextetable"/>
              <w:keepNext/>
              <w:jc w:val="center"/>
              <w:rPr>
                <w:noProof/>
              </w:rPr>
            </w:pPr>
          </w:p>
        </w:tc>
        <w:tc>
          <w:tcPr>
            <w:tcW w:w="992" w:type="dxa"/>
            <w:gridSpan w:val="3"/>
            <w:tcBorders>
              <w:top w:val="nil"/>
            </w:tcBorders>
          </w:tcPr>
          <w:p w:rsidR="00990604" w:rsidRDefault="00990604">
            <w:pPr>
              <w:pStyle w:val="Fichefinanciretextetable"/>
              <w:keepNext/>
              <w:jc w:val="center"/>
              <w:rPr>
                <w:noProof/>
              </w:rPr>
            </w:pPr>
          </w:p>
        </w:tc>
        <w:tc>
          <w:tcPr>
            <w:tcW w:w="1134" w:type="dxa"/>
            <w:tcBorders>
              <w:top w:val="nil"/>
            </w:tcBorders>
          </w:tcPr>
          <w:p w:rsidR="00990604" w:rsidRDefault="00990604">
            <w:pPr>
              <w:pStyle w:val="Fichefinanciretextetable"/>
              <w:keepNext/>
              <w:jc w:val="center"/>
              <w:rPr>
                <w:noProof/>
              </w:rPr>
            </w:pPr>
          </w:p>
        </w:tc>
      </w:tr>
      <w:tr w:rsidR="00990604">
        <w:tc>
          <w:tcPr>
            <w:tcW w:w="567" w:type="dxa"/>
            <w:tcBorders>
              <w:right w:val="nil"/>
            </w:tcBorders>
          </w:tcPr>
          <w:p w:rsidR="00990604" w:rsidRDefault="00E92353">
            <w:pPr>
              <w:pStyle w:val="Fichefinanciretextetable"/>
              <w:keepNext/>
              <w:rPr>
                <w:noProof/>
              </w:rPr>
            </w:pPr>
            <w:r>
              <w:rPr>
                <w:noProof/>
              </w:rPr>
              <w:t>5.2</w:t>
            </w:r>
          </w:p>
        </w:tc>
        <w:tc>
          <w:tcPr>
            <w:tcW w:w="8561" w:type="dxa"/>
            <w:gridSpan w:val="8"/>
            <w:tcBorders>
              <w:left w:val="nil"/>
            </w:tcBorders>
          </w:tcPr>
          <w:p w:rsidR="00990604" w:rsidRDefault="00E92353">
            <w:pPr>
              <w:pStyle w:val="Fichefinanciretextetable"/>
              <w:keepNext/>
              <w:spacing w:before="60" w:after="60"/>
              <w:rPr>
                <w:noProof/>
              </w:rPr>
            </w:pPr>
            <w:r>
              <w:rPr>
                <w:noProof/>
              </w:rPr>
              <w:t xml:space="preserve">METODA IZRAČUNA: Na podlagi predpostavk glede ocenjenega števila glasov EU (vsako leto različno) in ocenjenega zneska, ki ga je treba plačati na glas v GBP. </w:t>
            </w:r>
          </w:p>
        </w:tc>
      </w:tr>
      <w:tr w:rsidR="00990604">
        <w:tc>
          <w:tcPr>
            <w:tcW w:w="567" w:type="dxa"/>
            <w:tcBorders>
              <w:bottom w:val="nil"/>
              <w:right w:val="nil"/>
            </w:tcBorders>
          </w:tcPr>
          <w:p w:rsidR="00990604" w:rsidRDefault="00E92353">
            <w:pPr>
              <w:pStyle w:val="Fichefinanciretextetable"/>
              <w:keepNext/>
              <w:rPr>
                <w:noProof/>
              </w:rPr>
            </w:pPr>
            <w:r>
              <w:rPr>
                <w:noProof/>
              </w:rPr>
              <w:t>6.0</w:t>
            </w:r>
          </w:p>
        </w:tc>
        <w:tc>
          <w:tcPr>
            <w:tcW w:w="7427" w:type="dxa"/>
            <w:gridSpan w:val="7"/>
            <w:tcBorders>
              <w:left w:val="nil"/>
              <w:right w:val="nil"/>
            </w:tcBorders>
          </w:tcPr>
          <w:p w:rsidR="00990604" w:rsidRDefault="00E92353">
            <w:pPr>
              <w:pStyle w:val="Fichefinanciretextetable"/>
              <w:keepNext/>
              <w:spacing w:before="60" w:after="60"/>
              <w:rPr>
                <w:noProof/>
              </w:rPr>
            </w:pPr>
            <w:r>
              <w:rPr>
                <w:noProof/>
              </w:rPr>
              <w:t>ALI SE LAHKO PROJEKT FINANCIRA IZ ODOBRENIH PRORAČUNSKIH SREDSTEV, VPISANIH V USTREZNO POGLAVJE TEKOČEGA PRORAČUNA?</w:t>
            </w:r>
          </w:p>
        </w:tc>
        <w:tc>
          <w:tcPr>
            <w:tcW w:w="1134" w:type="dxa"/>
            <w:tcBorders>
              <w:left w:val="nil"/>
              <w:bottom w:val="nil"/>
            </w:tcBorders>
          </w:tcPr>
          <w:p w:rsidR="00990604" w:rsidRDefault="00E92353">
            <w:pPr>
              <w:pStyle w:val="Fichefinanciretextetable"/>
              <w:keepNext/>
              <w:jc w:val="center"/>
              <w:rPr>
                <w:noProof/>
              </w:rPr>
            </w:pPr>
            <w:r>
              <w:rPr>
                <w:noProof/>
              </w:rPr>
              <w:t>DA NE</w:t>
            </w:r>
          </w:p>
        </w:tc>
      </w:tr>
      <w:tr w:rsidR="00990604">
        <w:tc>
          <w:tcPr>
            <w:tcW w:w="567" w:type="dxa"/>
            <w:tcBorders>
              <w:bottom w:val="nil"/>
              <w:right w:val="nil"/>
            </w:tcBorders>
          </w:tcPr>
          <w:p w:rsidR="00990604" w:rsidRDefault="00E92353">
            <w:pPr>
              <w:pStyle w:val="Fichefinanciretextetable"/>
              <w:keepNext/>
              <w:rPr>
                <w:noProof/>
              </w:rPr>
            </w:pPr>
            <w:r>
              <w:rPr>
                <w:noProof/>
              </w:rPr>
              <w:t>6.1</w:t>
            </w:r>
          </w:p>
        </w:tc>
        <w:tc>
          <w:tcPr>
            <w:tcW w:w="7427" w:type="dxa"/>
            <w:gridSpan w:val="7"/>
            <w:tcBorders>
              <w:left w:val="nil"/>
              <w:right w:val="nil"/>
            </w:tcBorders>
          </w:tcPr>
          <w:p w:rsidR="00990604" w:rsidRDefault="00E92353">
            <w:pPr>
              <w:pStyle w:val="Fichefinanciretextetable"/>
              <w:keepNext/>
              <w:spacing w:before="60" w:after="60"/>
              <w:rPr>
                <w:noProof/>
              </w:rPr>
            </w:pPr>
            <w:r>
              <w:rPr>
                <w:noProof/>
              </w:rPr>
              <w:t>ALI SE LAHKO PROJEKT FINANCIRA S PRENOSOM MED POGLAVJI TEKOČEGA PRORAČUNA?</w:t>
            </w:r>
          </w:p>
        </w:tc>
        <w:tc>
          <w:tcPr>
            <w:tcW w:w="1134" w:type="dxa"/>
            <w:tcBorders>
              <w:left w:val="nil"/>
              <w:bottom w:val="nil"/>
            </w:tcBorders>
          </w:tcPr>
          <w:p w:rsidR="00990604" w:rsidRDefault="00990604">
            <w:pPr>
              <w:pStyle w:val="Fichefinanciretextetable"/>
              <w:keepNext/>
              <w:jc w:val="center"/>
              <w:rPr>
                <w:noProof/>
              </w:rPr>
            </w:pPr>
          </w:p>
        </w:tc>
      </w:tr>
      <w:tr w:rsidR="00990604">
        <w:tc>
          <w:tcPr>
            <w:tcW w:w="567" w:type="dxa"/>
            <w:tcBorders>
              <w:bottom w:val="nil"/>
              <w:right w:val="nil"/>
            </w:tcBorders>
          </w:tcPr>
          <w:p w:rsidR="00990604" w:rsidRDefault="00E92353">
            <w:pPr>
              <w:pStyle w:val="Fichefinanciretextetable"/>
              <w:keepNext/>
              <w:rPr>
                <w:noProof/>
              </w:rPr>
            </w:pPr>
            <w:r>
              <w:rPr>
                <w:noProof/>
              </w:rPr>
              <w:t>6.2</w:t>
            </w:r>
          </w:p>
        </w:tc>
        <w:tc>
          <w:tcPr>
            <w:tcW w:w="7427" w:type="dxa"/>
            <w:gridSpan w:val="7"/>
            <w:tcBorders>
              <w:left w:val="nil"/>
              <w:right w:val="nil"/>
            </w:tcBorders>
          </w:tcPr>
          <w:p w:rsidR="00990604" w:rsidRDefault="00E92353">
            <w:pPr>
              <w:pStyle w:val="Fichefinanciretextetable"/>
              <w:keepNext/>
              <w:spacing w:before="60" w:after="60"/>
              <w:rPr>
                <w:noProof/>
              </w:rPr>
            </w:pPr>
            <w:r>
              <w:rPr>
                <w:noProof/>
              </w:rPr>
              <w:t>ALI BO POTREBEN DOPOLNILNI PRORAČUN (REBALANS)?</w:t>
            </w:r>
          </w:p>
        </w:tc>
        <w:tc>
          <w:tcPr>
            <w:tcW w:w="1134" w:type="dxa"/>
            <w:tcBorders>
              <w:left w:val="nil"/>
              <w:bottom w:val="nil"/>
            </w:tcBorders>
          </w:tcPr>
          <w:p w:rsidR="00990604" w:rsidRDefault="00990604">
            <w:pPr>
              <w:pStyle w:val="Fichefinanciretextetable"/>
              <w:keepNext/>
              <w:rPr>
                <w:noProof/>
              </w:rPr>
            </w:pPr>
          </w:p>
        </w:tc>
      </w:tr>
      <w:tr w:rsidR="00990604">
        <w:tc>
          <w:tcPr>
            <w:tcW w:w="567" w:type="dxa"/>
            <w:tcBorders>
              <w:right w:val="nil"/>
            </w:tcBorders>
          </w:tcPr>
          <w:p w:rsidR="00990604" w:rsidRDefault="00E92353">
            <w:pPr>
              <w:pStyle w:val="Fichefinanciretextetable"/>
              <w:keepNext/>
              <w:rPr>
                <w:noProof/>
              </w:rPr>
            </w:pPr>
            <w:r>
              <w:rPr>
                <w:noProof/>
              </w:rPr>
              <w:t>6.3</w:t>
            </w:r>
          </w:p>
        </w:tc>
        <w:tc>
          <w:tcPr>
            <w:tcW w:w="7427" w:type="dxa"/>
            <w:gridSpan w:val="7"/>
            <w:tcBorders>
              <w:left w:val="nil"/>
              <w:right w:val="nil"/>
            </w:tcBorders>
          </w:tcPr>
          <w:p w:rsidR="00990604" w:rsidRDefault="00E92353">
            <w:pPr>
              <w:pStyle w:val="Fichefinanciretextetable"/>
              <w:keepNext/>
              <w:spacing w:before="60" w:after="60"/>
              <w:rPr>
                <w:noProof/>
              </w:rPr>
            </w:pPr>
            <w:r>
              <w:rPr>
                <w:noProof/>
              </w:rPr>
              <w:t>ALI BO TREBA ODOBRENA PRORAČUNSKA SREDSTVA VKLJUČITI V PRIHODNJE PRORAČUNE?</w:t>
            </w:r>
          </w:p>
        </w:tc>
        <w:tc>
          <w:tcPr>
            <w:tcW w:w="1134" w:type="dxa"/>
            <w:tcBorders>
              <w:left w:val="nil"/>
            </w:tcBorders>
          </w:tcPr>
          <w:p w:rsidR="00990604" w:rsidRDefault="00E92353">
            <w:pPr>
              <w:pStyle w:val="Fichefinanciretextetable"/>
              <w:keepNext/>
              <w:jc w:val="center"/>
            </w:pPr>
            <w:r>
              <w:rPr>
                <w:noProof/>
              </w:rPr>
              <w:t>DA NE</w:t>
            </w:r>
          </w:p>
        </w:tc>
      </w:tr>
      <w:tr w:rsidR="00990604">
        <w:tc>
          <w:tcPr>
            <w:tcW w:w="9128" w:type="dxa"/>
            <w:gridSpan w:val="9"/>
          </w:tcPr>
          <w:p w:rsidR="00990604" w:rsidRDefault="00E92353">
            <w:pPr>
              <w:keepNext/>
              <w:autoSpaceDE w:val="0"/>
              <w:autoSpaceDN w:val="0"/>
              <w:adjustRightInd w:val="0"/>
              <w:rPr>
                <w:noProof/>
              </w:rPr>
            </w:pPr>
            <w:r>
              <w:rPr>
                <w:noProof/>
                <w:sz w:val="20"/>
              </w:rPr>
              <w:t xml:space="preserve">Znesek, ki ga je treba dejansko plačati, se lahko razlikuje glede na končno število glasov, določeno za EU, znesek, ki ga je treba plačati na glas v GBP, in devizni tečaj EUR/GBP. </w:t>
            </w:r>
          </w:p>
        </w:tc>
      </w:tr>
    </w:tbl>
    <w:p w:rsidR="00990604" w:rsidRDefault="00990604">
      <w:pPr>
        <w:rPr>
          <w:noProof/>
        </w:rPr>
      </w:pPr>
    </w:p>
    <w:sectPr w:rsidR="0099060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04" w:rsidRDefault="00E92353">
      <w:r>
        <w:separator/>
      </w:r>
    </w:p>
  </w:endnote>
  <w:endnote w:type="continuationSeparator" w:id="0">
    <w:p w:rsidR="00990604" w:rsidRDefault="00E9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Pr="00E92353" w:rsidRDefault="00E92353" w:rsidP="00E92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353" w:rsidRPr="00D94637" w:rsidTr="00E92353">
      <w:trPr>
        <w:jc w:val="center"/>
      </w:trPr>
      <w:tc>
        <w:tcPr>
          <w:tcW w:w="5000" w:type="pct"/>
          <w:gridSpan w:val="7"/>
          <w:shd w:val="clear" w:color="auto" w:fill="auto"/>
          <w:tcMar>
            <w:top w:w="57" w:type="dxa"/>
          </w:tcMar>
        </w:tcPr>
        <w:p w:rsidR="00E92353" w:rsidRPr="00D94637" w:rsidRDefault="00E92353" w:rsidP="00D94637">
          <w:pPr>
            <w:pStyle w:val="FooterText"/>
            <w:pBdr>
              <w:top w:val="single" w:sz="4" w:space="1" w:color="auto"/>
            </w:pBdr>
            <w:spacing w:before="200"/>
            <w:rPr>
              <w:sz w:val="2"/>
              <w:szCs w:val="2"/>
            </w:rPr>
          </w:pPr>
          <w:bookmarkStart w:id="2" w:name="FOOTER_STANDARD"/>
        </w:p>
      </w:tc>
    </w:tr>
    <w:tr w:rsidR="00E92353" w:rsidRPr="00B310DC" w:rsidTr="00E92353">
      <w:trPr>
        <w:jc w:val="center"/>
      </w:trPr>
      <w:tc>
        <w:tcPr>
          <w:tcW w:w="2500" w:type="pct"/>
          <w:gridSpan w:val="2"/>
          <w:shd w:val="clear" w:color="auto" w:fill="auto"/>
          <w:tcMar>
            <w:top w:w="0" w:type="dxa"/>
          </w:tcMar>
        </w:tcPr>
        <w:p w:rsidR="00E92353" w:rsidRPr="00AD7BF2" w:rsidRDefault="00E92353" w:rsidP="004F54B2">
          <w:pPr>
            <w:pStyle w:val="FooterText"/>
          </w:pPr>
          <w:r>
            <w:t>11668/17</w:t>
          </w:r>
          <w:r w:rsidRPr="002511D8">
            <w:t xml:space="preserve"> </w:t>
          </w:r>
        </w:p>
      </w:tc>
      <w:tc>
        <w:tcPr>
          <w:tcW w:w="625" w:type="pct"/>
          <w:shd w:val="clear" w:color="auto" w:fill="auto"/>
          <w:tcMar>
            <w:top w:w="0" w:type="dxa"/>
          </w:tcMar>
        </w:tcPr>
        <w:p w:rsidR="00E92353" w:rsidRPr="00AD7BF2" w:rsidRDefault="00E92353" w:rsidP="00D94637">
          <w:pPr>
            <w:pStyle w:val="FooterText"/>
            <w:jc w:val="center"/>
          </w:pPr>
        </w:p>
      </w:tc>
      <w:tc>
        <w:tcPr>
          <w:tcW w:w="1286" w:type="pct"/>
          <w:gridSpan w:val="3"/>
          <w:shd w:val="clear" w:color="auto" w:fill="auto"/>
          <w:tcMar>
            <w:top w:w="0" w:type="dxa"/>
          </w:tcMar>
        </w:tcPr>
        <w:p w:rsidR="00E92353" w:rsidRPr="002511D8" w:rsidRDefault="00E92353" w:rsidP="00D94637">
          <w:pPr>
            <w:pStyle w:val="FooterText"/>
            <w:jc w:val="center"/>
          </w:pPr>
          <w:r>
            <w:t>tu</w:t>
          </w:r>
        </w:p>
      </w:tc>
      <w:tc>
        <w:tcPr>
          <w:tcW w:w="589" w:type="pct"/>
          <w:shd w:val="clear" w:color="auto" w:fill="auto"/>
          <w:tcMar>
            <w:top w:w="0" w:type="dxa"/>
          </w:tcMar>
        </w:tcPr>
        <w:p w:rsidR="00E92353" w:rsidRPr="00B310DC" w:rsidRDefault="00E92353"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E92353" w:rsidRPr="00D94637" w:rsidTr="00E92353">
      <w:trPr>
        <w:jc w:val="center"/>
      </w:trPr>
      <w:tc>
        <w:tcPr>
          <w:tcW w:w="1774" w:type="pct"/>
          <w:shd w:val="clear" w:color="auto" w:fill="auto"/>
        </w:tcPr>
        <w:p w:rsidR="00E92353" w:rsidRPr="00AD7BF2" w:rsidRDefault="00E92353" w:rsidP="00D94637">
          <w:pPr>
            <w:pStyle w:val="FooterText"/>
            <w:spacing w:before="40"/>
          </w:pPr>
        </w:p>
      </w:tc>
      <w:tc>
        <w:tcPr>
          <w:tcW w:w="1455" w:type="pct"/>
          <w:gridSpan w:val="3"/>
          <w:shd w:val="clear" w:color="auto" w:fill="auto"/>
        </w:tcPr>
        <w:p w:rsidR="00E92353" w:rsidRPr="00AD7BF2" w:rsidRDefault="00E92353" w:rsidP="00D204D6">
          <w:pPr>
            <w:pStyle w:val="FooterText"/>
            <w:spacing w:before="40"/>
            <w:jc w:val="center"/>
          </w:pPr>
          <w:r>
            <w:t>B 2B</w:t>
          </w:r>
        </w:p>
      </w:tc>
      <w:tc>
        <w:tcPr>
          <w:tcW w:w="742" w:type="pct"/>
          <w:shd w:val="clear" w:color="auto" w:fill="auto"/>
        </w:tcPr>
        <w:p w:rsidR="00E92353" w:rsidRPr="00D94637" w:rsidRDefault="00E92353" w:rsidP="002F0099">
          <w:pPr>
            <w:pStyle w:val="FooterText"/>
            <w:jc w:val="center"/>
            <w:rPr>
              <w:b/>
              <w:position w:val="-4"/>
              <w:sz w:val="36"/>
            </w:rPr>
          </w:pPr>
        </w:p>
      </w:tc>
      <w:tc>
        <w:tcPr>
          <w:tcW w:w="1029" w:type="pct"/>
          <w:gridSpan w:val="2"/>
          <w:shd w:val="clear" w:color="auto" w:fill="auto"/>
        </w:tcPr>
        <w:p w:rsidR="00E92353" w:rsidRPr="00D94637" w:rsidRDefault="00E92353" w:rsidP="00D94637">
          <w:pPr>
            <w:pStyle w:val="FooterText"/>
            <w:jc w:val="right"/>
            <w:rPr>
              <w:sz w:val="16"/>
            </w:rPr>
          </w:pPr>
          <w:r>
            <w:rPr>
              <w:b/>
              <w:position w:val="-4"/>
              <w:sz w:val="36"/>
            </w:rPr>
            <w:t>SL</w:t>
          </w:r>
        </w:p>
      </w:tc>
    </w:tr>
    <w:bookmarkEnd w:id="2"/>
  </w:tbl>
  <w:p w:rsidR="00990604" w:rsidRPr="00E92353" w:rsidRDefault="00990604" w:rsidP="00E92353">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353" w:rsidRPr="00D94637" w:rsidTr="00E92353">
      <w:trPr>
        <w:jc w:val="center"/>
      </w:trPr>
      <w:tc>
        <w:tcPr>
          <w:tcW w:w="5000" w:type="pct"/>
          <w:gridSpan w:val="7"/>
          <w:shd w:val="clear" w:color="auto" w:fill="auto"/>
          <w:tcMar>
            <w:top w:w="57" w:type="dxa"/>
          </w:tcMar>
        </w:tcPr>
        <w:p w:rsidR="00E92353" w:rsidRPr="00D94637" w:rsidRDefault="00E92353" w:rsidP="00D94637">
          <w:pPr>
            <w:pStyle w:val="FooterText"/>
            <w:pBdr>
              <w:top w:val="single" w:sz="4" w:space="1" w:color="auto"/>
            </w:pBdr>
            <w:spacing w:before="200"/>
            <w:rPr>
              <w:sz w:val="2"/>
              <w:szCs w:val="2"/>
            </w:rPr>
          </w:pPr>
        </w:p>
      </w:tc>
    </w:tr>
    <w:tr w:rsidR="00E92353" w:rsidRPr="00B310DC" w:rsidTr="00E92353">
      <w:trPr>
        <w:jc w:val="center"/>
      </w:trPr>
      <w:tc>
        <w:tcPr>
          <w:tcW w:w="2500" w:type="pct"/>
          <w:gridSpan w:val="2"/>
          <w:shd w:val="clear" w:color="auto" w:fill="auto"/>
          <w:tcMar>
            <w:top w:w="0" w:type="dxa"/>
          </w:tcMar>
        </w:tcPr>
        <w:p w:rsidR="00E92353" w:rsidRPr="00AD7BF2" w:rsidRDefault="00E92353" w:rsidP="004F54B2">
          <w:pPr>
            <w:pStyle w:val="FooterText"/>
          </w:pPr>
          <w:r>
            <w:t>11668/17</w:t>
          </w:r>
          <w:r w:rsidRPr="002511D8">
            <w:t xml:space="preserve"> </w:t>
          </w:r>
        </w:p>
      </w:tc>
      <w:tc>
        <w:tcPr>
          <w:tcW w:w="625" w:type="pct"/>
          <w:shd w:val="clear" w:color="auto" w:fill="auto"/>
          <w:tcMar>
            <w:top w:w="0" w:type="dxa"/>
          </w:tcMar>
        </w:tcPr>
        <w:p w:rsidR="00E92353" w:rsidRPr="00AD7BF2" w:rsidRDefault="00E92353" w:rsidP="00D94637">
          <w:pPr>
            <w:pStyle w:val="FooterText"/>
            <w:jc w:val="center"/>
          </w:pPr>
        </w:p>
      </w:tc>
      <w:tc>
        <w:tcPr>
          <w:tcW w:w="1286" w:type="pct"/>
          <w:gridSpan w:val="3"/>
          <w:shd w:val="clear" w:color="auto" w:fill="auto"/>
          <w:tcMar>
            <w:top w:w="0" w:type="dxa"/>
          </w:tcMar>
        </w:tcPr>
        <w:p w:rsidR="00E92353" w:rsidRPr="002511D8" w:rsidRDefault="00E92353" w:rsidP="00D94637">
          <w:pPr>
            <w:pStyle w:val="FooterText"/>
            <w:jc w:val="center"/>
          </w:pPr>
          <w:r>
            <w:t>tu</w:t>
          </w:r>
        </w:p>
      </w:tc>
      <w:tc>
        <w:tcPr>
          <w:tcW w:w="589" w:type="pct"/>
          <w:shd w:val="clear" w:color="auto" w:fill="auto"/>
          <w:tcMar>
            <w:top w:w="0" w:type="dxa"/>
          </w:tcMar>
        </w:tcPr>
        <w:p w:rsidR="00E92353" w:rsidRPr="00B310DC" w:rsidRDefault="00E92353" w:rsidP="00D94637">
          <w:pPr>
            <w:pStyle w:val="FooterText"/>
            <w:jc w:val="right"/>
          </w:pPr>
        </w:p>
      </w:tc>
    </w:tr>
    <w:tr w:rsidR="00E92353" w:rsidRPr="00D94637" w:rsidTr="00E92353">
      <w:trPr>
        <w:jc w:val="center"/>
      </w:trPr>
      <w:tc>
        <w:tcPr>
          <w:tcW w:w="1774" w:type="pct"/>
          <w:shd w:val="clear" w:color="auto" w:fill="auto"/>
        </w:tcPr>
        <w:p w:rsidR="00E92353" w:rsidRPr="00AD7BF2" w:rsidRDefault="00E92353" w:rsidP="00D94637">
          <w:pPr>
            <w:pStyle w:val="FooterText"/>
            <w:spacing w:before="40"/>
          </w:pPr>
        </w:p>
      </w:tc>
      <w:tc>
        <w:tcPr>
          <w:tcW w:w="1455" w:type="pct"/>
          <w:gridSpan w:val="3"/>
          <w:shd w:val="clear" w:color="auto" w:fill="auto"/>
        </w:tcPr>
        <w:p w:rsidR="00E92353" w:rsidRPr="00AD7BF2" w:rsidRDefault="00E92353" w:rsidP="00D204D6">
          <w:pPr>
            <w:pStyle w:val="FooterText"/>
            <w:spacing w:before="40"/>
            <w:jc w:val="center"/>
          </w:pPr>
          <w:r>
            <w:t>B 2B</w:t>
          </w:r>
        </w:p>
      </w:tc>
      <w:tc>
        <w:tcPr>
          <w:tcW w:w="742" w:type="pct"/>
          <w:shd w:val="clear" w:color="auto" w:fill="auto"/>
        </w:tcPr>
        <w:p w:rsidR="00E92353" w:rsidRPr="00D94637" w:rsidRDefault="00E92353" w:rsidP="002F0099">
          <w:pPr>
            <w:pStyle w:val="FooterText"/>
            <w:jc w:val="center"/>
            <w:rPr>
              <w:b/>
              <w:position w:val="-4"/>
              <w:sz w:val="36"/>
            </w:rPr>
          </w:pPr>
        </w:p>
      </w:tc>
      <w:tc>
        <w:tcPr>
          <w:tcW w:w="1029" w:type="pct"/>
          <w:gridSpan w:val="2"/>
          <w:shd w:val="clear" w:color="auto" w:fill="auto"/>
        </w:tcPr>
        <w:p w:rsidR="00E92353" w:rsidRPr="00D94637" w:rsidRDefault="00E92353" w:rsidP="00D94637">
          <w:pPr>
            <w:pStyle w:val="FooterText"/>
            <w:jc w:val="right"/>
            <w:rPr>
              <w:sz w:val="16"/>
            </w:rPr>
          </w:pPr>
          <w:r>
            <w:rPr>
              <w:b/>
              <w:position w:val="-4"/>
              <w:sz w:val="36"/>
            </w:rPr>
            <w:t>SL</w:t>
          </w:r>
        </w:p>
      </w:tc>
    </w:tr>
  </w:tbl>
  <w:p w:rsidR="00E92353" w:rsidRPr="00E92353" w:rsidRDefault="00E92353" w:rsidP="00E92353">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Default="00E923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Default="00E92353">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Default="00E9235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04" w:rsidRDefault="00E92353">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8A02C6">
      <w:rPr>
        <w:noProof/>
      </w:rPr>
      <w:t>7</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04" w:rsidRDefault="00990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04" w:rsidRDefault="00E92353">
      <w:r>
        <w:separator/>
      </w:r>
    </w:p>
  </w:footnote>
  <w:footnote w:type="continuationSeparator" w:id="0">
    <w:p w:rsidR="00990604" w:rsidRDefault="00E92353">
      <w:r>
        <w:continuationSeparator/>
      </w:r>
    </w:p>
  </w:footnote>
  <w:footnote w:id="1">
    <w:p w:rsidR="00990604" w:rsidRDefault="00E92353">
      <w:pPr>
        <w:pStyle w:val="FootnoteText"/>
        <w:rPr>
          <w:lang w:val="pl-PL"/>
        </w:rPr>
      </w:pPr>
      <w:r>
        <w:rPr>
          <w:rStyle w:val="FootnoteReference"/>
        </w:rPr>
        <w:footnoteRef/>
      </w:r>
      <w:r>
        <w:rPr>
          <w:lang w:val="pl-PL"/>
        </w:rPr>
        <w:tab/>
        <w:t>Sklep Sveta (92/580/EGS) z dne 13. novembra 1992; UL L 379, 23.12.1992, str. 15.</w:t>
      </w:r>
    </w:p>
  </w:footnote>
  <w:footnote w:id="2">
    <w:p w:rsidR="00990604" w:rsidRDefault="00E92353">
      <w:pPr>
        <w:pStyle w:val="FootnoteText"/>
        <w:rPr>
          <w:lang w:val="pl-PL"/>
        </w:rPr>
      </w:pPr>
      <w:r>
        <w:rPr>
          <w:rStyle w:val="FootnoteReference"/>
        </w:rPr>
        <w:footnoteRef/>
      </w:r>
      <w:r>
        <w:rPr>
          <w:lang w:val="pl-PL"/>
        </w:rPr>
        <w:tab/>
        <w:t xml:space="preserve">Zadeva C-399/12 Nemčija proti Svetu (OIV), ECLI:EU:C:2014:2258, točke 61–64. </w:t>
      </w:r>
    </w:p>
  </w:footnote>
  <w:footnote w:id="3">
    <w:p w:rsidR="00990604" w:rsidRDefault="00E92353">
      <w:pPr>
        <w:pStyle w:val="FootnoteText"/>
        <w:rPr>
          <w:lang w:val="pl-PL"/>
        </w:rPr>
      </w:pPr>
      <w:r>
        <w:rPr>
          <w:rStyle w:val="FootnoteReference"/>
        </w:rPr>
        <w:footnoteRef/>
      </w:r>
      <w:r>
        <w:rPr>
          <w:lang w:val="pl-PL"/>
        </w:rPr>
        <w:tab/>
        <w:t>UL L 379, 23.12.1992, str. 15.</w:t>
      </w:r>
    </w:p>
  </w:footnote>
  <w:footnote w:id="4">
    <w:p w:rsidR="00990604" w:rsidRDefault="00E92353">
      <w:pPr>
        <w:pStyle w:val="FootnoteText"/>
      </w:pPr>
      <w:r>
        <w:rPr>
          <w:rStyle w:val="FootnoteReference"/>
        </w:rPr>
        <w:footnoteRef/>
      </w:r>
      <w:r>
        <w:tab/>
        <w:t>UL L 234, 8.9.2015, str.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Pr="00E92353" w:rsidRDefault="00E92353" w:rsidP="00E92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Pr="00E92353" w:rsidRDefault="00E92353" w:rsidP="00E92353">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Pr="00E92353" w:rsidRDefault="00E92353" w:rsidP="00E92353">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Default="00E923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Default="00E923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53" w:rsidRDefault="00E92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0d323cb1-75bd-4e4b-92e8-5db6b518c8cb&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17&lt;/text&gt;_x000d__x000a_  &lt;/metadata&gt;_x000d__x000a_  &lt;metadata key=&quot;md_Prefix&quot;&gt;_x000d__x000a_    &lt;text&gt;&lt;/text&gt;_x000d__x000a_  &lt;/metadata&gt;_x000d__x000a_  &lt;metadata key=&quot;md_DocumentNumber&quot;&gt;_x000d__x000a_    &lt;text&gt;11668&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419&lt;/text&gt;_x000d__x000a_      &lt;text&gt;PROBA 18&lt;/text&gt;_x000d__x000a_      &lt;text&gt;WTO 18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187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1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edlog SKLEPA SVETA o stali&amp;#353;&amp;#269;u, ki se zastopa v imenu Evropske unije v Mednarodnem svetu za sladkor v zvezi s podalj&amp;#353;anjem Mednarodnega sporazuma o sladkorju iz leta 1992&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sl-si&quot;&amp;gt;A&amp;lt;/Run&amp;gt; SVETA o stali&amp;#353;&amp;#269;u, ki se zastopa v imenu Evropske unije v Mednarodnem svetu za sladkor v zvezi s podalj&amp;#353;anjem Mednarodnega sporazuma o sladkorju iz leta 1992&amp;lt;/Paragraph&amp;gt;&amp;lt;/FlowDocument&amp;gt;&lt;/xaml&gt;_x000d__x000a_  &lt;/metadata&gt;_x000d__x000a_  &lt;metadata key=&quot;md_SubjectFootnote&quot; /&gt;_x000d__x000a_  &lt;metadata key=&quot;md_DG&quot;&gt;_x000d__x000a_    &lt;text&gt;B 2B&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zastopa v imenu Evropske unije v Mednarodnem svetu za sladkor v zvezi s podalj&amp;#353;anjem Mednarodnega sporazuma o sladkorju iz leta 1992&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7-31 10:11: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14012A2C312D48EBB8B7B922548D1D77"/>
    <w:docVar w:name="LW_CROSSREFERENCE" w:val="&lt;UNUSED&gt;"/>
    <w:docVar w:name="LW_DocType" w:val="COM"/>
    <w:docVar w:name="LW_EMISSION" w:val="7.8.2017"/>
    <w:docVar w:name="LW_EMISSION_ISODATE" w:val="2017-08-07"/>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187"/>
    <w:docVar w:name="LW_REF.II.NEW.CP_YEAR" w:val="2017"/>
    <w:docVar w:name="LW_REF.INST.NEW" w:val="COM"/>
    <w:docVar w:name="LW_REF.INST.NEW_ADOPTED" w:val="final"/>
    <w:docVar w:name="LW_REF.INST.NEW_TEXT" w:val="(2017) 416"/>
    <w:docVar w:name="LW_REF.INTERNE" w:val="&lt;UNUSED&gt;"/>
    <w:docVar w:name="LW_SOUS.TITRE.OBJ.CP" w:val="&lt;UNUSED&gt;"/>
    <w:docVar w:name="LW_STATUT.CP" w:val="Predlog"/>
    <w:docVar w:name="LW_SUPERTITRE" w:val="&lt;UNUSED&gt;"/>
    <w:docVar w:name="LW_TITRE.OBJ.CP" w:val="o stali\u353?\u269?u, ki se zastopa v imenu Evropske unije v Mednarodnem svetu za sladkor v zvezi s podalj\u353?anjem Mednarodnega sporazuma o sladkorju iz leta 1992"/>
    <w:docVar w:name="LW_TYPE.DOC.CP" w:val="SKLEP SVETA"/>
  </w:docVars>
  <w:rsids>
    <w:rsidRoot w:val="00E92353"/>
    <w:rsid w:val="008A02C6"/>
    <w:rsid w:val="00990604"/>
    <w:rsid w:val="00E923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Number 3"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2"/>
      <w:lang w:val="sl-SI"/>
    </w:rPr>
  </w:style>
  <w:style w:type="paragraph" w:styleId="Heading1">
    <w:name w:val="heading 1"/>
    <w:basedOn w:val="Normal"/>
    <w:next w:val="Text1"/>
    <w:link w:val="Heading1Char"/>
    <w:uiPriority w:val="9"/>
    <w:qFormat/>
    <w:pPr>
      <w:keepNext/>
      <w:numPr>
        <w:numId w:val="31"/>
      </w:numPr>
      <w:spacing w:before="360"/>
      <w:outlineLvl w:val="0"/>
    </w:pPr>
    <w:rPr>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bCs/>
      <w:i/>
    </w:rPr>
  </w:style>
  <w:style w:type="paragraph" w:styleId="Heading4">
    <w:name w:val="heading 4"/>
    <w:basedOn w:val="Normal"/>
    <w:next w:val="Text1"/>
    <w:link w:val="Heading4Char"/>
    <w:uiPriority w:val="9"/>
    <w:semiHidden/>
    <w:unhideWhenUsed/>
    <w:qFormat/>
    <w:pPr>
      <w:keepNext/>
      <w:numPr>
        <w:ilvl w:val="3"/>
        <w:numId w:val="31"/>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99"/>
    <w:semiHidden/>
    <w:pPr>
      <w:spacing w:after="200" w:line="276" w:lineRule="auto"/>
    </w:pPr>
    <w:rPr>
      <w:sz w:val="24"/>
      <w:szCs w:val="22"/>
      <w:lang w:val="sl-SI" w:eastAsia="sl-SI" w:bidi="sl-SI"/>
    </w:rPr>
  </w:style>
  <w:style w:type="paragraph" w:customStyle="1" w:styleId="Fichefinanciretextetable">
    <w:name w:val="Fiche financière texte (table)"/>
    <w:basedOn w:val="Normal"/>
    <w:pPr>
      <w:spacing w:before="0" w:after="0"/>
      <w:jc w:val="left"/>
    </w:pPr>
    <w:rPr>
      <w:sz w:val="20"/>
      <w:szCs w:val="20"/>
    </w:rPr>
  </w:style>
  <w:style w:type="paragraph" w:customStyle="1" w:styleId="Fichefinanciretitretable">
    <w:name w:val="Fiche financière titre (table)"/>
    <w:basedOn w:val="Normal"/>
    <w:pPr>
      <w:jc w:val="center"/>
    </w:pPr>
    <w:rPr>
      <w:b/>
      <w:sz w:val="40"/>
      <w:szCs w:val="20"/>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rPr>
  </w:style>
  <w:style w:type="character" w:customStyle="1" w:styleId="HeaderChar">
    <w:name w:val="Header Char"/>
    <w:link w:val="Header"/>
    <w:uiPriority w:val="99"/>
    <w:rPr>
      <w:rFonts w:eastAsia="Calibri"/>
      <w:sz w:val="24"/>
      <w:szCs w:val="22"/>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sid w:val="00E92353"/>
    <w:rPr>
      <w:color w:val="0000FF"/>
      <w:bdr w:val="none" w:sz="0" w:space="0" w:color="auto"/>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92353"/>
    <w:pPr>
      <w:spacing w:before="0" w:after="240"/>
      <w:jc w:val="center"/>
    </w:pPr>
  </w:style>
  <w:style w:type="character" w:customStyle="1" w:styleId="TechnicalBlockChar">
    <w:name w:val="Technical Block Char"/>
    <w:basedOn w:val="DefaultParagraphFont"/>
    <w:link w:val="TechnicalBlock"/>
    <w:rsid w:val="00E92353"/>
    <w:rPr>
      <w:sz w:val="24"/>
      <w:szCs w:val="22"/>
      <w:lang w:val="sl-SI"/>
    </w:rPr>
  </w:style>
  <w:style w:type="paragraph" w:customStyle="1" w:styleId="Lignefinal">
    <w:name w:val="Ligne final"/>
    <w:basedOn w:val="Normal"/>
    <w:next w:val="Normal"/>
    <w:rsid w:val="00E92353"/>
    <w:pPr>
      <w:pBdr>
        <w:bottom w:val="single" w:sz="4" w:space="0" w:color="000000"/>
      </w:pBdr>
      <w:spacing w:before="360" w:line="360" w:lineRule="auto"/>
      <w:ind w:left="3400" w:right="3400"/>
      <w:jc w:val="center"/>
    </w:pPr>
    <w:rPr>
      <w:rFonts w:eastAsiaTheme="minorHAnsi"/>
      <w:b/>
      <w:lang w:eastAsia="en-US"/>
    </w:rPr>
  </w:style>
  <w:style w:type="paragraph" w:customStyle="1" w:styleId="EntText">
    <w:name w:val="EntText"/>
    <w:basedOn w:val="Normal"/>
    <w:rsid w:val="00E92353"/>
    <w:pPr>
      <w:spacing w:line="360" w:lineRule="auto"/>
      <w:jc w:val="left"/>
    </w:pPr>
    <w:rPr>
      <w:rFonts w:eastAsiaTheme="minorHAnsi"/>
      <w:lang w:eastAsia="en-US"/>
    </w:rPr>
  </w:style>
  <w:style w:type="paragraph" w:customStyle="1" w:styleId="pj">
    <w:name w:val="p.j."/>
    <w:basedOn w:val="Normal"/>
    <w:link w:val="pjChar"/>
    <w:rsid w:val="00E92353"/>
    <w:pPr>
      <w:spacing w:before="1200"/>
      <w:ind w:left="1440" w:hanging="1440"/>
      <w:jc w:val="left"/>
    </w:pPr>
  </w:style>
  <w:style w:type="character" w:customStyle="1" w:styleId="pjChar">
    <w:name w:val="p.j. Char"/>
    <w:basedOn w:val="TechnicalBlockChar"/>
    <w:link w:val="pj"/>
    <w:rsid w:val="00E92353"/>
    <w:rPr>
      <w:sz w:val="24"/>
      <w:szCs w:val="22"/>
      <w:lang w:val="sl-SI"/>
    </w:rPr>
  </w:style>
  <w:style w:type="paragraph" w:customStyle="1" w:styleId="HeaderCouncil">
    <w:name w:val="Header Council"/>
    <w:basedOn w:val="Normal"/>
    <w:link w:val="HeaderCouncilChar"/>
    <w:rsid w:val="00E92353"/>
    <w:pPr>
      <w:spacing w:before="0" w:after="0"/>
    </w:pPr>
    <w:rPr>
      <w:sz w:val="2"/>
    </w:rPr>
  </w:style>
  <w:style w:type="character" w:customStyle="1" w:styleId="HeaderCouncilChar">
    <w:name w:val="Header Council Char"/>
    <w:basedOn w:val="pjChar"/>
    <w:link w:val="HeaderCouncil"/>
    <w:rsid w:val="00E92353"/>
    <w:rPr>
      <w:sz w:val="2"/>
      <w:szCs w:val="22"/>
      <w:lang w:val="sl-SI"/>
    </w:rPr>
  </w:style>
  <w:style w:type="paragraph" w:customStyle="1" w:styleId="HeaderCouncilLarge">
    <w:name w:val="Header Council Large"/>
    <w:basedOn w:val="Normal"/>
    <w:link w:val="HeaderCouncilLargeChar"/>
    <w:rsid w:val="00E92353"/>
    <w:pPr>
      <w:spacing w:before="0" w:after="440"/>
    </w:pPr>
    <w:rPr>
      <w:sz w:val="2"/>
    </w:rPr>
  </w:style>
  <w:style w:type="character" w:customStyle="1" w:styleId="HeaderCouncilLargeChar">
    <w:name w:val="Header Council Large Char"/>
    <w:basedOn w:val="pjChar"/>
    <w:link w:val="HeaderCouncilLarge"/>
    <w:rsid w:val="00E92353"/>
    <w:rPr>
      <w:sz w:val="2"/>
      <w:szCs w:val="22"/>
      <w:lang w:val="sl-SI"/>
    </w:rPr>
  </w:style>
  <w:style w:type="paragraph" w:customStyle="1" w:styleId="FooterCouncil">
    <w:name w:val="Footer Council"/>
    <w:basedOn w:val="Normal"/>
    <w:link w:val="FooterCouncilChar"/>
    <w:rsid w:val="00E92353"/>
    <w:pPr>
      <w:spacing w:before="0" w:after="0"/>
    </w:pPr>
    <w:rPr>
      <w:sz w:val="2"/>
    </w:rPr>
  </w:style>
  <w:style w:type="character" w:customStyle="1" w:styleId="FooterCouncilChar">
    <w:name w:val="Footer Council Char"/>
    <w:basedOn w:val="pjChar"/>
    <w:link w:val="FooterCouncil"/>
    <w:rsid w:val="00E92353"/>
    <w:rPr>
      <w:sz w:val="2"/>
      <w:szCs w:val="22"/>
      <w:lang w:val="sl-SI"/>
    </w:rPr>
  </w:style>
  <w:style w:type="paragraph" w:customStyle="1" w:styleId="FooterText">
    <w:name w:val="Footer Text"/>
    <w:basedOn w:val="Normal"/>
    <w:rsid w:val="00E92353"/>
    <w:pPr>
      <w:spacing w:before="0" w:after="0"/>
      <w:jc w:val="left"/>
    </w:pPr>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Number 3"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2"/>
      <w:lang w:val="sl-SI"/>
    </w:rPr>
  </w:style>
  <w:style w:type="paragraph" w:styleId="Heading1">
    <w:name w:val="heading 1"/>
    <w:basedOn w:val="Normal"/>
    <w:next w:val="Text1"/>
    <w:link w:val="Heading1Char"/>
    <w:uiPriority w:val="9"/>
    <w:qFormat/>
    <w:pPr>
      <w:keepNext/>
      <w:numPr>
        <w:numId w:val="31"/>
      </w:numPr>
      <w:spacing w:before="360"/>
      <w:outlineLvl w:val="0"/>
    </w:pPr>
    <w:rPr>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bCs/>
      <w:i/>
    </w:rPr>
  </w:style>
  <w:style w:type="paragraph" w:styleId="Heading4">
    <w:name w:val="heading 4"/>
    <w:basedOn w:val="Normal"/>
    <w:next w:val="Text1"/>
    <w:link w:val="Heading4Char"/>
    <w:uiPriority w:val="9"/>
    <w:semiHidden/>
    <w:unhideWhenUsed/>
    <w:qFormat/>
    <w:pPr>
      <w:keepNext/>
      <w:numPr>
        <w:ilvl w:val="3"/>
        <w:numId w:val="31"/>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99"/>
    <w:semiHidden/>
    <w:pPr>
      <w:spacing w:after="200" w:line="276" w:lineRule="auto"/>
    </w:pPr>
    <w:rPr>
      <w:sz w:val="24"/>
      <w:szCs w:val="22"/>
      <w:lang w:val="sl-SI" w:eastAsia="sl-SI" w:bidi="sl-SI"/>
    </w:rPr>
  </w:style>
  <w:style w:type="paragraph" w:customStyle="1" w:styleId="Fichefinanciretextetable">
    <w:name w:val="Fiche financière texte (table)"/>
    <w:basedOn w:val="Normal"/>
    <w:pPr>
      <w:spacing w:before="0" w:after="0"/>
      <w:jc w:val="left"/>
    </w:pPr>
    <w:rPr>
      <w:sz w:val="20"/>
      <w:szCs w:val="20"/>
    </w:rPr>
  </w:style>
  <w:style w:type="paragraph" w:customStyle="1" w:styleId="Fichefinanciretitretable">
    <w:name w:val="Fiche financière titre (table)"/>
    <w:basedOn w:val="Normal"/>
    <w:pPr>
      <w:jc w:val="center"/>
    </w:pPr>
    <w:rPr>
      <w:b/>
      <w:sz w:val="40"/>
      <w:szCs w:val="20"/>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rPr>
  </w:style>
  <w:style w:type="character" w:customStyle="1" w:styleId="HeaderChar">
    <w:name w:val="Header Char"/>
    <w:link w:val="Header"/>
    <w:uiPriority w:val="99"/>
    <w:rPr>
      <w:rFonts w:eastAsia="Calibri"/>
      <w:sz w:val="24"/>
      <w:szCs w:val="22"/>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sid w:val="00E92353"/>
    <w:rPr>
      <w:color w:val="0000FF"/>
      <w:bdr w:val="none" w:sz="0" w:space="0" w:color="auto"/>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92353"/>
    <w:pPr>
      <w:spacing w:before="0" w:after="240"/>
      <w:jc w:val="center"/>
    </w:pPr>
  </w:style>
  <w:style w:type="character" w:customStyle="1" w:styleId="TechnicalBlockChar">
    <w:name w:val="Technical Block Char"/>
    <w:basedOn w:val="DefaultParagraphFont"/>
    <w:link w:val="TechnicalBlock"/>
    <w:rsid w:val="00E92353"/>
    <w:rPr>
      <w:sz w:val="24"/>
      <w:szCs w:val="22"/>
      <w:lang w:val="sl-SI"/>
    </w:rPr>
  </w:style>
  <w:style w:type="paragraph" w:customStyle="1" w:styleId="Lignefinal">
    <w:name w:val="Ligne final"/>
    <w:basedOn w:val="Normal"/>
    <w:next w:val="Normal"/>
    <w:rsid w:val="00E92353"/>
    <w:pPr>
      <w:pBdr>
        <w:bottom w:val="single" w:sz="4" w:space="0" w:color="000000"/>
      </w:pBdr>
      <w:spacing w:before="360" w:line="360" w:lineRule="auto"/>
      <w:ind w:left="3400" w:right="3400"/>
      <w:jc w:val="center"/>
    </w:pPr>
    <w:rPr>
      <w:rFonts w:eastAsiaTheme="minorHAnsi"/>
      <w:b/>
      <w:lang w:eastAsia="en-US"/>
    </w:rPr>
  </w:style>
  <w:style w:type="paragraph" w:customStyle="1" w:styleId="EntText">
    <w:name w:val="EntText"/>
    <w:basedOn w:val="Normal"/>
    <w:rsid w:val="00E92353"/>
    <w:pPr>
      <w:spacing w:line="360" w:lineRule="auto"/>
      <w:jc w:val="left"/>
    </w:pPr>
    <w:rPr>
      <w:rFonts w:eastAsiaTheme="minorHAnsi"/>
      <w:lang w:eastAsia="en-US"/>
    </w:rPr>
  </w:style>
  <w:style w:type="paragraph" w:customStyle="1" w:styleId="pj">
    <w:name w:val="p.j."/>
    <w:basedOn w:val="Normal"/>
    <w:link w:val="pjChar"/>
    <w:rsid w:val="00E92353"/>
    <w:pPr>
      <w:spacing w:before="1200"/>
      <w:ind w:left="1440" w:hanging="1440"/>
      <w:jc w:val="left"/>
    </w:pPr>
  </w:style>
  <w:style w:type="character" w:customStyle="1" w:styleId="pjChar">
    <w:name w:val="p.j. Char"/>
    <w:basedOn w:val="TechnicalBlockChar"/>
    <w:link w:val="pj"/>
    <w:rsid w:val="00E92353"/>
    <w:rPr>
      <w:sz w:val="24"/>
      <w:szCs w:val="22"/>
      <w:lang w:val="sl-SI"/>
    </w:rPr>
  </w:style>
  <w:style w:type="paragraph" w:customStyle="1" w:styleId="HeaderCouncil">
    <w:name w:val="Header Council"/>
    <w:basedOn w:val="Normal"/>
    <w:link w:val="HeaderCouncilChar"/>
    <w:rsid w:val="00E92353"/>
    <w:pPr>
      <w:spacing w:before="0" w:after="0"/>
    </w:pPr>
    <w:rPr>
      <w:sz w:val="2"/>
    </w:rPr>
  </w:style>
  <w:style w:type="character" w:customStyle="1" w:styleId="HeaderCouncilChar">
    <w:name w:val="Header Council Char"/>
    <w:basedOn w:val="pjChar"/>
    <w:link w:val="HeaderCouncil"/>
    <w:rsid w:val="00E92353"/>
    <w:rPr>
      <w:sz w:val="2"/>
      <w:szCs w:val="22"/>
      <w:lang w:val="sl-SI"/>
    </w:rPr>
  </w:style>
  <w:style w:type="paragraph" w:customStyle="1" w:styleId="HeaderCouncilLarge">
    <w:name w:val="Header Council Large"/>
    <w:basedOn w:val="Normal"/>
    <w:link w:val="HeaderCouncilLargeChar"/>
    <w:rsid w:val="00E92353"/>
    <w:pPr>
      <w:spacing w:before="0" w:after="440"/>
    </w:pPr>
    <w:rPr>
      <w:sz w:val="2"/>
    </w:rPr>
  </w:style>
  <w:style w:type="character" w:customStyle="1" w:styleId="HeaderCouncilLargeChar">
    <w:name w:val="Header Council Large Char"/>
    <w:basedOn w:val="pjChar"/>
    <w:link w:val="HeaderCouncilLarge"/>
    <w:rsid w:val="00E92353"/>
    <w:rPr>
      <w:sz w:val="2"/>
      <w:szCs w:val="22"/>
      <w:lang w:val="sl-SI"/>
    </w:rPr>
  </w:style>
  <w:style w:type="paragraph" w:customStyle="1" w:styleId="FooterCouncil">
    <w:name w:val="Footer Council"/>
    <w:basedOn w:val="Normal"/>
    <w:link w:val="FooterCouncilChar"/>
    <w:rsid w:val="00E92353"/>
    <w:pPr>
      <w:spacing w:before="0" w:after="0"/>
    </w:pPr>
    <w:rPr>
      <w:sz w:val="2"/>
    </w:rPr>
  </w:style>
  <w:style w:type="character" w:customStyle="1" w:styleId="FooterCouncilChar">
    <w:name w:val="Footer Council Char"/>
    <w:basedOn w:val="pjChar"/>
    <w:link w:val="FooterCouncil"/>
    <w:rsid w:val="00E92353"/>
    <w:rPr>
      <w:sz w:val="2"/>
      <w:szCs w:val="22"/>
      <w:lang w:val="sl-SI"/>
    </w:rPr>
  </w:style>
  <w:style w:type="paragraph" w:customStyle="1" w:styleId="FooterText">
    <w:name w:val="Footer Text"/>
    <w:basedOn w:val="Normal"/>
    <w:rsid w:val="00E92353"/>
    <w:pPr>
      <w:spacing w:before="0" w:after="0"/>
      <w:jc w:val="left"/>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960069878">
      <w:bodyDiv w:val="1"/>
      <w:marLeft w:val="0"/>
      <w:marRight w:val="0"/>
      <w:marTop w:val="0"/>
      <w:marBottom w:val="0"/>
      <w:divBdr>
        <w:top w:val="none" w:sz="0" w:space="0" w:color="auto"/>
        <w:left w:val="none" w:sz="0" w:space="0" w:color="auto"/>
        <w:bottom w:val="none" w:sz="0" w:space="0" w:color="auto"/>
        <w:right w:val="none" w:sz="0" w:space="0" w:color="auto"/>
      </w:divBdr>
      <w:divsChild>
        <w:div w:id="884565959">
          <w:marLeft w:val="0"/>
          <w:marRight w:val="0"/>
          <w:marTop w:val="0"/>
          <w:marBottom w:val="0"/>
          <w:divBdr>
            <w:top w:val="single" w:sz="6" w:space="0" w:color="FFFFFF"/>
            <w:left w:val="single" w:sz="6" w:space="0" w:color="FFFFFF"/>
            <w:bottom w:val="single" w:sz="6" w:space="0" w:color="FFFFFF"/>
            <w:right w:val="single" w:sz="6" w:space="0" w:color="FFFFFF"/>
          </w:divBdr>
          <w:divsChild>
            <w:div w:id="1057699572">
              <w:marLeft w:val="0"/>
              <w:marRight w:val="0"/>
              <w:marTop w:val="450"/>
              <w:marBottom w:val="900"/>
              <w:divBdr>
                <w:top w:val="none" w:sz="0" w:space="0" w:color="auto"/>
                <w:left w:val="none" w:sz="0" w:space="0" w:color="auto"/>
                <w:bottom w:val="none" w:sz="0" w:space="0" w:color="auto"/>
                <w:right w:val="none" w:sz="0" w:space="0" w:color="auto"/>
              </w:divBdr>
              <w:divsChild>
                <w:div w:id="1671984435">
                  <w:marLeft w:val="0"/>
                  <w:marRight w:val="0"/>
                  <w:marTop w:val="0"/>
                  <w:marBottom w:val="0"/>
                  <w:divBdr>
                    <w:top w:val="none" w:sz="0" w:space="0" w:color="auto"/>
                    <w:left w:val="none" w:sz="0" w:space="0" w:color="auto"/>
                    <w:bottom w:val="none" w:sz="0" w:space="0" w:color="auto"/>
                    <w:right w:val="none" w:sz="0" w:space="0" w:color="auto"/>
                  </w:divBdr>
                  <w:divsChild>
                    <w:div w:id="5336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B1CB46F5-9189-43A9-9DA7-759D5CF4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2017-08-18T09:41:00Z</dcterms:created>
  <dcterms:modified xsi:type="dcterms:W3CDTF">2017-08-18T09:41:00Z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3.14.4, Build 20170801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SJ-019</vt:lpwstr>
  </property>
  <property fmtid="{D5CDD505-2E9C-101B-9397-08002B2CF9AE}" pid="8" name="DQCStatus">
    <vt:lpwstr>Green (DQC version 03)</vt:lpwstr>
  </property>
  <property fmtid="{D5CDD505-2E9C-101B-9397-08002B2CF9AE}" pid="9" name="Created using">
    <vt:lpwstr>DocuWrite 3.14.4, Build 20170801</vt:lpwstr>
  </property>
</Properties>
</file>