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134"/>
        <w:gridCol w:w="314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  <w:gridCol w:w="63"/>
      </w:tblGrid>
      <w:tr w:rsidR="008567DC" w:rsidRPr="00985EE5" w:rsidTr="000E2434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8"/>
          </w:tcPr>
          <w:p w:rsidR="008567DC" w:rsidRPr="00985EE5" w:rsidRDefault="0030496A" w:rsidP="00985EE5">
            <w:pPr>
              <w:pStyle w:val="Neotevilenodstavek"/>
              <w:spacing w:before="0" w:after="0" w:line="26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Številka: 511-46</w:t>
            </w:r>
            <w:r w:rsidR="0079216E">
              <w:rPr>
                <w:sz w:val="20"/>
                <w:szCs w:val="20"/>
              </w:rPr>
              <w:t>/2017</w:t>
            </w:r>
          </w:p>
        </w:tc>
      </w:tr>
      <w:tr w:rsidR="008567DC" w:rsidRPr="00985EE5" w:rsidTr="000E2434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8"/>
          </w:tcPr>
          <w:p w:rsidR="008567DC" w:rsidRPr="00985EE5" w:rsidRDefault="008567DC" w:rsidP="00A814E3">
            <w:pPr>
              <w:pStyle w:val="Neotevilenodstavek"/>
              <w:spacing w:before="0" w:after="0" w:line="260" w:lineRule="atLeast"/>
              <w:jc w:val="left"/>
              <w:rPr>
                <w:sz w:val="20"/>
                <w:szCs w:val="20"/>
              </w:rPr>
            </w:pPr>
            <w:r w:rsidRPr="00985EE5">
              <w:rPr>
                <w:sz w:val="20"/>
                <w:szCs w:val="20"/>
              </w:rPr>
              <w:t xml:space="preserve">Ljubljana, </w:t>
            </w:r>
            <w:r w:rsidR="00DE5A09">
              <w:rPr>
                <w:sz w:val="20"/>
                <w:szCs w:val="20"/>
              </w:rPr>
              <w:t>8. september</w:t>
            </w:r>
            <w:r w:rsidR="0030496A">
              <w:rPr>
                <w:sz w:val="20"/>
                <w:szCs w:val="20"/>
              </w:rPr>
              <w:t> </w:t>
            </w:r>
            <w:r w:rsidRPr="00985EE5">
              <w:rPr>
                <w:sz w:val="20"/>
                <w:szCs w:val="20"/>
              </w:rPr>
              <w:t>201</w:t>
            </w:r>
            <w:r w:rsidR="007C02D2" w:rsidRPr="00985EE5">
              <w:rPr>
                <w:sz w:val="20"/>
                <w:szCs w:val="20"/>
              </w:rPr>
              <w:t>7</w:t>
            </w:r>
          </w:p>
        </w:tc>
      </w:tr>
      <w:tr w:rsidR="008567DC" w:rsidRPr="00985EE5" w:rsidTr="000E2434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8"/>
          </w:tcPr>
          <w:p w:rsidR="008567DC" w:rsidRPr="00985EE5" w:rsidRDefault="0079216E" w:rsidP="00985EE5">
            <w:pPr>
              <w:pStyle w:val="Neotevilenodstavek"/>
              <w:spacing w:before="0" w:after="0" w:line="26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</w:t>
            </w:r>
          </w:p>
        </w:tc>
      </w:tr>
      <w:tr w:rsidR="008567DC" w:rsidRPr="00985EE5" w:rsidTr="000E2434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8"/>
          </w:tcPr>
          <w:p w:rsidR="008567DC" w:rsidRPr="00985EE5" w:rsidRDefault="008567DC" w:rsidP="00985EE5">
            <w:pPr>
              <w:spacing w:line="260" w:lineRule="atLeast"/>
              <w:rPr>
                <w:rFonts w:cs="Arial"/>
                <w:szCs w:val="20"/>
                <w:lang w:val="sl-SI"/>
              </w:rPr>
            </w:pPr>
          </w:p>
          <w:p w:rsidR="008567DC" w:rsidRPr="00985EE5" w:rsidRDefault="008567DC" w:rsidP="00985EE5">
            <w:pPr>
              <w:spacing w:line="260" w:lineRule="atLeast"/>
              <w:rPr>
                <w:rFonts w:cs="Arial"/>
                <w:szCs w:val="20"/>
                <w:lang w:val="sl-SI"/>
              </w:rPr>
            </w:pPr>
            <w:r w:rsidRPr="00985EE5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:rsidR="008567DC" w:rsidRPr="00985EE5" w:rsidRDefault="00C9239F" w:rsidP="00985EE5">
            <w:pPr>
              <w:spacing w:line="260" w:lineRule="atLeast"/>
              <w:rPr>
                <w:rFonts w:cs="Arial"/>
                <w:szCs w:val="20"/>
                <w:lang w:val="sl-SI"/>
              </w:rPr>
            </w:pPr>
            <w:hyperlink r:id="rId8" w:history="1">
              <w:r w:rsidR="008567DC" w:rsidRPr="00985EE5">
                <w:rPr>
                  <w:rStyle w:val="Hiperpovezava"/>
                  <w:rFonts w:cs="Arial"/>
                  <w:szCs w:val="20"/>
                  <w:lang w:val="sl-SI"/>
                </w:rPr>
                <w:t>Gp.gs@gov.si</w:t>
              </w:r>
            </w:hyperlink>
          </w:p>
          <w:p w:rsidR="008567DC" w:rsidRPr="00985EE5" w:rsidRDefault="008567DC" w:rsidP="00985EE5">
            <w:pPr>
              <w:spacing w:line="260" w:lineRule="atLeast"/>
              <w:rPr>
                <w:rFonts w:cs="Arial"/>
                <w:szCs w:val="20"/>
                <w:lang w:val="sl-SI"/>
              </w:rPr>
            </w:pPr>
          </w:p>
        </w:tc>
      </w:tr>
      <w:tr w:rsidR="008567DC" w:rsidRPr="00985EE5" w:rsidTr="000E2434">
        <w:trPr>
          <w:gridBefore w:val="1"/>
          <w:wBefore w:w="100" w:type="dxa"/>
        </w:trPr>
        <w:tc>
          <w:tcPr>
            <w:tcW w:w="1134" w:type="dxa"/>
            <w:tcBorders>
              <w:right w:val="nil"/>
            </w:tcBorders>
          </w:tcPr>
          <w:p w:rsidR="008567DC" w:rsidRPr="00985EE5" w:rsidRDefault="008567DC" w:rsidP="00985EE5">
            <w:pPr>
              <w:pStyle w:val="Naslovpredpisa"/>
              <w:spacing w:before="0" w:after="0" w:line="260" w:lineRule="atLeast"/>
              <w:ind w:left="34" w:hanging="34"/>
              <w:jc w:val="both"/>
              <w:rPr>
                <w:sz w:val="20"/>
                <w:szCs w:val="20"/>
              </w:rPr>
            </w:pPr>
            <w:r w:rsidRPr="00985EE5">
              <w:rPr>
                <w:sz w:val="20"/>
                <w:szCs w:val="20"/>
              </w:rPr>
              <w:t xml:space="preserve">ZADEVA: </w:t>
            </w:r>
          </w:p>
        </w:tc>
        <w:tc>
          <w:tcPr>
            <w:tcW w:w="8029" w:type="dxa"/>
            <w:gridSpan w:val="13"/>
            <w:tcBorders>
              <w:left w:val="nil"/>
            </w:tcBorders>
          </w:tcPr>
          <w:p w:rsidR="008567DC" w:rsidRPr="00985EE5" w:rsidRDefault="0079216E" w:rsidP="00A64B32">
            <w:pPr>
              <w:pStyle w:val="Naslovpredpisa"/>
              <w:spacing w:before="0" w:after="0" w:line="26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Izhodišča za udeležbo deleg</w:t>
            </w:r>
            <w:r w:rsidR="00A74333">
              <w:rPr>
                <w:sz w:val="20"/>
                <w:szCs w:val="20"/>
              </w:rPr>
              <w:t>acije Republike Slovenije na desetem</w:t>
            </w:r>
            <w:r>
              <w:rPr>
                <w:sz w:val="20"/>
                <w:szCs w:val="20"/>
              </w:rPr>
              <w:t xml:space="preserve"> </w:t>
            </w:r>
            <w:r w:rsidR="0030496A">
              <w:rPr>
                <w:sz w:val="20"/>
                <w:szCs w:val="20"/>
              </w:rPr>
              <w:t xml:space="preserve">evropskem regionalnem srečanju </w:t>
            </w:r>
            <w:r>
              <w:rPr>
                <w:sz w:val="20"/>
                <w:szCs w:val="20"/>
              </w:rPr>
              <w:t xml:space="preserve">Mednarodne </w:t>
            </w:r>
            <w:r w:rsidR="0030496A">
              <w:rPr>
                <w:sz w:val="20"/>
                <w:szCs w:val="20"/>
              </w:rPr>
              <w:t>organizacije</w:t>
            </w:r>
            <w:r>
              <w:rPr>
                <w:sz w:val="20"/>
                <w:szCs w:val="20"/>
              </w:rPr>
              <w:t xml:space="preserve"> dela, ki bo v </w:t>
            </w:r>
            <w:r w:rsidR="0030496A">
              <w:rPr>
                <w:sz w:val="20"/>
                <w:szCs w:val="20"/>
              </w:rPr>
              <w:t>Istanbulu med 2. in 5. oktobrom </w:t>
            </w:r>
            <w:r>
              <w:rPr>
                <w:sz w:val="20"/>
                <w:szCs w:val="20"/>
              </w:rPr>
              <w:t>2017</w:t>
            </w:r>
          </w:p>
        </w:tc>
      </w:tr>
      <w:tr w:rsidR="008567DC" w:rsidRPr="00985EE5" w:rsidTr="000E2434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8567DC" w:rsidRPr="00985EE5" w:rsidRDefault="008567DC" w:rsidP="00985EE5">
            <w:pPr>
              <w:pStyle w:val="Poglavje"/>
              <w:spacing w:before="0" w:after="0" w:line="260" w:lineRule="atLeast"/>
              <w:jc w:val="left"/>
              <w:rPr>
                <w:sz w:val="20"/>
                <w:szCs w:val="20"/>
              </w:rPr>
            </w:pPr>
            <w:r w:rsidRPr="00985EE5">
              <w:rPr>
                <w:sz w:val="20"/>
                <w:szCs w:val="20"/>
              </w:rPr>
              <w:t>1. Predlog sklepov vlade: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8567DC" w:rsidRPr="003A01AD" w:rsidRDefault="008567DC" w:rsidP="00985EE5">
            <w:pPr>
              <w:spacing w:line="260" w:lineRule="atLeast"/>
              <w:rPr>
                <w:rFonts w:cs="Arial"/>
                <w:szCs w:val="20"/>
                <w:lang w:val="sl-SI"/>
              </w:rPr>
            </w:pPr>
          </w:p>
          <w:p w:rsidR="008567DC" w:rsidRPr="003A01AD" w:rsidRDefault="008567DC" w:rsidP="00985EE5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t xml:space="preserve">Na podlagi </w:t>
            </w:r>
            <w:r w:rsidR="00CF4981" w:rsidRPr="003A01AD">
              <w:rPr>
                <w:rFonts w:cs="Arial"/>
                <w:szCs w:val="20"/>
                <w:lang w:val="sl-SI" w:eastAsia="sl-SI"/>
              </w:rPr>
              <w:t xml:space="preserve">2. člena in </w:t>
            </w:r>
            <w:r w:rsidRPr="003A01AD">
              <w:rPr>
                <w:rFonts w:cs="Arial"/>
                <w:szCs w:val="20"/>
                <w:lang w:val="sl-SI" w:eastAsia="sl-SI"/>
              </w:rPr>
              <w:t xml:space="preserve">šestega odstavka 21. člena Zakona o Vladi Republike </w:t>
            </w:r>
            <w:r w:rsidRPr="003A01AD">
              <w:rPr>
                <w:rFonts w:cs="Arial"/>
                <w:szCs w:val="20"/>
                <w:lang w:val="sl-SI"/>
              </w:rPr>
              <w:t>Slovenije</w:t>
            </w:r>
            <w:r w:rsidR="00DB41A7" w:rsidRPr="003A01AD">
              <w:rPr>
                <w:rFonts w:cs="Arial"/>
                <w:szCs w:val="20"/>
                <w:lang w:val="sl-SI"/>
              </w:rPr>
              <w:t xml:space="preserve"> (Uradni list RS, št. 24/05 – uradno prečiščeno besedilo, 109/08, 38/10 – ZUKN, 8/12, 21/13, 47/13 – ZDU-1G in 65/14</w:t>
            </w:r>
            <w:r w:rsidRPr="003A01AD">
              <w:rPr>
                <w:rFonts w:cs="Arial"/>
                <w:szCs w:val="20"/>
                <w:lang w:val="sl-SI" w:eastAsia="sl-SI"/>
              </w:rPr>
              <w:t xml:space="preserve">) </w:t>
            </w:r>
            <w:r w:rsidR="00122A59" w:rsidRPr="003A01AD">
              <w:rPr>
                <w:rFonts w:cs="Arial"/>
                <w:szCs w:val="20"/>
                <w:lang w:val="sl-SI" w:eastAsia="sl-SI"/>
              </w:rPr>
              <w:t>in prvega odstavka 3. člena U</w:t>
            </w:r>
            <w:r w:rsidR="0079216E" w:rsidRPr="003A01AD">
              <w:rPr>
                <w:rFonts w:cs="Arial"/>
                <w:szCs w:val="20"/>
                <w:lang w:val="sl-SI" w:eastAsia="sl-SI"/>
              </w:rPr>
              <w:t>redbe o sodelovanju, obveščanju in usklajevanju na področju zunanjih zadev in mednarodnih odnosov (Uradni list RS, št. 112/05)</w:t>
            </w:r>
            <w:r w:rsidRPr="003A01AD">
              <w:rPr>
                <w:rFonts w:cs="Arial"/>
                <w:szCs w:val="20"/>
                <w:lang w:val="sl-SI" w:eastAsia="sl-SI"/>
              </w:rPr>
              <w:t xml:space="preserve"> je Vlada Republike Slovenije na ...... redni seji dne ....... pod točko ...... sprejela naslednji</w:t>
            </w:r>
          </w:p>
          <w:p w:rsidR="008567DC" w:rsidRPr="003A01AD" w:rsidRDefault="008567DC" w:rsidP="00985EE5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8567DC" w:rsidRPr="003A01AD" w:rsidRDefault="008567DC" w:rsidP="00985EE5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3A01AD">
              <w:rPr>
                <w:rFonts w:cs="Arial"/>
                <w:b/>
                <w:bCs/>
                <w:szCs w:val="20"/>
                <w:lang w:val="sl-SI" w:eastAsia="sl-SI"/>
              </w:rPr>
              <w:t>SKLEP</w:t>
            </w:r>
          </w:p>
          <w:p w:rsidR="008567DC" w:rsidRPr="003A01AD" w:rsidRDefault="008567DC" w:rsidP="00985EE5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:rsidR="00122A59" w:rsidRPr="003A01AD" w:rsidRDefault="008567DC" w:rsidP="00122A59">
            <w:pPr>
              <w:pStyle w:val="Odstavekseznama"/>
              <w:numPr>
                <w:ilvl w:val="0"/>
                <w:numId w:val="17"/>
              </w:numPr>
              <w:spacing w:line="260" w:lineRule="atLeast"/>
              <w:ind w:left="700"/>
              <w:rPr>
                <w:rFonts w:ascii="Arial" w:hAnsi="Arial" w:cs="Arial"/>
                <w:sz w:val="20"/>
                <w:lang w:eastAsia="sl-SI"/>
              </w:rPr>
            </w:pPr>
            <w:r w:rsidRPr="003A01AD">
              <w:rPr>
                <w:rFonts w:ascii="Arial" w:hAnsi="Arial" w:cs="Arial"/>
                <w:sz w:val="20"/>
                <w:lang w:eastAsia="sl-SI"/>
              </w:rPr>
              <w:t xml:space="preserve">Vlada Republike Slovenije je sprejela </w:t>
            </w:r>
            <w:r w:rsidR="00A64B32">
              <w:rPr>
                <w:rFonts w:ascii="Arial" w:hAnsi="Arial" w:cs="Arial"/>
                <w:sz w:val="20"/>
                <w:lang w:eastAsia="sl-SI"/>
              </w:rPr>
              <w:t>Izhodišča za udeležbo</w:t>
            </w:r>
            <w:r w:rsidR="0030496A" w:rsidRPr="003A01AD">
              <w:rPr>
                <w:rFonts w:ascii="Arial" w:hAnsi="Arial" w:cs="Arial"/>
                <w:sz w:val="20"/>
                <w:lang w:eastAsia="sl-SI"/>
              </w:rPr>
              <w:t xml:space="preserve"> delegacije Republike Slovenije na desetem evropskem regionalnem srečanju</w:t>
            </w:r>
            <w:r w:rsidR="0079216E" w:rsidRPr="003A01AD">
              <w:rPr>
                <w:rFonts w:ascii="Arial" w:hAnsi="Arial" w:cs="Arial"/>
                <w:sz w:val="20"/>
                <w:lang w:eastAsia="sl-SI"/>
              </w:rPr>
              <w:t xml:space="preserve"> Mednarodne </w:t>
            </w:r>
            <w:r w:rsidR="0030496A" w:rsidRPr="003A01AD">
              <w:rPr>
                <w:rFonts w:ascii="Arial" w:hAnsi="Arial" w:cs="Arial"/>
                <w:sz w:val="20"/>
                <w:lang w:eastAsia="sl-SI"/>
              </w:rPr>
              <w:t>organizacije</w:t>
            </w:r>
            <w:r w:rsidR="0079216E" w:rsidRPr="003A01AD">
              <w:rPr>
                <w:rFonts w:ascii="Arial" w:hAnsi="Arial" w:cs="Arial"/>
                <w:sz w:val="20"/>
                <w:lang w:eastAsia="sl-SI"/>
              </w:rPr>
              <w:t xml:space="preserve"> dela</w:t>
            </w:r>
            <w:r w:rsidR="00E94D12" w:rsidRPr="003A01AD">
              <w:rPr>
                <w:rFonts w:ascii="Arial" w:hAnsi="Arial" w:cs="Arial"/>
                <w:sz w:val="20"/>
                <w:lang w:eastAsia="sl-SI"/>
              </w:rPr>
              <w:t xml:space="preserve"> med</w:t>
            </w:r>
            <w:r w:rsidR="0030496A" w:rsidRPr="003A01AD">
              <w:rPr>
                <w:rFonts w:ascii="Arial" w:hAnsi="Arial" w:cs="Arial"/>
                <w:sz w:val="20"/>
                <w:lang w:eastAsia="sl-SI"/>
              </w:rPr>
              <w:t xml:space="preserve"> 2</w:t>
            </w:r>
            <w:r w:rsidR="003A0E1A" w:rsidRPr="003A01AD">
              <w:rPr>
                <w:rFonts w:ascii="Arial" w:hAnsi="Arial" w:cs="Arial"/>
                <w:sz w:val="20"/>
                <w:lang w:eastAsia="sl-SI"/>
              </w:rPr>
              <w:t>. </w:t>
            </w:r>
            <w:r w:rsidR="0030496A" w:rsidRPr="003A01AD">
              <w:rPr>
                <w:rFonts w:ascii="Arial" w:hAnsi="Arial" w:cs="Arial"/>
                <w:sz w:val="20"/>
                <w:lang w:eastAsia="sl-SI"/>
              </w:rPr>
              <w:t>in 5. oktobrom</w:t>
            </w:r>
            <w:r w:rsidR="003A0E1A" w:rsidRPr="003A01AD">
              <w:rPr>
                <w:rFonts w:ascii="Arial" w:hAnsi="Arial" w:cs="Arial"/>
                <w:sz w:val="20"/>
                <w:lang w:eastAsia="sl-SI"/>
              </w:rPr>
              <w:t> </w:t>
            </w:r>
            <w:r w:rsidR="0030496A" w:rsidRPr="003A01AD">
              <w:rPr>
                <w:rFonts w:ascii="Arial" w:hAnsi="Arial" w:cs="Arial"/>
                <w:sz w:val="20"/>
                <w:lang w:eastAsia="sl-SI"/>
              </w:rPr>
              <w:t>2017 v Istanbulu</w:t>
            </w:r>
            <w:r w:rsidRPr="003A01AD">
              <w:rPr>
                <w:rFonts w:ascii="Arial" w:hAnsi="Arial" w:cs="Arial"/>
                <w:sz w:val="20"/>
                <w:lang w:eastAsia="sl-SI"/>
              </w:rPr>
              <w:t>.</w:t>
            </w:r>
          </w:p>
          <w:p w:rsidR="00122A59" w:rsidRPr="003A01AD" w:rsidRDefault="00122A59" w:rsidP="00122A59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122A59" w:rsidRPr="003A01AD" w:rsidRDefault="00122A59" w:rsidP="00C0152F">
            <w:pPr>
              <w:pStyle w:val="Odstavekseznama"/>
              <w:numPr>
                <w:ilvl w:val="0"/>
                <w:numId w:val="17"/>
              </w:numPr>
              <w:spacing w:line="260" w:lineRule="atLeast"/>
              <w:rPr>
                <w:rFonts w:ascii="Arial" w:hAnsi="Arial" w:cs="Arial"/>
                <w:sz w:val="20"/>
                <w:lang w:eastAsia="sl-SI"/>
              </w:rPr>
            </w:pPr>
            <w:r w:rsidRPr="003A01AD">
              <w:rPr>
                <w:rFonts w:ascii="Arial" w:hAnsi="Arial" w:cs="Arial"/>
                <w:sz w:val="20"/>
                <w:lang w:eastAsia="sl-SI"/>
              </w:rPr>
              <w:t>Vlada R</w:t>
            </w:r>
            <w:r w:rsidR="00A64B32">
              <w:rPr>
                <w:rFonts w:ascii="Arial" w:hAnsi="Arial" w:cs="Arial"/>
                <w:sz w:val="20"/>
                <w:lang w:eastAsia="sl-SI"/>
              </w:rPr>
              <w:t>epublike Slovenije je imenovala</w:t>
            </w:r>
            <w:r w:rsidRPr="003A01AD">
              <w:rPr>
                <w:rFonts w:ascii="Arial" w:hAnsi="Arial" w:cs="Arial"/>
                <w:sz w:val="20"/>
                <w:lang w:eastAsia="sl-SI"/>
              </w:rPr>
              <w:t xml:space="preserve"> delegacijo v naslednji sestavi:</w:t>
            </w:r>
          </w:p>
          <w:p w:rsidR="00122A59" w:rsidRPr="003A01AD" w:rsidRDefault="00640AF4" w:rsidP="00C0152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t>Peter Pogačar</w:t>
            </w:r>
            <w:r w:rsidR="00122A59" w:rsidRPr="003A01AD">
              <w:rPr>
                <w:rFonts w:cs="Arial"/>
                <w:szCs w:val="20"/>
                <w:lang w:val="sl-SI" w:eastAsia="sl-SI"/>
              </w:rPr>
              <w:t xml:space="preserve">, </w:t>
            </w:r>
            <w:r w:rsidRPr="003A01AD">
              <w:rPr>
                <w:rFonts w:cs="Arial"/>
                <w:szCs w:val="20"/>
                <w:lang w:val="sl-SI" w:eastAsia="sl-SI"/>
              </w:rPr>
              <w:t>državni</w:t>
            </w:r>
            <w:r w:rsidR="003C302F" w:rsidRPr="003A01AD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3A01AD">
              <w:rPr>
                <w:rFonts w:cs="Arial"/>
                <w:szCs w:val="20"/>
                <w:lang w:val="sl-SI" w:eastAsia="sl-SI"/>
              </w:rPr>
              <w:t>sekretar</w:t>
            </w:r>
            <w:r w:rsidR="00122A59" w:rsidRPr="003A01AD">
              <w:rPr>
                <w:rFonts w:cs="Arial"/>
                <w:szCs w:val="20"/>
                <w:lang w:val="sl-SI" w:eastAsia="sl-SI"/>
              </w:rPr>
              <w:t xml:space="preserve"> na Ministrstvu za delo, družino, socialne zadeve in </w:t>
            </w:r>
            <w:r w:rsidR="00082C6C" w:rsidRPr="003A01AD">
              <w:rPr>
                <w:rFonts w:cs="Arial"/>
                <w:szCs w:val="20"/>
                <w:lang w:val="sl-SI" w:eastAsia="sl-SI"/>
              </w:rPr>
              <w:t xml:space="preserve">  </w:t>
            </w:r>
            <w:r w:rsidR="00122A59" w:rsidRPr="003A01AD">
              <w:rPr>
                <w:rFonts w:cs="Arial"/>
                <w:szCs w:val="20"/>
                <w:lang w:val="sl-SI" w:eastAsia="sl-SI"/>
              </w:rPr>
              <w:t xml:space="preserve">enake možnosti, </w:t>
            </w:r>
            <w:r w:rsidR="003C302F" w:rsidRPr="003A01AD">
              <w:rPr>
                <w:rFonts w:cs="Arial"/>
                <w:szCs w:val="20"/>
                <w:lang w:val="sl-SI" w:eastAsia="sl-SI"/>
              </w:rPr>
              <w:t xml:space="preserve">kot </w:t>
            </w:r>
            <w:r w:rsidR="00122A59" w:rsidRPr="003A01AD">
              <w:rPr>
                <w:rFonts w:cs="Arial"/>
                <w:szCs w:val="20"/>
                <w:lang w:val="sl-SI" w:eastAsia="sl-SI"/>
              </w:rPr>
              <w:t xml:space="preserve">vodja delegacije (med </w:t>
            </w:r>
            <w:r w:rsidR="00207E85">
              <w:rPr>
                <w:rFonts w:cs="Arial"/>
                <w:szCs w:val="20"/>
                <w:lang w:val="sl-SI" w:eastAsia="sl-SI"/>
              </w:rPr>
              <w:t>1. 10. 2017 in 4</w:t>
            </w:r>
            <w:r w:rsidR="00A279A1" w:rsidRPr="003A01AD">
              <w:rPr>
                <w:rFonts w:cs="Arial"/>
                <w:szCs w:val="20"/>
                <w:lang w:val="sl-SI" w:eastAsia="sl-SI"/>
              </w:rPr>
              <w:t>. 10</w:t>
            </w:r>
            <w:r w:rsidR="003C302F" w:rsidRPr="003A01AD">
              <w:rPr>
                <w:rFonts w:cs="Arial"/>
                <w:szCs w:val="20"/>
                <w:lang w:val="sl-SI" w:eastAsia="sl-SI"/>
              </w:rPr>
              <w:t>. </w:t>
            </w:r>
            <w:r w:rsidR="00122A59" w:rsidRPr="003A01AD">
              <w:rPr>
                <w:rFonts w:cs="Arial"/>
                <w:szCs w:val="20"/>
                <w:lang w:val="sl-SI" w:eastAsia="sl-SI"/>
              </w:rPr>
              <w:t>2017),</w:t>
            </w:r>
          </w:p>
          <w:p w:rsidR="0051726B" w:rsidRDefault="00A279A1" w:rsidP="00C0152F">
            <w:pPr>
              <w:pStyle w:val="Odstavekseznama"/>
              <w:numPr>
                <w:ilvl w:val="0"/>
                <w:numId w:val="24"/>
              </w:numPr>
              <w:spacing w:line="260" w:lineRule="atLeast"/>
              <w:rPr>
                <w:rFonts w:ascii="Arial" w:hAnsi="Arial" w:cs="Arial"/>
                <w:sz w:val="20"/>
                <w:lang w:eastAsia="sl-SI"/>
              </w:rPr>
            </w:pPr>
            <w:r w:rsidRPr="003A01AD">
              <w:rPr>
                <w:rFonts w:ascii="Arial" w:hAnsi="Arial" w:cs="Arial"/>
                <w:sz w:val="20"/>
                <w:lang w:eastAsia="sl-SI"/>
              </w:rPr>
              <w:t xml:space="preserve">Mojca Štepic, </w:t>
            </w:r>
            <w:r w:rsidR="0075545E">
              <w:rPr>
                <w:rFonts w:ascii="Arial" w:hAnsi="Arial" w:cs="Arial"/>
                <w:sz w:val="20"/>
                <w:lang w:eastAsia="sl-SI"/>
              </w:rPr>
              <w:t xml:space="preserve">državna sekretarka, </w:t>
            </w:r>
            <w:r w:rsidR="00D2772A">
              <w:rPr>
                <w:rFonts w:ascii="Arial" w:hAnsi="Arial" w:cs="Arial"/>
                <w:sz w:val="20"/>
                <w:lang w:eastAsia="sl-SI"/>
              </w:rPr>
              <w:t xml:space="preserve">vodja </w:t>
            </w:r>
            <w:r w:rsidR="00D2772A" w:rsidRPr="00D2772A">
              <w:rPr>
                <w:rFonts w:ascii="Arial" w:hAnsi="Arial" w:cs="Arial"/>
                <w:sz w:val="20"/>
                <w:lang w:eastAsia="sl-SI"/>
              </w:rPr>
              <w:t>Sektor</w:t>
            </w:r>
            <w:r w:rsidR="00D2772A">
              <w:rPr>
                <w:rFonts w:ascii="Arial" w:hAnsi="Arial" w:cs="Arial"/>
                <w:sz w:val="20"/>
                <w:lang w:eastAsia="sl-SI"/>
              </w:rPr>
              <w:t>ja</w:t>
            </w:r>
            <w:r w:rsidR="00D2772A" w:rsidRPr="00D2772A">
              <w:rPr>
                <w:rFonts w:ascii="Arial" w:hAnsi="Arial" w:cs="Arial"/>
                <w:sz w:val="20"/>
                <w:lang w:eastAsia="sl-SI"/>
              </w:rPr>
              <w:t xml:space="preserve"> za socialno podjetništvo</w:t>
            </w:r>
            <w:r w:rsidR="00D2772A">
              <w:rPr>
                <w:rFonts w:ascii="Arial" w:hAnsi="Arial" w:cs="Arial"/>
                <w:sz w:val="20"/>
                <w:lang w:eastAsia="sl-SI"/>
              </w:rPr>
              <w:t xml:space="preserve"> </w:t>
            </w:r>
            <w:r w:rsidRPr="003A01AD">
              <w:rPr>
                <w:rFonts w:ascii="Arial" w:hAnsi="Arial" w:cs="Arial"/>
                <w:sz w:val="20"/>
                <w:lang w:eastAsia="sl-SI"/>
              </w:rPr>
              <w:t>na Ministrstvu za go</w:t>
            </w:r>
            <w:r w:rsidR="000E5098">
              <w:rPr>
                <w:rFonts w:ascii="Arial" w:hAnsi="Arial" w:cs="Arial"/>
                <w:sz w:val="20"/>
                <w:lang w:eastAsia="sl-SI"/>
              </w:rPr>
              <w:t xml:space="preserve">spodarski razvoj in tehnologijo, </w:t>
            </w:r>
            <w:r w:rsidR="0099235A">
              <w:rPr>
                <w:rFonts w:ascii="Arial" w:hAnsi="Arial" w:cs="Arial"/>
                <w:sz w:val="20"/>
                <w:lang w:eastAsia="sl-SI"/>
              </w:rPr>
              <w:t>kot vladna delegatka (med 2. 10. 2017 in 4</w:t>
            </w:r>
            <w:r w:rsidRPr="003A01AD">
              <w:rPr>
                <w:rFonts w:ascii="Arial" w:hAnsi="Arial" w:cs="Arial"/>
                <w:sz w:val="20"/>
                <w:lang w:eastAsia="sl-SI"/>
              </w:rPr>
              <w:t>. 10. 2017),</w:t>
            </w:r>
          </w:p>
          <w:p w:rsidR="006B2DC0" w:rsidRPr="006B2DC0" w:rsidRDefault="006B2DC0" w:rsidP="006B2DC0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5545E">
              <w:rPr>
                <w:rFonts w:cs="Arial"/>
                <w:iCs/>
                <w:szCs w:val="20"/>
                <w:lang w:val="sl-SI" w:eastAsia="sl-SI"/>
              </w:rPr>
              <w:t>Tatjana Kovačič</w:t>
            </w:r>
            <w:r w:rsidRPr="003A01AD">
              <w:rPr>
                <w:rFonts w:cs="Arial"/>
                <w:iCs/>
                <w:szCs w:val="20"/>
                <w:lang w:val="sl-SI" w:eastAsia="sl-SI"/>
              </w:rPr>
              <w:t>, namestnica veleposlanika, pooblaščena ministrica v Veleposlaništvu Republike Slovenije v Ankari, kot predstavnica vladnih delegatov</w:t>
            </w:r>
            <w:r>
              <w:rPr>
                <w:rFonts w:cs="Arial"/>
                <w:iCs/>
                <w:szCs w:val="20"/>
                <w:lang w:val="sl-SI" w:eastAsia="sl-SI"/>
              </w:rPr>
              <w:t xml:space="preserve"> (med 1. 10. 2017 in 5. 10. 2017)</w:t>
            </w:r>
            <w:r w:rsidRPr="003A01AD">
              <w:rPr>
                <w:rFonts w:cs="Arial"/>
                <w:iCs/>
                <w:szCs w:val="20"/>
                <w:lang w:val="sl-SI" w:eastAsia="sl-SI"/>
              </w:rPr>
              <w:t>,</w:t>
            </w:r>
          </w:p>
          <w:p w:rsidR="00190FD2" w:rsidRPr="00190FD2" w:rsidRDefault="00190FD2" w:rsidP="00C0152F">
            <w:pPr>
              <w:pStyle w:val="Odstavekseznama"/>
              <w:numPr>
                <w:ilvl w:val="0"/>
                <w:numId w:val="24"/>
              </w:numPr>
              <w:spacing w:line="260" w:lineRule="atLeast"/>
              <w:rPr>
                <w:rFonts w:ascii="Arial" w:hAnsi="Arial" w:cs="Arial"/>
                <w:sz w:val="20"/>
                <w:lang w:eastAsia="sl-SI"/>
              </w:rPr>
            </w:pPr>
            <w:r w:rsidRPr="00190FD2">
              <w:rPr>
                <w:rFonts w:ascii="Arial" w:hAnsi="Arial" w:cs="Arial"/>
                <w:sz w:val="20"/>
                <w:lang w:eastAsia="sl-SI"/>
              </w:rPr>
              <w:t>Urška Draksler, svetovalka na Ministrstvu za delo, družino, socialne zadeve in enake možnosti, kot vladna delegatka (med 1. 10. 2017 in 5. 10. 2017),</w:t>
            </w:r>
          </w:p>
          <w:p w:rsidR="00A761C2" w:rsidRDefault="000E5098" w:rsidP="00A761C2">
            <w:pPr>
              <w:pStyle w:val="Odstavekseznama"/>
              <w:numPr>
                <w:ilvl w:val="0"/>
                <w:numId w:val="24"/>
              </w:numPr>
              <w:spacing w:line="260" w:lineRule="atLeast"/>
              <w:rPr>
                <w:rFonts w:ascii="Arial" w:hAnsi="Arial" w:cs="Arial"/>
                <w:sz w:val="20"/>
                <w:lang w:eastAsia="sl-SI"/>
              </w:rPr>
            </w:pPr>
            <w:r w:rsidRPr="000E5098">
              <w:rPr>
                <w:rFonts w:ascii="Arial" w:hAnsi="Arial" w:cs="Arial"/>
                <w:sz w:val="20"/>
                <w:lang w:eastAsia="sl-SI"/>
              </w:rPr>
              <w:t>Danijel Lamperger, direktor Obrtno-podjetniške zbornice Slovenije</w:t>
            </w:r>
            <w:r w:rsidR="00320A78" w:rsidRPr="003A01AD">
              <w:rPr>
                <w:rFonts w:ascii="Arial" w:hAnsi="Arial" w:cs="Arial"/>
                <w:sz w:val="20"/>
                <w:lang w:eastAsia="sl-SI"/>
              </w:rPr>
              <w:t>, kot predstavnik delodajalskih organizacij</w:t>
            </w:r>
            <w:r w:rsidR="003D63F5" w:rsidRPr="003A01AD">
              <w:rPr>
                <w:rFonts w:ascii="Arial" w:hAnsi="Arial" w:cs="Arial"/>
                <w:sz w:val="20"/>
                <w:lang w:eastAsia="sl-SI"/>
              </w:rPr>
              <w:t xml:space="preserve"> (med 1. 10</w:t>
            </w:r>
            <w:r w:rsidR="00E5110A" w:rsidRPr="003A01AD">
              <w:rPr>
                <w:rFonts w:ascii="Arial" w:hAnsi="Arial" w:cs="Arial"/>
                <w:sz w:val="20"/>
                <w:lang w:eastAsia="sl-SI"/>
              </w:rPr>
              <w:t>. </w:t>
            </w:r>
            <w:r w:rsidR="003D63F5" w:rsidRPr="003A01AD">
              <w:rPr>
                <w:rFonts w:ascii="Arial" w:hAnsi="Arial" w:cs="Arial"/>
                <w:sz w:val="20"/>
                <w:lang w:eastAsia="sl-SI"/>
              </w:rPr>
              <w:t>2017 in 5. 10. </w:t>
            </w:r>
            <w:r w:rsidR="00F47DAF">
              <w:rPr>
                <w:rFonts w:ascii="Arial" w:hAnsi="Arial" w:cs="Arial"/>
                <w:sz w:val="20"/>
                <w:lang w:eastAsia="sl-SI"/>
              </w:rPr>
              <w:t>2017).</w:t>
            </w:r>
          </w:p>
          <w:p w:rsidR="00F47DAF" w:rsidRPr="00F47DAF" w:rsidRDefault="00F47DAF" w:rsidP="00F47DAF">
            <w:pPr>
              <w:spacing w:line="260" w:lineRule="atLeast"/>
              <w:rPr>
                <w:rFonts w:cs="Arial"/>
                <w:lang w:eastAsia="sl-SI"/>
              </w:rPr>
            </w:pPr>
          </w:p>
          <w:p w:rsidR="008567DC" w:rsidRPr="003A01AD" w:rsidRDefault="00A761C2" w:rsidP="00AB7E0B">
            <w:pPr>
              <w:pStyle w:val="Odstavekseznama"/>
              <w:numPr>
                <w:ilvl w:val="0"/>
                <w:numId w:val="17"/>
              </w:numPr>
              <w:spacing w:line="260" w:lineRule="atLeast"/>
              <w:rPr>
                <w:rFonts w:ascii="Arial" w:hAnsi="Arial" w:cs="Arial"/>
                <w:sz w:val="20"/>
                <w:lang w:eastAsia="sl-SI"/>
              </w:rPr>
            </w:pPr>
            <w:r w:rsidRPr="003A01AD">
              <w:rPr>
                <w:rFonts w:ascii="Arial" w:hAnsi="Arial" w:cs="Arial"/>
                <w:sz w:val="20"/>
                <w:lang w:eastAsia="sl-SI"/>
              </w:rPr>
              <w:t xml:space="preserve">Stroške udeležbe članov delegacije na </w:t>
            </w:r>
            <w:r w:rsidR="001F1908" w:rsidRPr="003A01AD">
              <w:rPr>
                <w:rFonts w:ascii="Arial" w:hAnsi="Arial" w:cs="Arial"/>
                <w:sz w:val="20"/>
                <w:lang w:eastAsia="sl-SI"/>
              </w:rPr>
              <w:t>evropskem regionalnem srečanj</w:t>
            </w:r>
            <w:r w:rsidRPr="003A01AD">
              <w:rPr>
                <w:rFonts w:ascii="Arial" w:hAnsi="Arial" w:cs="Arial"/>
                <w:sz w:val="20"/>
                <w:lang w:eastAsia="sl-SI"/>
              </w:rPr>
              <w:t>u krije Ministrstvo za delo, družino, socialne zadeve in enake možnosti</w:t>
            </w:r>
            <w:r w:rsidR="001F1908" w:rsidRPr="003A01AD">
              <w:rPr>
                <w:rFonts w:ascii="Arial" w:hAnsi="Arial" w:cs="Arial"/>
                <w:sz w:val="20"/>
                <w:lang w:eastAsia="sl-SI"/>
              </w:rPr>
              <w:t xml:space="preserve">, razen stroškov udeležbe </w:t>
            </w:r>
            <w:r w:rsidR="0075545E">
              <w:rPr>
                <w:rFonts w:ascii="Arial" w:hAnsi="Arial" w:cs="Arial"/>
                <w:sz w:val="20"/>
                <w:lang w:eastAsia="sl-SI"/>
              </w:rPr>
              <w:t xml:space="preserve">državne sekretarke, </w:t>
            </w:r>
            <w:r w:rsidR="00E00F53">
              <w:rPr>
                <w:rFonts w:ascii="Arial" w:hAnsi="Arial" w:cs="Arial"/>
                <w:sz w:val="20"/>
                <w:lang w:eastAsia="sl-SI"/>
              </w:rPr>
              <w:t xml:space="preserve">vodje </w:t>
            </w:r>
            <w:r w:rsidR="00E00F53" w:rsidRPr="00E00F53">
              <w:rPr>
                <w:rFonts w:ascii="Arial" w:hAnsi="Arial" w:cs="Arial"/>
                <w:sz w:val="20"/>
                <w:lang w:eastAsia="sl-SI"/>
              </w:rPr>
              <w:t>Sektor</w:t>
            </w:r>
            <w:r w:rsidR="00E00F53">
              <w:rPr>
                <w:rFonts w:ascii="Arial" w:hAnsi="Arial" w:cs="Arial"/>
                <w:sz w:val="20"/>
                <w:lang w:eastAsia="sl-SI"/>
              </w:rPr>
              <w:t>ja</w:t>
            </w:r>
            <w:r w:rsidR="00E00F53" w:rsidRPr="00E00F53">
              <w:rPr>
                <w:rFonts w:ascii="Arial" w:hAnsi="Arial" w:cs="Arial"/>
                <w:sz w:val="20"/>
                <w:lang w:eastAsia="sl-SI"/>
              </w:rPr>
              <w:t xml:space="preserve"> za socialno podjetništvo</w:t>
            </w:r>
            <w:r w:rsidR="001F1908" w:rsidRPr="003A01AD">
              <w:rPr>
                <w:rFonts w:ascii="Arial" w:hAnsi="Arial" w:cs="Arial"/>
                <w:sz w:val="20"/>
                <w:lang w:eastAsia="sl-SI"/>
              </w:rPr>
              <w:t xml:space="preserve"> na Ministrstvu za gospodarski razvoj in tehnologijo</w:t>
            </w:r>
            <w:r w:rsidR="00B5758D">
              <w:rPr>
                <w:rFonts w:ascii="Arial" w:hAnsi="Arial" w:cs="Arial"/>
                <w:sz w:val="20"/>
                <w:lang w:eastAsia="sl-SI"/>
              </w:rPr>
              <w:t>,</w:t>
            </w:r>
            <w:r w:rsidR="001F1908" w:rsidRPr="003A01AD">
              <w:rPr>
                <w:rFonts w:ascii="Arial" w:hAnsi="Arial" w:cs="Arial"/>
                <w:sz w:val="20"/>
                <w:lang w:eastAsia="sl-SI"/>
              </w:rPr>
              <w:t xml:space="preserve"> ge. Mojce Štepic, ki jih krije Ministrstvo za go</w:t>
            </w:r>
            <w:r w:rsidR="00AB7E0B">
              <w:rPr>
                <w:rFonts w:ascii="Arial" w:hAnsi="Arial" w:cs="Arial"/>
                <w:sz w:val="20"/>
                <w:lang w:eastAsia="sl-SI"/>
              </w:rPr>
              <w:t>spodarski razvoj in tehnologijo</w:t>
            </w:r>
            <w:r w:rsidR="00C96BC7">
              <w:rPr>
                <w:rFonts w:ascii="Arial" w:hAnsi="Arial" w:cs="Arial"/>
                <w:sz w:val="20"/>
                <w:lang w:eastAsia="sl-SI"/>
              </w:rPr>
              <w:t>,</w:t>
            </w:r>
            <w:r w:rsidR="00AB7E0B">
              <w:rPr>
                <w:rFonts w:ascii="Arial" w:hAnsi="Arial" w:cs="Arial"/>
                <w:sz w:val="20"/>
                <w:lang w:eastAsia="sl-SI"/>
              </w:rPr>
              <w:t xml:space="preserve"> ter </w:t>
            </w:r>
            <w:r w:rsidR="00AB7E0B" w:rsidRPr="00AB7E0B">
              <w:rPr>
                <w:rFonts w:ascii="Arial" w:hAnsi="Arial" w:cs="Arial"/>
                <w:sz w:val="20"/>
                <w:lang w:eastAsia="sl-SI"/>
              </w:rPr>
              <w:t xml:space="preserve">ge. Tatjane Kovačič, </w:t>
            </w:r>
            <w:r w:rsidR="00C96BC7">
              <w:rPr>
                <w:rFonts w:ascii="Arial" w:hAnsi="Arial" w:cs="Arial"/>
                <w:sz w:val="20"/>
                <w:lang w:eastAsia="sl-SI"/>
              </w:rPr>
              <w:t xml:space="preserve">namestnice veleposlanika, </w:t>
            </w:r>
            <w:r w:rsidR="00AB7E0B" w:rsidRPr="00AB7E0B">
              <w:rPr>
                <w:rFonts w:ascii="Arial" w:hAnsi="Arial" w:cs="Arial"/>
                <w:sz w:val="20"/>
                <w:lang w:eastAsia="sl-SI"/>
              </w:rPr>
              <w:t>ki jih krije Veleposlaništvo Republike Slovenije v Ankari.</w:t>
            </w:r>
          </w:p>
          <w:p w:rsidR="001231ED" w:rsidRPr="003A01AD" w:rsidRDefault="001231ED" w:rsidP="00985EE5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8567DC" w:rsidRPr="003A01AD" w:rsidRDefault="008567DC" w:rsidP="00985EE5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    </w:t>
            </w:r>
            <w:r w:rsidR="001231ED" w:rsidRPr="003A01AD">
              <w:rPr>
                <w:rFonts w:cs="Arial"/>
                <w:szCs w:val="20"/>
                <w:lang w:val="sl-SI" w:eastAsia="sl-SI"/>
              </w:rPr>
              <w:t>M</w:t>
            </w:r>
            <w:r w:rsidRPr="003A01AD">
              <w:rPr>
                <w:rFonts w:cs="Arial"/>
                <w:szCs w:val="20"/>
                <w:lang w:val="sl-SI" w:eastAsia="sl-SI"/>
              </w:rPr>
              <w:t>ag. Lilijana Kozlovič</w:t>
            </w:r>
          </w:p>
          <w:p w:rsidR="008567DC" w:rsidRPr="003A01AD" w:rsidRDefault="008567DC" w:rsidP="00985EE5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    generalna sekretarka</w:t>
            </w:r>
          </w:p>
          <w:p w:rsidR="00B5758D" w:rsidRDefault="00B5758D" w:rsidP="00985EE5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082C6C" w:rsidRPr="003A01AD" w:rsidRDefault="00082C6C" w:rsidP="00985EE5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lastRenderedPageBreak/>
              <w:t>Priloge:</w:t>
            </w:r>
          </w:p>
          <w:p w:rsidR="00082C6C" w:rsidRPr="003A01AD" w:rsidRDefault="00082C6C" w:rsidP="00497D9A">
            <w:pPr>
              <w:pStyle w:val="Odstavekseznama"/>
              <w:numPr>
                <w:ilvl w:val="0"/>
                <w:numId w:val="36"/>
              </w:numPr>
              <w:spacing w:line="260" w:lineRule="atLeast"/>
              <w:rPr>
                <w:rFonts w:ascii="Arial" w:hAnsi="Arial" w:cs="Arial"/>
                <w:sz w:val="20"/>
                <w:lang w:eastAsia="sl-SI"/>
              </w:rPr>
            </w:pPr>
            <w:r w:rsidRPr="003A01AD">
              <w:rPr>
                <w:rFonts w:ascii="Arial" w:hAnsi="Arial" w:cs="Arial"/>
                <w:sz w:val="20"/>
                <w:lang w:eastAsia="sl-SI"/>
              </w:rPr>
              <w:t>Izhodišča za udeležbo delegacije Republike Slovenije na</w:t>
            </w:r>
            <w:r w:rsidR="00497D9A" w:rsidRPr="003A01AD">
              <w:t xml:space="preserve"> </w:t>
            </w:r>
            <w:r w:rsidR="00497D9A" w:rsidRPr="003A01AD">
              <w:rPr>
                <w:rFonts w:ascii="Arial" w:hAnsi="Arial" w:cs="Arial"/>
                <w:sz w:val="20"/>
                <w:lang w:eastAsia="sl-SI"/>
              </w:rPr>
              <w:t>desetem evropskem regionalnem srečanju Mednarodne organizacije dela med 2. in 5. oktobrom 2017 v Istanbulu</w:t>
            </w:r>
            <w:r w:rsidRPr="003A01AD">
              <w:rPr>
                <w:rFonts w:ascii="Arial" w:hAnsi="Arial" w:cs="Arial"/>
                <w:sz w:val="20"/>
                <w:lang w:eastAsia="sl-SI"/>
              </w:rPr>
              <w:t>;</w:t>
            </w:r>
          </w:p>
          <w:p w:rsidR="00082C6C" w:rsidRPr="003A01AD" w:rsidRDefault="00082C6C" w:rsidP="00497D9A">
            <w:pPr>
              <w:pStyle w:val="Odstavekseznama"/>
              <w:numPr>
                <w:ilvl w:val="0"/>
                <w:numId w:val="36"/>
              </w:numPr>
              <w:spacing w:line="260" w:lineRule="atLeast"/>
              <w:rPr>
                <w:rFonts w:ascii="Arial" w:hAnsi="Arial" w:cs="Arial"/>
                <w:sz w:val="20"/>
                <w:lang w:eastAsia="sl-SI"/>
              </w:rPr>
            </w:pPr>
            <w:r w:rsidRPr="003A01AD">
              <w:rPr>
                <w:rFonts w:ascii="Arial" w:hAnsi="Arial" w:cs="Arial"/>
                <w:sz w:val="20"/>
                <w:lang w:eastAsia="sl-SI"/>
              </w:rPr>
              <w:t>Tabela ocene stroškov udeležbe delegacije Republike Slovenije na</w:t>
            </w:r>
            <w:r w:rsidR="00497D9A" w:rsidRPr="003A01AD">
              <w:t xml:space="preserve"> </w:t>
            </w:r>
            <w:r w:rsidR="00497D9A" w:rsidRPr="003A01AD">
              <w:rPr>
                <w:rFonts w:ascii="Arial" w:hAnsi="Arial" w:cs="Arial"/>
                <w:sz w:val="20"/>
                <w:lang w:eastAsia="sl-SI"/>
              </w:rPr>
              <w:t>desetem evropskem regionalnem srečanju Mednarodne organizacije dela</w:t>
            </w:r>
            <w:r w:rsidR="008C12BB" w:rsidRPr="003A01AD">
              <w:rPr>
                <w:rFonts w:ascii="Arial" w:hAnsi="Arial" w:cs="Arial"/>
                <w:sz w:val="20"/>
                <w:lang w:eastAsia="sl-SI"/>
              </w:rPr>
              <w:t>.</w:t>
            </w:r>
          </w:p>
          <w:p w:rsidR="00082C6C" w:rsidRPr="003A01AD" w:rsidRDefault="00082C6C" w:rsidP="00082C6C">
            <w:pPr>
              <w:spacing w:line="260" w:lineRule="atLeast"/>
              <w:rPr>
                <w:rFonts w:cs="Arial"/>
                <w:lang w:val="sl-SI" w:eastAsia="sl-SI"/>
              </w:rPr>
            </w:pPr>
          </w:p>
          <w:p w:rsidR="00082C6C" w:rsidRPr="003A01AD" w:rsidRDefault="00082C6C" w:rsidP="00082C6C">
            <w:pPr>
              <w:spacing w:line="260" w:lineRule="atLeast"/>
              <w:rPr>
                <w:rFonts w:cs="Arial"/>
                <w:szCs w:val="20"/>
                <w:lang w:val="sl-SI" w:eastAsia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t>Prejmejo:</w:t>
            </w:r>
          </w:p>
          <w:p w:rsidR="001F1908" w:rsidRPr="003A01AD" w:rsidRDefault="00082C6C" w:rsidP="001F1908">
            <w:pPr>
              <w:pStyle w:val="Odstavekseznama"/>
              <w:numPr>
                <w:ilvl w:val="0"/>
                <w:numId w:val="37"/>
              </w:numPr>
              <w:spacing w:line="260" w:lineRule="atLeast"/>
              <w:rPr>
                <w:rFonts w:ascii="Arial" w:hAnsi="Arial" w:cs="Arial"/>
                <w:sz w:val="20"/>
                <w:lang w:eastAsia="sl-SI"/>
              </w:rPr>
            </w:pPr>
            <w:r w:rsidRPr="003A01AD">
              <w:rPr>
                <w:rFonts w:ascii="Arial" w:hAnsi="Arial" w:cs="Arial"/>
                <w:sz w:val="20"/>
                <w:lang w:eastAsia="sl-SI"/>
              </w:rPr>
              <w:t>Ministrstvo za delo, družino, so</w:t>
            </w:r>
            <w:r w:rsidR="00F51DB4" w:rsidRPr="003A01AD">
              <w:rPr>
                <w:rFonts w:ascii="Arial" w:hAnsi="Arial" w:cs="Arial"/>
                <w:sz w:val="20"/>
                <w:lang w:eastAsia="sl-SI"/>
              </w:rPr>
              <w:t>cialne zadeve in enake možnosti</w:t>
            </w:r>
          </w:p>
          <w:p w:rsidR="00082C6C" w:rsidRPr="003A01AD" w:rsidRDefault="00F51DB4" w:rsidP="00F02A9C">
            <w:pPr>
              <w:pStyle w:val="Odstavekseznama"/>
              <w:numPr>
                <w:ilvl w:val="0"/>
                <w:numId w:val="37"/>
              </w:numPr>
              <w:spacing w:line="260" w:lineRule="atLeast"/>
              <w:rPr>
                <w:rFonts w:ascii="Arial" w:hAnsi="Arial" w:cs="Arial"/>
                <w:sz w:val="20"/>
                <w:lang w:eastAsia="sl-SI"/>
              </w:rPr>
            </w:pPr>
            <w:r w:rsidRPr="003A01AD">
              <w:rPr>
                <w:rFonts w:ascii="Arial" w:hAnsi="Arial" w:cs="Arial"/>
                <w:sz w:val="20"/>
                <w:lang w:eastAsia="sl-SI"/>
              </w:rPr>
              <w:t>Ministrstvo za zunanje zadeve</w:t>
            </w:r>
          </w:p>
          <w:p w:rsidR="001F1908" w:rsidRPr="003A01AD" w:rsidRDefault="001F1908" w:rsidP="00F02A9C">
            <w:pPr>
              <w:pStyle w:val="Odstavekseznama"/>
              <w:numPr>
                <w:ilvl w:val="0"/>
                <w:numId w:val="37"/>
              </w:numPr>
              <w:spacing w:line="260" w:lineRule="atLeast"/>
              <w:rPr>
                <w:rFonts w:ascii="Arial" w:hAnsi="Arial" w:cs="Arial"/>
                <w:sz w:val="20"/>
                <w:lang w:eastAsia="sl-SI"/>
              </w:rPr>
            </w:pPr>
            <w:r w:rsidRPr="003A01AD">
              <w:rPr>
                <w:rFonts w:ascii="Arial" w:hAnsi="Arial" w:cs="Arial"/>
                <w:sz w:val="20"/>
                <w:lang w:eastAsia="sl-SI"/>
              </w:rPr>
              <w:t>Ministrstvo za gospodarski razvoj in tehnologijo</w:t>
            </w:r>
          </w:p>
          <w:p w:rsidR="002D382D" w:rsidRPr="003A01AD" w:rsidRDefault="002D382D" w:rsidP="00F02A9C">
            <w:pPr>
              <w:pStyle w:val="Odstavekseznama"/>
              <w:numPr>
                <w:ilvl w:val="0"/>
                <w:numId w:val="37"/>
              </w:numPr>
              <w:spacing w:line="260" w:lineRule="atLeast"/>
              <w:rPr>
                <w:rFonts w:ascii="Arial" w:hAnsi="Arial" w:cs="Arial"/>
                <w:sz w:val="20"/>
                <w:lang w:eastAsia="sl-SI"/>
              </w:rPr>
            </w:pPr>
            <w:r w:rsidRPr="003A01AD">
              <w:rPr>
                <w:rFonts w:ascii="Arial" w:hAnsi="Arial" w:cs="Arial"/>
                <w:sz w:val="20"/>
                <w:lang w:eastAsia="sl-SI"/>
              </w:rPr>
              <w:t>Ministrstvo za finance</w:t>
            </w:r>
          </w:p>
          <w:p w:rsidR="00082C6C" w:rsidRPr="003A01AD" w:rsidRDefault="00F51DB4" w:rsidP="00F02A9C">
            <w:pPr>
              <w:pStyle w:val="Odstavekseznama"/>
              <w:numPr>
                <w:ilvl w:val="0"/>
                <w:numId w:val="37"/>
              </w:numPr>
              <w:spacing w:line="260" w:lineRule="atLeast"/>
              <w:rPr>
                <w:rFonts w:ascii="Arial" w:hAnsi="Arial" w:cs="Arial"/>
                <w:sz w:val="20"/>
                <w:lang w:eastAsia="sl-SI"/>
              </w:rPr>
            </w:pPr>
            <w:r w:rsidRPr="003A01AD">
              <w:rPr>
                <w:rFonts w:ascii="Arial" w:hAnsi="Arial" w:cs="Arial"/>
                <w:sz w:val="20"/>
                <w:lang w:eastAsia="sl-SI"/>
              </w:rPr>
              <w:t>Služba Vlade Republike Slovenije za zakonodajo</w:t>
            </w:r>
          </w:p>
          <w:p w:rsidR="00F51DB4" w:rsidRPr="003A01AD" w:rsidRDefault="00F51DB4" w:rsidP="00F02A9C">
            <w:pPr>
              <w:pStyle w:val="Odstavekseznama"/>
              <w:numPr>
                <w:ilvl w:val="0"/>
                <w:numId w:val="37"/>
              </w:numPr>
              <w:spacing w:line="260" w:lineRule="atLeast"/>
              <w:rPr>
                <w:rFonts w:ascii="Arial" w:hAnsi="Arial" w:cs="Arial"/>
                <w:sz w:val="20"/>
                <w:lang w:eastAsia="sl-SI"/>
              </w:rPr>
            </w:pPr>
            <w:r w:rsidRPr="003A01AD">
              <w:rPr>
                <w:rFonts w:ascii="Arial" w:hAnsi="Arial" w:cs="Arial"/>
                <w:sz w:val="20"/>
                <w:lang w:eastAsia="sl-SI"/>
              </w:rPr>
              <w:t>Urad Vlade Republike Slovenije za komuniciranje</w:t>
            </w:r>
          </w:p>
          <w:p w:rsidR="008567DC" w:rsidRPr="009B4421" w:rsidRDefault="009B4421" w:rsidP="009B4421">
            <w:pPr>
              <w:pStyle w:val="Odstavekseznama"/>
              <w:numPr>
                <w:ilvl w:val="0"/>
                <w:numId w:val="37"/>
              </w:numPr>
              <w:spacing w:line="260" w:lineRule="atLeast"/>
              <w:rPr>
                <w:rFonts w:ascii="Arial" w:hAnsi="Arial" w:cs="Arial"/>
                <w:sz w:val="20"/>
                <w:lang w:eastAsia="sl-SI"/>
              </w:rPr>
            </w:pPr>
            <w:r w:rsidRPr="009B4421">
              <w:rPr>
                <w:rFonts w:ascii="Arial" w:hAnsi="Arial" w:cs="Arial"/>
                <w:sz w:val="20"/>
                <w:lang w:eastAsia="sl-SI"/>
              </w:rPr>
              <w:t>Obrtno-podjetniška zbornica Slovenije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rPr>
                <w:b/>
                <w:iCs/>
                <w:sz w:val="20"/>
                <w:szCs w:val="20"/>
              </w:rPr>
            </w:pPr>
            <w:r w:rsidRPr="003A01AD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rPr>
                <w:iCs/>
                <w:sz w:val="20"/>
                <w:szCs w:val="20"/>
              </w:rPr>
            </w:pPr>
            <w:r w:rsidRPr="003A01AD">
              <w:rPr>
                <w:iCs/>
                <w:sz w:val="20"/>
                <w:szCs w:val="20"/>
              </w:rPr>
              <w:t>/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rPr>
                <w:b/>
                <w:iCs/>
                <w:sz w:val="20"/>
                <w:szCs w:val="20"/>
              </w:rPr>
            </w:pPr>
            <w:r w:rsidRPr="003A01AD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497D9A" w:rsidRPr="003A01AD" w:rsidRDefault="00497D9A" w:rsidP="00497D9A">
            <w:pPr>
              <w:numPr>
                <w:ilvl w:val="0"/>
                <w:numId w:val="38"/>
              </w:numPr>
              <w:spacing w:line="260" w:lineRule="atLeast"/>
              <w:rPr>
                <w:rFonts w:cs="Arial"/>
                <w:iCs/>
                <w:szCs w:val="20"/>
                <w:lang w:val="sl-SI" w:eastAsia="sl-SI"/>
              </w:rPr>
            </w:pPr>
            <w:r w:rsidRPr="003A01AD">
              <w:rPr>
                <w:rFonts w:cs="Arial"/>
                <w:iCs/>
                <w:szCs w:val="20"/>
                <w:lang w:val="sl-SI" w:eastAsia="sl-SI"/>
              </w:rPr>
              <w:t>Mag. Katja Rihar Bajuk, v.d. generalne direktorice Direktorata za delovna razmerja in pravice iz dela, Ministrstvo za delo, družino, socialne zadeve in enake možnosti,</w:t>
            </w:r>
          </w:p>
          <w:p w:rsidR="00383833" w:rsidRPr="003A01AD" w:rsidRDefault="00497D9A" w:rsidP="00497D9A">
            <w:pPr>
              <w:numPr>
                <w:ilvl w:val="0"/>
                <w:numId w:val="38"/>
              </w:numPr>
              <w:spacing w:line="260" w:lineRule="atLeast"/>
              <w:rPr>
                <w:rFonts w:cs="Arial"/>
                <w:iCs/>
                <w:szCs w:val="20"/>
                <w:lang w:val="sl-SI" w:eastAsia="sl-SI"/>
              </w:rPr>
            </w:pPr>
            <w:r w:rsidRPr="003A01AD">
              <w:rPr>
                <w:rFonts w:cs="Arial"/>
                <w:iCs/>
                <w:szCs w:val="20"/>
                <w:lang w:val="sl-SI" w:eastAsia="sl-SI"/>
              </w:rPr>
              <w:t xml:space="preserve">Damjan Mašera, vodja Sektorja za delovna razmerja in druge oblike dela, Direktorat za delovna razmerja in pravice iz dela, Ministrstvo za delo, družino, socialne zadeve in enake možnosti. </w:t>
            </w:r>
            <w:r w:rsidR="008567DC" w:rsidRPr="003A01AD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rPr>
                <w:b/>
                <w:iCs/>
                <w:sz w:val="20"/>
                <w:szCs w:val="20"/>
              </w:rPr>
            </w:pPr>
            <w:r w:rsidRPr="003A01AD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3A01AD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rPr>
                <w:iCs/>
                <w:sz w:val="20"/>
                <w:szCs w:val="20"/>
              </w:rPr>
            </w:pPr>
            <w:r w:rsidRPr="003A01AD">
              <w:rPr>
                <w:iCs/>
                <w:sz w:val="20"/>
                <w:szCs w:val="20"/>
              </w:rPr>
              <w:t>/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rPr>
                <w:b/>
                <w:iCs/>
                <w:sz w:val="20"/>
                <w:szCs w:val="20"/>
              </w:rPr>
            </w:pPr>
            <w:r w:rsidRPr="003A01AD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8567DC" w:rsidRPr="003A01AD" w:rsidRDefault="00CD2C3F" w:rsidP="00CD2C3F">
            <w:pPr>
              <w:spacing w:line="260" w:lineRule="atLeast"/>
              <w:rPr>
                <w:rFonts w:cs="Arial"/>
                <w:iCs/>
                <w:szCs w:val="20"/>
                <w:lang w:val="sl-SI" w:eastAsia="sl-SI"/>
              </w:rPr>
            </w:pPr>
            <w:r w:rsidRPr="003A01AD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8567DC" w:rsidRPr="003A01AD" w:rsidRDefault="008567DC" w:rsidP="00985EE5">
            <w:pPr>
              <w:pStyle w:val="Oddelek"/>
              <w:numPr>
                <w:ilvl w:val="0"/>
                <w:numId w:val="0"/>
              </w:numPr>
              <w:spacing w:before="0" w:after="0" w:line="260" w:lineRule="atLeast"/>
              <w:jc w:val="left"/>
              <w:rPr>
                <w:sz w:val="20"/>
                <w:szCs w:val="20"/>
              </w:rPr>
            </w:pPr>
            <w:r w:rsidRPr="003A01AD">
              <w:rPr>
                <w:sz w:val="20"/>
                <w:szCs w:val="20"/>
              </w:rPr>
              <w:t>5. Kratek povzetek gradiva: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B9256D" w:rsidRPr="003A01AD" w:rsidRDefault="00B04D16" w:rsidP="00B04D16">
            <w:p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 xml:space="preserve">V </w:t>
            </w:r>
            <w:r w:rsidR="003D63F5" w:rsidRPr="003A01AD">
              <w:rPr>
                <w:rFonts w:cs="Arial"/>
                <w:szCs w:val="20"/>
                <w:lang w:val="sl-SI"/>
              </w:rPr>
              <w:t xml:space="preserve">Istanbulu bo med 2. in 5. oktobrom 2017 potekalo deseto evropsko regionalno </w:t>
            </w:r>
            <w:r w:rsidR="00B9256D" w:rsidRPr="003A01AD">
              <w:rPr>
                <w:rFonts w:cs="Arial"/>
                <w:szCs w:val="20"/>
                <w:lang w:val="sl-SI"/>
              </w:rPr>
              <w:t>srečanje</w:t>
            </w:r>
            <w:r w:rsidR="003D63F5" w:rsidRPr="003A01AD">
              <w:rPr>
                <w:rFonts w:cs="Arial"/>
                <w:szCs w:val="20"/>
                <w:lang w:val="sl-SI"/>
              </w:rPr>
              <w:t xml:space="preserve"> Mednarodne organizacije dela (v nadaljevanju MOD), </w:t>
            </w:r>
            <w:r w:rsidR="00B9256D" w:rsidRPr="003A01AD">
              <w:rPr>
                <w:rFonts w:cs="Arial"/>
                <w:szCs w:val="20"/>
                <w:lang w:val="sl-SI"/>
              </w:rPr>
              <w:t>ki je organizirano v sodelovanju s turško vlado. Evropska regionalna srečanja potekajo vsaka štiri leta in združujejo predstavnike vlad, delodajalcev in delavcev iz 51 držav v regiji. Namen srečanj je izmenjava mnenj o gospodarskih in socialnih vprašanjih v regiji kakor tudi o regionalnih temah, ki jih MOD obravnava kot prioritetne za posamezna območja.</w:t>
            </w:r>
          </w:p>
          <w:p w:rsidR="00B9256D" w:rsidRPr="003A01AD" w:rsidRDefault="00B9256D" w:rsidP="00B04D16">
            <w:p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</w:p>
          <w:p w:rsidR="00B9256D" w:rsidRPr="003A01AD" w:rsidRDefault="00B9256D" w:rsidP="00B04D16">
            <w:p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 xml:space="preserve">Letošnji predlagan dnevni red srečanja </w:t>
            </w:r>
            <w:r w:rsidR="002C7E27" w:rsidRPr="003A01AD">
              <w:rPr>
                <w:rFonts w:cs="Arial"/>
                <w:szCs w:val="20"/>
                <w:lang w:val="sl-SI"/>
              </w:rPr>
              <w:t>zajema</w:t>
            </w:r>
            <w:r w:rsidRPr="003A01AD">
              <w:rPr>
                <w:rFonts w:cs="Arial"/>
                <w:szCs w:val="20"/>
                <w:lang w:val="sl-SI"/>
              </w:rPr>
              <w:t xml:space="preserve"> razpravo o ekonomski, socialni in zaposlitveni situaciji v evropski</w:t>
            </w:r>
            <w:r w:rsidR="001115E4" w:rsidRPr="003A01AD">
              <w:rPr>
                <w:rFonts w:cs="Arial"/>
                <w:szCs w:val="20"/>
                <w:lang w:val="sl-SI"/>
              </w:rPr>
              <w:t xml:space="preserve"> in centralnoazijski regiji, </w:t>
            </w:r>
            <w:r w:rsidRPr="003A01AD">
              <w:rPr>
                <w:rFonts w:cs="Arial"/>
                <w:szCs w:val="20"/>
                <w:lang w:val="sl-SI"/>
              </w:rPr>
              <w:t>razpravo o gonilih sprememb, priložnostih in implikacijah za prihodnost dela v regiji</w:t>
            </w:r>
            <w:r w:rsidR="001115E4" w:rsidRPr="003A01AD">
              <w:rPr>
                <w:rFonts w:cs="Arial"/>
                <w:szCs w:val="20"/>
                <w:lang w:val="sl-SI"/>
              </w:rPr>
              <w:t xml:space="preserve"> ter razpravo o napredku zadnjih štirih let pri izvajanju smernic Deklaracije iz Osla o povrnitvi zaupanja v rast in delovna mesta, ki je bila sprejeta na devetem evropskem regionalnem srečanju aprila 2013.</w:t>
            </w:r>
          </w:p>
          <w:p w:rsidR="00647B47" w:rsidRPr="003A01AD" w:rsidRDefault="00647B47" w:rsidP="00A8378A">
            <w:p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</w:p>
          <w:p w:rsidR="00647B47" w:rsidRPr="003A01AD" w:rsidRDefault="00647B47" w:rsidP="00A8378A">
            <w:p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 xml:space="preserve">V skladu s </w:t>
            </w:r>
            <w:r w:rsidR="001115E4" w:rsidRPr="003A01AD">
              <w:rPr>
                <w:rFonts w:cs="Arial"/>
                <w:szCs w:val="20"/>
                <w:lang w:val="sl-SI"/>
              </w:rPr>
              <w:t xml:space="preserve">1. členom Pravil MOD za regionalna srečanja </w:t>
            </w:r>
            <w:r w:rsidRPr="003A01AD">
              <w:rPr>
                <w:rFonts w:cs="Arial"/>
                <w:szCs w:val="20"/>
                <w:lang w:val="sl-SI"/>
              </w:rPr>
              <w:t xml:space="preserve">stroške potovanja in bivanja svojih </w:t>
            </w:r>
            <w:r w:rsidR="001115E4" w:rsidRPr="003A01AD">
              <w:rPr>
                <w:rFonts w:cs="Arial"/>
                <w:szCs w:val="20"/>
                <w:lang w:val="sl-SI"/>
              </w:rPr>
              <w:t xml:space="preserve">tripartitnih delegacij </w:t>
            </w:r>
            <w:r w:rsidRPr="003A01AD">
              <w:rPr>
                <w:rFonts w:cs="Arial"/>
                <w:szCs w:val="20"/>
                <w:lang w:val="sl-SI"/>
              </w:rPr>
              <w:t xml:space="preserve">na </w:t>
            </w:r>
            <w:r w:rsidR="001115E4" w:rsidRPr="003A01AD">
              <w:rPr>
                <w:rFonts w:cs="Arial"/>
                <w:szCs w:val="20"/>
                <w:lang w:val="sl-SI"/>
              </w:rPr>
              <w:t>regionalnih zasedanjih</w:t>
            </w:r>
            <w:r w:rsidRPr="003A01AD">
              <w:rPr>
                <w:rFonts w:cs="Arial"/>
                <w:szCs w:val="20"/>
                <w:lang w:val="sl-SI"/>
              </w:rPr>
              <w:t xml:space="preserve"> krijejo vlade držav članic. </w:t>
            </w:r>
          </w:p>
          <w:p w:rsidR="001115E4" w:rsidRPr="003A01AD" w:rsidRDefault="001115E4" w:rsidP="001115E4">
            <w:p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</w:p>
          <w:p w:rsidR="00647B47" w:rsidRPr="003A01AD" w:rsidRDefault="001115E4" w:rsidP="00A64B32">
            <w:p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Na letošnjem evropskem regionalne</w:t>
            </w:r>
            <w:r w:rsidR="002B238D">
              <w:rPr>
                <w:rFonts w:cs="Arial"/>
                <w:szCs w:val="20"/>
                <w:lang w:val="sl-SI"/>
              </w:rPr>
              <w:t>m</w:t>
            </w:r>
            <w:r w:rsidRPr="003A01AD">
              <w:rPr>
                <w:rFonts w:cs="Arial"/>
                <w:szCs w:val="20"/>
                <w:lang w:val="sl-SI"/>
              </w:rPr>
              <w:t xml:space="preserve"> srečanju </w:t>
            </w:r>
            <w:r w:rsidR="00647B47" w:rsidRPr="003A01AD">
              <w:rPr>
                <w:rFonts w:cs="Arial"/>
                <w:szCs w:val="20"/>
                <w:lang w:val="sl-SI"/>
              </w:rPr>
              <w:t xml:space="preserve">bo Republiko Slovenijo zastopala delegacija v naslednji sestavi: </w:t>
            </w:r>
            <w:r w:rsidR="008227E2" w:rsidRPr="008227E2">
              <w:rPr>
                <w:rFonts w:cs="Arial"/>
                <w:szCs w:val="20"/>
                <w:lang w:val="sl-SI"/>
              </w:rPr>
              <w:t>štirje</w:t>
            </w:r>
            <w:r w:rsidR="00647B47" w:rsidRPr="008227E2">
              <w:rPr>
                <w:rFonts w:cs="Arial"/>
                <w:szCs w:val="20"/>
                <w:lang w:val="sl-SI"/>
              </w:rPr>
              <w:t xml:space="preserve"> v</w:t>
            </w:r>
            <w:r w:rsidR="00AB2AE0">
              <w:rPr>
                <w:rFonts w:cs="Arial"/>
                <w:szCs w:val="20"/>
                <w:lang w:val="sl-SI"/>
              </w:rPr>
              <w:t xml:space="preserve">ladni predstavniki </w:t>
            </w:r>
            <w:r w:rsidR="00647B47" w:rsidRPr="003A01AD">
              <w:rPr>
                <w:rFonts w:cs="Arial"/>
                <w:szCs w:val="20"/>
                <w:lang w:val="sl-SI"/>
              </w:rPr>
              <w:t xml:space="preserve">ter </w:t>
            </w:r>
            <w:r w:rsidRPr="003A01AD">
              <w:rPr>
                <w:rFonts w:cs="Arial"/>
                <w:szCs w:val="20"/>
                <w:lang w:val="sl-SI"/>
              </w:rPr>
              <w:t>en predstavnik</w:t>
            </w:r>
            <w:r w:rsidR="00647B47" w:rsidRPr="003A01AD">
              <w:rPr>
                <w:rFonts w:cs="Arial"/>
                <w:szCs w:val="20"/>
                <w:lang w:val="sl-SI"/>
              </w:rPr>
              <w:t xml:space="preserve"> </w:t>
            </w:r>
            <w:r w:rsidR="00A64B32">
              <w:rPr>
                <w:rFonts w:cs="Arial"/>
                <w:szCs w:val="20"/>
                <w:lang w:val="sl-SI"/>
              </w:rPr>
              <w:t xml:space="preserve">organizacij delodajalcev. </w:t>
            </w:r>
            <w:r w:rsidR="00A365CC" w:rsidRPr="00A64B32">
              <w:rPr>
                <w:rFonts w:cs="Arial"/>
                <w:szCs w:val="20"/>
                <w:lang w:val="sl-SI"/>
              </w:rPr>
              <w:t>Reprezentativne o</w:t>
            </w:r>
            <w:r w:rsidR="00AB2AE0" w:rsidRPr="00A64B32">
              <w:rPr>
                <w:rFonts w:cs="Arial"/>
                <w:szCs w:val="20"/>
                <w:lang w:val="sl-SI"/>
              </w:rPr>
              <w:t xml:space="preserve">rganizacije delavcev </w:t>
            </w:r>
            <w:r w:rsidR="00A365CC" w:rsidRPr="00A64B32">
              <w:rPr>
                <w:rFonts w:cs="Arial"/>
                <w:szCs w:val="20"/>
                <w:lang w:val="sl-SI"/>
              </w:rPr>
              <w:t>(članice</w:t>
            </w:r>
            <w:r w:rsidR="00A365CC">
              <w:rPr>
                <w:rFonts w:cs="Arial"/>
                <w:szCs w:val="20"/>
                <w:lang w:val="sl-SI"/>
              </w:rPr>
              <w:t xml:space="preserve"> Ekonomsko-socialnega sveta) </w:t>
            </w:r>
            <w:r w:rsidR="00AB2AE0">
              <w:rPr>
                <w:rFonts w:cs="Arial"/>
                <w:szCs w:val="20"/>
                <w:lang w:val="sl-SI"/>
              </w:rPr>
              <w:t>so se odločile, da svojega predstavnika ne imenujejo.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8567DC" w:rsidRPr="003A01AD" w:rsidRDefault="008567DC" w:rsidP="00985EE5">
            <w:pPr>
              <w:pStyle w:val="Oddelek"/>
              <w:numPr>
                <w:ilvl w:val="0"/>
                <w:numId w:val="0"/>
              </w:numPr>
              <w:spacing w:before="0" w:after="0" w:line="260" w:lineRule="atLeast"/>
              <w:jc w:val="left"/>
              <w:rPr>
                <w:sz w:val="20"/>
                <w:szCs w:val="20"/>
              </w:rPr>
            </w:pPr>
            <w:r w:rsidRPr="003A01AD">
              <w:rPr>
                <w:sz w:val="20"/>
                <w:szCs w:val="20"/>
              </w:rPr>
              <w:t>6. Presoja posledic za: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1448" w:type="dxa"/>
            <w:gridSpan w:val="2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ind w:left="360"/>
              <w:rPr>
                <w:iCs/>
                <w:sz w:val="20"/>
                <w:szCs w:val="20"/>
              </w:rPr>
            </w:pPr>
            <w:r w:rsidRPr="003A01AD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9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rPr>
                <w:sz w:val="20"/>
                <w:szCs w:val="20"/>
              </w:rPr>
            </w:pPr>
            <w:r w:rsidRPr="003A01AD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3"/>
            <w:vAlign w:val="center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jc w:val="center"/>
              <w:rPr>
                <w:iCs/>
                <w:sz w:val="20"/>
                <w:szCs w:val="20"/>
              </w:rPr>
            </w:pPr>
            <w:r w:rsidRPr="003A01AD">
              <w:rPr>
                <w:sz w:val="20"/>
                <w:szCs w:val="20"/>
              </w:rPr>
              <w:t>NE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1448" w:type="dxa"/>
            <w:gridSpan w:val="2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ind w:left="360"/>
              <w:rPr>
                <w:iCs/>
                <w:sz w:val="20"/>
                <w:szCs w:val="20"/>
              </w:rPr>
            </w:pPr>
            <w:r w:rsidRPr="003A01AD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rPr>
                <w:iCs/>
                <w:sz w:val="20"/>
                <w:szCs w:val="20"/>
              </w:rPr>
            </w:pPr>
            <w:r w:rsidRPr="003A01AD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jc w:val="center"/>
              <w:rPr>
                <w:iCs/>
                <w:sz w:val="20"/>
                <w:szCs w:val="20"/>
              </w:rPr>
            </w:pPr>
            <w:r w:rsidRPr="003A01AD">
              <w:rPr>
                <w:sz w:val="20"/>
                <w:szCs w:val="20"/>
              </w:rPr>
              <w:t>NE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1448" w:type="dxa"/>
            <w:gridSpan w:val="2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ind w:left="360"/>
              <w:rPr>
                <w:iCs/>
                <w:sz w:val="20"/>
                <w:szCs w:val="20"/>
              </w:rPr>
            </w:pPr>
            <w:r w:rsidRPr="003A01AD">
              <w:rPr>
                <w:iCs/>
                <w:sz w:val="20"/>
                <w:szCs w:val="20"/>
              </w:rPr>
              <w:lastRenderedPageBreak/>
              <w:t>c)</w:t>
            </w:r>
          </w:p>
        </w:tc>
        <w:tc>
          <w:tcPr>
            <w:tcW w:w="5444" w:type="dxa"/>
            <w:gridSpan w:val="9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rPr>
                <w:iCs/>
                <w:sz w:val="20"/>
                <w:szCs w:val="20"/>
              </w:rPr>
            </w:pPr>
            <w:r w:rsidRPr="003A01AD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gridSpan w:val="3"/>
            <w:vAlign w:val="center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jc w:val="center"/>
              <w:rPr>
                <w:sz w:val="20"/>
                <w:szCs w:val="20"/>
              </w:rPr>
            </w:pPr>
            <w:r w:rsidRPr="003A01AD">
              <w:rPr>
                <w:sz w:val="20"/>
                <w:szCs w:val="20"/>
              </w:rPr>
              <w:t>NE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1448" w:type="dxa"/>
            <w:gridSpan w:val="2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ind w:left="360"/>
              <w:rPr>
                <w:iCs/>
                <w:sz w:val="20"/>
                <w:szCs w:val="20"/>
              </w:rPr>
            </w:pPr>
            <w:r w:rsidRPr="003A01AD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rPr>
                <w:bCs/>
                <w:sz w:val="20"/>
                <w:szCs w:val="20"/>
              </w:rPr>
            </w:pPr>
            <w:r w:rsidRPr="003A01AD">
              <w:rPr>
                <w:sz w:val="20"/>
                <w:szCs w:val="20"/>
              </w:rPr>
              <w:t>gospodarstvo, zlasti</w:t>
            </w:r>
            <w:r w:rsidRPr="003A01AD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jc w:val="center"/>
              <w:rPr>
                <w:iCs/>
                <w:sz w:val="20"/>
                <w:szCs w:val="20"/>
              </w:rPr>
            </w:pPr>
            <w:r w:rsidRPr="003A01AD">
              <w:rPr>
                <w:sz w:val="20"/>
                <w:szCs w:val="20"/>
              </w:rPr>
              <w:t>NE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1448" w:type="dxa"/>
            <w:gridSpan w:val="2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ind w:left="360"/>
              <w:rPr>
                <w:iCs/>
                <w:sz w:val="20"/>
                <w:szCs w:val="20"/>
              </w:rPr>
            </w:pPr>
            <w:r w:rsidRPr="003A01AD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rPr>
                <w:bCs/>
                <w:sz w:val="20"/>
                <w:szCs w:val="20"/>
              </w:rPr>
            </w:pPr>
            <w:r w:rsidRPr="003A01AD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gridSpan w:val="3"/>
            <w:vAlign w:val="center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jc w:val="center"/>
              <w:rPr>
                <w:iCs/>
                <w:sz w:val="20"/>
                <w:szCs w:val="20"/>
              </w:rPr>
            </w:pPr>
            <w:r w:rsidRPr="003A01AD">
              <w:rPr>
                <w:sz w:val="20"/>
                <w:szCs w:val="20"/>
              </w:rPr>
              <w:t>NE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1448" w:type="dxa"/>
            <w:gridSpan w:val="2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ind w:left="360"/>
              <w:rPr>
                <w:iCs/>
                <w:sz w:val="20"/>
                <w:szCs w:val="20"/>
              </w:rPr>
            </w:pPr>
            <w:r w:rsidRPr="003A01AD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rPr>
                <w:bCs/>
                <w:sz w:val="20"/>
                <w:szCs w:val="20"/>
              </w:rPr>
            </w:pPr>
            <w:r w:rsidRPr="003A01AD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jc w:val="center"/>
              <w:rPr>
                <w:iCs/>
                <w:sz w:val="20"/>
                <w:szCs w:val="20"/>
              </w:rPr>
            </w:pPr>
            <w:r w:rsidRPr="003A01AD">
              <w:rPr>
                <w:sz w:val="20"/>
                <w:szCs w:val="20"/>
              </w:rPr>
              <w:t>NE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ind w:left="360"/>
              <w:rPr>
                <w:iCs/>
                <w:sz w:val="20"/>
                <w:szCs w:val="20"/>
              </w:rPr>
            </w:pPr>
            <w:r w:rsidRPr="003A01AD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rPr>
                <w:bCs/>
                <w:sz w:val="20"/>
                <w:szCs w:val="20"/>
              </w:rPr>
            </w:pPr>
            <w:r w:rsidRPr="003A01AD">
              <w:rPr>
                <w:bCs/>
                <w:sz w:val="20"/>
                <w:szCs w:val="20"/>
              </w:rPr>
              <w:t>dokumente razvojnega načrtovanja:</w:t>
            </w:r>
          </w:p>
          <w:p w:rsidR="008567DC" w:rsidRPr="003A01AD" w:rsidRDefault="008567DC" w:rsidP="00985EE5">
            <w:pPr>
              <w:pStyle w:val="Neotevilenodstavek"/>
              <w:numPr>
                <w:ilvl w:val="0"/>
                <w:numId w:val="7"/>
              </w:numPr>
              <w:spacing w:before="0" w:after="0" w:line="260" w:lineRule="atLeast"/>
              <w:rPr>
                <w:bCs/>
                <w:sz w:val="20"/>
                <w:szCs w:val="20"/>
              </w:rPr>
            </w:pPr>
            <w:r w:rsidRPr="003A01AD">
              <w:rPr>
                <w:bCs/>
                <w:sz w:val="20"/>
                <w:szCs w:val="20"/>
              </w:rPr>
              <w:t>nacionalne dokumente razvojnega načrtovanja</w:t>
            </w:r>
          </w:p>
          <w:p w:rsidR="008567DC" w:rsidRPr="003A01AD" w:rsidRDefault="008567DC" w:rsidP="00985EE5">
            <w:pPr>
              <w:pStyle w:val="Neotevilenodstavek"/>
              <w:numPr>
                <w:ilvl w:val="0"/>
                <w:numId w:val="7"/>
              </w:numPr>
              <w:spacing w:before="0" w:after="0" w:line="260" w:lineRule="atLeast"/>
              <w:rPr>
                <w:bCs/>
                <w:sz w:val="20"/>
                <w:szCs w:val="20"/>
              </w:rPr>
            </w:pPr>
            <w:r w:rsidRPr="003A01AD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8567DC" w:rsidRPr="003A01AD" w:rsidRDefault="008567DC" w:rsidP="00985EE5">
            <w:pPr>
              <w:pStyle w:val="Neotevilenodstavek"/>
              <w:numPr>
                <w:ilvl w:val="0"/>
                <w:numId w:val="7"/>
              </w:numPr>
              <w:spacing w:before="0" w:after="0" w:line="260" w:lineRule="atLeast"/>
              <w:rPr>
                <w:bCs/>
                <w:sz w:val="20"/>
                <w:szCs w:val="20"/>
              </w:rPr>
            </w:pPr>
            <w:r w:rsidRPr="003A01AD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eotevilenodstavek"/>
              <w:spacing w:before="0" w:after="0" w:line="260" w:lineRule="atLeast"/>
              <w:jc w:val="center"/>
              <w:rPr>
                <w:iCs/>
                <w:sz w:val="20"/>
                <w:szCs w:val="20"/>
              </w:rPr>
            </w:pPr>
            <w:r w:rsidRPr="003A01AD">
              <w:rPr>
                <w:iCs/>
                <w:sz w:val="20"/>
                <w:szCs w:val="20"/>
              </w:rPr>
              <w:t>NE</w:t>
            </w:r>
          </w:p>
        </w:tc>
      </w:tr>
      <w:tr w:rsidR="008567DC" w:rsidRPr="003A01AD" w:rsidTr="000E2434">
        <w:trPr>
          <w:gridBefore w:val="1"/>
          <w:wBefore w:w="100" w:type="dxa"/>
        </w:trPr>
        <w:tc>
          <w:tcPr>
            <w:tcW w:w="9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C" w:rsidRPr="003A01AD" w:rsidRDefault="008567DC" w:rsidP="00985EE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atLeast"/>
              <w:jc w:val="left"/>
              <w:rPr>
                <w:sz w:val="20"/>
                <w:szCs w:val="20"/>
              </w:rPr>
            </w:pPr>
            <w:r w:rsidRPr="003A01AD">
              <w:rPr>
                <w:sz w:val="20"/>
                <w:szCs w:val="20"/>
              </w:rPr>
              <w:t>7.a Predstavitev ocene finančnih posledic nad 40.000 EUR:</w:t>
            </w:r>
          </w:p>
          <w:p w:rsidR="008567DC" w:rsidRPr="003A01AD" w:rsidRDefault="00647B47" w:rsidP="005722B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atLeast"/>
              <w:jc w:val="left"/>
              <w:rPr>
                <w:b w:val="0"/>
                <w:sz w:val="20"/>
                <w:szCs w:val="20"/>
              </w:rPr>
            </w:pPr>
            <w:r w:rsidRPr="003A01AD">
              <w:rPr>
                <w:b w:val="0"/>
                <w:sz w:val="20"/>
                <w:szCs w:val="20"/>
              </w:rPr>
              <w:t>/</w:t>
            </w: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67DC" w:rsidRPr="003A01AD" w:rsidRDefault="008567DC" w:rsidP="00985EE5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 w:line="260" w:lineRule="atLeast"/>
              <w:ind w:left="142" w:hanging="142"/>
              <w:rPr>
                <w:rFonts w:cs="Arial"/>
                <w:sz w:val="20"/>
                <w:szCs w:val="20"/>
              </w:rPr>
            </w:pPr>
            <w:r w:rsidRPr="003A01AD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rPr>
                <w:rFonts w:cs="Arial"/>
                <w:bCs/>
                <w:szCs w:val="20"/>
                <w:lang w:val="sl-SI"/>
              </w:rPr>
            </w:pPr>
            <w:r w:rsidRPr="003A01A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A01AD">
              <w:rPr>
                <w:rFonts w:cs="Arial"/>
                <w:b/>
                <w:szCs w:val="20"/>
                <w:lang w:val="sl-SI"/>
              </w:rPr>
              <w:t>–</w:t>
            </w:r>
            <w:r w:rsidRPr="003A01AD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rPr>
                <w:rFonts w:cs="Arial"/>
                <w:bCs/>
                <w:szCs w:val="20"/>
                <w:lang w:val="sl-SI"/>
              </w:rPr>
            </w:pPr>
            <w:r w:rsidRPr="003A01A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A01AD">
              <w:rPr>
                <w:rFonts w:cs="Arial"/>
                <w:b/>
                <w:szCs w:val="20"/>
                <w:lang w:val="sl-SI"/>
              </w:rPr>
              <w:t>–</w:t>
            </w:r>
            <w:r w:rsidRPr="003A01AD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rPr>
                <w:rFonts w:cs="Arial"/>
                <w:bCs/>
                <w:szCs w:val="20"/>
                <w:lang w:val="sl-SI"/>
              </w:rPr>
            </w:pPr>
            <w:r w:rsidRPr="003A01A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A01AD">
              <w:rPr>
                <w:rFonts w:cs="Arial"/>
                <w:b/>
                <w:szCs w:val="20"/>
                <w:lang w:val="sl-SI"/>
              </w:rPr>
              <w:t>–</w:t>
            </w:r>
            <w:r w:rsidRPr="003A01AD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rPr>
                <w:rFonts w:cs="Arial"/>
                <w:bCs/>
                <w:szCs w:val="20"/>
                <w:lang w:val="sl-SI"/>
              </w:rPr>
            </w:pPr>
            <w:r w:rsidRPr="003A01A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A01AD">
              <w:rPr>
                <w:rFonts w:cs="Arial"/>
                <w:b/>
                <w:szCs w:val="20"/>
                <w:lang w:val="sl-SI"/>
              </w:rPr>
              <w:t>–</w:t>
            </w:r>
            <w:r w:rsidRPr="003A01AD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rPr>
                <w:rFonts w:cs="Arial"/>
                <w:bCs/>
                <w:szCs w:val="20"/>
                <w:lang w:val="sl-SI"/>
              </w:rPr>
            </w:pPr>
            <w:r w:rsidRPr="003A01A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A01AD">
              <w:rPr>
                <w:rFonts w:cs="Arial"/>
                <w:b/>
                <w:szCs w:val="20"/>
                <w:lang w:val="sl-SI"/>
              </w:rPr>
              <w:t>–</w:t>
            </w:r>
            <w:r w:rsidRPr="003A01AD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0" w:lineRule="atLeast"/>
              <w:ind w:left="142" w:hanging="142"/>
              <w:rPr>
                <w:rFonts w:cs="Arial"/>
                <w:sz w:val="20"/>
                <w:szCs w:val="20"/>
              </w:rPr>
            </w:pPr>
            <w:r w:rsidRPr="003A01AD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0" w:lineRule="atLeast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3A01AD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3A01AD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sz w:val="20"/>
                <w:szCs w:val="20"/>
              </w:rPr>
            </w:pPr>
            <w:r w:rsidRPr="003A01AD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0" w:lineRule="atLeast"/>
              <w:rPr>
                <w:rFonts w:cs="Arial"/>
                <w:sz w:val="20"/>
                <w:szCs w:val="20"/>
              </w:rPr>
            </w:pPr>
            <w:proofErr w:type="spellStart"/>
            <w:r w:rsidRPr="003A01AD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3A01AD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sz w:val="20"/>
                <w:szCs w:val="20"/>
              </w:rPr>
            </w:pPr>
            <w:r w:rsidRPr="003A01AD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0" w:lineRule="atLeast"/>
              <w:rPr>
                <w:rFonts w:cs="Arial"/>
                <w:sz w:val="20"/>
                <w:szCs w:val="20"/>
              </w:rPr>
            </w:pPr>
            <w:proofErr w:type="spellStart"/>
            <w:r w:rsidRPr="003A01AD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3A01AD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widowControl w:val="0"/>
              <w:spacing w:line="260" w:lineRule="atLeas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567DC" w:rsidRPr="003A01AD" w:rsidTr="000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sz w:val="20"/>
                <w:szCs w:val="20"/>
              </w:rPr>
            </w:pPr>
            <w:r w:rsidRPr="003A01AD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C" w:rsidRPr="003A01AD" w:rsidRDefault="008567DC" w:rsidP="00985EE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8567DC" w:rsidRPr="003A01AD" w:rsidTr="000E2434">
        <w:trPr>
          <w:gridAfter w:val="1"/>
          <w:wAfter w:w="63" w:type="dxa"/>
          <w:trHeight w:val="1910"/>
        </w:trPr>
        <w:tc>
          <w:tcPr>
            <w:tcW w:w="9200" w:type="dxa"/>
            <w:gridSpan w:val="14"/>
          </w:tcPr>
          <w:p w:rsidR="008567DC" w:rsidRPr="003A01AD" w:rsidRDefault="008567DC" w:rsidP="00985EE5">
            <w:pPr>
              <w:widowControl w:val="0"/>
              <w:spacing w:line="260" w:lineRule="atLeast"/>
              <w:rPr>
                <w:rFonts w:cs="Arial"/>
                <w:b/>
                <w:szCs w:val="20"/>
                <w:lang w:val="sl-SI"/>
              </w:rPr>
            </w:pPr>
          </w:p>
          <w:p w:rsidR="008567DC" w:rsidRPr="003A01AD" w:rsidRDefault="008567DC" w:rsidP="00985EE5">
            <w:pPr>
              <w:widowControl w:val="0"/>
              <w:spacing w:line="260" w:lineRule="atLeast"/>
              <w:rPr>
                <w:rFonts w:cs="Arial"/>
                <w:b/>
                <w:szCs w:val="20"/>
                <w:lang w:val="sl-SI"/>
              </w:rPr>
            </w:pPr>
            <w:r w:rsidRPr="003A01AD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:rsidR="008567DC" w:rsidRPr="003A01AD" w:rsidRDefault="008567DC" w:rsidP="00985EE5">
            <w:pPr>
              <w:widowControl w:val="0"/>
              <w:numPr>
                <w:ilvl w:val="0"/>
                <w:numId w:val="10"/>
              </w:numPr>
              <w:suppressAutoHyphens/>
              <w:spacing w:line="260" w:lineRule="atLeas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3A01AD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:rsidR="008567DC" w:rsidRPr="003A01AD" w:rsidRDefault="008567DC" w:rsidP="00985EE5">
            <w:pPr>
              <w:widowControl w:val="0"/>
              <w:spacing w:line="260" w:lineRule="atLeast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:rsidR="008567DC" w:rsidRPr="003A01AD" w:rsidRDefault="008567DC" w:rsidP="00985EE5">
            <w:pPr>
              <w:widowControl w:val="0"/>
              <w:numPr>
                <w:ilvl w:val="0"/>
                <w:numId w:val="11"/>
              </w:numPr>
              <w:suppressAutoHyphens/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:rsidR="008567DC" w:rsidRPr="003A01AD" w:rsidRDefault="008567DC" w:rsidP="00985EE5">
            <w:pPr>
              <w:widowControl w:val="0"/>
              <w:numPr>
                <w:ilvl w:val="0"/>
                <w:numId w:val="11"/>
              </w:numPr>
              <w:suppressAutoHyphens/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:rsidR="008567DC" w:rsidRPr="003A01AD" w:rsidRDefault="008567DC" w:rsidP="00985EE5">
            <w:pPr>
              <w:widowControl w:val="0"/>
              <w:numPr>
                <w:ilvl w:val="0"/>
                <w:numId w:val="11"/>
              </w:numPr>
              <w:suppressAutoHyphens/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lastRenderedPageBreak/>
              <w:t>obveznosti za druga javnofinančna sredstva (drugi viri), ki niso načrtovana na ukrepih oziroma projektih sprejetih proračunov.</w:t>
            </w:r>
          </w:p>
          <w:p w:rsidR="008567DC" w:rsidRPr="003A01AD" w:rsidRDefault="008567DC" w:rsidP="00985EE5">
            <w:pPr>
              <w:widowControl w:val="0"/>
              <w:spacing w:line="260" w:lineRule="atLeast"/>
              <w:ind w:left="284"/>
              <w:rPr>
                <w:rFonts w:cs="Arial"/>
                <w:szCs w:val="20"/>
                <w:lang w:val="sl-SI" w:eastAsia="sl-SI"/>
              </w:rPr>
            </w:pPr>
          </w:p>
          <w:p w:rsidR="008567DC" w:rsidRPr="003A01AD" w:rsidRDefault="008567DC" w:rsidP="00985EE5">
            <w:pPr>
              <w:widowControl w:val="0"/>
              <w:numPr>
                <w:ilvl w:val="0"/>
                <w:numId w:val="10"/>
              </w:numPr>
              <w:suppressAutoHyphens/>
              <w:spacing w:line="260" w:lineRule="atLeas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3A01AD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:rsidR="008567DC" w:rsidRPr="003A01AD" w:rsidRDefault="008567DC" w:rsidP="00985EE5">
            <w:pPr>
              <w:widowControl w:val="0"/>
              <w:spacing w:line="260" w:lineRule="atLeas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8567DC" w:rsidRPr="003A01AD" w:rsidRDefault="008567DC" w:rsidP="00985EE5">
            <w:pPr>
              <w:widowControl w:val="0"/>
              <w:suppressAutoHyphens/>
              <w:spacing w:line="260" w:lineRule="atLeast"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3A01AD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3A01AD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:rsidR="008567DC" w:rsidRPr="003A01AD" w:rsidRDefault="008567DC" w:rsidP="00985EE5">
            <w:pPr>
              <w:widowControl w:val="0"/>
              <w:spacing w:line="260" w:lineRule="atLeas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3A01AD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3A01AD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:rsidR="008567DC" w:rsidRPr="003A01AD" w:rsidRDefault="008567DC" w:rsidP="00985EE5">
            <w:pPr>
              <w:widowControl w:val="0"/>
              <w:numPr>
                <w:ilvl w:val="0"/>
                <w:numId w:val="12"/>
              </w:numPr>
              <w:suppressAutoHyphens/>
              <w:spacing w:line="260" w:lineRule="atLeast"/>
              <w:jc w:val="both"/>
              <w:rPr>
                <w:rFonts w:cs="Arial"/>
                <w:szCs w:val="20"/>
                <w:lang w:val="sl-SI" w:eastAsia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:rsidR="008567DC" w:rsidRPr="003A01AD" w:rsidRDefault="008567DC" w:rsidP="00985EE5">
            <w:pPr>
              <w:widowControl w:val="0"/>
              <w:numPr>
                <w:ilvl w:val="0"/>
                <w:numId w:val="12"/>
              </w:numPr>
              <w:suppressAutoHyphens/>
              <w:spacing w:line="260" w:lineRule="atLeast"/>
              <w:jc w:val="both"/>
              <w:rPr>
                <w:rFonts w:cs="Arial"/>
                <w:szCs w:val="20"/>
                <w:lang w:val="sl-SI" w:eastAsia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:rsidR="008567DC" w:rsidRPr="003A01AD" w:rsidRDefault="008567DC" w:rsidP="00985EE5">
            <w:pPr>
              <w:widowControl w:val="0"/>
              <w:numPr>
                <w:ilvl w:val="0"/>
                <w:numId w:val="12"/>
              </w:numPr>
              <w:suppressAutoHyphens/>
              <w:spacing w:line="260" w:lineRule="atLeast"/>
              <w:jc w:val="both"/>
              <w:rPr>
                <w:rFonts w:cs="Arial"/>
                <w:szCs w:val="20"/>
                <w:lang w:val="sl-SI" w:eastAsia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:rsidR="008567DC" w:rsidRPr="003A01AD" w:rsidRDefault="008567DC" w:rsidP="00985EE5">
            <w:pPr>
              <w:widowControl w:val="0"/>
              <w:spacing w:line="260" w:lineRule="atLeas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3A01AD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3A01AD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8567DC" w:rsidRPr="003A01AD" w:rsidRDefault="008567DC" w:rsidP="00985EE5">
            <w:pPr>
              <w:widowControl w:val="0"/>
              <w:suppressAutoHyphens/>
              <w:spacing w:line="260" w:lineRule="atLeas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3A01AD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3A01AD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:rsidR="008567DC" w:rsidRPr="003A01AD" w:rsidRDefault="008567DC" w:rsidP="00985EE5">
            <w:pPr>
              <w:widowControl w:val="0"/>
              <w:spacing w:line="260" w:lineRule="atLeas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3A01AD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3A01AD">
              <w:rPr>
                <w:rFonts w:cs="Arial"/>
                <w:szCs w:val="20"/>
                <w:lang w:val="sl-SI" w:eastAsia="sl-SI"/>
              </w:rPr>
              <w:t>.</w:t>
            </w:r>
          </w:p>
          <w:p w:rsidR="008567DC" w:rsidRPr="003A01AD" w:rsidRDefault="008567DC" w:rsidP="00985EE5">
            <w:pPr>
              <w:widowControl w:val="0"/>
              <w:suppressAutoHyphens/>
              <w:spacing w:line="260" w:lineRule="atLeas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3A01AD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3A01AD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:rsidR="008567DC" w:rsidRPr="003A01AD" w:rsidRDefault="008567DC" w:rsidP="00985EE5">
            <w:pPr>
              <w:widowControl w:val="0"/>
              <w:spacing w:line="260" w:lineRule="atLeas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3A01AD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3A01AD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3A01AD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3A01AD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3A01AD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8567DC" w:rsidRPr="003A01AD" w:rsidRDefault="008567DC" w:rsidP="00985EE5">
            <w:pPr>
              <w:pStyle w:val="Vrstapredpisa"/>
              <w:widowControl w:val="0"/>
              <w:spacing w:before="0" w:line="260" w:lineRule="atLeas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567DC" w:rsidRPr="003A01AD" w:rsidTr="000E2434">
        <w:trPr>
          <w:gridAfter w:val="1"/>
          <w:wAfter w:w="63" w:type="dxa"/>
          <w:trHeight w:val="1152"/>
        </w:trPr>
        <w:tc>
          <w:tcPr>
            <w:tcW w:w="92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C" w:rsidRPr="003A01AD" w:rsidRDefault="008567DC" w:rsidP="00985EE5">
            <w:pPr>
              <w:spacing w:line="260" w:lineRule="atLeast"/>
              <w:rPr>
                <w:rFonts w:cs="Arial"/>
                <w:b/>
                <w:szCs w:val="20"/>
                <w:lang w:val="sl-SI"/>
              </w:rPr>
            </w:pPr>
            <w:r w:rsidRPr="003A01AD">
              <w:rPr>
                <w:rFonts w:cs="Arial"/>
                <w:b/>
                <w:szCs w:val="20"/>
                <w:lang w:val="sl-SI"/>
              </w:rPr>
              <w:lastRenderedPageBreak/>
              <w:t>7.b Predstavitev ocene finančnih posledic pod 40.000 EUR:</w:t>
            </w:r>
          </w:p>
          <w:p w:rsidR="005706CD" w:rsidRPr="003A01AD" w:rsidRDefault="005706CD" w:rsidP="00A64B32">
            <w:p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Ocena skupnih stroškov udeležbe s</w:t>
            </w:r>
            <w:r w:rsidR="00915DFA" w:rsidRPr="003A01AD">
              <w:rPr>
                <w:rFonts w:cs="Arial"/>
                <w:szCs w:val="20"/>
                <w:lang w:val="sl-SI"/>
              </w:rPr>
              <w:t xml:space="preserve">lovenske delegacije </w:t>
            </w:r>
            <w:r w:rsidR="00915DFA" w:rsidRPr="00A64B32">
              <w:rPr>
                <w:rFonts w:cs="Arial"/>
                <w:szCs w:val="20"/>
                <w:lang w:val="sl-SI"/>
              </w:rPr>
              <w:t>znaša</w:t>
            </w:r>
            <w:r w:rsidR="005722BB" w:rsidRPr="00A64B32">
              <w:rPr>
                <w:rFonts w:cs="Arial"/>
                <w:szCs w:val="20"/>
                <w:lang w:val="sl-SI"/>
              </w:rPr>
              <w:t xml:space="preserve"> </w:t>
            </w:r>
            <w:r w:rsidR="0080112A">
              <w:rPr>
                <w:rFonts w:cs="Arial"/>
                <w:szCs w:val="20"/>
                <w:lang w:val="sl-SI"/>
              </w:rPr>
              <w:t>3.587,2</w:t>
            </w:r>
            <w:r w:rsidR="000F5789">
              <w:rPr>
                <w:rFonts w:cs="Arial"/>
                <w:szCs w:val="20"/>
                <w:lang w:val="sl-SI"/>
              </w:rPr>
              <w:t>0</w:t>
            </w:r>
            <w:r w:rsidR="005722BB" w:rsidRPr="00A64B32">
              <w:rPr>
                <w:rFonts w:cs="Arial"/>
                <w:szCs w:val="20"/>
                <w:lang w:val="sl-SI"/>
              </w:rPr>
              <w:t xml:space="preserve"> evrov</w:t>
            </w:r>
            <w:r w:rsidR="00915DFA" w:rsidRPr="003A01AD">
              <w:rPr>
                <w:rFonts w:cs="Arial"/>
                <w:szCs w:val="20"/>
                <w:lang w:val="sl-SI"/>
              </w:rPr>
              <w:t xml:space="preserve">. </w:t>
            </w:r>
            <w:r w:rsidR="00D453B3" w:rsidRPr="003A01AD">
              <w:rPr>
                <w:rFonts w:cs="Arial"/>
                <w:szCs w:val="20"/>
                <w:lang w:val="sl-SI"/>
              </w:rPr>
              <w:t xml:space="preserve">Podrobna stroškovna opredelitev je </w:t>
            </w:r>
            <w:r w:rsidR="0034386C">
              <w:rPr>
                <w:rFonts w:cs="Arial"/>
                <w:szCs w:val="20"/>
                <w:lang w:val="sl-SI"/>
              </w:rPr>
              <w:t>podana v prilogi II</w:t>
            </w:r>
            <w:r w:rsidR="006B165B" w:rsidRPr="003A01AD">
              <w:rPr>
                <w:rFonts w:cs="Arial"/>
                <w:szCs w:val="20"/>
                <w:lang w:val="sl-SI"/>
              </w:rPr>
              <w:t xml:space="preserve">. </w:t>
            </w:r>
            <w:r w:rsidRPr="003A01AD">
              <w:rPr>
                <w:rFonts w:cs="Arial"/>
                <w:szCs w:val="20"/>
                <w:lang w:val="sl-SI"/>
              </w:rPr>
              <w:t xml:space="preserve">Stroške </w:t>
            </w:r>
            <w:r w:rsidR="006B165B" w:rsidRPr="003A01AD">
              <w:rPr>
                <w:rFonts w:cs="Arial"/>
                <w:szCs w:val="20"/>
                <w:lang w:val="sl-SI"/>
              </w:rPr>
              <w:t>udeležbe članov delegacije krije Ministrstvo za delo, družino, soc</w:t>
            </w:r>
            <w:r w:rsidR="00F07CCD" w:rsidRPr="003A01AD">
              <w:rPr>
                <w:rFonts w:cs="Arial"/>
                <w:szCs w:val="20"/>
                <w:lang w:val="sl-SI"/>
              </w:rPr>
              <w:t>ialne zadeve in enake možnosti s proračunske postavk</w:t>
            </w:r>
            <w:r w:rsidR="0043598F" w:rsidRPr="003A01AD">
              <w:rPr>
                <w:rFonts w:cs="Arial"/>
                <w:szCs w:val="20"/>
                <w:lang w:val="sl-SI"/>
              </w:rPr>
              <w:t xml:space="preserve">e 7172 – mednarodno sodelovanje, razen stroškov udeležbe </w:t>
            </w:r>
            <w:r w:rsidR="0075545E">
              <w:rPr>
                <w:rFonts w:cs="Arial"/>
                <w:szCs w:val="20"/>
                <w:lang w:val="sl-SI"/>
              </w:rPr>
              <w:t xml:space="preserve">državne sekretarke, </w:t>
            </w:r>
            <w:r w:rsidR="00D2772A">
              <w:rPr>
                <w:rFonts w:cs="Arial"/>
                <w:szCs w:val="20"/>
                <w:lang w:val="sl-SI"/>
              </w:rPr>
              <w:t xml:space="preserve">vodje </w:t>
            </w:r>
            <w:r w:rsidR="00D2772A" w:rsidRPr="00D2772A">
              <w:rPr>
                <w:rFonts w:cs="Arial"/>
                <w:szCs w:val="20"/>
                <w:lang w:val="sl-SI"/>
              </w:rPr>
              <w:t>Sektor</w:t>
            </w:r>
            <w:r w:rsidR="00D2772A">
              <w:rPr>
                <w:rFonts w:cs="Arial"/>
                <w:szCs w:val="20"/>
                <w:lang w:val="sl-SI"/>
              </w:rPr>
              <w:t>ja</w:t>
            </w:r>
            <w:r w:rsidR="00D2772A" w:rsidRPr="00D2772A">
              <w:rPr>
                <w:rFonts w:cs="Arial"/>
                <w:szCs w:val="20"/>
                <w:lang w:val="sl-SI"/>
              </w:rPr>
              <w:t xml:space="preserve"> za socialno podjetništvo</w:t>
            </w:r>
            <w:r w:rsidR="0043598F" w:rsidRPr="003A01AD">
              <w:rPr>
                <w:rFonts w:cs="Arial"/>
                <w:szCs w:val="20"/>
                <w:lang w:val="sl-SI"/>
              </w:rPr>
              <w:t xml:space="preserve"> na Ministrstvu za gospodarski razvoj in tehnologijo</w:t>
            </w:r>
            <w:r w:rsidR="00CF682F">
              <w:rPr>
                <w:rFonts w:cs="Arial"/>
                <w:szCs w:val="20"/>
                <w:lang w:val="sl-SI"/>
              </w:rPr>
              <w:t>,</w:t>
            </w:r>
            <w:r w:rsidR="0043598F" w:rsidRPr="003A01AD">
              <w:rPr>
                <w:rFonts w:cs="Arial"/>
                <w:szCs w:val="20"/>
                <w:lang w:val="sl-SI"/>
              </w:rPr>
              <w:t xml:space="preserve"> ge. Mojce Štepic, ki jih krije Ministrstvo za go</w:t>
            </w:r>
            <w:r w:rsidR="00AB7E0B">
              <w:rPr>
                <w:rFonts w:cs="Arial"/>
                <w:szCs w:val="20"/>
                <w:lang w:val="sl-SI"/>
              </w:rPr>
              <w:t>spodarski razvoj in tehnologijo</w:t>
            </w:r>
            <w:r w:rsidR="001E4FFF">
              <w:rPr>
                <w:rFonts w:cs="Arial"/>
                <w:szCs w:val="20"/>
                <w:lang w:val="sl-SI"/>
              </w:rPr>
              <w:t>,</w:t>
            </w:r>
            <w:r w:rsidR="00AB7E0B">
              <w:rPr>
                <w:rFonts w:cs="Arial"/>
                <w:szCs w:val="20"/>
                <w:lang w:val="sl-SI"/>
              </w:rPr>
              <w:t xml:space="preserve"> </w:t>
            </w:r>
            <w:r w:rsidR="00AB7E0B" w:rsidRPr="00AB7E0B">
              <w:rPr>
                <w:rFonts w:cs="Arial"/>
                <w:szCs w:val="20"/>
                <w:lang w:val="sl-SI"/>
              </w:rPr>
              <w:t>ter ge. Tatjane Kovačič,</w:t>
            </w:r>
            <w:r w:rsidR="001E4FFF">
              <w:rPr>
                <w:rFonts w:cs="Arial"/>
                <w:szCs w:val="20"/>
                <w:lang w:val="sl-SI"/>
              </w:rPr>
              <w:t xml:space="preserve"> namestnice veleposlanika,</w:t>
            </w:r>
            <w:r w:rsidR="00AB7E0B" w:rsidRPr="00AB7E0B">
              <w:rPr>
                <w:rFonts w:cs="Arial"/>
                <w:szCs w:val="20"/>
                <w:lang w:val="sl-SI"/>
              </w:rPr>
              <w:t xml:space="preserve"> ki jih krije Veleposlaništvo Republike Slovenije v Ankari.</w:t>
            </w:r>
          </w:p>
        </w:tc>
      </w:tr>
      <w:tr w:rsidR="008567DC" w:rsidRPr="003A01AD" w:rsidTr="000E2434">
        <w:trPr>
          <w:gridAfter w:val="1"/>
          <w:wAfter w:w="63" w:type="dxa"/>
          <w:trHeight w:val="371"/>
        </w:trPr>
        <w:tc>
          <w:tcPr>
            <w:tcW w:w="92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C" w:rsidRPr="003A01AD" w:rsidRDefault="008567DC" w:rsidP="00985EE5">
            <w:pPr>
              <w:spacing w:line="260" w:lineRule="atLeast"/>
              <w:rPr>
                <w:rFonts w:cs="Arial"/>
                <w:b/>
                <w:szCs w:val="20"/>
                <w:lang w:val="sl-SI"/>
              </w:rPr>
            </w:pPr>
            <w:r w:rsidRPr="003A01AD">
              <w:rPr>
                <w:rFonts w:cs="Arial"/>
                <w:b/>
                <w:szCs w:val="20"/>
                <w:lang w:val="sl-SI"/>
              </w:rPr>
              <w:t xml:space="preserve">8. Predstavitev </w:t>
            </w:r>
            <w:r w:rsidR="00647B47" w:rsidRPr="003A01AD">
              <w:rPr>
                <w:rFonts w:cs="Arial"/>
                <w:b/>
                <w:szCs w:val="20"/>
                <w:lang w:val="sl-SI"/>
              </w:rPr>
              <w:t xml:space="preserve">sodelovanja z združenji občin: </w:t>
            </w:r>
          </w:p>
        </w:tc>
      </w:tr>
      <w:tr w:rsidR="008567DC" w:rsidRPr="003A01AD" w:rsidTr="000E2434">
        <w:trPr>
          <w:gridAfter w:val="1"/>
          <w:wAfter w:w="63" w:type="dxa"/>
        </w:trPr>
        <w:tc>
          <w:tcPr>
            <w:tcW w:w="6769" w:type="dxa"/>
            <w:gridSpan w:val="11"/>
          </w:tcPr>
          <w:p w:rsidR="008567DC" w:rsidRPr="003A01AD" w:rsidRDefault="008567DC" w:rsidP="00985EE5">
            <w:pPr>
              <w:pStyle w:val="Neotevilenodstavek"/>
              <w:widowControl w:val="0"/>
              <w:spacing w:before="0" w:after="0" w:line="260" w:lineRule="atLeast"/>
              <w:rPr>
                <w:iCs/>
                <w:sz w:val="20"/>
                <w:szCs w:val="20"/>
              </w:rPr>
            </w:pPr>
            <w:r w:rsidRPr="003A01AD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8567DC" w:rsidRPr="003A01AD" w:rsidRDefault="008567DC" w:rsidP="00985EE5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atLeast"/>
              <w:rPr>
                <w:iCs/>
                <w:sz w:val="20"/>
                <w:szCs w:val="20"/>
              </w:rPr>
            </w:pPr>
            <w:r w:rsidRPr="003A01AD">
              <w:rPr>
                <w:iCs/>
                <w:sz w:val="20"/>
                <w:szCs w:val="20"/>
              </w:rPr>
              <w:t>pristojnosti občin,</w:t>
            </w:r>
          </w:p>
          <w:p w:rsidR="008567DC" w:rsidRPr="003A01AD" w:rsidRDefault="008567DC" w:rsidP="00985EE5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atLeast"/>
              <w:rPr>
                <w:iCs/>
                <w:sz w:val="20"/>
                <w:szCs w:val="20"/>
              </w:rPr>
            </w:pPr>
            <w:r w:rsidRPr="003A01AD">
              <w:rPr>
                <w:iCs/>
                <w:sz w:val="20"/>
                <w:szCs w:val="20"/>
              </w:rPr>
              <w:t>delovanje občin,</w:t>
            </w:r>
          </w:p>
          <w:p w:rsidR="008567DC" w:rsidRPr="003A01AD" w:rsidRDefault="008567DC" w:rsidP="005706CD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atLeast"/>
              <w:rPr>
                <w:iCs/>
                <w:sz w:val="20"/>
                <w:szCs w:val="20"/>
              </w:rPr>
            </w:pPr>
            <w:r w:rsidRPr="003A01AD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3"/>
          </w:tcPr>
          <w:p w:rsidR="008567DC" w:rsidRPr="003A01AD" w:rsidRDefault="008567DC" w:rsidP="00985EE5">
            <w:pPr>
              <w:pStyle w:val="Neotevilenodstavek"/>
              <w:widowControl w:val="0"/>
              <w:spacing w:before="0" w:after="0" w:line="260" w:lineRule="atLeast"/>
              <w:jc w:val="center"/>
              <w:rPr>
                <w:sz w:val="20"/>
                <w:szCs w:val="20"/>
              </w:rPr>
            </w:pPr>
            <w:r w:rsidRPr="003A01AD">
              <w:rPr>
                <w:sz w:val="20"/>
                <w:szCs w:val="20"/>
              </w:rPr>
              <w:t>NE</w:t>
            </w:r>
          </w:p>
        </w:tc>
      </w:tr>
      <w:tr w:rsidR="008567DC" w:rsidRPr="003A01AD" w:rsidTr="000E2434">
        <w:trPr>
          <w:gridAfter w:val="1"/>
          <w:wAfter w:w="63" w:type="dxa"/>
          <w:trHeight w:val="274"/>
        </w:trPr>
        <w:tc>
          <w:tcPr>
            <w:tcW w:w="9200" w:type="dxa"/>
            <w:gridSpan w:val="14"/>
          </w:tcPr>
          <w:p w:rsidR="008567DC" w:rsidRPr="003A01AD" w:rsidRDefault="008567DC" w:rsidP="00985EE5">
            <w:pPr>
              <w:pStyle w:val="Neotevilenodstavek"/>
              <w:widowControl w:val="0"/>
              <w:spacing w:before="0" w:after="0" w:line="260" w:lineRule="atLeast"/>
              <w:rPr>
                <w:iCs/>
                <w:sz w:val="20"/>
                <w:szCs w:val="20"/>
              </w:rPr>
            </w:pPr>
            <w:r w:rsidRPr="003A01AD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5706CD" w:rsidRPr="003A01AD" w:rsidRDefault="005706CD" w:rsidP="005706C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A01AD">
              <w:rPr>
                <w:rFonts w:cs="Arial"/>
                <w:iCs/>
                <w:szCs w:val="20"/>
                <w:lang w:val="sl-SI" w:eastAsia="sl-SI"/>
              </w:rPr>
              <w:t>Skupnosti občin Slovenije SOS: NE</w:t>
            </w:r>
          </w:p>
          <w:p w:rsidR="005706CD" w:rsidRPr="003A01AD" w:rsidRDefault="005706CD" w:rsidP="005706C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A01AD">
              <w:rPr>
                <w:rFonts w:cs="Arial"/>
                <w:iCs/>
                <w:szCs w:val="20"/>
                <w:lang w:val="sl-SI" w:eastAsia="sl-SI"/>
              </w:rPr>
              <w:t>Združenju občin Slovenije ZOS: NE</w:t>
            </w:r>
          </w:p>
          <w:p w:rsidR="008567DC" w:rsidRPr="003A01AD" w:rsidRDefault="005706CD" w:rsidP="005706C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A01AD">
              <w:rPr>
                <w:rFonts w:cs="Arial"/>
                <w:iCs/>
                <w:szCs w:val="20"/>
                <w:lang w:val="sl-SI" w:eastAsia="sl-SI"/>
              </w:rPr>
              <w:t>Združenju mestnih občin Slovenije ZMOS: NE</w:t>
            </w:r>
          </w:p>
        </w:tc>
      </w:tr>
      <w:tr w:rsidR="008567DC" w:rsidRPr="003A01AD" w:rsidTr="000E2434">
        <w:trPr>
          <w:gridAfter w:val="1"/>
          <w:wAfter w:w="63" w:type="dxa"/>
        </w:trPr>
        <w:tc>
          <w:tcPr>
            <w:tcW w:w="9200" w:type="dxa"/>
            <w:gridSpan w:val="14"/>
            <w:vAlign w:val="center"/>
          </w:tcPr>
          <w:p w:rsidR="008567DC" w:rsidRPr="003A01AD" w:rsidRDefault="008567DC" w:rsidP="00985EE5">
            <w:pPr>
              <w:pStyle w:val="Neotevilenodstavek"/>
              <w:widowControl w:val="0"/>
              <w:spacing w:before="0" w:after="0" w:line="260" w:lineRule="atLeast"/>
              <w:jc w:val="left"/>
              <w:rPr>
                <w:b/>
                <w:sz w:val="20"/>
                <w:szCs w:val="20"/>
              </w:rPr>
            </w:pPr>
            <w:r w:rsidRPr="003A01A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8567DC" w:rsidRPr="003A01AD" w:rsidTr="000E2434">
        <w:trPr>
          <w:gridAfter w:val="1"/>
          <w:wAfter w:w="63" w:type="dxa"/>
        </w:trPr>
        <w:tc>
          <w:tcPr>
            <w:tcW w:w="6769" w:type="dxa"/>
            <w:gridSpan w:val="11"/>
          </w:tcPr>
          <w:p w:rsidR="008567DC" w:rsidRPr="003A01AD" w:rsidRDefault="008567DC" w:rsidP="00985EE5">
            <w:pPr>
              <w:pStyle w:val="Neotevilenodstavek"/>
              <w:widowControl w:val="0"/>
              <w:spacing w:before="0" w:after="0" w:line="260" w:lineRule="atLeast"/>
              <w:rPr>
                <w:sz w:val="20"/>
                <w:szCs w:val="20"/>
              </w:rPr>
            </w:pPr>
            <w:r w:rsidRPr="003A01A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8567DC" w:rsidRPr="003A01AD" w:rsidRDefault="008567DC" w:rsidP="00985EE5">
            <w:pPr>
              <w:pStyle w:val="Neotevilenodstavek"/>
              <w:widowControl w:val="0"/>
              <w:spacing w:before="0" w:after="0" w:line="260" w:lineRule="atLeast"/>
              <w:jc w:val="center"/>
              <w:rPr>
                <w:iCs/>
                <w:sz w:val="20"/>
                <w:szCs w:val="20"/>
              </w:rPr>
            </w:pPr>
            <w:r w:rsidRPr="003A01AD">
              <w:rPr>
                <w:sz w:val="20"/>
                <w:szCs w:val="20"/>
              </w:rPr>
              <w:t>NE</w:t>
            </w:r>
          </w:p>
        </w:tc>
      </w:tr>
      <w:tr w:rsidR="008567DC" w:rsidRPr="003A01AD" w:rsidTr="000E2434">
        <w:trPr>
          <w:gridAfter w:val="1"/>
          <w:wAfter w:w="63" w:type="dxa"/>
        </w:trPr>
        <w:tc>
          <w:tcPr>
            <w:tcW w:w="9200" w:type="dxa"/>
            <w:gridSpan w:val="14"/>
          </w:tcPr>
          <w:p w:rsidR="008567DC" w:rsidRPr="003A01AD" w:rsidRDefault="005706CD" w:rsidP="00985EE5">
            <w:pPr>
              <w:pStyle w:val="Neotevilenodstavek"/>
              <w:widowControl w:val="0"/>
              <w:spacing w:before="0" w:after="0" w:line="260" w:lineRule="atLeast"/>
              <w:rPr>
                <w:iCs/>
                <w:sz w:val="20"/>
                <w:szCs w:val="20"/>
              </w:rPr>
            </w:pPr>
            <w:r w:rsidRPr="003A01AD">
              <w:rPr>
                <w:iCs/>
                <w:sz w:val="20"/>
                <w:szCs w:val="20"/>
              </w:rPr>
              <w:lastRenderedPageBreak/>
              <w:t>Pri pripravi gradiva sodelovanje javnosti ni potrebno</w:t>
            </w:r>
          </w:p>
        </w:tc>
      </w:tr>
      <w:tr w:rsidR="008567DC" w:rsidRPr="003A01AD" w:rsidTr="000E2434">
        <w:trPr>
          <w:gridAfter w:val="1"/>
          <w:wAfter w:w="63" w:type="dxa"/>
        </w:trPr>
        <w:tc>
          <w:tcPr>
            <w:tcW w:w="6769" w:type="dxa"/>
            <w:gridSpan w:val="11"/>
            <w:vAlign w:val="center"/>
          </w:tcPr>
          <w:p w:rsidR="008567DC" w:rsidRPr="003A01AD" w:rsidRDefault="008567DC" w:rsidP="00985EE5">
            <w:pPr>
              <w:pStyle w:val="Neotevilenodstavek"/>
              <w:widowControl w:val="0"/>
              <w:spacing w:before="0" w:after="0" w:line="260" w:lineRule="atLeast"/>
              <w:jc w:val="left"/>
              <w:rPr>
                <w:sz w:val="20"/>
                <w:szCs w:val="20"/>
              </w:rPr>
            </w:pPr>
            <w:r w:rsidRPr="003A01A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8567DC" w:rsidRPr="003A01AD" w:rsidRDefault="008567DC" w:rsidP="00985EE5">
            <w:pPr>
              <w:pStyle w:val="Neotevilenodstavek"/>
              <w:widowControl w:val="0"/>
              <w:spacing w:before="0" w:after="0" w:line="260" w:lineRule="atLeast"/>
              <w:jc w:val="center"/>
              <w:rPr>
                <w:iCs/>
                <w:sz w:val="20"/>
                <w:szCs w:val="20"/>
              </w:rPr>
            </w:pPr>
            <w:r w:rsidRPr="003A01AD">
              <w:rPr>
                <w:sz w:val="20"/>
                <w:szCs w:val="20"/>
              </w:rPr>
              <w:t>NE</w:t>
            </w:r>
          </w:p>
        </w:tc>
      </w:tr>
      <w:tr w:rsidR="008567DC" w:rsidRPr="003A01AD" w:rsidTr="000E2434">
        <w:trPr>
          <w:gridAfter w:val="1"/>
          <w:wAfter w:w="63" w:type="dxa"/>
        </w:trPr>
        <w:tc>
          <w:tcPr>
            <w:tcW w:w="6769" w:type="dxa"/>
            <w:gridSpan w:val="11"/>
            <w:vAlign w:val="center"/>
          </w:tcPr>
          <w:p w:rsidR="008567DC" w:rsidRPr="003A01AD" w:rsidRDefault="008567DC" w:rsidP="00985EE5">
            <w:pPr>
              <w:pStyle w:val="Neotevilenodstavek"/>
              <w:widowControl w:val="0"/>
              <w:spacing w:before="0" w:after="0" w:line="260" w:lineRule="atLeast"/>
              <w:jc w:val="left"/>
              <w:rPr>
                <w:b/>
                <w:sz w:val="20"/>
                <w:szCs w:val="20"/>
              </w:rPr>
            </w:pPr>
            <w:r w:rsidRPr="003A01A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8567DC" w:rsidRPr="003A01AD" w:rsidRDefault="008567DC" w:rsidP="00985EE5">
            <w:pPr>
              <w:pStyle w:val="Neotevilenodstavek"/>
              <w:widowControl w:val="0"/>
              <w:spacing w:before="0" w:after="0" w:line="260" w:lineRule="atLeast"/>
              <w:jc w:val="center"/>
              <w:rPr>
                <w:sz w:val="20"/>
                <w:szCs w:val="20"/>
              </w:rPr>
            </w:pPr>
            <w:r w:rsidRPr="003A01AD">
              <w:rPr>
                <w:sz w:val="20"/>
                <w:szCs w:val="20"/>
              </w:rPr>
              <w:t>NE</w:t>
            </w:r>
          </w:p>
        </w:tc>
      </w:tr>
      <w:tr w:rsidR="008567DC" w:rsidRPr="003A01AD" w:rsidTr="000E2434">
        <w:trPr>
          <w:gridAfter w:val="1"/>
          <w:wAfter w:w="63" w:type="dxa"/>
        </w:trPr>
        <w:tc>
          <w:tcPr>
            <w:tcW w:w="92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C" w:rsidRPr="003A01AD" w:rsidRDefault="008567DC" w:rsidP="00985EE5">
            <w:pPr>
              <w:pStyle w:val="Poglavje"/>
              <w:widowControl w:val="0"/>
              <w:spacing w:before="0" w:after="0" w:line="260" w:lineRule="atLeast"/>
              <w:ind w:left="3400"/>
              <w:jc w:val="left"/>
              <w:rPr>
                <w:sz w:val="20"/>
                <w:szCs w:val="20"/>
              </w:rPr>
            </w:pPr>
          </w:p>
          <w:p w:rsidR="008567DC" w:rsidRPr="003A01AD" w:rsidRDefault="008567DC" w:rsidP="00985EE5">
            <w:pPr>
              <w:spacing w:line="260" w:lineRule="atLeast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3A01AD">
              <w:rPr>
                <w:rFonts w:cs="Arial"/>
                <w:b/>
                <w:szCs w:val="20"/>
                <w:lang w:val="sl-SI" w:eastAsia="sl-SI"/>
              </w:rPr>
              <w:t xml:space="preserve">                                                                                     </w:t>
            </w:r>
            <w:r w:rsidR="007240E4" w:rsidRPr="003A01AD">
              <w:rPr>
                <w:rFonts w:cs="Arial"/>
                <w:b/>
                <w:szCs w:val="20"/>
                <w:lang w:val="sl-SI" w:eastAsia="sl-SI"/>
              </w:rPr>
              <w:t xml:space="preserve">            </w:t>
            </w:r>
            <w:r w:rsidR="000E3CE6">
              <w:rPr>
                <w:rFonts w:cs="Arial"/>
                <w:b/>
                <w:szCs w:val="20"/>
                <w:lang w:val="sl-SI" w:eastAsia="sl-SI"/>
              </w:rPr>
              <w:t>Peter POGAČAR</w:t>
            </w:r>
          </w:p>
          <w:p w:rsidR="008567DC" w:rsidRPr="003A01AD" w:rsidRDefault="008567DC" w:rsidP="00985EE5">
            <w:pPr>
              <w:spacing w:line="260" w:lineRule="atLeast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3A01AD">
              <w:rPr>
                <w:rFonts w:cs="Arial"/>
                <w:b/>
                <w:szCs w:val="20"/>
                <w:lang w:val="sl-SI" w:eastAsia="sl-SI"/>
              </w:rPr>
              <w:t xml:space="preserve">                                                                                             </w:t>
            </w:r>
            <w:r w:rsidR="000E3CE6">
              <w:rPr>
                <w:rFonts w:cs="Arial"/>
                <w:b/>
                <w:szCs w:val="20"/>
                <w:lang w:val="sl-SI" w:eastAsia="sl-SI"/>
              </w:rPr>
              <w:t xml:space="preserve">   DRŽAVNI SEKRETAR</w:t>
            </w:r>
          </w:p>
          <w:p w:rsidR="008567DC" w:rsidRPr="003A01AD" w:rsidRDefault="008567DC" w:rsidP="00985EE5">
            <w:pPr>
              <w:pStyle w:val="Poglavje"/>
              <w:widowControl w:val="0"/>
              <w:spacing w:before="0" w:after="0" w:line="260" w:lineRule="atLeast"/>
              <w:ind w:left="3400"/>
              <w:rPr>
                <w:sz w:val="20"/>
                <w:szCs w:val="20"/>
              </w:rPr>
            </w:pPr>
          </w:p>
        </w:tc>
      </w:tr>
    </w:tbl>
    <w:p w:rsidR="008567DC" w:rsidRPr="003A01AD" w:rsidRDefault="008567DC" w:rsidP="00985EE5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6239BF" w:rsidRPr="003A01AD" w:rsidRDefault="006239BF" w:rsidP="00E7187C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cs="Arial"/>
          <w:szCs w:val="20"/>
          <w:lang w:val="sl-SI"/>
        </w:rPr>
      </w:pPr>
    </w:p>
    <w:p w:rsidR="005B4EE6" w:rsidRPr="003A01AD" w:rsidRDefault="00E7187C" w:rsidP="00E7187C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lang w:val="sl-SI"/>
        </w:rPr>
        <w:t>Priloga: Predlog sklepa Vlade Republike Slovenije</w:t>
      </w:r>
    </w:p>
    <w:p w:rsidR="005B4EE6" w:rsidRPr="003A01AD" w:rsidRDefault="005B4EE6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5B4EE6" w:rsidRPr="003A01AD" w:rsidRDefault="005B4EE6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D16FE4" w:rsidRPr="003A01AD" w:rsidRDefault="00D16FE4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6239BF" w:rsidRPr="003A01AD" w:rsidRDefault="006239BF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8567DC" w:rsidRPr="003A01AD" w:rsidRDefault="008567DC" w:rsidP="00985EE5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b/>
          <w:szCs w:val="20"/>
          <w:lang w:val="sl-SI"/>
        </w:rPr>
      </w:pPr>
      <w:r w:rsidRPr="003A01AD">
        <w:rPr>
          <w:rFonts w:cs="Arial"/>
          <w:b/>
          <w:szCs w:val="20"/>
          <w:lang w:val="sl-SI"/>
        </w:rPr>
        <w:lastRenderedPageBreak/>
        <w:t>PREDLOG</w:t>
      </w:r>
    </w:p>
    <w:p w:rsidR="008567DC" w:rsidRPr="003A01AD" w:rsidRDefault="008567DC" w:rsidP="00985EE5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/>
        </w:rPr>
      </w:pPr>
    </w:p>
    <w:p w:rsidR="008567DC" w:rsidRPr="003A01AD" w:rsidRDefault="008567DC" w:rsidP="00985EE5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/>
        </w:rPr>
      </w:pPr>
    </w:p>
    <w:p w:rsidR="008567DC" w:rsidRPr="003A01AD" w:rsidRDefault="008567DC" w:rsidP="00985EE5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 w:eastAsia="sl-SI"/>
        </w:rPr>
      </w:pPr>
      <w:r w:rsidRPr="003A01AD">
        <w:rPr>
          <w:rFonts w:cs="Arial"/>
          <w:szCs w:val="20"/>
          <w:lang w:val="sl-SI" w:eastAsia="sl-SI"/>
        </w:rPr>
        <w:t>Na podlagi</w:t>
      </w:r>
      <w:r w:rsidR="00ED5633" w:rsidRPr="003A01AD">
        <w:rPr>
          <w:rFonts w:cs="Arial"/>
          <w:szCs w:val="20"/>
          <w:lang w:val="sl-SI" w:eastAsia="sl-SI"/>
        </w:rPr>
        <w:t xml:space="preserve"> 2. člena in</w:t>
      </w:r>
      <w:r w:rsidRPr="003A01AD">
        <w:rPr>
          <w:rFonts w:cs="Arial"/>
          <w:szCs w:val="20"/>
          <w:lang w:val="sl-SI" w:eastAsia="sl-SI"/>
        </w:rPr>
        <w:t xml:space="preserve"> šestega odstavka 21. člena Zakona o Vladi Republike Slovenije (</w:t>
      </w:r>
      <w:r w:rsidR="00DB41A7" w:rsidRPr="003A01AD">
        <w:rPr>
          <w:rFonts w:cs="Arial"/>
          <w:szCs w:val="20"/>
          <w:lang w:val="sl-SI" w:eastAsia="sl-SI"/>
        </w:rPr>
        <w:t>Uradni list RS, št. 24/05 – uradno prečiščeno besedilo, 109/08, 38/10 – ZUKN, 8/12, 21/13, 47/13 – ZDU-1G in 65/14</w:t>
      </w:r>
      <w:r w:rsidRPr="003A01AD">
        <w:rPr>
          <w:rFonts w:cs="Arial"/>
          <w:szCs w:val="20"/>
          <w:lang w:val="sl-SI" w:eastAsia="sl-SI"/>
        </w:rPr>
        <w:t xml:space="preserve">) </w:t>
      </w:r>
      <w:r w:rsidR="00DB41A7" w:rsidRPr="003A01AD">
        <w:rPr>
          <w:rFonts w:cs="Arial"/>
          <w:szCs w:val="20"/>
          <w:lang w:val="sl-SI" w:eastAsia="sl-SI"/>
        </w:rPr>
        <w:t>in</w:t>
      </w:r>
      <w:r w:rsidRPr="003A01AD">
        <w:rPr>
          <w:rFonts w:cs="Arial"/>
          <w:szCs w:val="20"/>
          <w:lang w:val="sl-SI" w:eastAsia="sl-SI"/>
        </w:rPr>
        <w:t xml:space="preserve"> </w:t>
      </w:r>
      <w:r w:rsidR="00DB41A7" w:rsidRPr="003A01AD">
        <w:rPr>
          <w:rFonts w:cs="Arial"/>
          <w:szCs w:val="20"/>
          <w:lang w:val="sl-SI" w:eastAsia="sl-SI"/>
        </w:rPr>
        <w:t xml:space="preserve">prvega odstavka 3. člena Uredbe o sodelovanju, obveščanju in usklajevanju na področju zunanjih zadev in mednarodnih odnosov (Uradni list RS, št. 112/05) </w:t>
      </w:r>
      <w:r w:rsidRPr="003A01AD">
        <w:rPr>
          <w:rFonts w:cs="Arial"/>
          <w:szCs w:val="20"/>
          <w:lang w:val="sl-SI" w:eastAsia="sl-SI"/>
        </w:rPr>
        <w:t>je Vlada Republike Slovenije na ...... redni seji dne ....... pod točko ...... sprejela naslednji</w:t>
      </w:r>
    </w:p>
    <w:p w:rsidR="008567DC" w:rsidRPr="003A01AD" w:rsidRDefault="008567DC" w:rsidP="00985EE5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 w:eastAsia="sl-SI"/>
        </w:rPr>
      </w:pPr>
    </w:p>
    <w:p w:rsidR="008567DC" w:rsidRPr="003A01AD" w:rsidRDefault="008567DC" w:rsidP="00985EE5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 w:eastAsia="sl-SI"/>
        </w:rPr>
      </w:pPr>
    </w:p>
    <w:p w:rsidR="008567DC" w:rsidRPr="003A01AD" w:rsidRDefault="008567DC" w:rsidP="00985EE5">
      <w:pPr>
        <w:overflowPunct w:val="0"/>
        <w:autoSpaceDE w:val="0"/>
        <w:autoSpaceDN w:val="0"/>
        <w:adjustRightInd w:val="0"/>
        <w:spacing w:line="260" w:lineRule="atLeast"/>
        <w:jc w:val="center"/>
        <w:textAlignment w:val="baseline"/>
        <w:rPr>
          <w:rFonts w:cs="Arial"/>
          <w:b/>
          <w:szCs w:val="20"/>
          <w:lang w:val="sl-SI" w:eastAsia="sl-SI"/>
        </w:rPr>
      </w:pPr>
      <w:r w:rsidRPr="003A01AD">
        <w:rPr>
          <w:rFonts w:cs="Arial"/>
          <w:b/>
          <w:szCs w:val="20"/>
          <w:lang w:val="sl-SI" w:eastAsia="sl-SI"/>
        </w:rPr>
        <w:t>SKLEP</w:t>
      </w:r>
    </w:p>
    <w:p w:rsidR="008567DC" w:rsidRPr="003A01AD" w:rsidRDefault="008567DC" w:rsidP="00CE1F4C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cs="Arial"/>
          <w:b/>
          <w:szCs w:val="20"/>
          <w:lang w:val="sl-SI" w:eastAsia="sl-SI"/>
        </w:rPr>
      </w:pPr>
    </w:p>
    <w:p w:rsidR="008567DC" w:rsidRPr="003A01AD" w:rsidRDefault="008567DC" w:rsidP="00985EE5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 w:eastAsia="sl-SI"/>
        </w:rPr>
      </w:pPr>
    </w:p>
    <w:p w:rsidR="00CE1F4C" w:rsidRPr="003A01AD" w:rsidRDefault="0043598F" w:rsidP="00C0152F">
      <w:pPr>
        <w:pStyle w:val="Odstavekseznama"/>
        <w:numPr>
          <w:ilvl w:val="0"/>
          <w:numId w:val="43"/>
        </w:numPr>
        <w:spacing w:line="260" w:lineRule="atLeast"/>
        <w:rPr>
          <w:rFonts w:ascii="Arial" w:hAnsi="Arial" w:cs="Arial"/>
          <w:sz w:val="20"/>
          <w:lang w:eastAsia="sl-SI"/>
        </w:rPr>
      </w:pPr>
      <w:r w:rsidRPr="003A01AD">
        <w:rPr>
          <w:rFonts w:ascii="Arial" w:hAnsi="Arial" w:cs="Arial"/>
          <w:sz w:val="20"/>
          <w:lang w:eastAsia="sl-SI"/>
        </w:rPr>
        <w:t>Vlada Republike Slovenije je sprejela Izhodišča za udeležbo delegacije Republike Slovenije na desetem evropskem regionalnem srečanju Mednarodne organizacije dela med 2. in 5. oktobrom 2017 v Istanbulu.</w:t>
      </w:r>
    </w:p>
    <w:p w:rsidR="00CE1F4C" w:rsidRPr="003A01AD" w:rsidRDefault="00CE1F4C" w:rsidP="00C0152F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 w:eastAsia="sl-SI"/>
        </w:rPr>
      </w:pPr>
    </w:p>
    <w:p w:rsidR="00CE1F4C" w:rsidRPr="003A01AD" w:rsidRDefault="00CE1F4C" w:rsidP="006B2DC0">
      <w:pPr>
        <w:pStyle w:val="Odstavekseznama"/>
        <w:numPr>
          <w:ilvl w:val="0"/>
          <w:numId w:val="43"/>
        </w:numPr>
        <w:spacing w:line="260" w:lineRule="atLeast"/>
        <w:rPr>
          <w:rFonts w:ascii="Arial" w:hAnsi="Arial" w:cs="Arial"/>
          <w:sz w:val="20"/>
          <w:lang w:eastAsia="sl-SI"/>
        </w:rPr>
      </w:pPr>
      <w:r w:rsidRPr="003A01AD">
        <w:rPr>
          <w:rFonts w:ascii="Arial" w:hAnsi="Arial" w:cs="Arial"/>
          <w:sz w:val="20"/>
          <w:lang w:eastAsia="sl-SI"/>
        </w:rPr>
        <w:t>Vlada Republike Slovenije je imenovala delegacijo v naslednji sestavi:</w:t>
      </w:r>
    </w:p>
    <w:p w:rsidR="0043598F" w:rsidRPr="003A01AD" w:rsidRDefault="00640AF4" w:rsidP="006B2DC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iCs/>
          <w:szCs w:val="20"/>
          <w:lang w:val="sl-SI" w:eastAsia="sl-SI"/>
        </w:rPr>
      </w:pPr>
      <w:r w:rsidRPr="003A01AD">
        <w:rPr>
          <w:rFonts w:cs="Arial"/>
          <w:iCs/>
          <w:szCs w:val="20"/>
          <w:lang w:val="sl-SI" w:eastAsia="sl-SI"/>
        </w:rPr>
        <w:t>Peter Pogačar</w:t>
      </w:r>
      <w:r w:rsidR="0043598F" w:rsidRPr="003A01AD">
        <w:rPr>
          <w:rFonts w:cs="Arial"/>
          <w:iCs/>
          <w:szCs w:val="20"/>
          <w:lang w:val="sl-SI" w:eastAsia="sl-SI"/>
        </w:rPr>
        <w:t>, d</w:t>
      </w:r>
      <w:r w:rsidR="0043598F" w:rsidRPr="00426C99">
        <w:rPr>
          <w:rFonts w:cs="Arial"/>
          <w:iCs/>
          <w:szCs w:val="20"/>
          <w:lang w:val="sl-SI" w:eastAsia="sl-SI"/>
        </w:rPr>
        <w:t>ržavn</w:t>
      </w:r>
      <w:r w:rsidRPr="00426C99">
        <w:rPr>
          <w:rFonts w:cs="Arial"/>
          <w:iCs/>
          <w:szCs w:val="20"/>
          <w:lang w:val="sl-SI" w:eastAsia="sl-SI"/>
        </w:rPr>
        <w:t>i</w:t>
      </w:r>
      <w:r w:rsidRPr="003A01AD">
        <w:rPr>
          <w:rFonts w:cs="Arial"/>
          <w:iCs/>
          <w:szCs w:val="20"/>
          <w:lang w:val="sl-SI" w:eastAsia="sl-SI"/>
        </w:rPr>
        <w:t xml:space="preserve"> sekretar</w:t>
      </w:r>
      <w:r w:rsidR="0043598F" w:rsidRPr="003A01AD">
        <w:rPr>
          <w:rFonts w:cs="Arial"/>
          <w:iCs/>
          <w:szCs w:val="20"/>
          <w:lang w:val="sl-SI" w:eastAsia="sl-SI"/>
        </w:rPr>
        <w:t xml:space="preserve"> na Ministrstvu za delo, družino, socialne zadeve in   enake možno</w:t>
      </w:r>
      <w:r w:rsidR="00FC2A2E">
        <w:rPr>
          <w:rFonts w:cs="Arial"/>
          <w:iCs/>
          <w:szCs w:val="20"/>
          <w:lang w:val="sl-SI" w:eastAsia="sl-SI"/>
        </w:rPr>
        <w:t xml:space="preserve">sti, kot vodja </w:t>
      </w:r>
      <w:r w:rsidR="00207E85">
        <w:rPr>
          <w:rFonts w:cs="Arial"/>
          <w:iCs/>
          <w:szCs w:val="20"/>
          <w:lang w:val="sl-SI" w:eastAsia="sl-SI"/>
        </w:rPr>
        <w:t>delegacije (med 1. 10. 2017 in 4</w:t>
      </w:r>
      <w:r w:rsidR="0043598F" w:rsidRPr="003A01AD">
        <w:rPr>
          <w:rFonts w:cs="Arial"/>
          <w:iCs/>
          <w:szCs w:val="20"/>
          <w:lang w:val="sl-SI" w:eastAsia="sl-SI"/>
        </w:rPr>
        <w:t>. 10. 2017),</w:t>
      </w:r>
    </w:p>
    <w:p w:rsidR="00FC2A2E" w:rsidRDefault="00FC2A2E" w:rsidP="006B2DC0">
      <w:pPr>
        <w:pStyle w:val="Odstavekseznama"/>
        <w:numPr>
          <w:ilvl w:val="0"/>
          <w:numId w:val="35"/>
        </w:numPr>
        <w:spacing w:line="260" w:lineRule="atLeast"/>
        <w:rPr>
          <w:rFonts w:ascii="Arial" w:hAnsi="Arial" w:cs="Arial"/>
          <w:iCs/>
          <w:sz w:val="20"/>
          <w:lang w:eastAsia="sl-SI"/>
        </w:rPr>
      </w:pPr>
      <w:r w:rsidRPr="00FC2A2E">
        <w:rPr>
          <w:rFonts w:ascii="Arial" w:hAnsi="Arial" w:cs="Arial"/>
          <w:iCs/>
          <w:sz w:val="20"/>
          <w:lang w:eastAsia="sl-SI"/>
        </w:rPr>
        <w:t xml:space="preserve">Mojca Štepic, </w:t>
      </w:r>
      <w:r w:rsidR="00C33716">
        <w:rPr>
          <w:rFonts w:ascii="Arial" w:hAnsi="Arial" w:cs="Arial"/>
          <w:iCs/>
          <w:sz w:val="20"/>
          <w:lang w:eastAsia="sl-SI"/>
        </w:rPr>
        <w:t xml:space="preserve">državna sekretarka, </w:t>
      </w:r>
      <w:r w:rsidRPr="00FC2A2E">
        <w:rPr>
          <w:rFonts w:ascii="Arial" w:hAnsi="Arial" w:cs="Arial"/>
          <w:iCs/>
          <w:sz w:val="20"/>
          <w:lang w:eastAsia="sl-SI"/>
        </w:rPr>
        <w:t>vodja Sektorja za socialno podjetništvo na Ministrstvu za gospodarski razvoj in tehnolog</w:t>
      </w:r>
      <w:r w:rsidR="0099235A">
        <w:rPr>
          <w:rFonts w:ascii="Arial" w:hAnsi="Arial" w:cs="Arial"/>
          <w:iCs/>
          <w:sz w:val="20"/>
          <w:lang w:eastAsia="sl-SI"/>
        </w:rPr>
        <w:t>ijo, kot vladna delegatka (med 2. 10. 2017 in 4</w:t>
      </w:r>
      <w:r w:rsidRPr="00FC2A2E">
        <w:rPr>
          <w:rFonts w:ascii="Arial" w:hAnsi="Arial" w:cs="Arial"/>
          <w:iCs/>
          <w:sz w:val="20"/>
          <w:lang w:eastAsia="sl-SI"/>
        </w:rPr>
        <w:t>. 10. 2017),</w:t>
      </w:r>
    </w:p>
    <w:p w:rsidR="006B2DC0" w:rsidRPr="006B2DC0" w:rsidRDefault="006B2DC0" w:rsidP="006B2DC0">
      <w:pPr>
        <w:pStyle w:val="Odstavekseznama"/>
        <w:numPr>
          <w:ilvl w:val="0"/>
          <w:numId w:val="35"/>
        </w:numPr>
        <w:spacing w:line="260" w:lineRule="atLeast"/>
        <w:rPr>
          <w:rFonts w:ascii="Arial" w:hAnsi="Arial" w:cs="Arial"/>
          <w:iCs/>
          <w:sz w:val="20"/>
          <w:lang w:eastAsia="sl-SI"/>
        </w:rPr>
      </w:pPr>
      <w:r w:rsidRPr="006B2DC0">
        <w:rPr>
          <w:rFonts w:ascii="Arial" w:hAnsi="Arial" w:cs="Arial"/>
          <w:iCs/>
          <w:sz w:val="20"/>
          <w:lang w:eastAsia="sl-SI"/>
        </w:rPr>
        <w:t>Tatjana Kovačič, namestnica veleposlanika, pooblaščena ministrica v Veleposlaništvu Republike Slovenije v Ankari, kot predstavnica vladnih delegatov (med 1. 10. 2017 in 5. 10. 2017),</w:t>
      </w:r>
    </w:p>
    <w:p w:rsidR="0043598F" w:rsidRPr="003A01AD" w:rsidRDefault="0043598F" w:rsidP="006B2DC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iCs/>
          <w:szCs w:val="20"/>
          <w:lang w:val="sl-SI" w:eastAsia="sl-SI"/>
        </w:rPr>
      </w:pPr>
      <w:r w:rsidRPr="003A01AD">
        <w:rPr>
          <w:rFonts w:cs="Arial"/>
          <w:iCs/>
          <w:szCs w:val="20"/>
          <w:lang w:val="sl-SI" w:eastAsia="sl-SI"/>
        </w:rPr>
        <w:t>Urška Draksler, svetovalka na Ministrstvu za delo, družino, socialne zadeve in enake možnosti, kot vladna delegatka (med 1. 10. 2017 in 5. 10. 2017),</w:t>
      </w:r>
    </w:p>
    <w:p w:rsidR="00CE1F4C" w:rsidRDefault="000E5098" w:rsidP="006B2DC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iCs/>
          <w:szCs w:val="20"/>
          <w:lang w:val="sl-SI" w:eastAsia="sl-SI"/>
        </w:rPr>
      </w:pPr>
      <w:r w:rsidRPr="000E5098">
        <w:rPr>
          <w:rFonts w:cs="Arial"/>
          <w:iCs/>
          <w:szCs w:val="20"/>
          <w:lang w:val="sl-SI" w:eastAsia="sl-SI"/>
        </w:rPr>
        <w:t>Danijel Lamperger, direktor Obrtno-podjetniške zbornice Slovenije</w:t>
      </w:r>
      <w:r w:rsidR="0043598F" w:rsidRPr="003A01AD">
        <w:rPr>
          <w:rFonts w:cs="Arial"/>
          <w:iCs/>
          <w:szCs w:val="20"/>
          <w:lang w:val="sl-SI" w:eastAsia="sl-SI"/>
        </w:rPr>
        <w:t xml:space="preserve">, kot predstavnik delodajalskih organizacij (med 1. </w:t>
      </w:r>
      <w:r w:rsidR="00F47DAF">
        <w:rPr>
          <w:rFonts w:cs="Arial"/>
          <w:iCs/>
          <w:szCs w:val="20"/>
          <w:lang w:val="sl-SI" w:eastAsia="sl-SI"/>
        </w:rPr>
        <w:t>10. 2017 in 5. 10. 2017).</w:t>
      </w:r>
    </w:p>
    <w:p w:rsidR="00F47DAF" w:rsidRPr="00F47DAF" w:rsidRDefault="00F47DAF" w:rsidP="00F47DAF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iCs/>
          <w:szCs w:val="20"/>
          <w:lang w:val="sl-SI" w:eastAsia="sl-SI"/>
        </w:rPr>
      </w:pPr>
    </w:p>
    <w:p w:rsidR="00CE1F4C" w:rsidRPr="003A01AD" w:rsidRDefault="00D16FE4" w:rsidP="00AB7E0B">
      <w:pPr>
        <w:pStyle w:val="Odstavekseznama"/>
        <w:numPr>
          <w:ilvl w:val="0"/>
          <w:numId w:val="43"/>
        </w:numPr>
        <w:spacing w:line="260" w:lineRule="atLeast"/>
        <w:rPr>
          <w:rFonts w:ascii="Arial" w:hAnsi="Arial" w:cs="Arial"/>
          <w:sz w:val="20"/>
          <w:lang w:eastAsia="sl-SI"/>
        </w:rPr>
      </w:pPr>
      <w:r w:rsidRPr="003A01AD">
        <w:rPr>
          <w:rFonts w:ascii="Arial" w:hAnsi="Arial" w:cs="Arial"/>
          <w:sz w:val="20"/>
          <w:lang w:eastAsia="sl-SI"/>
        </w:rPr>
        <w:t xml:space="preserve">Stroške udeležbe članov delegacije na evropskem regionalnem srečanju krije Ministrstvo za delo, družino, socialne zadeve in enake možnosti, razen stroškov udeležbe </w:t>
      </w:r>
      <w:r w:rsidR="00C33716">
        <w:rPr>
          <w:rFonts w:ascii="Arial" w:hAnsi="Arial" w:cs="Arial"/>
          <w:sz w:val="20"/>
          <w:lang w:eastAsia="sl-SI"/>
        </w:rPr>
        <w:t xml:space="preserve">državne sekretarke, </w:t>
      </w:r>
      <w:r w:rsidR="00D2772A">
        <w:rPr>
          <w:rFonts w:ascii="Arial" w:hAnsi="Arial" w:cs="Arial"/>
          <w:sz w:val="20"/>
          <w:lang w:eastAsia="sl-SI"/>
        </w:rPr>
        <w:t xml:space="preserve">vodje </w:t>
      </w:r>
      <w:r w:rsidR="00D2772A" w:rsidRPr="00D2772A">
        <w:rPr>
          <w:rFonts w:ascii="Arial" w:hAnsi="Arial" w:cs="Arial"/>
          <w:sz w:val="20"/>
          <w:lang w:eastAsia="sl-SI"/>
        </w:rPr>
        <w:t>Sektor</w:t>
      </w:r>
      <w:r w:rsidR="00D2772A">
        <w:rPr>
          <w:rFonts w:ascii="Arial" w:hAnsi="Arial" w:cs="Arial"/>
          <w:sz w:val="20"/>
          <w:lang w:eastAsia="sl-SI"/>
        </w:rPr>
        <w:t>ja</w:t>
      </w:r>
      <w:r w:rsidR="00D2772A" w:rsidRPr="00D2772A">
        <w:rPr>
          <w:rFonts w:ascii="Arial" w:hAnsi="Arial" w:cs="Arial"/>
          <w:sz w:val="20"/>
          <w:lang w:eastAsia="sl-SI"/>
        </w:rPr>
        <w:t xml:space="preserve"> za socialno podjetništvo</w:t>
      </w:r>
      <w:r w:rsidRPr="003A01AD">
        <w:rPr>
          <w:rFonts w:ascii="Arial" w:hAnsi="Arial" w:cs="Arial"/>
          <w:sz w:val="20"/>
          <w:lang w:eastAsia="sl-SI"/>
        </w:rPr>
        <w:t xml:space="preserve"> na Ministrstvu za gospodarski razvoj in tehnologijo</w:t>
      </w:r>
      <w:r w:rsidR="00A74333">
        <w:rPr>
          <w:rFonts w:ascii="Arial" w:hAnsi="Arial" w:cs="Arial"/>
          <w:sz w:val="20"/>
          <w:lang w:eastAsia="sl-SI"/>
        </w:rPr>
        <w:t>,</w:t>
      </w:r>
      <w:r w:rsidRPr="003A01AD">
        <w:rPr>
          <w:rFonts w:ascii="Arial" w:hAnsi="Arial" w:cs="Arial"/>
          <w:sz w:val="20"/>
          <w:lang w:eastAsia="sl-SI"/>
        </w:rPr>
        <w:t xml:space="preserve"> ge. Mojce Štepic, ki jih krije Ministrstvo za gospodarski razvoj in tehnologijo</w:t>
      </w:r>
      <w:r w:rsidR="001E4FFF">
        <w:rPr>
          <w:rFonts w:ascii="Arial" w:hAnsi="Arial" w:cs="Arial"/>
          <w:sz w:val="20"/>
          <w:lang w:eastAsia="sl-SI"/>
        </w:rPr>
        <w:t>,</w:t>
      </w:r>
      <w:r w:rsidR="00AB7E0B">
        <w:rPr>
          <w:rFonts w:ascii="Arial" w:hAnsi="Arial" w:cs="Arial"/>
          <w:sz w:val="20"/>
          <w:lang w:eastAsia="sl-SI"/>
        </w:rPr>
        <w:t xml:space="preserve"> </w:t>
      </w:r>
      <w:r w:rsidR="00AB7E0B" w:rsidRPr="00AB7E0B">
        <w:rPr>
          <w:rFonts w:ascii="Arial" w:hAnsi="Arial" w:cs="Arial"/>
          <w:sz w:val="20"/>
          <w:lang w:eastAsia="sl-SI"/>
        </w:rPr>
        <w:t>ter ge. Tatjane Kovačič,</w:t>
      </w:r>
      <w:r w:rsidR="001E4FFF">
        <w:rPr>
          <w:rFonts w:ascii="Arial" w:hAnsi="Arial" w:cs="Arial"/>
          <w:sz w:val="20"/>
          <w:lang w:eastAsia="sl-SI"/>
        </w:rPr>
        <w:t xml:space="preserve"> namestnice veleposlanika,</w:t>
      </w:r>
      <w:r w:rsidR="00AB7E0B" w:rsidRPr="00AB7E0B">
        <w:rPr>
          <w:rFonts w:ascii="Arial" w:hAnsi="Arial" w:cs="Arial"/>
          <w:sz w:val="20"/>
          <w:lang w:eastAsia="sl-SI"/>
        </w:rPr>
        <w:t xml:space="preserve"> ki jih krije Veleposlaništvo Republike Slovenije v Ankari.</w:t>
      </w:r>
    </w:p>
    <w:p w:rsidR="00CE1F4C" w:rsidRPr="003A01AD" w:rsidRDefault="00CE1F4C" w:rsidP="00CE1F4C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 w:eastAsia="sl-SI"/>
        </w:rPr>
      </w:pPr>
    </w:p>
    <w:p w:rsidR="00CE1F4C" w:rsidRPr="003A01AD" w:rsidRDefault="00CE1F4C" w:rsidP="00CE1F4C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 w:eastAsia="sl-SI"/>
        </w:rPr>
      </w:pPr>
    </w:p>
    <w:p w:rsidR="00CE1F4C" w:rsidRPr="003A01AD" w:rsidRDefault="00CE1F4C" w:rsidP="00CE1F4C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 w:eastAsia="sl-SI"/>
        </w:rPr>
      </w:pPr>
      <w:r w:rsidRPr="003A01AD">
        <w:rPr>
          <w:rFonts w:cs="Arial"/>
          <w:szCs w:val="20"/>
          <w:lang w:val="sl-SI" w:eastAsia="sl-SI"/>
        </w:rPr>
        <w:t xml:space="preserve">                                                                                        Mag. Lilijana Kozlovič</w:t>
      </w:r>
    </w:p>
    <w:p w:rsidR="00CE1F4C" w:rsidRPr="003A01AD" w:rsidRDefault="00CE1F4C" w:rsidP="00CE1F4C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 w:eastAsia="sl-SI"/>
        </w:rPr>
      </w:pPr>
      <w:r w:rsidRPr="003A01AD">
        <w:rPr>
          <w:rFonts w:cs="Arial"/>
          <w:szCs w:val="20"/>
          <w:lang w:val="sl-SI" w:eastAsia="sl-SI"/>
        </w:rPr>
        <w:t xml:space="preserve">                                                                                        generalna sekretarka</w:t>
      </w:r>
    </w:p>
    <w:p w:rsidR="00D508E9" w:rsidRPr="003A01AD" w:rsidRDefault="00D508E9" w:rsidP="00CE1F4C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 w:eastAsia="sl-SI"/>
        </w:rPr>
      </w:pPr>
    </w:p>
    <w:p w:rsidR="004D3D71" w:rsidRPr="003A01AD" w:rsidRDefault="004D3D71" w:rsidP="00CE1F4C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 w:eastAsia="sl-SI"/>
        </w:rPr>
      </w:pPr>
    </w:p>
    <w:p w:rsidR="00D2772A" w:rsidRPr="003A01AD" w:rsidRDefault="00D2772A" w:rsidP="00CE1F4C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 w:eastAsia="sl-SI"/>
        </w:rPr>
      </w:pPr>
    </w:p>
    <w:p w:rsidR="00CE1F4C" w:rsidRPr="003A01AD" w:rsidRDefault="00CE1F4C" w:rsidP="00CE1F4C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 w:eastAsia="sl-SI"/>
        </w:rPr>
      </w:pPr>
      <w:r w:rsidRPr="003A01AD">
        <w:rPr>
          <w:rFonts w:cs="Arial"/>
          <w:szCs w:val="20"/>
          <w:lang w:val="sl-SI" w:eastAsia="sl-SI"/>
        </w:rPr>
        <w:t>Priloge:</w:t>
      </w:r>
    </w:p>
    <w:p w:rsidR="00D16FE4" w:rsidRPr="003A01AD" w:rsidRDefault="00D16FE4" w:rsidP="00D16FE4">
      <w:pPr>
        <w:pStyle w:val="Odstavekseznama"/>
        <w:numPr>
          <w:ilvl w:val="0"/>
          <w:numId w:val="36"/>
        </w:numPr>
        <w:spacing w:line="260" w:lineRule="atLeast"/>
        <w:rPr>
          <w:rFonts w:ascii="Arial" w:hAnsi="Arial" w:cs="Arial"/>
          <w:sz w:val="20"/>
          <w:lang w:eastAsia="sl-SI"/>
        </w:rPr>
      </w:pPr>
      <w:r w:rsidRPr="003A01AD">
        <w:rPr>
          <w:rFonts w:ascii="Arial" w:hAnsi="Arial" w:cs="Arial"/>
          <w:sz w:val="20"/>
          <w:lang w:eastAsia="sl-SI"/>
        </w:rPr>
        <w:t>Izhodišča za udeležbo delegacije Republike Slovenije na desetem evropskem regionalnem srečanju Mednarodne organizacije dela</w:t>
      </w:r>
      <w:r w:rsidR="000D4D98" w:rsidRPr="003A01AD">
        <w:rPr>
          <w:rFonts w:ascii="Arial" w:hAnsi="Arial" w:cs="Arial"/>
          <w:sz w:val="20"/>
          <w:lang w:eastAsia="sl-SI"/>
        </w:rPr>
        <w:t xml:space="preserve"> </w:t>
      </w:r>
      <w:r w:rsidRPr="003A01AD">
        <w:rPr>
          <w:rFonts w:ascii="Arial" w:hAnsi="Arial" w:cs="Arial"/>
          <w:sz w:val="20"/>
          <w:lang w:eastAsia="sl-SI"/>
        </w:rPr>
        <w:t>med 2. in 5. oktobrom 2017 v Istanbulu;</w:t>
      </w:r>
    </w:p>
    <w:p w:rsidR="00D16FE4" w:rsidRPr="003A01AD" w:rsidRDefault="00D16FE4" w:rsidP="00D16FE4">
      <w:pPr>
        <w:pStyle w:val="Odstavekseznama"/>
        <w:numPr>
          <w:ilvl w:val="0"/>
          <w:numId w:val="36"/>
        </w:numPr>
        <w:spacing w:line="260" w:lineRule="atLeast"/>
        <w:rPr>
          <w:rFonts w:ascii="Arial" w:hAnsi="Arial" w:cs="Arial"/>
          <w:sz w:val="20"/>
          <w:lang w:eastAsia="sl-SI"/>
        </w:rPr>
      </w:pPr>
      <w:r w:rsidRPr="003A01AD">
        <w:rPr>
          <w:rFonts w:ascii="Arial" w:hAnsi="Arial" w:cs="Arial"/>
          <w:sz w:val="20"/>
          <w:lang w:eastAsia="sl-SI"/>
        </w:rPr>
        <w:t>Tabela ocene stroškov udeležbe delegacije Republike Slovenije na desetem evropskem regionalnem srečanju Mednarodne organizacije dela.</w:t>
      </w:r>
    </w:p>
    <w:p w:rsidR="00CE1F4C" w:rsidRDefault="00CE1F4C" w:rsidP="00CE1F4C">
      <w:pPr>
        <w:spacing w:line="260" w:lineRule="atLeast"/>
        <w:rPr>
          <w:rFonts w:cs="Arial"/>
          <w:lang w:val="sl-SI" w:eastAsia="sl-SI"/>
        </w:rPr>
      </w:pPr>
    </w:p>
    <w:p w:rsidR="00F47DAF" w:rsidRPr="003A01AD" w:rsidRDefault="00F47DAF" w:rsidP="00CE1F4C">
      <w:pPr>
        <w:spacing w:line="260" w:lineRule="atLeast"/>
        <w:rPr>
          <w:rFonts w:cs="Arial"/>
          <w:lang w:val="sl-SI" w:eastAsia="sl-SI"/>
        </w:rPr>
      </w:pPr>
    </w:p>
    <w:p w:rsidR="00E358D0" w:rsidRPr="003A01AD" w:rsidRDefault="00E358D0" w:rsidP="00CE1F4C">
      <w:pPr>
        <w:spacing w:line="260" w:lineRule="atLeast"/>
        <w:rPr>
          <w:rFonts w:cs="Arial"/>
          <w:lang w:val="sl-SI" w:eastAsia="sl-SI"/>
        </w:rPr>
      </w:pPr>
    </w:p>
    <w:p w:rsidR="00CE1F4C" w:rsidRPr="003A01AD" w:rsidRDefault="00CE1F4C" w:rsidP="00CE1F4C">
      <w:pPr>
        <w:spacing w:line="260" w:lineRule="atLeast"/>
        <w:rPr>
          <w:rFonts w:cs="Arial"/>
          <w:szCs w:val="20"/>
          <w:lang w:val="sl-SI" w:eastAsia="sl-SI"/>
        </w:rPr>
      </w:pPr>
      <w:r w:rsidRPr="003A01AD">
        <w:rPr>
          <w:rFonts w:cs="Arial"/>
          <w:szCs w:val="20"/>
          <w:lang w:val="sl-SI" w:eastAsia="sl-SI"/>
        </w:rPr>
        <w:t>Prejmejo:</w:t>
      </w:r>
    </w:p>
    <w:p w:rsidR="00D16FE4" w:rsidRPr="003A01AD" w:rsidRDefault="00D16FE4" w:rsidP="00D16FE4">
      <w:pPr>
        <w:pStyle w:val="Odstavekseznama"/>
        <w:numPr>
          <w:ilvl w:val="0"/>
          <w:numId w:val="37"/>
        </w:numPr>
        <w:spacing w:line="260" w:lineRule="atLeast"/>
        <w:rPr>
          <w:rFonts w:ascii="Arial" w:hAnsi="Arial" w:cs="Arial"/>
          <w:sz w:val="20"/>
          <w:lang w:eastAsia="sl-SI"/>
        </w:rPr>
      </w:pPr>
      <w:r w:rsidRPr="003A01AD">
        <w:rPr>
          <w:rFonts w:ascii="Arial" w:hAnsi="Arial" w:cs="Arial"/>
          <w:sz w:val="20"/>
          <w:lang w:eastAsia="sl-SI"/>
        </w:rPr>
        <w:t>Ministrstvo za delo, družino, socialne zadeve in enake možnosti</w:t>
      </w:r>
    </w:p>
    <w:p w:rsidR="00D16FE4" w:rsidRPr="003A01AD" w:rsidRDefault="00D16FE4" w:rsidP="00D16FE4">
      <w:pPr>
        <w:pStyle w:val="Odstavekseznama"/>
        <w:numPr>
          <w:ilvl w:val="0"/>
          <w:numId w:val="37"/>
        </w:numPr>
        <w:spacing w:line="260" w:lineRule="atLeast"/>
        <w:rPr>
          <w:rFonts w:ascii="Arial" w:hAnsi="Arial" w:cs="Arial"/>
          <w:sz w:val="20"/>
          <w:lang w:eastAsia="sl-SI"/>
        </w:rPr>
      </w:pPr>
      <w:r w:rsidRPr="003A01AD">
        <w:rPr>
          <w:rFonts w:ascii="Arial" w:hAnsi="Arial" w:cs="Arial"/>
          <w:sz w:val="20"/>
          <w:lang w:eastAsia="sl-SI"/>
        </w:rPr>
        <w:t>Ministrstvo za zunanje zadeve</w:t>
      </w:r>
    </w:p>
    <w:p w:rsidR="00D16FE4" w:rsidRPr="003A01AD" w:rsidRDefault="00D16FE4" w:rsidP="00D16FE4">
      <w:pPr>
        <w:pStyle w:val="Odstavekseznama"/>
        <w:numPr>
          <w:ilvl w:val="0"/>
          <w:numId w:val="37"/>
        </w:numPr>
        <w:spacing w:line="260" w:lineRule="atLeast"/>
        <w:rPr>
          <w:rFonts w:ascii="Arial" w:hAnsi="Arial" w:cs="Arial"/>
          <w:sz w:val="20"/>
          <w:lang w:eastAsia="sl-SI"/>
        </w:rPr>
      </w:pPr>
      <w:r w:rsidRPr="003A01AD">
        <w:rPr>
          <w:rFonts w:ascii="Arial" w:hAnsi="Arial" w:cs="Arial"/>
          <w:sz w:val="20"/>
          <w:lang w:eastAsia="sl-SI"/>
        </w:rPr>
        <w:t>Ministrstvo za gospodarski razvoj in tehnologijo</w:t>
      </w:r>
    </w:p>
    <w:p w:rsidR="00D16FE4" w:rsidRPr="003A01AD" w:rsidRDefault="00D16FE4" w:rsidP="00D16FE4">
      <w:pPr>
        <w:pStyle w:val="Odstavekseznama"/>
        <w:numPr>
          <w:ilvl w:val="0"/>
          <w:numId w:val="37"/>
        </w:numPr>
        <w:spacing w:line="260" w:lineRule="atLeast"/>
        <w:rPr>
          <w:rFonts w:ascii="Arial" w:hAnsi="Arial" w:cs="Arial"/>
          <w:sz w:val="20"/>
          <w:lang w:eastAsia="sl-SI"/>
        </w:rPr>
      </w:pPr>
      <w:r w:rsidRPr="003A01AD">
        <w:rPr>
          <w:rFonts w:ascii="Arial" w:hAnsi="Arial" w:cs="Arial"/>
          <w:sz w:val="20"/>
          <w:lang w:eastAsia="sl-SI"/>
        </w:rPr>
        <w:t>Ministrstvo za finance</w:t>
      </w:r>
    </w:p>
    <w:p w:rsidR="00D16FE4" w:rsidRPr="003A01AD" w:rsidRDefault="00D16FE4" w:rsidP="00D16FE4">
      <w:pPr>
        <w:pStyle w:val="Odstavekseznama"/>
        <w:numPr>
          <w:ilvl w:val="0"/>
          <w:numId w:val="37"/>
        </w:numPr>
        <w:spacing w:line="260" w:lineRule="atLeast"/>
        <w:rPr>
          <w:rFonts w:ascii="Arial" w:hAnsi="Arial" w:cs="Arial"/>
          <w:sz w:val="20"/>
          <w:lang w:eastAsia="sl-SI"/>
        </w:rPr>
      </w:pPr>
      <w:r w:rsidRPr="003A01AD">
        <w:rPr>
          <w:rFonts w:ascii="Arial" w:hAnsi="Arial" w:cs="Arial"/>
          <w:sz w:val="20"/>
          <w:lang w:eastAsia="sl-SI"/>
        </w:rPr>
        <w:t>Služba Vlade Republike Slovenije za zakonodajo</w:t>
      </w:r>
    </w:p>
    <w:p w:rsidR="00D16FE4" w:rsidRPr="003A01AD" w:rsidRDefault="00D16FE4" w:rsidP="00D16FE4">
      <w:pPr>
        <w:pStyle w:val="Odstavekseznama"/>
        <w:numPr>
          <w:ilvl w:val="0"/>
          <w:numId w:val="37"/>
        </w:numPr>
        <w:spacing w:line="260" w:lineRule="atLeast"/>
        <w:rPr>
          <w:rFonts w:ascii="Arial" w:hAnsi="Arial" w:cs="Arial"/>
          <w:sz w:val="20"/>
          <w:lang w:eastAsia="sl-SI"/>
        </w:rPr>
      </w:pPr>
      <w:r w:rsidRPr="003A01AD">
        <w:rPr>
          <w:rFonts w:ascii="Arial" w:hAnsi="Arial" w:cs="Arial"/>
          <w:sz w:val="20"/>
          <w:lang w:eastAsia="sl-SI"/>
        </w:rPr>
        <w:t>Urad Vlade Republike Slovenije za komuniciranje</w:t>
      </w:r>
    </w:p>
    <w:p w:rsidR="009B4421" w:rsidRPr="003A01AD" w:rsidRDefault="009B4421" w:rsidP="009B4421">
      <w:pPr>
        <w:pStyle w:val="Odstavekseznama"/>
        <w:numPr>
          <w:ilvl w:val="0"/>
          <w:numId w:val="37"/>
        </w:numPr>
        <w:spacing w:line="260" w:lineRule="atLeast"/>
        <w:rPr>
          <w:rFonts w:ascii="Arial" w:hAnsi="Arial" w:cs="Arial"/>
          <w:sz w:val="20"/>
          <w:lang w:eastAsia="sl-SI"/>
        </w:rPr>
      </w:pPr>
      <w:r w:rsidRPr="009B4421">
        <w:rPr>
          <w:rFonts w:ascii="Arial" w:hAnsi="Arial" w:cs="Arial"/>
          <w:sz w:val="20"/>
          <w:lang w:eastAsia="sl-SI"/>
        </w:rPr>
        <w:t>Obrtno-podjetniška zbornica Slovenije</w:t>
      </w:r>
    </w:p>
    <w:p w:rsidR="00D16FE4" w:rsidRPr="003A01AD" w:rsidRDefault="00D16FE4" w:rsidP="000D4D98">
      <w:pPr>
        <w:spacing w:line="260" w:lineRule="atLeast"/>
        <w:rPr>
          <w:rFonts w:cs="Arial"/>
          <w:lang w:val="sl-SI" w:eastAsia="sl-SI"/>
        </w:rPr>
      </w:pPr>
    </w:p>
    <w:p w:rsidR="008567DC" w:rsidRPr="003A01AD" w:rsidRDefault="008567DC" w:rsidP="00985EE5">
      <w:pPr>
        <w:pStyle w:val="pravnapodlaga1"/>
        <w:spacing w:before="0" w:line="260" w:lineRule="atLeast"/>
        <w:ind w:firstLine="0"/>
        <w:rPr>
          <w:sz w:val="20"/>
          <w:szCs w:val="20"/>
        </w:rPr>
      </w:pPr>
    </w:p>
    <w:p w:rsidR="008567DC" w:rsidRPr="003A01AD" w:rsidRDefault="008567DC" w:rsidP="00985EE5">
      <w:pPr>
        <w:pStyle w:val="pravnapodlaga1"/>
        <w:spacing w:before="0" w:line="260" w:lineRule="atLeast"/>
        <w:ind w:firstLine="0"/>
        <w:rPr>
          <w:sz w:val="20"/>
          <w:szCs w:val="20"/>
        </w:rPr>
      </w:pPr>
    </w:p>
    <w:p w:rsidR="008567DC" w:rsidRPr="003A01AD" w:rsidRDefault="008567DC" w:rsidP="00985EE5">
      <w:pPr>
        <w:pStyle w:val="pravnapodlaga1"/>
        <w:spacing w:before="0" w:line="260" w:lineRule="atLeast"/>
        <w:ind w:firstLine="0"/>
        <w:rPr>
          <w:sz w:val="20"/>
          <w:szCs w:val="20"/>
        </w:rPr>
      </w:pPr>
    </w:p>
    <w:p w:rsidR="008567DC" w:rsidRPr="003A01AD" w:rsidRDefault="008567DC" w:rsidP="00985EE5">
      <w:pPr>
        <w:pStyle w:val="pravnapodlaga1"/>
        <w:spacing w:before="0" w:line="260" w:lineRule="atLeast"/>
        <w:ind w:firstLine="0"/>
        <w:rPr>
          <w:sz w:val="20"/>
          <w:szCs w:val="20"/>
        </w:rPr>
      </w:pPr>
    </w:p>
    <w:p w:rsidR="008567DC" w:rsidRPr="003A01AD" w:rsidRDefault="008567DC" w:rsidP="00985EE5">
      <w:pPr>
        <w:pStyle w:val="pravnapodlaga1"/>
        <w:spacing w:before="0" w:line="260" w:lineRule="atLeast"/>
        <w:jc w:val="center"/>
        <w:rPr>
          <w:sz w:val="20"/>
          <w:szCs w:val="20"/>
        </w:rPr>
      </w:pPr>
    </w:p>
    <w:p w:rsidR="008567DC" w:rsidRPr="003A01AD" w:rsidRDefault="008567DC" w:rsidP="00985EE5">
      <w:pPr>
        <w:pStyle w:val="pravnapodlaga1"/>
        <w:spacing w:before="0" w:line="260" w:lineRule="atLeast"/>
        <w:jc w:val="center"/>
        <w:rPr>
          <w:sz w:val="20"/>
          <w:szCs w:val="20"/>
        </w:rPr>
      </w:pPr>
    </w:p>
    <w:p w:rsidR="008567DC" w:rsidRPr="003A01AD" w:rsidRDefault="008567DC" w:rsidP="00985EE5">
      <w:pPr>
        <w:pStyle w:val="pravnapodlaga1"/>
        <w:spacing w:before="0" w:line="260" w:lineRule="atLeast"/>
        <w:jc w:val="center"/>
        <w:rPr>
          <w:sz w:val="20"/>
          <w:szCs w:val="20"/>
        </w:rPr>
      </w:pPr>
    </w:p>
    <w:p w:rsidR="00EC71F2" w:rsidRPr="003A01AD" w:rsidRDefault="00EC71F2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D4D98" w:rsidRPr="003A01AD" w:rsidRDefault="000D4D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D4D98" w:rsidRPr="003A01AD" w:rsidRDefault="000D4D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D4D98" w:rsidRPr="003A01AD" w:rsidRDefault="000D4D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D4D98" w:rsidRPr="003A01AD" w:rsidRDefault="000D4D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D4D98" w:rsidRPr="003A01AD" w:rsidRDefault="000D4D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D4D98" w:rsidRPr="003A01AD" w:rsidRDefault="000D4D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D4D98" w:rsidRPr="003A01AD" w:rsidRDefault="000D4D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D4D98" w:rsidRPr="003A01AD" w:rsidRDefault="000D4D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D4D98" w:rsidRPr="003A01AD" w:rsidRDefault="000D4D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D4D98" w:rsidRPr="003A01AD" w:rsidRDefault="000D4D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D4D98" w:rsidRPr="003A01AD" w:rsidRDefault="000D4D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D4D98" w:rsidRPr="003A01AD" w:rsidRDefault="000D4D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D4D98" w:rsidRPr="003A01AD" w:rsidRDefault="000D4D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D4D98" w:rsidRPr="003A01AD" w:rsidRDefault="000D4D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D4D98" w:rsidRPr="003A01AD" w:rsidRDefault="000D4D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D4D98" w:rsidRPr="003A01AD" w:rsidRDefault="000D4D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D4D98" w:rsidRPr="003A01AD" w:rsidRDefault="000D4D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EC71F2" w:rsidRPr="003A01AD" w:rsidRDefault="00EC71F2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EC71F2" w:rsidRPr="003A01AD" w:rsidRDefault="00EC71F2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EC71F2" w:rsidRPr="003A01AD" w:rsidRDefault="00EC71F2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EC71F2" w:rsidRPr="003A01AD" w:rsidRDefault="00EC71F2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EC71F2" w:rsidRPr="003A01AD" w:rsidRDefault="00EC71F2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EC71F2" w:rsidRPr="003A01AD" w:rsidRDefault="00EC71F2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EC71F2" w:rsidRDefault="00EC71F2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E5098" w:rsidRDefault="000E50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E5098" w:rsidRDefault="000E50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0E5098" w:rsidRDefault="000E5098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DE57D4" w:rsidRDefault="00DE57D4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DE57D4" w:rsidRDefault="00DE57D4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932C34" w:rsidRPr="003A01AD" w:rsidRDefault="00932C34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EC71F2" w:rsidRDefault="00EC71F2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B83B35" w:rsidRDefault="00B83B35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B83B35" w:rsidRPr="003A01AD" w:rsidRDefault="00B83B35" w:rsidP="00C57E96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p w:rsidR="00EC71F2" w:rsidRPr="003A01AD" w:rsidRDefault="00EC71F2" w:rsidP="00C0152F">
      <w:pPr>
        <w:tabs>
          <w:tab w:val="left" w:pos="1701"/>
        </w:tabs>
        <w:spacing w:line="260" w:lineRule="atLeast"/>
        <w:jc w:val="both"/>
        <w:rPr>
          <w:rFonts w:cs="Arial"/>
          <w:b/>
          <w:bCs/>
          <w:szCs w:val="20"/>
          <w:lang w:val="sl-SI"/>
        </w:rPr>
      </w:pPr>
      <w:r w:rsidRPr="003A01AD">
        <w:rPr>
          <w:rFonts w:cs="Arial"/>
          <w:b/>
          <w:bCs/>
          <w:szCs w:val="20"/>
          <w:lang w:val="sl-SI"/>
        </w:rPr>
        <w:lastRenderedPageBreak/>
        <w:t xml:space="preserve">Priloga I: Izhodišča za udeležbo delegacije Republike Slovenije na </w:t>
      </w:r>
      <w:r w:rsidR="00EE1598" w:rsidRPr="003A01AD">
        <w:rPr>
          <w:rFonts w:cs="Arial"/>
          <w:b/>
          <w:bCs/>
          <w:szCs w:val="20"/>
          <w:lang w:val="sl-SI"/>
        </w:rPr>
        <w:t xml:space="preserve">desetem evropskem </w:t>
      </w:r>
      <w:r w:rsidR="00ED520B" w:rsidRPr="003A01AD">
        <w:rPr>
          <w:rFonts w:cs="Arial"/>
          <w:b/>
          <w:bCs/>
          <w:szCs w:val="20"/>
          <w:lang w:val="sl-SI"/>
        </w:rPr>
        <w:t>regionalne</w:t>
      </w:r>
      <w:r w:rsidR="000D4D98" w:rsidRPr="003A01AD">
        <w:rPr>
          <w:rFonts w:cs="Arial"/>
          <w:b/>
          <w:bCs/>
          <w:szCs w:val="20"/>
          <w:lang w:val="sl-SI"/>
        </w:rPr>
        <w:t>m</w:t>
      </w:r>
      <w:r w:rsidR="00ED520B" w:rsidRPr="003A01AD">
        <w:rPr>
          <w:rFonts w:cs="Arial"/>
          <w:b/>
          <w:bCs/>
          <w:szCs w:val="20"/>
          <w:lang w:val="sl-SI"/>
        </w:rPr>
        <w:t xml:space="preserve"> </w:t>
      </w:r>
      <w:r w:rsidR="00EE1598" w:rsidRPr="003A01AD">
        <w:rPr>
          <w:rFonts w:cs="Arial"/>
          <w:b/>
          <w:bCs/>
          <w:szCs w:val="20"/>
          <w:lang w:val="sl-SI"/>
        </w:rPr>
        <w:t>srečanj</w:t>
      </w:r>
      <w:r w:rsidR="000D4D98" w:rsidRPr="003A01AD">
        <w:rPr>
          <w:rFonts w:cs="Arial"/>
          <w:b/>
          <w:bCs/>
          <w:szCs w:val="20"/>
          <w:lang w:val="sl-SI"/>
        </w:rPr>
        <w:t xml:space="preserve">u Mednarodne organizacije dela </w:t>
      </w:r>
      <w:r w:rsidR="00EE1598" w:rsidRPr="003A01AD">
        <w:rPr>
          <w:rFonts w:cs="Arial"/>
          <w:b/>
          <w:bCs/>
          <w:szCs w:val="20"/>
          <w:lang w:val="sl-SI"/>
        </w:rPr>
        <w:t>med 2. 10. 2017 in 5. 10</w:t>
      </w:r>
      <w:r w:rsidRPr="003A01AD">
        <w:rPr>
          <w:rFonts w:cs="Arial"/>
          <w:b/>
          <w:bCs/>
          <w:szCs w:val="20"/>
          <w:lang w:val="sl-SI"/>
        </w:rPr>
        <w:t>. 2017</w:t>
      </w:r>
      <w:r w:rsidR="000D4D98" w:rsidRPr="003A01AD">
        <w:rPr>
          <w:rFonts w:cs="Arial"/>
          <w:b/>
          <w:bCs/>
          <w:szCs w:val="20"/>
          <w:lang w:val="sl-SI"/>
        </w:rPr>
        <w:t xml:space="preserve"> v Istanbulu</w:t>
      </w:r>
    </w:p>
    <w:p w:rsidR="00EC71F2" w:rsidRPr="003A01AD" w:rsidRDefault="00EC71F2" w:rsidP="00C0152F">
      <w:pPr>
        <w:tabs>
          <w:tab w:val="left" w:pos="1701"/>
        </w:tabs>
        <w:spacing w:line="260" w:lineRule="atLeast"/>
        <w:ind w:left="1701" w:hanging="1701"/>
        <w:jc w:val="both"/>
        <w:rPr>
          <w:rFonts w:cs="Arial"/>
          <w:b/>
          <w:bCs/>
          <w:szCs w:val="20"/>
          <w:lang w:val="sl-SI"/>
        </w:rPr>
      </w:pPr>
    </w:p>
    <w:p w:rsidR="00EC71F2" w:rsidRPr="003A01AD" w:rsidRDefault="00EC71F2" w:rsidP="00C0152F">
      <w:pPr>
        <w:tabs>
          <w:tab w:val="left" w:pos="1701"/>
        </w:tabs>
        <w:spacing w:line="260" w:lineRule="atLeast"/>
        <w:ind w:left="1701" w:hanging="1701"/>
        <w:jc w:val="both"/>
        <w:rPr>
          <w:rFonts w:cs="Arial"/>
          <w:b/>
          <w:bCs/>
          <w:szCs w:val="20"/>
          <w:lang w:val="sl-SI"/>
        </w:rPr>
      </w:pPr>
    </w:p>
    <w:p w:rsidR="00EC71F2" w:rsidRPr="003A01AD" w:rsidRDefault="00EC71F2" w:rsidP="00C0152F">
      <w:pPr>
        <w:tabs>
          <w:tab w:val="left" w:pos="1701"/>
        </w:tabs>
        <w:spacing w:line="260" w:lineRule="atLeast"/>
        <w:ind w:left="1701" w:hanging="1701"/>
        <w:jc w:val="both"/>
        <w:rPr>
          <w:rFonts w:cs="Arial"/>
          <w:b/>
          <w:bCs/>
          <w:szCs w:val="20"/>
          <w:lang w:val="sl-SI"/>
        </w:rPr>
      </w:pPr>
      <w:r w:rsidRPr="003A01AD">
        <w:rPr>
          <w:rFonts w:cs="Arial"/>
          <w:b/>
          <w:bCs/>
          <w:szCs w:val="20"/>
          <w:lang w:val="sl-SI"/>
        </w:rPr>
        <w:t>I. UVOD</w:t>
      </w:r>
    </w:p>
    <w:p w:rsidR="00EC71F2" w:rsidRPr="003A01AD" w:rsidRDefault="00EC71F2" w:rsidP="00C0152F">
      <w:pPr>
        <w:tabs>
          <w:tab w:val="left" w:pos="1701"/>
        </w:tabs>
        <w:spacing w:line="260" w:lineRule="atLeast"/>
        <w:ind w:left="1701" w:hanging="1701"/>
        <w:jc w:val="both"/>
        <w:rPr>
          <w:rFonts w:cs="Arial"/>
          <w:b/>
          <w:bCs/>
          <w:szCs w:val="20"/>
          <w:lang w:val="sl-SI"/>
        </w:rPr>
      </w:pPr>
    </w:p>
    <w:p w:rsidR="009863E2" w:rsidRPr="003A01AD" w:rsidRDefault="009863E2" w:rsidP="00C0152F">
      <w:pPr>
        <w:tabs>
          <w:tab w:val="left" w:pos="1701"/>
        </w:tabs>
        <w:spacing w:line="260" w:lineRule="atLeast"/>
        <w:ind w:left="1701" w:hanging="1701"/>
        <w:jc w:val="both"/>
        <w:rPr>
          <w:rFonts w:cs="Arial"/>
          <w:b/>
          <w:bCs/>
          <w:szCs w:val="20"/>
          <w:lang w:val="sl-SI"/>
        </w:rPr>
      </w:pPr>
    </w:p>
    <w:p w:rsidR="00340F15" w:rsidRPr="003A01AD" w:rsidRDefault="00EC71F2" w:rsidP="00C0152F">
      <w:pPr>
        <w:spacing w:line="260" w:lineRule="atLeast"/>
        <w:contextualSpacing/>
        <w:jc w:val="both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lang w:val="sl-SI"/>
        </w:rPr>
        <w:t xml:space="preserve">V </w:t>
      </w:r>
      <w:r w:rsidR="00413378" w:rsidRPr="003A01AD">
        <w:rPr>
          <w:rFonts w:cs="Arial"/>
          <w:b/>
          <w:szCs w:val="20"/>
          <w:lang w:val="sl-SI"/>
        </w:rPr>
        <w:t>Istanbulu</w:t>
      </w:r>
      <w:r w:rsidRPr="003A01AD">
        <w:rPr>
          <w:rFonts w:cs="Arial"/>
          <w:szCs w:val="20"/>
          <w:lang w:val="sl-SI"/>
        </w:rPr>
        <w:t xml:space="preserve"> bo med </w:t>
      </w:r>
      <w:r w:rsidR="00413378" w:rsidRPr="003A01AD">
        <w:rPr>
          <w:rFonts w:cs="Arial"/>
          <w:b/>
          <w:szCs w:val="20"/>
          <w:lang w:val="sl-SI"/>
        </w:rPr>
        <w:t>2. in 5. oktobrom</w:t>
      </w:r>
      <w:r w:rsidRPr="003A01AD">
        <w:rPr>
          <w:rFonts w:cs="Arial"/>
          <w:b/>
          <w:szCs w:val="20"/>
          <w:lang w:val="sl-SI"/>
        </w:rPr>
        <w:t xml:space="preserve"> 2017</w:t>
      </w:r>
      <w:r w:rsidRPr="003A01AD">
        <w:rPr>
          <w:rFonts w:cs="Arial"/>
          <w:szCs w:val="20"/>
          <w:lang w:val="sl-SI"/>
        </w:rPr>
        <w:t xml:space="preserve"> potekalo </w:t>
      </w:r>
      <w:r w:rsidR="00495B26">
        <w:rPr>
          <w:rFonts w:cs="Arial"/>
          <w:szCs w:val="20"/>
          <w:lang w:val="sl-SI"/>
        </w:rPr>
        <w:t>deseto</w:t>
      </w:r>
      <w:r w:rsidR="00413378" w:rsidRPr="003A01AD">
        <w:rPr>
          <w:rFonts w:cs="Arial"/>
          <w:szCs w:val="20"/>
          <w:lang w:val="sl-SI"/>
        </w:rPr>
        <w:t xml:space="preserve"> evropsko regionalno srečanje Mednarodne organizacije dela (v nadaljevanju MOD)</w:t>
      </w:r>
      <w:r w:rsidRPr="003A01AD">
        <w:rPr>
          <w:rFonts w:cs="Arial"/>
          <w:szCs w:val="20"/>
          <w:lang w:val="sl-SI"/>
        </w:rPr>
        <w:t xml:space="preserve">, ki se </w:t>
      </w:r>
      <w:r w:rsidR="00413378" w:rsidRPr="003A01AD">
        <w:rPr>
          <w:rFonts w:cs="Arial"/>
          <w:szCs w:val="20"/>
          <w:lang w:val="sl-SI"/>
        </w:rPr>
        <w:t>ga vsaka štiri leta</w:t>
      </w:r>
      <w:r w:rsidRPr="003A01AD">
        <w:rPr>
          <w:rFonts w:cs="Arial"/>
          <w:szCs w:val="20"/>
          <w:lang w:val="sl-SI"/>
        </w:rPr>
        <w:t xml:space="preserve"> udeležujejo članice</w:t>
      </w:r>
      <w:r w:rsidR="00413378" w:rsidRPr="003A01AD">
        <w:rPr>
          <w:rFonts w:cs="Arial"/>
          <w:szCs w:val="20"/>
          <w:lang w:val="sl-SI"/>
        </w:rPr>
        <w:t xml:space="preserve"> MOD iz 51 držav v regiji v </w:t>
      </w:r>
      <w:r w:rsidRPr="003A01AD">
        <w:rPr>
          <w:rFonts w:cs="Arial"/>
          <w:szCs w:val="20"/>
          <w:lang w:val="sl-SI"/>
        </w:rPr>
        <w:t xml:space="preserve">tripartitni sestavi predstavnikov vlad, delavskih organizacij in delodajalskih organizacij. </w:t>
      </w:r>
      <w:r w:rsidR="00495B26">
        <w:rPr>
          <w:rFonts w:cs="Arial"/>
          <w:szCs w:val="20"/>
          <w:lang w:val="sl-SI"/>
        </w:rPr>
        <w:t>Letošnje evropsko regionalno s</w:t>
      </w:r>
      <w:r w:rsidR="00340F15" w:rsidRPr="003A01AD">
        <w:rPr>
          <w:rFonts w:cs="Arial"/>
          <w:szCs w:val="20"/>
          <w:lang w:val="sl-SI"/>
        </w:rPr>
        <w:t xml:space="preserve">rečanje je organizirano s strani MOD v sodelovanju s turško vlado. </w:t>
      </w:r>
    </w:p>
    <w:p w:rsidR="00340F15" w:rsidRPr="003A01AD" w:rsidRDefault="00340F15" w:rsidP="00C0152F">
      <w:pPr>
        <w:spacing w:line="260" w:lineRule="atLeast"/>
        <w:contextualSpacing/>
        <w:jc w:val="both"/>
        <w:rPr>
          <w:rFonts w:cs="Arial"/>
          <w:szCs w:val="20"/>
          <w:lang w:val="sl-SI"/>
        </w:rPr>
      </w:pPr>
    </w:p>
    <w:p w:rsidR="00EC71F2" w:rsidRPr="003A01AD" w:rsidRDefault="00340F15" w:rsidP="00C0152F">
      <w:pPr>
        <w:spacing w:line="260" w:lineRule="atLeast"/>
        <w:contextualSpacing/>
        <w:jc w:val="both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lang w:val="sl-SI"/>
        </w:rPr>
        <w:t>Namen regionalnih srečanj je izmenjava mnenj o gospodarskih in socialnih vprašanjih v regiji kakor tudi o regionalnih temah, ki jih MOD obravnava kot prioritetne za posamezna območja.</w:t>
      </w:r>
      <w:r w:rsidRPr="003A01AD">
        <w:rPr>
          <w:lang w:val="sl-SI"/>
        </w:rPr>
        <w:t xml:space="preserve"> </w:t>
      </w:r>
      <w:r w:rsidRPr="003A01AD">
        <w:rPr>
          <w:rFonts w:cs="Arial"/>
          <w:szCs w:val="20"/>
          <w:lang w:val="sl-SI"/>
        </w:rPr>
        <w:t>Regionalna srečanja ne morejo sprejemati obveznih konvencij in priporočil, lahko pa analizirajo ekonomske, zaposlitvene in socialne izzive svoje regije.</w:t>
      </w:r>
    </w:p>
    <w:p w:rsidR="00EC71F2" w:rsidRPr="003A01AD" w:rsidRDefault="00EC71F2" w:rsidP="00C0152F">
      <w:pPr>
        <w:spacing w:line="260" w:lineRule="atLeast"/>
        <w:contextualSpacing/>
        <w:jc w:val="both"/>
        <w:rPr>
          <w:rFonts w:cs="Arial"/>
          <w:szCs w:val="20"/>
          <w:lang w:val="sl-SI"/>
        </w:rPr>
      </w:pPr>
    </w:p>
    <w:p w:rsidR="00EC71F2" w:rsidRPr="003A01AD" w:rsidRDefault="00340F15" w:rsidP="00C0152F">
      <w:pPr>
        <w:spacing w:line="260" w:lineRule="atLeast"/>
        <w:contextualSpacing/>
        <w:jc w:val="both"/>
        <w:rPr>
          <w:rFonts w:cs="Arial"/>
          <w:bCs/>
          <w:szCs w:val="20"/>
          <w:lang w:val="sl-SI"/>
        </w:rPr>
      </w:pPr>
      <w:r w:rsidRPr="003A01AD">
        <w:rPr>
          <w:rFonts w:cs="Arial"/>
          <w:bCs/>
          <w:szCs w:val="20"/>
          <w:lang w:val="sl-SI"/>
        </w:rPr>
        <w:t>Tekom srečanja bodo potekala ple</w:t>
      </w:r>
      <w:r w:rsidR="00981905" w:rsidRPr="003A01AD">
        <w:rPr>
          <w:rFonts w:cs="Arial"/>
          <w:bCs/>
          <w:szCs w:val="20"/>
          <w:lang w:val="sl-SI"/>
        </w:rPr>
        <w:t>narna zasedanja ter delo</w:t>
      </w:r>
      <w:r w:rsidRPr="003A01AD">
        <w:rPr>
          <w:rFonts w:cs="Arial"/>
          <w:bCs/>
          <w:szCs w:val="20"/>
          <w:lang w:val="sl-SI"/>
        </w:rPr>
        <w:t xml:space="preserve"> pripravljalnih skupin predstavnikov vlad, delodajalcev in delavcev. Srečanje bo potekalo v konferenčnem centru Hotela Hilton Istanbul </w:t>
      </w:r>
      <w:proofErr w:type="spellStart"/>
      <w:r w:rsidRPr="003A01AD">
        <w:rPr>
          <w:rFonts w:cs="Arial"/>
          <w:bCs/>
          <w:szCs w:val="20"/>
          <w:lang w:val="sl-SI"/>
        </w:rPr>
        <w:t>Bomonti</w:t>
      </w:r>
      <w:proofErr w:type="spellEnd"/>
      <w:r w:rsidRPr="003A01AD">
        <w:rPr>
          <w:rFonts w:cs="Arial"/>
          <w:bCs/>
          <w:szCs w:val="20"/>
          <w:lang w:val="sl-SI"/>
        </w:rPr>
        <w:t>.</w:t>
      </w:r>
    </w:p>
    <w:p w:rsidR="00EC71F2" w:rsidRPr="003A01AD" w:rsidRDefault="00EC71F2" w:rsidP="00C0152F">
      <w:pPr>
        <w:spacing w:line="260" w:lineRule="atLeast"/>
        <w:contextualSpacing/>
        <w:jc w:val="both"/>
        <w:rPr>
          <w:rFonts w:cs="Arial"/>
          <w:bCs/>
          <w:szCs w:val="20"/>
          <w:lang w:val="sl-SI"/>
        </w:rPr>
      </w:pPr>
    </w:p>
    <w:p w:rsidR="00EC71F2" w:rsidRPr="003A01AD" w:rsidRDefault="00EC71F2" w:rsidP="00C0152F">
      <w:pPr>
        <w:tabs>
          <w:tab w:val="left" w:pos="1701"/>
        </w:tabs>
        <w:spacing w:line="260" w:lineRule="atLeast"/>
        <w:ind w:left="1701" w:hanging="1701"/>
        <w:jc w:val="both"/>
        <w:rPr>
          <w:rFonts w:cs="Arial"/>
          <w:b/>
          <w:bCs/>
          <w:szCs w:val="20"/>
          <w:lang w:val="sl-SI"/>
        </w:rPr>
      </w:pPr>
    </w:p>
    <w:p w:rsidR="00EC71F2" w:rsidRPr="003A01AD" w:rsidRDefault="00EC71F2" w:rsidP="00C0152F">
      <w:pPr>
        <w:tabs>
          <w:tab w:val="left" w:pos="8647"/>
          <w:tab w:val="left" w:pos="8789"/>
        </w:tabs>
        <w:spacing w:line="260" w:lineRule="atLeast"/>
        <w:ind w:right="633"/>
        <w:jc w:val="both"/>
        <w:rPr>
          <w:rFonts w:cs="Arial"/>
          <w:b/>
          <w:bCs/>
          <w:szCs w:val="20"/>
          <w:lang w:val="sl-SI"/>
        </w:rPr>
      </w:pPr>
      <w:r w:rsidRPr="003A01AD">
        <w:rPr>
          <w:rFonts w:cs="Arial"/>
          <w:b/>
          <w:bCs/>
          <w:szCs w:val="20"/>
          <w:lang w:val="sl-SI"/>
        </w:rPr>
        <w:t xml:space="preserve">II. VSEBINSKI OKVIR </w:t>
      </w:r>
    </w:p>
    <w:p w:rsidR="00EC71F2" w:rsidRPr="003A01AD" w:rsidRDefault="00EC71F2" w:rsidP="00C0152F">
      <w:pPr>
        <w:spacing w:line="260" w:lineRule="atLeast"/>
        <w:jc w:val="both"/>
        <w:rPr>
          <w:rFonts w:cs="Arial"/>
          <w:szCs w:val="20"/>
          <w:lang w:val="sl-SI"/>
        </w:rPr>
      </w:pPr>
    </w:p>
    <w:p w:rsidR="009863E2" w:rsidRPr="003A01AD" w:rsidRDefault="009863E2" w:rsidP="00C0152F">
      <w:pPr>
        <w:spacing w:line="260" w:lineRule="atLeast"/>
        <w:jc w:val="both"/>
        <w:rPr>
          <w:rFonts w:cs="Arial"/>
          <w:szCs w:val="20"/>
          <w:lang w:val="sl-SI"/>
        </w:rPr>
      </w:pPr>
    </w:p>
    <w:p w:rsidR="00981905" w:rsidRPr="003A01AD" w:rsidRDefault="00EC71F2" w:rsidP="00C0152F">
      <w:pPr>
        <w:spacing w:line="260" w:lineRule="atLeast"/>
        <w:jc w:val="both"/>
        <w:rPr>
          <w:rFonts w:cs="Arial"/>
          <w:szCs w:val="20"/>
          <w:highlight w:val="yellow"/>
          <w:lang w:val="sl-SI"/>
        </w:rPr>
      </w:pPr>
      <w:r w:rsidRPr="003A01AD">
        <w:rPr>
          <w:rFonts w:cs="Arial"/>
          <w:szCs w:val="20"/>
          <w:lang w:val="sl-SI"/>
        </w:rPr>
        <w:t>Dnevni red letošnje</w:t>
      </w:r>
      <w:r w:rsidR="004421E4" w:rsidRPr="003A01AD">
        <w:rPr>
          <w:rFonts w:cs="Arial"/>
          <w:szCs w:val="20"/>
          <w:lang w:val="sl-SI"/>
        </w:rPr>
        <w:t xml:space="preserve">ga evropskega regionalnega srečanja </w:t>
      </w:r>
      <w:r w:rsidRPr="003A01AD">
        <w:rPr>
          <w:rFonts w:cs="Arial"/>
          <w:szCs w:val="20"/>
          <w:lang w:val="sl-SI"/>
        </w:rPr>
        <w:t xml:space="preserve">zajema </w:t>
      </w:r>
      <w:r w:rsidR="004421E4" w:rsidRPr="003A01AD">
        <w:rPr>
          <w:rFonts w:cs="Arial"/>
          <w:szCs w:val="20"/>
          <w:lang w:val="sl-SI"/>
        </w:rPr>
        <w:t>tri točke. Poleg tega bo</w:t>
      </w:r>
      <w:r w:rsidRPr="003A01AD">
        <w:rPr>
          <w:rFonts w:cs="Arial"/>
          <w:szCs w:val="20"/>
          <w:lang w:val="sl-SI"/>
        </w:rPr>
        <w:t xml:space="preserve"> v okviru letošnjega </w:t>
      </w:r>
      <w:r w:rsidR="004421E4" w:rsidRPr="003A01AD">
        <w:rPr>
          <w:rFonts w:cs="Arial"/>
          <w:szCs w:val="20"/>
          <w:lang w:val="sl-SI"/>
        </w:rPr>
        <w:t xml:space="preserve">srečanja, in sicer </w:t>
      </w:r>
      <w:r w:rsidRPr="003A01AD">
        <w:rPr>
          <w:rFonts w:cs="Arial"/>
          <w:szCs w:val="20"/>
          <w:lang w:val="sl-SI"/>
        </w:rPr>
        <w:t xml:space="preserve">2. </w:t>
      </w:r>
      <w:r w:rsidR="004421E4" w:rsidRPr="003A01AD">
        <w:rPr>
          <w:rFonts w:cs="Arial"/>
          <w:szCs w:val="20"/>
          <w:lang w:val="sl-SI"/>
        </w:rPr>
        <w:t xml:space="preserve">oktobra, potekalo </w:t>
      </w:r>
      <w:r w:rsidR="004421E4" w:rsidRPr="003A01AD">
        <w:rPr>
          <w:rFonts w:cs="Arial"/>
          <w:b/>
          <w:szCs w:val="20"/>
          <w:lang w:val="sl-SI"/>
        </w:rPr>
        <w:t>neformalno ministrsko</w:t>
      </w:r>
      <w:r w:rsidRPr="003A01AD">
        <w:rPr>
          <w:rFonts w:cs="Arial"/>
          <w:b/>
          <w:szCs w:val="20"/>
          <w:lang w:val="sl-SI"/>
        </w:rPr>
        <w:t xml:space="preserve"> </w:t>
      </w:r>
      <w:r w:rsidR="004421E4" w:rsidRPr="003A01AD">
        <w:rPr>
          <w:rFonts w:cs="Arial"/>
          <w:b/>
          <w:szCs w:val="20"/>
          <w:lang w:val="sl-SI"/>
        </w:rPr>
        <w:t>srečanje</w:t>
      </w:r>
      <w:r w:rsidR="004421E4" w:rsidRPr="003A01AD">
        <w:rPr>
          <w:rFonts w:cs="Arial"/>
          <w:szCs w:val="20"/>
          <w:lang w:val="sl-SI"/>
        </w:rPr>
        <w:t>, na katerem bodo ministri, pristojni za delo, iz regije obravnavali temo poštenega in učinkovitega dostopa do trgov dela za migrante in begunce</w:t>
      </w:r>
      <w:r w:rsidRPr="003A01AD">
        <w:rPr>
          <w:rFonts w:cs="Arial"/>
          <w:szCs w:val="20"/>
          <w:lang w:val="sl-SI"/>
        </w:rPr>
        <w:t xml:space="preserve">. Pomembnejši vsebinski </w:t>
      </w:r>
      <w:r w:rsidR="00E94D78" w:rsidRPr="003A01AD">
        <w:rPr>
          <w:rFonts w:cs="Arial"/>
          <w:szCs w:val="20"/>
          <w:lang w:val="sl-SI"/>
        </w:rPr>
        <w:t>poudarek</w:t>
      </w:r>
      <w:r w:rsidR="00981905" w:rsidRPr="003A01AD">
        <w:rPr>
          <w:rFonts w:cs="Arial"/>
          <w:szCs w:val="20"/>
          <w:lang w:val="sl-SI"/>
        </w:rPr>
        <w:t xml:space="preserve"> so tudi </w:t>
      </w:r>
      <w:r w:rsidR="00981905" w:rsidRPr="003A01AD">
        <w:rPr>
          <w:rFonts w:cs="Arial"/>
          <w:b/>
          <w:szCs w:val="20"/>
          <w:lang w:val="sl-SI"/>
        </w:rPr>
        <w:t>tri posebne plenarne razprave</w:t>
      </w:r>
      <w:r w:rsidR="00981905" w:rsidRPr="003A01AD">
        <w:rPr>
          <w:rFonts w:cs="Arial"/>
          <w:szCs w:val="20"/>
          <w:lang w:val="sl-SI"/>
        </w:rPr>
        <w:t>, in sicer:</w:t>
      </w:r>
    </w:p>
    <w:p w:rsidR="00EC71F2" w:rsidRPr="003A01AD" w:rsidRDefault="00981905" w:rsidP="00C0152F">
      <w:pPr>
        <w:pStyle w:val="Odstavekseznama"/>
        <w:numPr>
          <w:ilvl w:val="0"/>
          <w:numId w:val="49"/>
        </w:numPr>
        <w:spacing w:line="260" w:lineRule="atLeast"/>
        <w:rPr>
          <w:rFonts w:ascii="Arial" w:hAnsi="Arial" w:cs="Arial"/>
          <w:sz w:val="20"/>
        </w:rPr>
      </w:pPr>
      <w:r w:rsidRPr="003A01AD">
        <w:rPr>
          <w:rFonts w:ascii="Arial" w:hAnsi="Arial" w:cs="Arial"/>
          <w:sz w:val="20"/>
        </w:rPr>
        <w:t>Razprava o dostojnem delu za vse</w:t>
      </w:r>
      <w:r w:rsidR="009863E2" w:rsidRPr="003A01AD">
        <w:rPr>
          <w:rFonts w:ascii="Arial" w:hAnsi="Arial" w:cs="Arial"/>
          <w:sz w:val="20"/>
        </w:rPr>
        <w:t>;</w:t>
      </w:r>
    </w:p>
    <w:p w:rsidR="00981905" w:rsidRPr="003A01AD" w:rsidRDefault="00981905" w:rsidP="00C0152F">
      <w:pPr>
        <w:pStyle w:val="Odstavekseznama"/>
        <w:numPr>
          <w:ilvl w:val="0"/>
          <w:numId w:val="49"/>
        </w:numPr>
        <w:spacing w:line="260" w:lineRule="atLeast"/>
        <w:rPr>
          <w:rFonts w:ascii="Arial" w:hAnsi="Arial" w:cs="Arial"/>
          <w:sz w:val="20"/>
        </w:rPr>
      </w:pPr>
      <w:r w:rsidRPr="003A01AD">
        <w:rPr>
          <w:rFonts w:ascii="Arial" w:hAnsi="Arial" w:cs="Arial"/>
          <w:sz w:val="20"/>
        </w:rPr>
        <w:t xml:space="preserve">Razprava o upravljanju dela in proizvodnje, vključno s spodbujanjem in uresničevanjem </w:t>
      </w:r>
      <w:r w:rsidR="009863E2" w:rsidRPr="003A01AD">
        <w:rPr>
          <w:rFonts w:ascii="Arial" w:hAnsi="Arial" w:cs="Arial"/>
          <w:sz w:val="20"/>
        </w:rPr>
        <w:t>Tripartitne deklaracijo MOD o multinacionalnih podjetjih in socialni politiki;</w:t>
      </w:r>
    </w:p>
    <w:p w:rsidR="00981905" w:rsidRPr="003A01AD" w:rsidRDefault="00981905" w:rsidP="00C0152F">
      <w:pPr>
        <w:pStyle w:val="Odstavekseznama"/>
        <w:numPr>
          <w:ilvl w:val="0"/>
          <w:numId w:val="49"/>
        </w:numPr>
        <w:spacing w:line="260" w:lineRule="atLeast"/>
        <w:rPr>
          <w:rFonts w:ascii="Arial" w:hAnsi="Arial" w:cs="Arial"/>
          <w:sz w:val="20"/>
        </w:rPr>
      </w:pPr>
      <w:r w:rsidRPr="003A01AD">
        <w:rPr>
          <w:rFonts w:ascii="Arial" w:hAnsi="Arial" w:cs="Arial"/>
          <w:sz w:val="20"/>
        </w:rPr>
        <w:t>Razprava o delu in družbi</w:t>
      </w:r>
      <w:r w:rsidR="009863E2" w:rsidRPr="003A01AD">
        <w:rPr>
          <w:rFonts w:ascii="Arial" w:hAnsi="Arial" w:cs="Arial"/>
          <w:sz w:val="20"/>
        </w:rPr>
        <w:t>.</w:t>
      </w:r>
    </w:p>
    <w:p w:rsidR="00EC71F2" w:rsidRPr="003A01AD" w:rsidRDefault="00EC71F2" w:rsidP="00C0152F">
      <w:pPr>
        <w:spacing w:line="260" w:lineRule="atLeast"/>
        <w:jc w:val="both"/>
        <w:rPr>
          <w:rFonts w:cs="Arial"/>
          <w:szCs w:val="20"/>
          <w:lang w:val="sl-SI"/>
        </w:rPr>
      </w:pPr>
    </w:p>
    <w:p w:rsidR="00EC71F2" w:rsidRPr="003A01AD" w:rsidRDefault="00EC71F2" w:rsidP="00C0152F">
      <w:pPr>
        <w:spacing w:line="260" w:lineRule="atLeast"/>
        <w:jc w:val="both"/>
        <w:rPr>
          <w:rFonts w:cs="Arial"/>
          <w:szCs w:val="20"/>
          <w:lang w:val="sl-SI"/>
        </w:rPr>
      </w:pPr>
    </w:p>
    <w:p w:rsidR="00EC71F2" w:rsidRPr="003A01AD" w:rsidRDefault="00EC71F2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  <w:r w:rsidRPr="003A01AD">
        <w:rPr>
          <w:rFonts w:cs="Arial"/>
          <w:b/>
          <w:szCs w:val="20"/>
          <w:lang w:val="sl-SI"/>
        </w:rPr>
        <w:t>Dnevni red</w:t>
      </w:r>
    </w:p>
    <w:p w:rsidR="004421E4" w:rsidRPr="003A01AD" w:rsidRDefault="004421E4" w:rsidP="00C0152F">
      <w:pPr>
        <w:spacing w:line="260" w:lineRule="atLeast"/>
        <w:jc w:val="both"/>
        <w:rPr>
          <w:rFonts w:cs="Arial"/>
          <w:szCs w:val="20"/>
          <w:lang w:val="sl-SI"/>
        </w:rPr>
      </w:pPr>
    </w:p>
    <w:p w:rsidR="004421E4" w:rsidRPr="003A01AD" w:rsidRDefault="004421E4" w:rsidP="00C0152F">
      <w:pPr>
        <w:spacing w:line="260" w:lineRule="atLeast"/>
        <w:jc w:val="both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lang w:val="sl-SI"/>
        </w:rPr>
        <w:t xml:space="preserve">I. Razprava o </w:t>
      </w:r>
      <w:r w:rsidRPr="003A01AD">
        <w:rPr>
          <w:rFonts w:cs="Arial"/>
          <w:b/>
          <w:szCs w:val="20"/>
          <w:lang w:val="sl-SI"/>
        </w:rPr>
        <w:t>ekonomski, socialni in zaposlitveni situaciji v evropski in centralnoazijski regiji</w:t>
      </w:r>
      <w:r w:rsidRPr="003A01AD">
        <w:rPr>
          <w:rFonts w:cs="Arial"/>
          <w:szCs w:val="20"/>
          <w:lang w:val="sl-SI"/>
        </w:rPr>
        <w:t xml:space="preserve">. Razpravljalo se bo tudi o poglavitnih politikah, ki so bile sprejete kot odziv na aktualni ekonomski in družbeni razvoj, ter o izkušnjah, ki so bile pridobljene v zadnjih štirih letih. </w:t>
      </w:r>
    </w:p>
    <w:p w:rsidR="004421E4" w:rsidRPr="003A01AD" w:rsidRDefault="004421E4" w:rsidP="00C0152F">
      <w:pPr>
        <w:spacing w:line="260" w:lineRule="atLeast"/>
        <w:jc w:val="both"/>
        <w:rPr>
          <w:rFonts w:cs="Arial"/>
          <w:szCs w:val="20"/>
          <w:lang w:val="sl-SI"/>
        </w:rPr>
      </w:pPr>
    </w:p>
    <w:p w:rsidR="004421E4" w:rsidRPr="003A01AD" w:rsidRDefault="004421E4" w:rsidP="00C0152F">
      <w:pPr>
        <w:spacing w:line="260" w:lineRule="atLeast"/>
        <w:jc w:val="both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lang w:val="sl-SI"/>
        </w:rPr>
        <w:t xml:space="preserve">II. Razprava o gonilih sprememb, priložnostih in implikacijah </w:t>
      </w:r>
      <w:r w:rsidRPr="003A01AD">
        <w:rPr>
          <w:rFonts w:cs="Arial"/>
          <w:b/>
          <w:szCs w:val="20"/>
          <w:lang w:val="sl-SI"/>
        </w:rPr>
        <w:t>za prihodnost dela</w:t>
      </w:r>
      <w:r w:rsidRPr="003A01AD">
        <w:rPr>
          <w:rFonts w:cs="Arial"/>
          <w:szCs w:val="20"/>
          <w:lang w:val="sl-SI"/>
        </w:rPr>
        <w:t xml:space="preserve"> v regiji. Razprava bo zajemala štiri točke, ki so še posebej relevantne za regijo:</w:t>
      </w:r>
    </w:p>
    <w:p w:rsidR="004421E4" w:rsidRPr="003A01AD" w:rsidRDefault="00495B26" w:rsidP="00C0152F">
      <w:pPr>
        <w:numPr>
          <w:ilvl w:val="0"/>
          <w:numId w:val="48"/>
        </w:numPr>
        <w:spacing w:line="26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u w:val="single"/>
          <w:lang w:val="sl-SI"/>
        </w:rPr>
        <w:t>t</w:t>
      </w:r>
      <w:r w:rsidR="004421E4" w:rsidRPr="003A01AD">
        <w:rPr>
          <w:rFonts w:cs="Arial"/>
          <w:szCs w:val="20"/>
          <w:u w:val="single"/>
          <w:lang w:val="sl-SI"/>
        </w:rPr>
        <w:t>rajnostna rast, ustvarjanje delovnih mest in demografske spremembe</w:t>
      </w:r>
      <w:r w:rsidR="004421E4" w:rsidRPr="003A01AD">
        <w:rPr>
          <w:rFonts w:cs="Arial"/>
          <w:szCs w:val="20"/>
          <w:lang w:val="sl-SI"/>
        </w:rPr>
        <w:t xml:space="preserve"> s poudarkom na vključevanju mladih in žensk na trg dela, kakor tudi na vzpostavljanju ugodnega okolja za podjetja;</w:t>
      </w:r>
    </w:p>
    <w:p w:rsidR="004421E4" w:rsidRPr="003A01AD" w:rsidRDefault="004421E4" w:rsidP="00C0152F">
      <w:pPr>
        <w:numPr>
          <w:ilvl w:val="0"/>
          <w:numId w:val="48"/>
        </w:numPr>
        <w:spacing w:line="260" w:lineRule="atLeast"/>
        <w:jc w:val="both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u w:val="single"/>
          <w:lang w:val="sl-SI"/>
        </w:rPr>
        <w:t>migracijska vprašanja</w:t>
      </w:r>
      <w:r w:rsidRPr="003A01AD">
        <w:rPr>
          <w:rFonts w:cs="Arial"/>
          <w:szCs w:val="20"/>
          <w:lang w:val="sl-SI"/>
        </w:rPr>
        <w:t xml:space="preserve"> v zvezi s pospeševanjem na pravicah temelječih pristopov, razvoja veščin in vključevanja na trg dela; </w:t>
      </w:r>
    </w:p>
    <w:p w:rsidR="004421E4" w:rsidRPr="003A01AD" w:rsidRDefault="004421E4" w:rsidP="00C0152F">
      <w:pPr>
        <w:numPr>
          <w:ilvl w:val="0"/>
          <w:numId w:val="48"/>
        </w:numPr>
        <w:spacing w:line="260" w:lineRule="atLeast"/>
        <w:jc w:val="both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u w:val="single"/>
          <w:lang w:val="sl-SI"/>
        </w:rPr>
        <w:lastRenderedPageBreak/>
        <w:t>spodbujanje ustvarjanja kakovostnih delovnih mest</w:t>
      </w:r>
      <w:r w:rsidRPr="003A01AD">
        <w:rPr>
          <w:rFonts w:cs="Arial"/>
          <w:szCs w:val="20"/>
          <w:lang w:val="sl-SI"/>
        </w:rPr>
        <w:t xml:space="preserve"> s podporo učinkovitega zakonodajnega okvira, s poudarkom na prehodu iz neformalne v formalno ekonomijo in skladnosti delovnih mest;</w:t>
      </w:r>
    </w:p>
    <w:p w:rsidR="004421E4" w:rsidRPr="003A01AD" w:rsidRDefault="004421E4" w:rsidP="00C0152F">
      <w:pPr>
        <w:numPr>
          <w:ilvl w:val="0"/>
          <w:numId w:val="48"/>
        </w:numPr>
        <w:spacing w:line="260" w:lineRule="atLeast"/>
        <w:jc w:val="both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u w:val="single"/>
          <w:lang w:val="sl-SI"/>
        </w:rPr>
        <w:t>oblikovanje trajnostnega sistema socialne varnosti za vse</w:t>
      </w:r>
      <w:r w:rsidRPr="003A01AD">
        <w:rPr>
          <w:rFonts w:cs="Arial"/>
          <w:szCs w:val="20"/>
          <w:lang w:val="sl-SI"/>
        </w:rPr>
        <w:t>. Osrednji fokus te teme bodo mednarodni standardi dela, socialni dialog, enakost spolov in nediskriminacija.</w:t>
      </w:r>
    </w:p>
    <w:p w:rsidR="004421E4" w:rsidRPr="003A01AD" w:rsidRDefault="004421E4" w:rsidP="00C0152F">
      <w:pPr>
        <w:spacing w:line="260" w:lineRule="atLeast"/>
        <w:jc w:val="both"/>
        <w:rPr>
          <w:rFonts w:cs="Arial"/>
          <w:szCs w:val="20"/>
          <w:lang w:val="sl-SI"/>
        </w:rPr>
      </w:pPr>
    </w:p>
    <w:p w:rsidR="004421E4" w:rsidRPr="003A01AD" w:rsidRDefault="004421E4" w:rsidP="00C0152F">
      <w:pPr>
        <w:spacing w:line="260" w:lineRule="atLeast"/>
        <w:jc w:val="both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lang w:val="sl-SI"/>
        </w:rPr>
        <w:t xml:space="preserve">III. Poročilo, kjer bo predstavljen </w:t>
      </w:r>
      <w:r w:rsidRPr="003A01AD">
        <w:rPr>
          <w:rFonts w:cs="Arial"/>
          <w:b/>
          <w:szCs w:val="20"/>
          <w:lang w:val="sl-SI"/>
        </w:rPr>
        <w:t>napredek zadnjih štirih let pri izvajanju smernic Deklaracije iz Osla o povrnitvi zaupanja v rast in delovna mesta</w:t>
      </w:r>
      <w:r w:rsidRPr="003A01AD">
        <w:rPr>
          <w:rFonts w:cs="Arial"/>
          <w:szCs w:val="20"/>
          <w:lang w:val="sl-SI"/>
        </w:rPr>
        <w:t>, ki je bila sprejeta na devetem evropskem regionalnem srečanju aprila 2013.</w:t>
      </w:r>
    </w:p>
    <w:p w:rsidR="00A125C4" w:rsidRPr="003A01AD" w:rsidRDefault="00A125C4" w:rsidP="00C0152F">
      <w:pPr>
        <w:spacing w:line="260" w:lineRule="atLeast"/>
        <w:jc w:val="both"/>
        <w:rPr>
          <w:rFonts w:cs="Arial"/>
          <w:szCs w:val="20"/>
          <w:lang w:val="sl-SI"/>
        </w:rPr>
      </w:pPr>
    </w:p>
    <w:p w:rsidR="00A125C4" w:rsidRPr="003A01AD" w:rsidRDefault="00A125C4" w:rsidP="00C0152F">
      <w:pPr>
        <w:spacing w:line="260" w:lineRule="atLeast"/>
        <w:jc w:val="both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lang w:val="sl-SI"/>
        </w:rPr>
        <w:t>Poročilo o priložnostih in izzivih za dostojno delo v Evropi in Centralni Aziji bo predstavil generalni direktor Mednarodnega urada za delo (v nadaljevanju Urad)</w:t>
      </w:r>
      <w:r w:rsidR="00B02719">
        <w:rPr>
          <w:rFonts w:cs="Arial"/>
          <w:szCs w:val="20"/>
          <w:lang w:val="sl-SI"/>
        </w:rPr>
        <w:t>.</w:t>
      </w:r>
      <w:r w:rsidRPr="003A01AD">
        <w:rPr>
          <w:rFonts w:cs="Arial"/>
          <w:szCs w:val="20"/>
          <w:lang w:val="sl-SI"/>
        </w:rPr>
        <w:t xml:space="preserve"> </w:t>
      </w:r>
    </w:p>
    <w:p w:rsidR="00A125C4" w:rsidRPr="003A01AD" w:rsidRDefault="00A125C4" w:rsidP="00C0152F">
      <w:pPr>
        <w:spacing w:line="260" w:lineRule="atLeast"/>
        <w:jc w:val="both"/>
        <w:rPr>
          <w:rFonts w:cs="Arial"/>
          <w:szCs w:val="20"/>
          <w:lang w:val="sl-SI"/>
        </w:rPr>
      </w:pPr>
    </w:p>
    <w:p w:rsidR="004421E4" w:rsidRPr="003A01AD" w:rsidRDefault="005A4C72" w:rsidP="00C0152F">
      <w:pPr>
        <w:spacing w:line="260" w:lineRule="atLeast"/>
        <w:jc w:val="both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lang w:val="sl-SI"/>
        </w:rPr>
        <w:t xml:space="preserve">Poročilo </w:t>
      </w:r>
      <w:r w:rsidR="00A125C4" w:rsidRPr="003A01AD">
        <w:rPr>
          <w:rFonts w:cs="Arial"/>
          <w:szCs w:val="20"/>
          <w:lang w:val="sl-SI"/>
        </w:rPr>
        <w:t xml:space="preserve">generalnega direktorja Urada </w:t>
      </w:r>
      <w:r w:rsidRPr="003A01AD">
        <w:rPr>
          <w:rFonts w:cs="Arial"/>
          <w:szCs w:val="20"/>
          <w:lang w:val="sl-SI"/>
        </w:rPr>
        <w:t xml:space="preserve">je dostopno na spletni strani </w:t>
      </w:r>
      <w:hyperlink r:id="rId9" w:history="1">
        <w:r w:rsidRPr="003A01AD">
          <w:rPr>
            <w:rStyle w:val="Hiperpovezava"/>
            <w:rFonts w:cs="Arial"/>
            <w:color w:val="auto"/>
            <w:szCs w:val="20"/>
            <w:u w:val="none"/>
            <w:lang w:val="sl-SI"/>
          </w:rPr>
          <w:t>http://www.ilo.org/global/meetings-and-events/regional-meetings/europe-and-central-asia/erm-10/WCMS_567104/lang--en/index.htm</w:t>
        </w:r>
      </w:hyperlink>
      <w:r w:rsidR="00A125C4" w:rsidRPr="003A01AD">
        <w:rPr>
          <w:rFonts w:cs="Arial"/>
          <w:szCs w:val="20"/>
          <w:lang w:val="sl-SI"/>
        </w:rPr>
        <w:t>.</w:t>
      </w:r>
    </w:p>
    <w:p w:rsidR="00A125C4" w:rsidRPr="003A01AD" w:rsidRDefault="00A125C4" w:rsidP="00C0152F">
      <w:pPr>
        <w:spacing w:line="260" w:lineRule="atLeast"/>
        <w:jc w:val="both"/>
        <w:rPr>
          <w:rFonts w:cs="Arial"/>
          <w:szCs w:val="20"/>
          <w:lang w:val="sl-SI"/>
        </w:rPr>
      </w:pPr>
    </w:p>
    <w:p w:rsidR="00EC71F2" w:rsidRPr="003A01AD" w:rsidRDefault="00EC71F2" w:rsidP="00C0152F">
      <w:pPr>
        <w:spacing w:line="260" w:lineRule="atLeast"/>
        <w:contextualSpacing/>
        <w:jc w:val="both"/>
        <w:rPr>
          <w:rFonts w:cs="Arial"/>
          <w:color w:val="000000"/>
          <w:szCs w:val="20"/>
          <w:lang w:val="sl-SI"/>
        </w:rPr>
      </w:pPr>
    </w:p>
    <w:p w:rsidR="00EC71F2" w:rsidRPr="003A01AD" w:rsidRDefault="00EC71F2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  <w:r w:rsidRPr="003A01AD">
        <w:rPr>
          <w:rFonts w:cs="Arial"/>
          <w:b/>
          <w:szCs w:val="20"/>
          <w:lang w:val="sl-SI"/>
        </w:rPr>
        <w:t>III. IMENOVANJE TRIPARTITNE DELEGACIJE</w:t>
      </w:r>
    </w:p>
    <w:p w:rsidR="00EC71F2" w:rsidRPr="003A01AD" w:rsidRDefault="00EC71F2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9863E2" w:rsidRPr="003A01AD" w:rsidRDefault="009863E2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EC71F2" w:rsidRPr="003A01AD" w:rsidRDefault="00EC71F2" w:rsidP="00C0152F">
      <w:pPr>
        <w:tabs>
          <w:tab w:val="left" w:pos="1455"/>
        </w:tabs>
        <w:spacing w:line="260" w:lineRule="atLeast"/>
        <w:jc w:val="both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lang w:val="sl-SI"/>
        </w:rPr>
        <w:t xml:space="preserve">Vsaka država članica sestavi svojo delegacijo v skladu s </w:t>
      </w:r>
      <w:r w:rsidR="00220338" w:rsidRPr="003A01AD">
        <w:rPr>
          <w:rFonts w:cs="Arial"/>
          <w:szCs w:val="20"/>
          <w:lang w:val="sl-SI"/>
        </w:rPr>
        <w:t>1. členom Pravil MOD za regionalna srečanja.</w:t>
      </w:r>
      <w:r w:rsidRPr="003A01AD">
        <w:rPr>
          <w:rFonts w:cs="Arial"/>
          <w:szCs w:val="20"/>
          <w:lang w:val="sl-SI"/>
        </w:rPr>
        <w:t xml:space="preserve"> Po omenjeni določbi morajo delegacijo sestavljati</w:t>
      </w:r>
      <w:r w:rsidR="00B02719">
        <w:rPr>
          <w:rFonts w:cs="Arial"/>
          <w:szCs w:val="20"/>
          <w:lang w:val="sl-SI"/>
        </w:rPr>
        <w:t xml:space="preserve"> 4 predstavniki - dva delegata v</w:t>
      </w:r>
      <w:r w:rsidRPr="003A01AD">
        <w:rPr>
          <w:rFonts w:cs="Arial"/>
          <w:szCs w:val="20"/>
          <w:lang w:val="sl-SI"/>
        </w:rPr>
        <w:t xml:space="preserve">lade ter po en delegat predstavnik delavcev in predstavnik delodajalcev. </w:t>
      </w:r>
      <w:r w:rsidR="00220338" w:rsidRPr="003A01AD">
        <w:rPr>
          <w:rFonts w:cs="Arial"/>
          <w:szCs w:val="20"/>
          <w:lang w:val="sl-SI"/>
        </w:rPr>
        <w:t>Vsakega člana delegacije lahko spremljajo svetovalci.</w:t>
      </w:r>
      <w:r w:rsidR="009863E2" w:rsidRPr="003A01AD">
        <w:rPr>
          <w:rFonts w:cs="Arial"/>
          <w:szCs w:val="20"/>
          <w:lang w:val="sl-SI"/>
        </w:rPr>
        <w:t xml:space="preserve"> Predstavniki delodajalcev in delavcev morajo biti izbrani v soglasju z najbolj reprezentativnimi delodajalskimi in delavskimi združenji.</w:t>
      </w:r>
    </w:p>
    <w:p w:rsidR="00220338" w:rsidRPr="003A01AD" w:rsidRDefault="00220338" w:rsidP="00C0152F">
      <w:pPr>
        <w:tabs>
          <w:tab w:val="left" w:pos="1455"/>
        </w:tabs>
        <w:spacing w:line="260" w:lineRule="atLeast"/>
        <w:jc w:val="both"/>
        <w:rPr>
          <w:rFonts w:cs="Arial"/>
          <w:szCs w:val="20"/>
          <w:lang w:val="sl-SI"/>
        </w:rPr>
      </w:pPr>
    </w:p>
    <w:p w:rsidR="00EC71F2" w:rsidRPr="003A01AD" w:rsidRDefault="00EC71F2" w:rsidP="00C0152F">
      <w:pPr>
        <w:spacing w:line="260" w:lineRule="atLeast"/>
        <w:jc w:val="both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lang w:val="sl-SI"/>
        </w:rPr>
        <w:t xml:space="preserve">V skladu z dosedanjo prakso, dogovorjeno s socialnimi partnerji, se </w:t>
      </w:r>
      <w:r w:rsidR="00220338" w:rsidRPr="003A01AD">
        <w:rPr>
          <w:rFonts w:cs="Arial"/>
          <w:szCs w:val="20"/>
          <w:lang w:val="sl-SI"/>
        </w:rPr>
        <w:t>evropskega regionalnega srečanja</w:t>
      </w:r>
      <w:r w:rsidRPr="003A01AD">
        <w:rPr>
          <w:rFonts w:cs="Arial"/>
          <w:szCs w:val="20"/>
          <w:lang w:val="sl-SI"/>
        </w:rPr>
        <w:t xml:space="preserve"> udeležijo predstavniki vlade glede na vsebino, ki se obravnava na </w:t>
      </w:r>
      <w:r w:rsidR="00220338" w:rsidRPr="003A01AD">
        <w:rPr>
          <w:rFonts w:cs="Arial"/>
          <w:szCs w:val="20"/>
          <w:lang w:val="sl-SI"/>
        </w:rPr>
        <w:t>posameznem regionalnem srečanju</w:t>
      </w:r>
      <w:r w:rsidRPr="003A01AD">
        <w:rPr>
          <w:rFonts w:cs="Arial"/>
          <w:szCs w:val="20"/>
          <w:lang w:val="sl-SI"/>
        </w:rPr>
        <w:t>, ter po en predstavnik delodajalcev in en predstavnik delavcev.</w:t>
      </w:r>
    </w:p>
    <w:p w:rsidR="00EC71F2" w:rsidRPr="003A01AD" w:rsidRDefault="00EC71F2" w:rsidP="00C0152F">
      <w:pPr>
        <w:spacing w:line="260" w:lineRule="atLeast"/>
        <w:jc w:val="both"/>
        <w:rPr>
          <w:rFonts w:cs="Arial"/>
          <w:szCs w:val="20"/>
          <w:lang w:val="sl-SI"/>
        </w:rPr>
      </w:pPr>
    </w:p>
    <w:p w:rsidR="00EC71F2" w:rsidRPr="003A01AD" w:rsidRDefault="004D05B1" w:rsidP="00C0152F">
      <w:pPr>
        <w:tabs>
          <w:tab w:val="center" w:pos="4320"/>
          <w:tab w:val="right" w:pos="8640"/>
        </w:tabs>
        <w:spacing w:line="260" w:lineRule="atLeast"/>
        <w:ind w:right="-142"/>
        <w:jc w:val="both"/>
        <w:rPr>
          <w:rFonts w:cs="Arial"/>
          <w:szCs w:val="20"/>
          <w:lang w:val="sl-SI"/>
        </w:rPr>
      </w:pPr>
      <w:r w:rsidRPr="003A01AD">
        <w:rPr>
          <w:rFonts w:cs="Arial"/>
          <w:bCs/>
          <w:szCs w:val="20"/>
          <w:lang w:val="sl-SI"/>
        </w:rPr>
        <w:t>Desetega evropskega regionalnega srečanja</w:t>
      </w:r>
      <w:r w:rsidR="00EC71F2" w:rsidRPr="003A01AD">
        <w:rPr>
          <w:rFonts w:cs="Arial"/>
          <w:bCs/>
          <w:szCs w:val="20"/>
          <w:lang w:val="sl-SI"/>
        </w:rPr>
        <w:t xml:space="preserve"> se bo udeležila delegacija Republike Slovenije v naslednji sestavi (v oklepajih je naveden čas udeležbe):</w:t>
      </w:r>
    </w:p>
    <w:p w:rsidR="00EC71F2" w:rsidRPr="003A01AD" w:rsidRDefault="00EC71F2" w:rsidP="00C0152F">
      <w:pPr>
        <w:spacing w:line="260" w:lineRule="atLeast"/>
        <w:jc w:val="both"/>
        <w:rPr>
          <w:rFonts w:cs="Arial"/>
          <w:bCs/>
          <w:szCs w:val="20"/>
          <w:lang w:val="sl-SI"/>
        </w:rPr>
      </w:pPr>
    </w:p>
    <w:p w:rsidR="00EC71F2" w:rsidRDefault="00413378" w:rsidP="00C0152F">
      <w:pPr>
        <w:numPr>
          <w:ilvl w:val="0"/>
          <w:numId w:val="46"/>
        </w:numPr>
        <w:spacing w:line="260" w:lineRule="atLeast"/>
        <w:contextualSpacing/>
        <w:jc w:val="both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lang w:val="sl-SI"/>
        </w:rPr>
        <w:t xml:space="preserve">Peter </w:t>
      </w:r>
      <w:r w:rsidRPr="00426C99">
        <w:rPr>
          <w:rFonts w:cs="Arial"/>
          <w:szCs w:val="20"/>
          <w:lang w:val="sl-SI"/>
        </w:rPr>
        <w:t>Pogačar, državni sekretar</w:t>
      </w:r>
      <w:r w:rsidR="00EC71F2" w:rsidRPr="00426C99">
        <w:rPr>
          <w:rFonts w:cs="Arial"/>
          <w:szCs w:val="20"/>
          <w:lang w:val="sl-SI"/>
        </w:rPr>
        <w:t xml:space="preserve"> </w:t>
      </w:r>
      <w:r w:rsidRPr="00426C99">
        <w:rPr>
          <w:rFonts w:cs="Arial"/>
          <w:szCs w:val="20"/>
          <w:lang w:val="sl-SI"/>
        </w:rPr>
        <w:t>n</w:t>
      </w:r>
      <w:r w:rsidR="00EC71F2" w:rsidRPr="00426C99">
        <w:rPr>
          <w:rFonts w:cs="Arial"/>
          <w:szCs w:val="20"/>
          <w:lang w:val="sl-SI"/>
        </w:rPr>
        <w:t>a Ministrstvu</w:t>
      </w:r>
      <w:r w:rsidR="00EC71F2" w:rsidRPr="003A01AD">
        <w:rPr>
          <w:rFonts w:cs="Arial"/>
          <w:szCs w:val="20"/>
          <w:lang w:val="sl-SI"/>
        </w:rPr>
        <w:t xml:space="preserve"> za delo, družino, socialne zadeve in enake možno</w:t>
      </w:r>
      <w:r w:rsidR="0075545E">
        <w:rPr>
          <w:rFonts w:cs="Arial"/>
          <w:szCs w:val="20"/>
          <w:lang w:val="sl-SI"/>
        </w:rPr>
        <w:t xml:space="preserve">sti, kot vodja </w:t>
      </w:r>
      <w:r w:rsidR="007B32F4">
        <w:rPr>
          <w:rFonts w:cs="Arial"/>
          <w:szCs w:val="20"/>
          <w:lang w:val="sl-SI"/>
        </w:rPr>
        <w:t>delegacije (med 1. 10. 2017 in 4</w:t>
      </w:r>
      <w:r w:rsidR="00F676A3" w:rsidRPr="003A01AD">
        <w:rPr>
          <w:rFonts w:cs="Arial"/>
          <w:szCs w:val="20"/>
          <w:lang w:val="sl-SI"/>
        </w:rPr>
        <w:t>. 10</w:t>
      </w:r>
      <w:r w:rsidR="00EC71F2" w:rsidRPr="003A01AD">
        <w:rPr>
          <w:rFonts w:cs="Arial"/>
          <w:szCs w:val="20"/>
          <w:lang w:val="sl-SI"/>
        </w:rPr>
        <w:t>. 2017),</w:t>
      </w:r>
    </w:p>
    <w:p w:rsidR="00DE57D4" w:rsidRPr="00DE57D4" w:rsidRDefault="00DE57D4" w:rsidP="00C0152F">
      <w:pPr>
        <w:pStyle w:val="Odstavekseznama"/>
        <w:numPr>
          <w:ilvl w:val="0"/>
          <w:numId w:val="46"/>
        </w:numPr>
        <w:spacing w:line="260" w:lineRule="atLeast"/>
        <w:rPr>
          <w:rFonts w:ascii="Arial" w:hAnsi="Arial" w:cs="Arial"/>
          <w:sz w:val="20"/>
        </w:rPr>
      </w:pPr>
      <w:r w:rsidRPr="00DE57D4">
        <w:rPr>
          <w:rFonts w:ascii="Arial" w:hAnsi="Arial" w:cs="Arial"/>
          <w:sz w:val="20"/>
        </w:rPr>
        <w:t xml:space="preserve">Mojca Štepic, </w:t>
      </w:r>
      <w:r w:rsidR="0075545E">
        <w:rPr>
          <w:rFonts w:ascii="Arial" w:hAnsi="Arial" w:cs="Arial"/>
          <w:sz w:val="20"/>
        </w:rPr>
        <w:t xml:space="preserve">državna sekretarka, </w:t>
      </w:r>
      <w:r w:rsidRPr="00DE57D4">
        <w:rPr>
          <w:rFonts w:ascii="Arial" w:hAnsi="Arial" w:cs="Arial"/>
          <w:sz w:val="20"/>
        </w:rPr>
        <w:t>vodja Sektorja za socialno podjetništvo na Ministrstvu za gospodarski razvoj in tehnologijo, kot vladna deleg</w:t>
      </w:r>
      <w:r w:rsidR="008D04CB">
        <w:rPr>
          <w:rFonts w:ascii="Arial" w:hAnsi="Arial" w:cs="Arial"/>
          <w:sz w:val="20"/>
        </w:rPr>
        <w:t>atka (med 2. 10. 2017 in 4</w:t>
      </w:r>
      <w:r w:rsidR="0075545E">
        <w:rPr>
          <w:rFonts w:ascii="Arial" w:hAnsi="Arial" w:cs="Arial"/>
          <w:sz w:val="20"/>
        </w:rPr>
        <w:t>. 10. </w:t>
      </w:r>
      <w:r w:rsidRPr="00DE57D4">
        <w:rPr>
          <w:rFonts w:ascii="Arial" w:hAnsi="Arial" w:cs="Arial"/>
          <w:sz w:val="20"/>
        </w:rPr>
        <w:t>2017),</w:t>
      </w:r>
    </w:p>
    <w:p w:rsidR="00EC71F2" w:rsidRPr="003A01AD" w:rsidRDefault="00EC71F2" w:rsidP="00C0152F">
      <w:pPr>
        <w:numPr>
          <w:ilvl w:val="0"/>
          <w:numId w:val="46"/>
        </w:numPr>
        <w:spacing w:line="260" w:lineRule="atLeast"/>
        <w:contextualSpacing/>
        <w:jc w:val="both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lang w:val="sl-SI"/>
        </w:rPr>
        <w:t>Urška Draksler, svetovalka na Ministrstvu za delo, družino, socialne zadeve in enake možno</w:t>
      </w:r>
      <w:r w:rsidR="004D05B1" w:rsidRPr="003A01AD">
        <w:rPr>
          <w:rFonts w:cs="Arial"/>
          <w:szCs w:val="20"/>
          <w:lang w:val="sl-SI"/>
        </w:rPr>
        <w:t>sti, kot vladna delegatka (med 1. 10. 2017 in 5. 10</w:t>
      </w:r>
      <w:r w:rsidRPr="003A01AD">
        <w:rPr>
          <w:rFonts w:cs="Arial"/>
          <w:szCs w:val="20"/>
          <w:lang w:val="sl-SI"/>
        </w:rPr>
        <w:t>. 2017),</w:t>
      </w:r>
    </w:p>
    <w:p w:rsidR="00EC71F2" w:rsidRDefault="000E5098" w:rsidP="00C0152F">
      <w:pPr>
        <w:numPr>
          <w:ilvl w:val="0"/>
          <w:numId w:val="46"/>
        </w:numPr>
        <w:spacing w:line="260" w:lineRule="atLeast"/>
        <w:jc w:val="both"/>
        <w:rPr>
          <w:rFonts w:cs="Arial"/>
          <w:iCs/>
          <w:szCs w:val="20"/>
          <w:lang w:val="sl-SI"/>
        </w:rPr>
      </w:pPr>
      <w:r w:rsidRPr="000E5098">
        <w:rPr>
          <w:rFonts w:cs="Arial"/>
          <w:iCs/>
          <w:szCs w:val="20"/>
          <w:lang w:val="sl-SI"/>
        </w:rPr>
        <w:t>Danijel Lamperger, direktor Obrtno-podjetniške zbornice Slovenije</w:t>
      </w:r>
      <w:r w:rsidR="00EC71F2" w:rsidRPr="000E5098">
        <w:rPr>
          <w:rFonts w:cs="Arial"/>
          <w:iCs/>
          <w:szCs w:val="20"/>
          <w:lang w:val="sl-SI"/>
        </w:rPr>
        <w:t>, kot predstavnik delodajalskih organizacij</w:t>
      </w:r>
      <w:r w:rsidRPr="000E5098">
        <w:rPr>
          <w:rFonts w:cs="Arial"/>
          <w:iCs/>
          <w:szCs w:val="20"/>
          <w:lang w:val="sl-SI"/>
        </w:rPr>
        <w:t xml:space="preserve"> (med 1. 10. 2017 in 5. 10</w:t>
      </w:r>
      <w:r w:rsidR="00932C34">
        <w:rPr>
          <w:rFonts w:cs="Arial"/>
          <w:iCs/>
          <w:szCs w:val="20"/>
          <w:lang w:val="sl-SI"/>
        </w:rPr>
        <w:t>. 2017).</w:t>
      </w:r>
    </w:p>
    <w:p w:rsidR="00932C34" w:rsidRPr="00932C34" w:rsidRDefault="00932C34" w:rsidP="00932C34">
      <w:pPr>
        <w:spacing w:line="260" w:lineRule="atLeast"/>
        <w:jc w:val="both"/>
        <w:rPr>
          <w:rFonts w:cs="Arial"/>
          <w:iCs/>
          <w:szCs w:val="20"/>
          <w:lang w:val="sl-SI"/>
        </w:rPr>
      </w:pPr>
    </w:p>
    <w:p w:rsidR="00EC71F2" w:rsidRPr="003A01AD" w:rsidRDefault="00EC71F2" w:rsidP="00C0152F">
      <w:pPr>
        <w:spacing w:line="260" w:lineRule="atLeast"/>
        <w:jc w:val="both"/>
        <w:rPr>
          <w:rFonts w:cs="Arial"/>
          <w:iCs/>
          <w:szCs w:val="20"/>
          <w:lang w:val="sl-SI"/>
        </w:rPr>
      </w:pPr>
      <w:r w:rsidRPr="00DB6B22">
        <w:rPr>
          <w:rFonts w:cs="Arial"/>
          <w:iCs/>
          <w:szCs w:val="20"/>
          <w:lang w:val="sl-SI"/>
        </w:rPr>
        <w:t xml:space="preserve">Poleg tega </w:t>
      </w:r>
      <w:r w:rsidR="00DE57D4" w:rsidRPr="00DB6B22">
        <w:rPr>
          <w:rFonts w:cs="Arial"/>
          <w:iCs/>
          <w:szCs w:val="20"/>
          <w:lang w:val="sl-SI"/>
        </w:rPr>
        <w:t>bo</w:t>
      </w:r>
      <w:r w:rsidRPr="00DB6B22">
        <w:rPr>
          <w:rFonts w:cs="Arial"/>
          <w:iCs/>
          <w:szCs w:val="20"/>
          <w:lang w:val="sl-SI"/>
        </w:rPr>
        <w:t xml:space="preserve"> s strani </w:t>
      </w:r>
      <w:r w:rsidR="00F70986" w:rsidRPr="00DB6B22">
        <w:rPr>
          <w:rFonts w:cs="Arial"/>
          <w:iCs/>
          <w:szCs w:val="20"/>
          <w:lang w:val="sl-SI"/>
        </w:rPr>
        <w:t>Veleposlaništva</w:t>
      </w:r>
      <w:r w:rsidRPr="00DB6B22">
        <w:rPr>
          <w:rFonts w:cs="Arial"/>
          <w:iCs/>
          <w:szCs w:val="20"/>
          <w:lang w:val="sl-SI"/>
        </w:rPr>
        <w:t xml:space="preserve"> Republike Slovenije </w:t>
      </w:r>
      <w:r w:rsidR="00F70986" w:rsidRPr="00DB6B22">
        <w:rPr>
          <w:rFonts w:cs="Arial"/>
          <w:iCs/>
          <w:szCs w:val="20"/>
          <w:lang w:val="sl-SI"/>
        </w:rPr>
        <w:t>v Ankari</w:t>
      </w:r>
      <w:r w:rsidRPr="00DB6B22">
        <w:rPr>
          <w:rFonts w:cs="Arial"/>
          <w:iCs/>
          <w:szCs w:val="20"/>
          <w:lang w:val="sl-SI"/>
        </w:rPr>
        <w:t xml:space="preserve"> v delegacijo vključena:</w:t>
      </w:r>
    </w:p>
    <w:p w:rsidR="00EC71F2" w:rsidRPr="003A01AD" w:rsidRDefault="00F70986" w:rsidP="00C0152F">
      <w:pPr>
        <w:numPr>
          <w:ilvl w:val="0"/>
          <w:numId w:val="47"/>
        </w:numPr>
        <w:spacing w:line="260" w:lineRule="atLeast"/>
        <w:contextualSpacing/>
        <w:jc w:val="both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lang w:val="sl-SI"/>
        </w:rPr>
        <w:t xml:space="preserve">Tatjana Kovačič, </w:t>
      </w:r>
      <w:r w:rsidR="00EC71F2" w:rsidRPr="003A01AD">
        <w:rPr>
          <w:rFonts w:cs="Arial"/>
          <w:szCs w:val="20"/>
          <w:lang w:val="sl-SI"/>
        </w:rPr>
        <w:t xml:space="preserve">namestnica veleposlanika, pooblaščena ministrica v </w:t>
      </w:r>
      <w:r w:rsidRPr="003A01AD">
        <w:rPr>
          <w:rFonts w:cs="Arial"/>
          <w:szCs w:val="20"/>
          <w:lang w:val="sl-SI"/>
        </w:rPr>
        <w:t>Veleposlaništvu Republike Slovenije v Ankari</w:t>
      </w:r>
      <w:r w:rsidR="00EC71F2" w:rsidRPr="003A01AD">
        <w:rPr>
          <w:rFonts w:cs="Arial"/>
          <w:szCs w:val="20"/>
          <w:lang w:val="sl-SI"/>
        </w:rPr>
        <w:t>, kot predstavnica vladnih delegatov</w:t>
      </w:r>
      <w:r w:rsidR="0075545E">
        <w:rPr>
          <w:rFonts w:cs="Arial"/>
          <w:szCs w:val="20"/>
          <w:lang w:val="sl-SI"/>
        </w:rPr>
        <w:t xml:space="preserve"> (1. 10. 2017 in 5. 10. 2017)</w:t>
      </w:r>
      <w:r w:rsidR="00EC71F2" w:rsidRPr="003A01AD">
        <w:rPr>
          <w:rFonts w:cs="Arial"/>
          <w:szCs w:val="20"/>
          <w:lang w:val="sl-SI"/>
        </w:rPr>
        <w:t>.</w:t>
      </w:r>
      <w:r w:rsidR="00EC71F2" w:rsidRPr="003A01AD">
        <w:rPr>
          <w:lang w:val="sl-SI"/>
        </w:rPr>
        <w:t xml:space="preserve"> </w:t>
      </w:r>
    </w:p>
    <w:p w:rsidR="00EC71F2" w:rsidRDefault="00EC71F2" w:rsidP="00C0152F">
      <w:pPr>
        <w:spacing w:line="260" w:lineRule="atLeast"/>
        <w:contextualSpacing/>
        <w:jc w:val="both"/>
        <w:rPr>
          <w:rFonts w:cs="Arial"/>
          <w:color w:val="000000"/>
          <w:szCs w:val="20"/>
          <w:lang w:val="sl-SI"/>
        </w:rPr>
      </w:pPr>
    </w:p>
    <w:p w:rsidR="00932C34" w:rsidRPr="00932C34" w:rsidRDefault="00932C34" w:rsidP="00932C34">
      <w:pPr>
        <w:spacing w:line="260" w:lineRule="atLeast"/>
        <w:contextualSpacing/>
        <w:jc w:val="both"/>
        <w:rPr>
          <w:rFonts w:cs="Arial"/>
          <w:color w:val="000000"/>
          <w:szCs w:val="20"/>
          <w:u w:val="single"/>
          <w:lang w:val="sl-SI"/>
        </w:rPr>
      </w:pPr>
      <w:r w:rsidRPr="00932C34">
        <w:rPr>
          <w:rFonts w:cs="Arial"/>
          <w:color w:val="000000"/>
          <w:szCs w:val="20"/>
          <w:u w:val="single"/>
          <w:lang w:val="sl-SI"/>
        </w:rPr>
        <w:t>Neudeležba predstavnikov delavskih organizacij:</w:t>
      </w:r>
    </w:p>
    <w:p w:rsidR="00932C34" w:rsidRPr="003A01AD" w:rsidRDefault="00495B26" w:rsidP="00932C34">
      <w:pPr>
        <w:spacing w:line="260" w:lineRule="atLeast"/>
        <w:contextualSpacing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V skladu s 1. členom Pravil MOD za regionalna srečanja je </w:t>
      </w:r>
      <w:r w:rsidR="00932C34" w:rsidRPr="00932C34">
        <w:rPr>
          <w:rFonts w:cs="Arial"/>
          <w:color w:val="000000"/>
          <w:szCs w:val="20"/>
          <w:lang w:val="sl-SI"/>
        </w:rPr>
        <w:t>Ministrstvo za delo družino socialne zadeve in enake mož</w:t>
      </w:r>
      <w:r>
        <w:rPr>
          <w:rFonts w:cs="Arial"/>
          <w:color w:val="000000"/>
          <w:szCs w:val="20"/>
          <w:lang w:val="sl-SI"/>
        </w:rPr>
        <w:t>nosti</w:t>
      </w:r>
      <w:r w:rsidR="00932C34">
        <w:rPr>
          <w:rFonts w:cs="Arial"/>
          <w:color w:val="000000"/>
          <w:szCs w:val="20"/>
          <w:lang w:val="sl-SI"/>
        </w:rPr>
        <w:t xml:space="preserve"> na 304. seji Ekonomsko-</w:t>
      </w:r>
      <w:r w:rsidR="00932C34" w:rsidRPr="00932C34">
        <w:rPr>
          <w:rFonts w:cs="Arial"/>
          <w:color w:val="000000"/>
          <w:szCs w:val="20"/>
          <w:lang w:val="sl-SI"/>
        </w:rPr>
        <w:t>socialnega sveta</w:t>
      </w:r>
      <w:r>
        <w:rPr>
          <w:rFonts w:cs="Arial"/>
          <w:color w:val="000000"/>
          <w:szCs w:val="20"/>
          <w:lang w:val="sl-SI"/>
        </w:rPr>
        <w:t xml:space="preserve"> (v nadaljevanju ESS)</w:t>
      </w:r>
      <w:r w:rsidR="00932C34" w:rsidRPr="00932C34">
        <w:rPr>
          <w:rFonts w:cs="Arial"/>
          <w:color w:val="000000"/>
          <w:szCs w:val="20"/>
          <w:lang w:val="sl-SI"/>
        </w:rPr>
        <w:t xml:space="preserve">, dne </w:t>
      </w:r>
      <w:r w:rsidR="00932C34" w:rsidRPr="00932C34">
        <w:rPr>
          <w:rFonts w:cs="Arial"/>
          <w:color w:val="000000"/>
          <w:szCs w:val="20"/>
          <w:lang w:val="sl-SI"/>
        </w:rPr>
        <w:lastRenderedPageBreak/>
        <w:t xml:space="preserve">7. 7. 2017, najbolj reprezentativnim </w:t>
      </w:r>
      <w:r>
        <w:rPr>
          <w:rFonts w:cs="Arial"/>
          <w:color w:val="000000"/>
          <w:szCs w:val="20"/>
          <w:lang w:val="sl-SI"/>
        </w:rPr>
        <w:t xml:space="preserve">organizacijam delodajalcev in delavcev </w:t>
      </w:r>
      <w:r w:rsidR="00932C34" w:rsidRPr="00932C34">
        <w:rPr>
          <w:rFonts w:cs="Arial"/>
          <w:color w:val="000000"/>
          <w:szCs w:val="20"/>
          <w:lang w:val="sl-SI"/>
        </w:rPr>
        <w:t>posredovalo poziv k imenovanju predstavnika na desetem evropskem regionalnem srečanju</w:t>
      </w:r>
      <w:r>
        <w:rPr>
          <w:rFonts w:cs="Arial"/>
          <w:color w:val="000000"/>
          <w:szCs w:val="20"/>
          <w:lang w:val="sl-SI"/>
        </w:rPr>
        <w:t xml:space="preserve"> MOD</w:t>
      </w:r>
      <w:r w:rsidR="00932C34" w:rsidRPr="00932C34">
        <w:rPr>
          <w:rFonts w:cs="Arial"/>
          <w:color w:val="000000"/>
          <w:szCs w:val="20"/>
          <w:lang w:val="sl-SI"/>
        </w:rPr>
        <w:t xml:space="preserve">. Dne 17. 7. 2017 smo s strani Zveze svobodnih sindikatov Slovenije (v nadaljevanju ZSSS) prejeli </w:t>
      </w:r>
      <w:r w:rsidR="00932C34">
        <w:rPr>
          <w:rFonts w:cs="Arial"/>
          <w:color w:val="000000"/>
          <w:szCs w:val="20"/>
          <w:lang w:val="sl-SI"/>
        </w:rPr>
        <w:t>obvestilo</w:t>
      </w:r>
      <w:r w:rsidR="00932C34" w:rsidRPr="00932C34">
        <w:rPr>
          <w:rFonts w:cs="Arial"/>
          <w:color w:val="000000"/>
          <w:szCs w:val="20"/>
          <w:lang w:val="sl-SI"/>
        </w:rPr>
        <w:t>, da je usklajen predlog sindikalnih central (članic ESS), da se desetega evropskega regionalnega srečanja udeleži ga. Irena Štamfelj, strokovna so</w:t>
      </w:r>
      <w:r w:rsidR="00BE7BFC">
        <w:rPr>
          <w:rFonts w:cs="Arial"/>
          <w:color w:val="000000"/>
          <w:szCs w:val="20"/>
          <w:lang w:val="sl-SI"/>
        </w:rPr>
        <w:t xml:space="preserve">delavka ZSSS. Dne 4. 9. 2017 </w:t>
      </w:r>
      <w:r w:rsidR="00932C34" w:rsidRPr="00932C34">
        <w:rPr>
          <w:rFonts w:cs="Arial"/>
          <w:color w:val="000000"/>
          <w:szCs w:val="20"/>
          <w:lang w:val="sl-SI"/>
        </w:rPr>
        <w:t>smo s strani ZSSS prejeli obvestilo, da so bili naknadno obveščeni o pozivu Evropske konfederacije sindikatov (ETUC) in Mednarodne konfederacije sindikatov (ITUC), ki zaradi nespoštovanja človekovih in delavskih pravic v Turčiji, svoje člane pozivata k neudeležbi na desetem evropskem regionalnem srečanju</w:t>
      </w:r>
      <w:r>
        <w:rPr>
          <w:rFonts w:cs="Arial"/>
          <w:color w:val="000000"/>
          <w:szCs w:val="20"/>
          <w:lang w:val="sl-SI"/>
        </w:rPr>
        <w:t xml:space="preserve"> MOD</w:t>
      </w:r>
      <w:r w:rsidR="00932C34" w:rsidRPr="00932C34">
        <w:rPr>
          <w:rFonts w:cs="Arial"/>
          <w:color w:val="000000"/>
          <w:szCs w:val="20"/>
          <w:lang w:val="sl-SI"/>
        </w:rPr>
        <w:t>. Sprejeli so odločitev, da se zaradi razmer v Turčiji ter v duhu solidarnosti srečanja ne udeležijo.</w:t>
      </w:r>
      <w:r w:rsidR="0069450C">
        <w:rPr>
          <w:rFonts w:cs="Arial"/>
          <w:color w:val="000000"/>
          <w:szCs w:val="20"/>
          <w:lang w:val="sl-SI"/>
        </w:rPr>
        <w:t xml:space="preserve"> ZSSS je s svojo odločitvijo seznanila</w:t>
      </w:r>
      <w:r>
        <w:rPr>
          <w:rFonts w:cs="Arial"/>
          <w:color w:val="000000"/>
          <w:szCs w:val="20"/>
          <w:lang w:val="sl-SI"/>
        </w:rPr>
        <w:t xml:space="preserve"> tudi </w:t>
      </w:r>
      <w:r w:rsidRPr="00495B26">
        <w:rPr>
          <w:rFonts w:cs="Arial"/>
          <w:color w:val="000000"/>
          <w:szCs w:val="20"/>
          <w:lang w:val="sl-SI"/>
        </w:rPr>
        <w:t>ostale reprezentativne sindikalne centrale</w:t>
      </w:r>
      <w:r>
        <w:rPr>
          <w:rFonts w:cs="Arial"/>
          <w:color w:val="000000"/>
          <w:szCs w:val="20"/>
          <w:lang w:val="sl-SI"/>
        </w:rPr>
        <w:t>.</w:t>
      </w:r>
    </w:p>
    <w:p w:rsidR="00EC71F2" w:rsidRDefault="00EC71F2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520A4D" w:rsidRDefault="00520A4D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A50E26" w:rsidRPr="003A01AD" w:rsidRDefault="00A50E26" w:rsidP="00C0152F">
      <w:pPr>
        <w:spacing w:line="260" w:lineRule="atLeast"/>
        <w:jc w:val="both"/>
        <w:rPr>
          <w:rFonts w:cs="Arial"/>
          <w:b/>
          <w:szCs w:val="20"/>
          <w:lang w:val="sl-SI"/>
        </w:rPr>
      </w:pPr>
    </w:p>
    <w:p w:rsidR="00EC71F2" w:rsidRPr="003A01AD" w:rsidRDefault="00EC71F2" w:rsidP="00C0152F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b/>
          <w:szCs w:val="20"/>
          <w:lang w:val="sl-SI"/>
        </w:rPr>
      </w:pPr>
      <w:r w:rsidRPr="003A01AD">
        <w:rPr>
          <w:rFonts w:cs="Arial"/>
          <w:b/>
          <w:szCs w:val="20"/>
          <w:lang w:val="sl-SI"/>
        </w:rPr>
        <w:lastRenderedPageBreak/>
        <w:t xml:space="preserve">Priloga II: </w:t>
      </w:r>
      <w:r w:rsidR="006107D2" w:rsidRPr="003A01AD">
        <w:rPr>
          <w:rFonts w:cs="Arial"/>
          <w:b/>
          <w:szCs w:val="20"/>
          <w:lang w:val="sl-SI"/>
        </w:rPr>
        <w:t>Tabela ocene stroškov udeležbe delegacije Republike Slovenije na desetem evropskem regionalnem srečanju Mednarodne organizacije dela.</w:t>
      </w:r>
    </w:p>
    <w:p w:rsidR="00EC71F2" w:rsidRPr="003A01AD" w:rsidRDefault="00EC71F2" w:rsidP="00C0152F">
      <w:pPr>
        <w:overflowPunct w:val="0"/>
        <w:autoSpaceDE w:val="0"/>
        <w:autoSpaceDN w:val="0"/>
        <w:adjustRightInd w:val="0"/>
        <w:spacing w:line="260" w:lineRule="atLeast"/>
        <w:jc w:val="right"/>
        <w:textAlignment w:val="baseline"/>
        <w:rPr>
          <w:rFonts w:cs="Arial"/>
          <w:szCs w:val="20"/>
          <w:lang w:val="sl-SI"/>
        </w:rPr>
      </w:pPr>
    </w:p>
    <w:p w:rsidR="00EC71F2" w:rsidRPr="003A01AD" w:rsidRDefault="00EC71F2" w:rsidP="00C0152F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lang w:val="sl-SI"/>
        </w:rPr>
        <w:t xml:space="preserve">V skladu s </w:t>
      </w:r>
      <w:r w:rsidR="00A06265" w:rsidRPr="003A01AD">
        <w:rPr>
          <w:rFonts w:cs="Arial"/>
          <w:szCs w:val="20"/>
          <w:lang w:val="sl-SI"/>
        </w:rPr>
        <w:t>prvim odstavkom 1. člena</w:t>
      </w:r>
      <w:r w:rsidR="00984E12" w:rsidRPr="003A01AD">
        <w:rPr>
          <w:rFonts w:cs="Arial"/>
          <w:szCs w:val="20"/>
          <w:lang w:val="sl-SI"/>
        </w:rPr>
        <w:t xml:space="preserve"> Pravil Mednarodne organizacije dela (v nadaljevanju MOD)</w:t>
      </w:r>
      <w:r w:rsidR="00ED520B" w:rsidRPr="003A01AD">
        <w:rPr>
          <w:rFonts w:cs="Arial"/>
          <w:szCs w:val="20"/>
          <w:lang w:val="sl-SI"/>
        </w:rPr>
        <w:t xml:space="preserve"> za regionalna srečanja</w:t>
      </w:r>
      <w:r w:rsidRPr="003A01AD">
        <w:rPr>
          <w:rFonts w:cs="Arial"/>
          <w:szCs w:val="20"/>
          <w:lang w:val="sl-SI"/>
        </w:rPr>
        <w:t xml:space="preserve"> stroške potovanja in bivanja svojih delegatov in njihovih svetovalcev na </w:t>
      </w:r>
      <w:r w:rsidR="00ED520B" w:rsidRPr="003A01AD">
        <w:rPr>
          <w:rFonts w:cs="Arial"/>
          <w:szCs w:val="20"/>
          <w:lang w:val="sl-SI"/>
        </w:rPr>
        <w:t xml:space="preserve">regionalnih srečanjih </w:t>
      </w:r>
      <w:r w:rsidRPr="003A01AD">
        <w:rPr>
          <w:rFonts w:cs="Arial"/>
          <w:szCs w:val="20"/>
          <w:lang w:val="sl-SI"/>
        </w:rPr>
        <w:t xml:space="preserve">poravnajo vlade držav članic. Izhajajoč iz te določbe bo Vlada Republike Slovenije slovenski delegaciji zagotovila potrebna finančna sredstva za udeležbo na </w:t>
      </w:r>
      <w:r w:rsidR="00ED520B" w:rsidRPr="003A01AD">
        <w:rPr>
          <w:rFonts w:cs="Arial"/>
          <w:szCs w:val="20"/>
          <w:lang w:val="sl-SI"/>
        </w:rPr>
        <w:t>desetem evropskem regionalnem srečanju MOD</w:t>
      </w:r>
      <w:r w:rsidRPr="003A01AD">
        <w:rPr>
          <w:rFonts w:cs="Arial"/>
          <w:szCs w:val="20"/>
          <w:lang w:val="sl-SI"/>
        </w:rPr>
        <w:t>. Stroške udeležbe članov delegacije krije Ministrstvo za delo, družino, socialne zadeve in enake možnosti s proračunske postavk</w:t>
      </w:r>
      <w:r w:rsidR="00CC0F90" w:rsidRPr="003A01AD">
        <w:rPr>
          <w:rFonts w:cs="Arial"/>
          <w:szCs w:val="20"/>
          <w:lang w:val="sl-SI"/>
        </w:rPr>
        <w:t xml:space="preserve">e 7172 – mednarodno sodelovanje, razen stroškov udeležbe </w:t>
      </w:r>
      <w:r w:rsidR="00DB6B22">
        <w:rPr>
          <w:rFonts w:cs="Arial"/>
          <w:szCs w:val="20"/>
          <w:lang w:val="sl-SI"/>
        </w:rPr>
        <w:t xml:space="preserve">državne sekretarke, </w:t>
      </w:r>
      <w:r w:rsidR="00D2772A">
        <w:rPr>
          <w:rFonts w:cs="Arial"/>
          <w:szCs w:val="20"/>
          <w:lang w:val="sl-SI"/>
        </w:rPr>
        <w:t xml:space="preserve">vodje </w:t>
      </w:r>
      <w:r w:rsidR="00D2772A" w:rsidRPr="00D2772A">
        <w:rPr>
          <w:rFonts w:cs="Arial"/>
          <w:szCs w:val="20"/>
          <w:lang w:val="sl-SI"/>
        </w:rPr>
        <w:t>Sektor</w:t>
      </w:r>
      <w:r w:rsidR="00D2772A">
        <w:rPr>
          <w:rFonts w:cs="Arial"/>
          <w:szCs w:val="20"/>
          <w:lang w:val="sl-SI"/>
        </w:rPr>
        <w:t>ja</w:t>
      </w:r>
      <w:r w:rsidR="00D2772A" w:rsidRPr="00D2772A">
        <w:rPr>
          <w:rFonts w:cs="Arial"/>
          <w:szCs w:val="20"/>
          <w:lang w:val="sl-SI"/>
        </w:rPr>
        <w:t xml:space="preserve"> za socialno podjetništvo</w:t>
      </w:r>
      <w:r w:rsidR="00D2772A">
        <w:rPr>
          <w:rFonts w:cs="Arial"/>
          <w:szCs w:val="20"/>
          <w:lang w:val="sl-SI"/>
        </w:rPr>
        <w:t xml:space="preserve"> </w:t>
      </w:r>
      <w:r w:rsidR="00CC0F90" w:rsidRPr="003A01AD">
        <w:rPr>
          <w:rFonts w:cs="Arial"/>
          <w:szCs w:val="20"/>
          <w:lang w:val="sl-SI"/>
        </w:rPr>
        <w:t>na Ministrstvu za gospodarski razvoj in tehnologijo</w:t>
      </w:r>
      <w:r w:rsidR="00495B26">
        <w:rPr>
          <w:rFonts w:cs="Arial"/>
          <w:szCs w:val="20"/>
          <w:lang w:val="sl-SI"/>
        </w:rPr>
        <w:t>,</w:t>
      </w:r>
      <w:r w:rsidR="00CC0F90" w:rsidRPr="003A01AD">
        <w:rPr>
          <w:rFonts w:cs="Arial"/>
          <w:szCs w:val="20"/>
          <w:lang w:val="sl-SI"/>
        </w:rPr>
        <w:t xml:space="preserve"> ge. Mojce Štepic, ki jih krije Ministrstvo za go</w:t>
      </w:r>
      <w:r w:rsidR="00AB7E0B">
        <w:rPr>
          <w:rFonts w:cs="Arial"/>
          <w:szCs w:val="20"/>
          <w:lang w:val="sl-SI"/>
        </w:rPr>
        <w:t>spodarski razvoj in tehnologijo</w:t>
      </w:r>
      <w:r w:rsidR="00495B26">
        <w:rPr>
          <w:rFonts w:cs="Arial"/>
          <w:szCs w:val="20"/>
          <w:lang w:val="sl-SI"/>
        </w:rPr>
        <w:t>,</w:t>
      </w:r>
      <w:r w:rsidR="00AB7E0B">
        <w:rPr>
          <w:rFonts w:cs="Arial"/>
          <w:szCs w:val="20"/>
          <w:lang w:val="sl-SI"/>
        </w:rPr>
        <w:t xml:space="preserve"> ter ge. Tatjane Kovačič, </w:t>
      </w:r>
      <w:r w:rsidR="00495B26">
        <w:rPr>
          <w:rFonts w:cs="Arial"/>
          <w:szCs w:val="20"/>
          <w:lang w:val="sl-SI"/>
        </w:rPr>
        <w:t xml:space="preserve">namestnice veleposlanika, </w:t>
      </w:r>
      <w:r w:rsidR="00AB7E0B">
        <w:rPr>
          <w:rFonts w:cs="Arial"/>
          <w:szCs w:val="20"/>
          <w:lang w:val="sl-SI"/>
        </w:rPr>
        <w:t>ki jih krije Veleposlaništvo Republike Slovenije v Ankari.</w:t>
      </w:r>
    </w:p>
    <w:p w:rsidR="00EC71F2" w:rsidRPr="003A01AD" w:rsidRDefault="00EC71F2" w:rsidP="00C0152F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/>
        </w:rPr>
      </w:pPr>
    </w:p>
    <w:p w:rsidR="00EC71F2" w:rsidRPr="003A01AD" w:rsidRDefault="00EC71F2" w:rsidP="00C0152F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lang w:val="sl-SI"/>
        </w:rPr>
        <w:t xml:space="preserve">Ocena skupnih stroškov udeležbe slovenske delegacije na </w:t>
      </w:r>
      <w:r w:rsidR="00ED520B" w:rsidRPr="003A01AD">
        <w:rPr>
          <w:rFonts w:cs="Arial"/>
          <w:szCs w:val="20"/>
          <w:lang w:val="sl-SI"/>
        </w:rPr>
        <w:t>desetem evropskem regionalnem srečanju v Istanbulu</w:t>
      </w:r>
      <w:r w:rsidRPr="003A01AD">
        <w:rPr>
          <w:rFonts w:cs="Arial"/>
          <w:szCs w:val="20"/>
          <w:lang w:val="sl-SI"/>
        </w:rPr>
        <w:t xml:space="preserve"> znaša </w:t>
      </w:r>
      <w:r w:rsidR="0080112A">
        <w:rPr>
          <w:rFonts w:cs="Arial"/>
          <w:szCs w:val="20"/>
          <w:lang w:val="sl-SI"/>
        </w:rPr>
        <w:t>3.587,2</w:t>
      </w:r>
      <w:r w:rsidR="00E83A5A">
        <w:rPr>
          <w:rFonts w:cs="Arial"/>
          <w:szCs w:val="20"/>
          <w:lang w:val="sl-SI"/>
        </w:rPr>
        <w:t>0</w:t>
      </w:r>
      <w:r w:rsidRPr="00A64B32">
        <w:rPr>
          <w:rFonts w:cs="Arial"/>
          <w:szCs w:val="20"/>
          <w:lang w:val="sl-SI"/>
        </w:rPr>
        <w:t xml:space="preserve"> evrov</w:t>
      </w:r>
      <w:r w:rsidRPr="003A01AD">
        <w:rPr>
          <w:rFonts w:cs="Arial"/>
          <w:szCs w:val="20"/>
          <w:lang w:val="sl-SI"/>
        </w:rPr>
        <w:t xml:space="preserve">. Skupni stroški se lahko spremenijo glede na cene letalskih vozovnic na dan nakupa. </w:t>
      </w:r>
    </w:p>
    <w:p w:rsidR="00EC71F2" w:rsidRPr="003A01AD" w:rsidRDefault="00EC71F2" w:rsidP="00C0152F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/>
        </w:rPr>
      </w:pPr>
    </w:p>
    <w:p w:rsidR="00EC71F2" w:rsidRPr="003A01AD" w:rsidRDefault="00EC71F2" w:rsidP="00C0152F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/>
        </w:rPr>
      </w:pPr>
      <w:r w:rsidRPr="003A01AD">
        <w:rPr>
          <w:rFonts w:cs="Arial"/>
          <w:szCs w:val="20"/>
          <w:lang w:val="sl-SI"/>
        </w:rPr>
        <w:t>Izračun vključuje stroške nastanitve (nočitev z zajtrkom), strošek povratne letalske vozovnice ter strošek dnevnic. Okvirna cena povratne le</w:t>
      </w:r>
      <w:r w:rsidR="005A4C72" w:rsidRPr="003A01AD">
        <w:rPr>
          <w:rFonts w:cs="Arial"/>
          <w:szCs w:val="20"/>
          <w:lang w:val="sl-SI"/>
        </w:rPr>
        <w:t>talske vozovnice znaša na dan 18</w:t>
      </w:r>
      <w:r w:rsidR="00FB0663" w:rsidRPr="003A01AD">
        <w:rPr>
          <w:rFonts w:cs="Arial"/>
          <w:szCs w:val="20"/>
          <w:lang w:val="sl-SI"/>
        </w:rPr>
        <w:t>. 8. 2017</w:t>
      </w:r>
      <w:r w:rsidR="005A4C72" w:rsidRPr="003A01AD">
        <w:rPr>
          <w:rFonts w:cs="Arial"/>
          <w:szCs w:val="20"/>
          <w:lang w:val="sl-SI"/>
        </w:rPr>
        <w:t xml:space="preserve"> 260</w:t>
      </w:r>
      <w:r w:rsidRPr="003A01AD">
        <w:rPr>
          <w:rFonts w:cs="Arial"/>
          <w:szCs w:val="20"/>
          <w:lang w:val="sl-SI"/>
        </w:rPr>
        <w:t xml:space="preserve"> evrov. Znesek dnevnice za </w:t>
      </w:r>
      <w:r w:rsidR="00ED520B" w:rsidRPr="003A01AD">
        <w:rPr>
          <w:rFonts w:cs="Arial"/>
          <w:szCs w:val="20"/>
          <w:lang w:val="sl-SI"/>
        </w:rPr>
        <w:t>Turčijo</w:t>
      </w:r>
      <w:r w:rsidRPr="003A01AD">
        <w:rPr>
          <w:rFonts w:cs="Arial"/>
          <w:szCs w:val="20"/>
          <w:lang w:val="sl-SI"/>
        </w:rPr>
        <w:t xml:space="preserve"> je opredeljen v prilogi Uredbe o povračilu stroškov za službena potovanja v tujino (Uradni list RS, št. 38/94, 63/94, 24/96, 96/00, 35/02, 86/02, 66/04, 73/04, 16</w:t>
      </w:r>
      <w:r w:rsidR="00CC0F90" w:rsidRPr="003A01AD">
        <w:rPr>
          <w:rFonts w:cs="Arial"/>
          <w:szCs w:val="20"/>
          <w:lang w:val="sl-SI"/>
        </w:rPr>
        <w:t>/07, 30/09 in 51/12) in znaša 32</w:t>
      </w:r>
      <w:r w:rsidRPr="003A01AD">
        <w:rPr>
          <w:rFonts w:cs="Arial"/>
          <w:szCs w:val="20"/>
          <w:lang w:val="sl-SI"/>
        </w:rPr>
        <w:t xml:space="preserve"> evrov, pri čemer se v skladu z drugim odstavkom 8. člena Uredbe v primeru zagotovljenega brezplačnega zajtrka odšteje 10 odstotka zneska dnevnice. Cena nastanitve z zajtrkom </w:t>
      </w:r>
      <w:r w:rsidR="00941FE1" w:rsidRPr="003A01AD">
        <w:rPr>
          <w:rFonts w:cs="Arial"/>
          <w:szCs w:val="20"/>
          <w:lang w:val="sl-SI"/>
        </w:rPr>
        <w:t>brez davka na dodano vrednost znaša 110 EUR</w:t>
      </w:r>
      <w:r w:rsidRPr="003A01AD">
        <w:rPr>
          <w:rFonts w:cs="Arial"/>
          <w:szCs w:val="20"/>
          <w:lang w:val="sl-SI"/>
        </w:rPr>
        <w:t>.</w:t>
      </w:r>
      <w:r w:rsidR="00274543">
        <w:rPr>
          <w:rFonts w:cs="Arial"/>
          <w:szCs w:val="20"/>
          <w:lang w:val="sl-SI"/>
        </w:rPr>
        <w:t xml:space="preserve"> </w:t>
      </w:r>
    </w:p>
    <w:p w:rsidR="00EC71F2" w:rsidRDefault="00EC71F2" w:rsidP="00C0152F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/>
        </w:rPr>
      </w:pPr>
    </w:p>
    <w:p w:rsidR="008D5C2A" w:rsidRPr="003A01AD" w:rsidRDefault="008D5C2A" w:rsidP="00C0152F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1346"/>
        <w:gridCol w:w="1802"/>
        <w:gridCol w:w="1759"/>
        <w:gridCol w:w="1459"/>
      </w:tblGrid>
      <w:tr w:rsidR="00EC71F2" w:rsidRPr="003A01AD" w:rsidTr="00B9256D">
        <w:tc>
          <w:tcPr>
            <w:tcW w:w="2122" w:type="dxa"/>
          </w:tcPr>
          <w:p w:rsidR="00EC71F2" w:rsidRPr="003A01AD" w:rsidRDefault="00EC71F2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46" w:type="dxa"/>
          </w:tcPr>
          <w:p w:rsidR="00EC71F2" w:rsidRPr="003A01AD" w:rsidRDefault="00EC71F2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b/>
                <w:szCs w:val="20"/>
                <w:lang w:val="sl-SI"/>
              </w:rPr>
            </w:pPr>
            <w:r w:rsidRPr="003A01AD">
              <w:rPr>
                <w:rFonts w:cs="Arial"/>
                <w:b/>
                <w:szCs w:val="20"/>
                <w:lang w:val="sl-SI"/>
              </w:rPr>
              <w:t>Cena letalske karte</w:t>
            </w:r>
            <w:r w:rsidRPr="003A01AD">
              <w:rPr>
                <w:rStyle w:val="Sprotnaopomba-sklic"/>
                <w:b/>
                <w:szCs w:val="20"/>
                <w:lang w:val="sl-SI"/>
              </w:rPr>
              <w:footnoteReference w:id="1"/>
            </w:r>
            <w:r w:rsidRPr="003A01AD">
              <w:rPr>
                <w:rFonts w:cs="Arial"/>
                <w:b/>
                <w:szCs w:val="20"/>
                <w:lang w:val="sl-SI"/>
              </w:rPr>
              <w:t xml:space="preserve"> (v EUR)</w:t>
            </w:r>
          </w:p>
        </w:tc>
        <w:tc>
          <w:tcPr>
            <w:tcW w:w="1802" w:type="dxa"/>
          </w:tcPr>
          <w:p w:rsidR="00EC71F2" w:rsidRPr="003A01AD" w:rsidRDefault="00EC71F2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b/>
                <w:szCs w:val="20"/>
                <w:lang w:val="sl-SI"/>
              </w:rPr>
            </w:pPr>
            <w:r w:rsidRPr="003A01AD">
              <w:rPr>
                <w:rFonts w:cs="Arial"/>
                <w:b/>
                <w:szCs w:val="20"/>
                <w:lang w:val="sl-SI"/>
              </w:rPr>
              <w:t>Cena nastanitve z zajtrkom (v EUR)</w:t>
            </w:r>
            <w:r w:rsidRPr="003A01AD">
              <w:rPr>
                <w:rStyle w:val="Sprotnaopomba-sklic"/>
                <w:b/>
                <w:szCs w:val="20"/>
                <w:lang w:val="sl-SI"/>
              </w:rPr>
              <w:footnoteReference w:id="2"/>
            </w:r>
          </w:p>
        </w:tc>
        <w:tc>
          <w:tcPr>
            <w:tcW w:w="1759" w:type="dxa"/>
          </w:tcPr>
          <w:p w:rsidR="00EC71F2" w:rsidRPr="003A01AD" w:rsidRDefault="00EC71F2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b/>
                <w:szCs w:val="20"/>
                <w:lang w:val="sl-SI"/>
              </w:rPr>
            </w:pPr>
            <w:r w:rsidRPr="003A01AD">
              <w:rPr>
                <w:rFonts w:cs="Arial"/>
                <w:b/>
                <w:szCs w:val="20"/>
                <w:lang w:val="sl-SI"/>
              </w:rPr>
              <w:t>Stroški za 90 % dnevnice (v EUR)</w:t>
            </w:r>
            <w:r w:rsidRPr="003A01AD">
              <w:rPr>
                <w:rStyle w:val="Sprotnaopomba-sklic"/>
                <w:b/>
                <w:szCs w:val="20"/>
                <w:lang w:val="sl-SI"/>
              </w:rPr>
              <w:footnoteReference w:id="3"/>
            </w:r>
          </w:p>
        </w:tc>
        <w:tc>
          <w:tcPr>
            <w:tcW w:w="1459" w:type="dxa"/>
          </w:tcPr>
          <w:p w:rsidR="00EC71F2" w:rsidRPr="003A01AD" w:rsidRDefault="00EC71F2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b/>
                <w:szCs w:val="20"/>
                <w:lang w:val="sl-SI"/>
              </w:rPr>
            </w:pPr>
            <w:r w:rsidRPr="003A01AD">
              <w:rPr>
                <w:rFonts w:cs="Arial"/>
                <w:b/>
                <w:szCs w:val="20"/>
                <w:lang w:val="sl-SI"/>
              </w:rPr>
              <w:t>SKUPAJ</w:t>
            </w:r>
          </w:p>
        </w:tc>
      </w:tr>
      <w:tr w:rsidR="00EC71F2" w:rsidRPr="003A01AD" w:rsidTr="00B9256D">
        <w:tc>
          <w:tcPr>
            <w:tcW w:w="2122" w:type="dxa"/>
          </w:tcPr>
          <w:p w:rsidR="00EC71F2" w:rsidRPr="003A01AD" w:rsidRDefault="005A4C72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Peter Pogačar</w:t>
            </w:r>
            <w:r w:rsidR="00EC71F2" w:rsidRPr="003A01AD">
              <w:rPr>
                <w:rFonts w:cs="Arial"/>
                <w:szCs w:val="20"/>
                <w:lang w:val="sl-SI"/>
              </w:rPr>
              <w:t xml:space="preserve"> </w:t>
            </w:r>
          </w:p>
          <w:p w:rsidR="00EC71F2" w:rsidRPr="003A01AD" w:rsidRDefault="00274543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(1</w:t>
            </w:r>
            <w:r w:rsidR="005A4C72" w:rsidRPr="003A01AD">
              <w:rPr>
                <w:rFonts w:cs="Arial"/>
                <w:sz w:val="16"/>
                <w:szCs w:val="16"/>
                <w:lang w:val="sl-SI"/>
              </w:rPr>
              <w:t>. 10</w:t>
            </w:r>
            <w:r w:rsidR="00EC71F2" w:rsidRPr="003A01AD">
              <w:rPr>
                <w:rFonts w:cs="Arial"/>
                <w:sz w:val="16"/>
                <w:szCs w:val="16"/>
                <w:lang w:val="sl-SI"/>
              </w:rPr>
              <w:t xml:space="preserve">. 2017 – </w:t>
            </w:r>
            <w:r w:rsidR="00C06D70">
              <w:rPr>
                <w:rFonts w:cs="Arial"/>
                <w:sz w:val="16"/>
                <w:szCs w:val="16"/>
                <w:lang w:val="sl-SI"/>
              </w:rPr>
              <w:t>4</w:t>
            </w:r>
            <w:r w:rsidR="005A4C72" w:rsidRPr="003A01AD">
              <w:rPr>
                <w:rFonts w:cs="Arial"/>
                <w:sz w:val="16"/>
                <w:szCs w:val="16"/>
                <w:lang w:val="sl-SI"/>
              </w:rPr>
              <w:t>. 10</w:t>
            </w:r>
            <w:r w:rsidR="00EC71F2" w:rsidRPr="003A01AD">
              <w:rPr>
                <w:rFonts w:cs="Arial"/>
                <w:sz w:val="16"/>
                <w:szCs w:val="16"/>
                <w:lang w:val="sl-SI"/>
              </w:rPr>
              <w:t>. 2017)</w:t>
            </w:r>
          </w:p>
        </w:tc>
        <w:tc>
          <w:tcPr>
            <w:tcW w:w="1346" w:type="dxa"/>
          </w:tcPr>
          <w:p w:rsidR="00EC71F2" w:rsidRPr="003A01AD" w:rsidRDefault="00A641A3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150</w:t>
            </w:r>
            <w:r>
              <w:rPr>
                <w:rStyle w:val="Sprotnaopomba-sklic"/>
                <w:szCs w:val="20"/>
                <w:lang w:val="sl-SI"/>
              </w:rPr>
              <w:footnoteReference w:id="4"/>
            </w:r>
          </w:p>
        </w:tc>
        <w:tc>
          <w:tcPr>
            <w:tcW w:w="1802" w:type="dxa"/>
          </w:tcPr>
          <w:p w:rsidR="00EC71F2" w:rsidRPr="003A01AD" w:rsidRDefault="00DF417F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421,2</w:t>
            </w:r>
            <w:r w:rsidR="00E83A5A">
              <w:rPr>
                <w:rFonts w:cs="Arial"/>
                <w:szCs w:val="20"/>
                <w:lang w:val="sl-SI"/>
              </w:rPr>
              <w:t>0</w:t>
            </w:r>
          </w:p>
        </w:tc>
        <w:tc>
          <w:tcPr>
            <w:tcW w:w="1759" w:type="dxa"/>
          </w:tcPr>
          <w:p w:rsidR="00EC71F2" w:rsidRPr="003A01AD" w:rsidRDefault="00DF417F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115,2</w:t>
            </w:r>
            <w:r w:rsidR="00E83A5A">
              <w:rPr>
                <w:rFonts w:cs="Arial"/>
                <w:szCs w:val="20"/>
                <w:lang w:val="sl-SI"/>
              </w:rPr>
              <w:t>0</w:t>
            </w:r>
          </w:p>
        </w:tc>
        <w:tc>
          <w:tcPr>
            <w:tcW w:w="1459" w:type="dxa"/>
          </w:tcPr>
          <w:p w:rsidR="00EC71F2" w:rsidRPr="003A01AD" w:rsidRDefault="00A641A3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686,4</w:t>
            </w:r>
            <w:r w:rsidR="00E83A5A">
              <w:rPr>
                <w:rFonts w:cs="Arial"/>
                <w:szCs w:val="20"/>
                <w:lang w:val="sl-SI"/>
              </w:rPr>
              <w:t>0</w:t>
            </w:r>
          </w:p>
        </w:tc>
      </w:tr>
      <w:tr w:rsidR="00784F13" w:rsidRPr="003A01AD" w:rsidTr="00784F13">
        <w:tc>
          <w:tcPr>
            <w:tcW w:w="2122" w:type="dxa"/>
          </w:tcPr>
          <w:p w:rsidR="00784F13" w:rsidRPr="003A01AD" w:rsidRDefault="00784F13" w:rsidP="00B0569C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 xml:space="preserve">Mojca </w:t>
            </w:r>
            <w:proofErr w:type="spellStart"/>
            <w:r w:rsidRPr="003A01AD">
              <w:rPr>
                <w:rFonts w:cs="Arial"/>
                <w:szCs w:val="20"/>
                <w:lang w:val="sl-SI"/>
              </w:rPr>
              <w:t>Štepic</w:t>
            </w:r>
            <w:proofErr w:type="spellEnd"/>
          </w:p>
          <w:p w:rsidR="00784F13" w:rsidRPr="003A01AD" w:rsidRDefault="00784F13" w:rsidP="00B0569C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(2. 10. 2017 – 4</w:t>
            </w:r>
            <w:r w:rsidRPr="003A01AD">
              <w:rPr>
                <w:rFonts w:cs="Arial"/>
                <w:sz w:val="16"/>
                <w:szCs w:val="16"/>
                <w:lang w:val="sl-SI"/>
              </w:rPr>
              <w:t>. 10. 2017)</w:t>
            </w:r>
          </w:p>
        </w:tc>
        <w:tc>
          <w:tcPr>
            <w:tcW w:w="1346" w:type="dxa"/>
          </w:tcPr>
          <w:p w:rsidR="00784F13" w:rsidRPr="003A01AD" w:rsidRDefault="00784F13" w:rsidP="00B0569C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260</w:t>
            </w:r>
          </w:p>
        </w:tc>
        <w:tc>
          <w:tcPr>
            <w:tcW w:w="1802" w:type="dxa"/>
          </w:tcPr>
          <w:p w:rsidR="00784F13" w:rsidRPr="003A01AD" w:rsidRDefault="00784F13" w:rsidP="00B0569C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237,6</w:t>
            </w:r>
            <w:r w:rsidR="00E83A5A">
              <w:rPr>
                <w:rFonts w:cs="Arial"/>
                <w:szCs w:val="20"/>
                <w:lang w:val="sl-SI"/>
              </w:rPr>
              <w:t>0</w:t>
            </w:r>
          </w:p>
        </w:tc>
        <w:tc>
          <w:tcPr>
            <w:tcW w:w="1759" w:type="dxa"/>
          </w:tcPr>
          <w:p w:rsidR="00784F13" w:rsidRPr="003A01AD" w:rsidRDefault="00784F13" w:rsidP="00B0569C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86,4</w:t>
            </w:r>
            <w:r w:rsidR="00E83A5A">
              <w:rPr>
                <w:rFonts w:cs="Arial"/>
                <w:szCs w:val="20"/>
                <w:lang w:val="sl-SI"/>
              </w:rPr>
              <w:t>0</w:t>
            </w:r>
          </w:p>
        </w:tc>
        <w:tc>
          <w:tcPr>
            <w:tcW w:w="1459" w:type="dxa"/>
          </w:tcPr>
          <w:p w:rsidR="00784F13" w:rsidRPr="003A01AD" w:rsidRDefault="005E0C7A" w:rsidP="00B0569C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584</w:t>
            </w:r>
          </w:p>
        </w:tc>
      </w:tr>
      <w:tr w:rsidR="00784F13" w:rsidRPr="003A01AD" w:rsidTr="00B9256D">
        <w:tc>
          <w:tcPr>
            <w:tcW w:w="2122" w:type="dxa"/>
          </w:tcPr>
          <w:p w:rsidR="00784F13" w:rsidRPr="003A01AD" w:rsidRDefault="00784F13" w:rsidP="00784F13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Tatjana Kovačič</w:t>
            </w:r>
            <w:r w:rsidR="00993596">
              <w:rPr>
                <w:rStyle w:val="Sprotnaopomba-sklic"/>
                <w:szCs w:val="20"/>
                <w:lang w:val="sl-SI"/>
              </w:rPr>
              <w:footnoteReference w:id="5"/>
            </w:r>
            <w:r w:rsidRPr="003A01AD">
              <w:rPr>
                <w:rFonts w:cs="Arial"/>
                <w:szCs w:val="20"/>
                <w:lang w:val="sl-SI"/>
              </w:rPr>
              <w:t xml:space="preserve"> </w:t>
            </w:r>
          </w:p>
          <w:p w:rsidR="00784F13" w:rsidRPr="003A01AD" w:rsidRDefault="00784F13" w:rsidP="00784F13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(1</w:t>
            </w:r>
            <w:r w:rsidRPr="003A01AD">
              <w:rPr>
                <w:rFonts w:cs="Arial"/>
                <w:sz w:val="16"/>
                <w:szCs w:val="16"/>
                <w:lang w:val="sl-SI"/>
              </w:rPr>
              <w:t xml:space="preserve">. 10. 2017 – </w:t>
            </w:r>
            <w:r>
              <w:rPr>
                <w:rFonts w:cs="Arial"/>
                <w:sz w:val="16"/>
                <w:szCs w:val="16"/>
                <w:lang w:val="sl-SI"/>
              </w:rPr>
              <w:t>5</w:t>
            </w:r>
            <w:r w:rsidRPr="003A01AD">
              <w:rPr>
                <w:rFonts w:cs="Arial"/>
                <w:sz w:val="16"/>
                <w:szCs w:val="16"/>
                <w:lang w:val="sl-SI"/>
              </w:rPr>
              <w:t>. 10. 2017</w:t>
            </w:r>
          </w:p>
        </w:tc>
        <w:tc>
          <w:tcPr>
            <w:tcW w:w="1346" w:type="dxa"/>
          </w:tcPr>
          <w:p w:rsidR="00784F13" w:rsidRPr="003A01AD" w:rsidRDefault="00784F13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50</w:t>
            </w:r>
          </w:p>
        </w:tc>
        <w:tc>
          <w:tcPr>
            <w:tcW w:w="1802" w:type="dxa"/>
          </w:tcPr>
          <w:p w:rsidR="00784F13" w:rsidRDefault="00784F13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highlight w:val="yellow"/>
                <w:lang w:val="sl-SI"/>
              </w:rPr>
            </w:pPr>
            <w:r w:rsidRPr="00784F13">
              <w:rPr>
                <w:rFonts w:cs="Arial"/>
                <w:szCs w:val="20"/>
                <w:lang w:val="sl-SI"/>
              </w:rPr>
              <w:t>440</w:t>
            </w:r>
          </w:p>
        </w:tc>
        <w:tc>
          <w:tcPr>
            <w:tcW w:w="1759" w:type="dxa"/>
          </w:tcPr>
          <w:p w:rsidR="00784F13" w:rsidRDefault="008C5178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68,4</w:t>
            </w:r>
            <w:r w:rsidR="00E83A5A">
              <w:rPr>
                <w:rFonts w:cs="Arial"/>
                <w:szCs w:val="20"/>
                <w:lang w:val="sl-SI"/>
              </w:rPr>
              <w:t>0</w:t>
            </w:r>
          </w:p>
        </w:tc>
        <w:tc>
          <w:tcPr>
            <w:tcW w:w="1459" w:type="dxa"/>
          </w:tcPr>
          <w:p w:rsidR="00784F13" w:rsidRDefault="005E0C7A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558,4</w:t>
            </w:r>
            <w:r w:rsidR="00E83A5A">
              <w:rPr>
                <w:rFonts w:cs="Arial"/>
                <w:szCs w:val="20"/>
                <w:lang w:val="sl-SI"/>
              </w:rPr>
              <w:t>0</w:t>
            </w:r>
          </w:p>
        </w:tc>
      </w:tr>
      <w:tr w:rsidR="00784F13" w:rsidRPr="003A01AD" w:rsidTr="00784F13">
        <w:tc>
          <w:tcPr>
            <w:tcW w:w="2122" w:type="dxa"/>
          </w:tcPr>
          <w:p w:rsidR="00784F13" w:rsidRPr="003A01AD" w:rsidRDefault="00784F13" w:rsidP="00B0569C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 xml:space="preserve">Urška Draksler </w:t>
            </w:r>
          </w:p>
          <w:p w:rsidR="00784F13" w:rsidRPr="003A01AD" w:rsidRDefault="00784F13" w:rsidP="00B0569C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 w:val="16"/>
                <w:szCs w:val="16"/>
                <w:lang w:val="sl-SI"/>
              </w:rPr>
            </w:pPr>
            <w:r w:rsidRPr="003A01AD">
              <w:rPr>
                <w:rFonts w:cs="Arial"/>
                <w:sz w:val="16"/>
                <w:szCs w:val="16"/>
                <w:lang w:val="sl-SI"/>
              </w:rPr>
              <w:t>(1. 10. 2017 – 5. 10. 2017)</w:t>
            </w:r>
          </w:p>
        </w:tc>
        <w:tc>
          <w:tcPr>
            <w:tcW w:w="1346" w:type="dxa"/>
          </w:tcPr>
          <w:p w:rsidR="00784F13" w:rsidRPr="003A01AD" w:rsidRDefault="00784F13" w:rsidP="00B0569C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260</w:t>
            </w:r>
          </w:p>
        </w:tc>
        <w:tc>
          <w:tcPr>
            <w:tcW w:w="1802" w:type="dxa"/>
          </w:tcPr>
          <w:p w:rsidR="00784F13" w:rsidRPr="003A01AD" w:rsidRDefault="00784F13" w:rsidP="00B0569C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475,2</w:t>
            </w:r>
            <w:r w:rsidR="00E83A5A">
              <w:rPr>
                <w:rFonts w:cs="Arial"/>
                <w:szCs w:val="20"/>
                <w:lang w:val="sl-SI"/>
              </w:rPr>
              <w:t>0</w:t>
            </w:r>
          </w:p>
        </w:tc>
        <w:tc>
          <w:tcPr>
            <w:tcW w:w="1759" w:type="dxa"/>
          </w:tcPr>
          <w:p w:rsidR="00784F13" w:rsidRPr="003A01AD" w:rsidRDefault="00784F13" w:rsidP="00B0569C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144</w:t>
            </w:r>
          </w:p>
        </w:tc>
        <w:tc>
          <w:tcPr>
            <w:tcW w:w="1459" w:type="dxa"/>
          </w:tcPr>
          <w:p w:rsidR="00784F13" w:rsidRPr="003A01AD" w:rsidRDefault="005E0C7A" w:rsidP="00B0569C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879,2</w:t>
            </w:r>
            <w:r w:rsidR="00E83A5A">
              <w:rPr>
                <w:rFonts w:cs="Arial"/>
                <w:szCs w:val="20"/>
                <w:lang w:val="sl-SI"/>
              </w:rPr>
              <w:t>0</w:t>
            </w:r>
          </w:p>
        </w:tc>
      </w:tr>
      <w:tr w:rsidR="00EC71F2" w:rsidRPr="003A01AD" w:rsidTr="00B9256D">
        <w:tc>
          <w:tcPr>
            <w:tcW w:w="2122" w:type="dxa"/>
          </w:tcPr>
          <w:p w:rsidR="00EC71F2" w:rsidRPr="003A01AD" w:rsidRDefault="000E5098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Danijel Lamperger</w:t>
            </w:r>
          </w:p>
          <w:p w:rsidR="00EC71F2" w:rsidRPr="003A01AD" w:rsidRDefault="000E5098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(1. 10. 2017 – 5. 10</w:t>
            </w:r>
            <w:r w:rsidR="00EC71F2" w:rsidRPr="003A01AD">
              <w:rPr>
                <w:rFonts w:cs="Arial"/>
                <w:sz w:val="16"/>
                <w:szCs w:val="16"/>
                <w:lang w:val="sl-SI"/>
              </w:rPr>
              <w:t>. 2017)</w:t>
            </w:r>
          </w:p>
        </w:tc>
        <w:tc>
          <w:tcPr>
            <w:tcW w:w="1346" w:type="dxa"/>
          </w:tcPr>
          <w:p w:rsidR="00EC71F2" w:rsidRPr="003A01AD" w:rsidRDefault="005A4C72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 w:rsidRPr="003A01AD">
              <w:rPr>
                <w:rFonts w:cs="Arial"/>
                <w:szCs w:val="20"/>
                <w:lang w:val="sl-SI"/>
              </w:rPr>
              <w:t>260</w:t>
            </w:r>
          </w:p>
        </w:tc>
        <w:tc>
          <w:tcPr>
            <w:tcW w:w="1802" w:type="dxa"/>
          </w:tcPr>
          <w:p w:rsidR="00EC71F2" w:rsidRPr="003A01AD" w:rsidRDefault="00274543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475,2</w:t>
            </w:r>
            <w:r w:rsidR="00E83A5A">
              <w:rPr>
                <w:rFonts w:cs="Arial"/>
                <w:szCs w:val="20"/>
                <w:lang w:val="sl-SI"/>
              </w:rPr>
              <w:t>0</w:t>
            </w:r>
          </w:p>
        </w:tc>
        <w:tc>
          <w:tcPr>
            <w:tcW w:w="1759" w:type="dxa"/>
          </w:tcPr>
          <w:p w:rsidR="00EC71F2" w:rsidRPr="003A01AD" w:rsidRDefault="008C55AA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144</w:t>
            </w:r>
          </w:p>
        </w:tc>
        <w:tc>
          <w:tcPr>
            <w:tcW w:w="1459" w:type="dxa"/>
          </w:tcPr>
          <w:p w:rsidR="00EC71F2" w:rsidRPr="003A01AD" w:rsidRDefault="005E0C7A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879,2</w:t>
            </w:r>
            <w:r w:rsidR="00E83A5A">
              <w:rPr>
                <w:rFonts w:cs="Arial"/>
                <w:szCs w:val="20"/>
                <w:lang w:val="sl-SI"/>
              </w:rPr>
              <w:t>0</w:t>
            </w:r>
          </w:p>
        </w:tc>
      </w:tr>
      <w:tr w:rsidR="00EC71F2" w:rsidRPr="003A01AD" w:rsidTr="00B9256D">
        <w:tc>
          <w:tcPr>
            <w:tcW w:w="2122" w:type="dxa"/>
          </w:tcPr>
          <w:p w:rsidR="00EC71F2" w:rsidRPr="003A01AD" w:rsidRDefault="00EC71F2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b/>
                <w:szCs w:val="20"/>
                <w:lang w:val="sl-SI"/>
              </w:rPr>
            </w:pPr>
            <w:r w:rsidRPr="003A01AD">
              <w:rPr>
                <w:rFonts w:cs="Arial"/>
                <w:b/>
                <w:szCs w:val="20"/>
                <w:lang w:val="sl-SI"/>
              </w:rPr>
              <w:t>SKUPAJ</w:t>
            </w:r>
          </w:p>
        </w:tc>
        <w:tc>
          <w:tcPr>
            <w:tcW w:w="1346" w:type="dxa"/>
          </w:tcPr>
          <w:p w:rsidR="00EC71F2" w:rsidRPr="003A01AD" w:rsidRDefault="00A641A3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980</w:t>
            </w:r>
          </w:p>
        </w:tc>
        <w:tc>
          <w:tcPr>
            <w:tcW w:w="1802" w:type="dxa"/>
          </w:tcPr>
          <w:p w:rsidR="00EC71F2" w:rsidRPr="003A01AD" w:rsidRDefault="00A641A3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2049,2</w:t>
            </w:r>
            <w:r w:rsidR="00E83A5A">
              <w:rPr>
                <w:rFonts w:cs="Arial"/>
                <w:b/>
                <w:szCs w:val="20"/>
                <w:lang w:val="sl-SI"/>
              </w:rPr>
              <w:t>0</w:t>
            </w:r>
          </w:p>
        </w:tc>
        <w:tc>
          <w:tcPr>
            <w:tcW w:w="1759" w:type="dxa"/>
          </w:tcPr>
          <w:p w:rsidR="00EC71F2" w:rsidRPr="003A01AD" w:rsidRDefault="00A641A3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558</w:t>
            </w:r>
          </w:p>
        </w:tc>
        <w:tc>
          <w:tcPr>
            <w:tcW w:w="1459" w:type="dxa"/>
          </w:tcPr>
          <w:p w:rsidR="00EC71F2" w:rsidRPr="003A01AD" w:rsidRDefault="00A641A3" w:rsidP="00C0152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3587,2</w:t>
            </w:r>
            <w:r w:rsidR="00E83A5A">
              <w:rPr>
                <w:rFonts w:cs="Arial"/>
                <w:b/>
                <w:szCs w:val="20"/>
                <w:lang w:val="sl-SI"/>
              </w:rPr>
              <w:t>0</w:t>
            </w:r>
          </w:p>
        </w:tc>
      </w:tr>
    </w:tbl>
    <w:p w:rsidR="00EC71F2" w:rsidRPr="003A01AD" w:rsidRDefault="00EC71F2" w:rsidP="00520A4D">
      <w:pPr>
        <w:spacing w:line="260" w:lineRule="atLeast"/>
        <w:jc w:val="both"/>
        <w:rPr>
          <w:rFonts w:cs="Arial"/>
          <w:szCs w:val="20"/>
          <w:lang w:val="sl-SI" w:eastAsia="sl-SI"/>
        </w:rPr>
      </w:pPr>
    </w:p>
    <w:sectPr w:rsidR="00EC71F2" w:rsidRPr="003A01AD" w:rsidSect="00254B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9F" w:rsidRDefault="00C9239F">
      <w:r>
        <w:separator/>
      </w:r>
    </w:p>
  </w:endnote>
  <w:endnote w:type="continuationSeparator" w:id="0">
    <w:p w:rsidR="00C9239F" w:rsidRDefault="00C9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6D" w:rsidRDefault="00B925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6D" w:rsidRDefault="00B9256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6D" w:rsidRDefault="00B925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9F" w:rsidRDefault="00C9239F">
      <w:r>
        <w:separator/>
      </w:r>
    </w:p>
  </w:footnote>
  <w:footnote w:type="continuationSeparator" w:id="0">
    <w:p w:rsidR="00C9239F" w:rsidRDefault="00C9239F">
      <w:r>
        <w:continuationSeparator/>
      </w:r>
    </w:p>
  </w:footnote>
  <w:footnote w:id="1">
    <w:p w:rsidR="00B9256D" w:rsidRPr="00874019" w:rsidRDefault="00B9256D" w:rsidP="00D41D8C">
      <w:pPr>
        <w:pStyle w:val="Sprotnaopomba-besedilo"/>
        <w:jc w:val="both"/>
        <w:rPr>
          <w:sz w:val="16"/>
          <w:szCs w:val="16"/>
          <w:lang w:val="sl-SI"/>
        </w:rPr>
      </w:pPr>
      <w:r w:rsidRPr="00874019">
        <w:rPr>
          <w:rStyle w:val="Sprotnaopomba-sklic"/>
          <w:sz w:val="16"/>
          <w:szCs w:val="16"/>
          <w:lang w:val="sl-SI"/>
        </w:rPr>
        <w:footnoteRef/>
      </w:r>
      <w:r w:rsidR="005A4C72">
        <w:rPr>
          <w:sz w:val="16"/>
          <w:szCs w:val="16"/>
          <w:lang w:val="sl-SI"/>
        </w:rPr>
        <w:t xml:space="preserve"> Cena na dan 18. 8. 2017 cca. 260</w:t>
      </w:r>
      <w:r w:rsidRPr="00874019">
        <w:rPr>
          <w:sz w:val="16"/>
          <w:szCs w:val="16"/>
          <w:lang w:val="sl-SI"/>
        </w:rPr>
        <w:t xml:space="preserve"> EUR.</w:t>
      </w:r>
    </w:p>
  </w:footnote>
  <w:footnote w:id="2">
    <w:p w:rsidR="00B9256D" w:rsidRPr="00874019" w:rsidRDefault="00B9256D" w:rsidP="00D41D8C">
      <w:pPr>
        <w:pStyle w:val="Sprotnaopomba-besedilo"/>
        <w:jc w:val="both"/>
        <w:rPr>
          <w:sz w:val="16"/>
          <w:szCs w:val="16"/>
          <w:lang w:val="sl-SI"/>
        </w:rPr>
      </w:pPr>
      <w:r w:rsidRPr="00874019">
        <w:rPr>
          <w:rStyle w:val="Sprotnaopomba-sklic"/>
          <w:sz w:val="16"/>
          <w:szCs w:val="16"/>
          <w:lang w:val="sl-SI"/>
        </w:rPr>
        <w:footnoteRef/>
      </w:r>
      <w:r w:rsidRPr="00874019">
        <w:rPr>
          <w:sz w:val="16"/>
          <w:szCs w:val="16"/>
          <w:lang w:val="sl-SI"/>
        </w:rPr>
        <w:t xml:space="preserve"> </w:t>
      </w:r>
      <w:r w:rsidRPr="00874019">
        <w:rPr>
          <w:sz w:val="16"/>
          <w:szCs w:val="16"/>
          <w:lang w:val="sl-SI"/>
        </w:rPr>
        <w:t xml:space="preserve">Stroški nastanitve z zajtrkom (standardna soba): </w:t>
      </w:r>
      <w:r w:rsidR="00941FE1">
        <w:rPr>
          <w:sz w:val="16"/>
          <w:szCs w:val="16"/>
          <w:lang w:val="sl-SI"/>
        </w:rPr>
        <w:t>110 EUR</w:t>
      </w:r>
      <w:r w:rsidR="00274543">
        <w:rPr>
          <w:sz w:val="16"/>
          <w:szCs w:val="16"/>
          <w:lang w:val="sl-SI"/>
        </w:rPr>
        <w:t xml:space="preserve"> + 8,8 DDV = 118,8</w:t>
      </w:r>
      <w:r w:rsidR="0086383B">
        <w:rPr>
          <w:sz w:val="16"/>
          <w:szCs w:val="16"/>
          <w:lang w:val="sl-SI"/>
        </w:rPr>
        <w:t>0</w:t>
      </w:r>
      <w:r w:rsidR="00274543">
        <w:rPr>
          <w:sz w:val="16"/>
          <w:szCs w:val="16"/>
          <w:lang w:val="sl-SI"/>
        </w:rPr>
        <w:t xml:space="preserve"> EUR</w:t>
      </w:r>
      <w:r w:rsidRPr="00874019">
        <w:rPr>
          <w:sz w:val="16"/>
          <w:szCs w:val="16"/>
          <w:lang w:val="sl-SI"/>
        </w:rPr>
        <w:t xml:space="preserve">   </w:t>
      </w:r>
    </w:p>
    <w:p w:rsidR="00B9256D" w:rsidRPr="00874019" w:rsidRDefault="00B9256D" w:rsidP="00D41D8C">
      <w:pPr>
        <w:pStyle w:val="Sprotnaopomba-besedilo"/>
        <w:jc w:val="both"/>
        <w:rPr>
          <w:sz w:val="16"/>
          <w:szCs w:val="16"/>
          <w:lang w:val="sl-SI"/>
        </w:rPr>
      </w:pPr>
      <w:r w:rsidRPr="00874019">
        <w:rPr>
          <w:sz w:val="16"/>
          <w:szCs w:val="16"/>
          <w:lang w:val="sl-SI"/>
        </w:rPr>
        <w:t xml:space="preserve">  Stroški nastanitve z zajtrkom (nadstandardna soba)</w:t>
      </w:r>
      <w:r w:rsidR="00DB6B22">
        <w:rPr>
          <w:sz w:val="16"/>
          <w:szCs w:val="16"/>
          <w:lang w:val="sl-SI"/>
        </w:rPr>
        <w:t>: 13</w:t>
      </w:r>
      <w:r w:rsidR="00941FE1">
        <w:rPr>
          <w:sz w:val="16"/>
          <w:szCs w:val="16"/>
          <w:lang w:val="sl-SI"/>
        </w:rPr>
        <w:t>0 EUR</w:t>
      </w:r>
      <w:r w:rsidR="00274543">
        <w:rPr>
          <w:sz w:val="16"/>
          <w:szCs w:val="16"/>
          <w:lang w:val="sl-SI"/>
        </w:rPr>
        <w:t xml:space="preserve"> + 10,4 DDV = 140,4</w:t>
      </w:r>
      <w:r w:rsidR="0086383B">
        <w:rPr>
          <w:sz w:val="16"/>
          <w:szCs w:val="16"/>
          <w:lang w:val="sl-SI"/>
        </w:rPr>
        <w:t>0</w:t>
      </w:r>
      <w:r w:rsidR="00274543">
        <w:rPr>
          <w:sz w:val="16"/>
          <w:szCs w:val="16"/>
          <w:lang w:val="sl-SI"/>
        </w:rPr>
        <w:t xml:space="preserve"> EUR</w:t>
      </w:r>
    </w:p>
  </w:footnote>
  <w:footnote w:id="3">
    <w:p w:rsidR="00B9256D" w:rsidRPr="0033626C" w:rsidRDefault="00B9256D" w:rsidP="00D41D8C">
      <w:pPr>
        <w:pStyle w:val="Sprotnaopomba-besedilo"/>
        <w:jc w:val="both"/>
        <w:rPr>
          <w:sz w:val="16"/>
          <w:szCs w:val="16"/>
          <w:lang w:val="sl-SI"/>
        </w:rPr>
      </w:pPr>
      <w:r w:rsidRPr="00874019">
        <w:rPr>
          <w:rStyle w:val="Sprotnaopomba-sklic"/>
          <w:sz w:val="16"/>
          <w:szCs w:val="16"/>
          <w:lang w:val="sl-SI"/>
        </w:rPr>
        <w:footnoteRef/>
      </w:r>
      <w:r w:rsidRPr="00874019">
        <w:rPr>
          <w:sz w:val="16"/>
          <w:szCs w:val="16"/>
          <w:lang w:val="sl-SI"/>
        </w:rPr>
        <w:t xml:space="preserve"> </w:t>
      </w:r>
      <w:r w:rsidRPr="00874019">
        <w:rPr>
          <w:sz w:val="16"/>
          <w:szCs w:val="16"/>
          <w:lang w:val="sl-SI"/>
        </w:rPr>
        <w:t>Dnevnica upoštevaje zagotovljen za</w:t>
      </w:r>
      <w:r w:rsidR="00FB0663">
        <w:rPr>
          <w:sz w:val="16"/>
          <w:szCs w:val="16"/>
          <w:lang w:val="sl-SI"/>
        </w:rPr>
        <w:t xml:space="preserve">jtrk (90 % celotne dnevnice): </w:t>
      </w:r>
      <w:r w:rsidR="00FB0663">
        <w:rPr>
          <w:sz w:val="16"/>
          <w:szCs w:val="16"/>
          <w:lang w:val="sl-SI"/>
        </w:rPr>
        <w:t>28,8</w:t>
      </w:r>
      <w:r w:rsidR="0086383B">
        <w:rPr>
          <w:sz w:val="16"/>
          <w:szCs w:val="16"/>
          <w:lang w:val="sl-SI"/>
        </w:rPr>
        <w:t>0</w:t>
      </w:r>
      <w:bookmarkStart w:id="0" w:name="_GoBack"/>
      <w:bookmarkEnd w:id="0"/>
      <w:r w:rsidRPr="00874019">
        <w:rPr>
          <w:sz w:val="16"/>
          <w:szCs w:val="16"/>
          <w:lang w:val="sl-SI"/>
        </w:rPr>
        <w:t xml:space="preserve"> EUR.</w:t>
      </w:r>
    </w:p>
  </w:footnote>
  <w:footnote w:id="4">
    <w:p w:rsidR="00A641A3" w:rsidRPr="00A641A3" w:rsidRDefault="00A641A3">
      <w:pPr>
        <w:pStyle w:val="Sprotnaopomba-besedilo"/>
        <w:rPr>
          <w:sz w:val="16"/>
          <w:szCs w:val="16"/>
          <w:lang w:val="sl-SI"/>
        </w:rPr>
      </w:pPr>
      <w:r w:rsidRPr="00A641A3">
        <w:rPr>
          <w:rStyle w:val="Sprotnaopomba-sklic"/>
          <w:sz w:val="16"/>
          <w:szCs w:val="16"/>
        </w:rPr>
        <w:footnoteRef/>
      </w:r>
      <w:r w:rsidRPr="00A641A3">
        <w:rPr>
          <w:sz w:val="16"/>
          <w:szCs w:val="16"/>
        </w:rPr>
        <w:t xml:space="preserve"> </w:t>
      </w:r>
      <w:r w:rsidRPr="00A641A3">
        <w:rPr>
          <w:sz w:val="16"/>
          <w:szCs w:val="16"/>
          <w:lang w:val="sl-SI"/>
        </w:rPr>
        <w:t>Informativna cena enosmernega leta Ljubljana – Istanbul na dan 11. 9. 2017.</w:t>
      </w:r>
    </w:p>
  </w:footnote>
  <w:footnote w:id="5">
    <w:p w:rsidR="00993596" w:rsidRPr="00993596" w:rsidRDefault="00993596" w:rsidP="00D41D8C">
      <w:pPr>
        <w:pStyle w:val="Sprotnaopomba-besedilo"/>
        <w:jc w:val="both"/>
        <w:rPr>
          <w:sz w:val="16"/>
          <w:szCs w:val="16"/>
          <w:lang w:val="sl-SI"/>
        </w:rPr>
      </w:pPr>
      <w:r w:rsidRPr="00993596">
        <w:rPr>
          <w:rStyle w:val="Sprotnaopomba-sklic"/>
          <w:sz w:val="16"/>
          <w:szCs w:val="16"/>
        </w:rPr>
        <w:footnoteRef/>
      </w:r>
      <w:r w:rsidRPr="00993596">
        <w:rPr>
          <w:sz w:val="16"/>
          <w:szCs w:val="16"/>
        </w:rPr>
        <w:t xml:space="preserve"> </w:t>
      </w:r>
      <w:r w:rsidRPr="00993596">
        <w:rPr>
          <w:sz w:val="16"/>
          <w:szCs w:val="16"/>
          <w:lang w:val="sl-SI"/>
        </w:rPr>
        <w:t>Upoštevana je okvirna cena povratnega notranjega leta Ankara-Istanbul,</w:t>
      </w:r>
      <w:r w:rsidR="00536AE7">
        <w:rPr>
          <w:sz w:val="16"/>
          <w:szCs w:val="16"/>
          <w:lang w:val="sl-SI"/>
        </w:rPr>
        <w:t xml:space="preserve"> strošek za 90 % dnevnice v višini 13,68</w:t>
      </w:r>
      <w:r w:rsidRPr="00993596">
        <w:rPr>
          <w:sz w:val="16"/>
          <w:szCs w:val="16"/>
          <w:lang w:val="sl-SI"/>
        </w:rPr>
        <w:t xml:space="preserve"> EUR ter </w:t>
      </w:r>
      <w:r w:rsidR="008C5178">
        <w:rPr>
          <w:sz w:val="16"/>
          <w:szCs w:val="16"/>
          <w:lang w:val="sl-SI"/>
        </w:rPr>
        <w:t xml:space="preserve">cena nastanitve v standardni sobi vključno z zajtrkom </w:t>
      </w:r>
      <w:r>
        <w:rPr>
          <w:sz w:val="16"/>
          <w:szCs w:val="16"/>
          <w:lang w:val="sl-SI"/>
        </w:rPr>
        <w:t>brez DDV</w:t>
      </w:r>
      <w:r w:rsidRPr="00993596">
        <w:rPr>
          <w:sz w:val="16"/>
          <w:szCs w:val="16"/>
          <w:lang w:val="sl-SI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6D" w:rsidRDefault="00B925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6D" w:rsidRPr="00110CBD" w:rsidRDefault="00B9256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9256D" w:rsidRPr="008F3500">
      <w:trPr>
        <w:cantSplit/>
        <w:trHeight w:hRule="exact" w:val="847"/>
      </w:trPr>
      <w:tc>
        <w:tcPr>
          <w:tcW w:w="567" w:type="dxa"/>
        </w:tcPr>
        <w:p w:rsidR="00B9256D" w:rsidRPr="008F3500" w:rsidRDefault="00B9256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D7FA9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B9256D" w:rsidRPr="008F3500" w:rsidRDefault="00B9256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  <w:lang w:val="sl-SI"/>
      </w:rPr>
      <w:t>Kotnikova ulica 28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01 369 77 00</w:t>
    </w:r>
  </w:p>
  <w:p w:rsidR="00B9256D" w:rsidRPr="008F3500" w:rsidRDefault="00B9256D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:rsidR="00B9256D" w:rsidRPr="008F3500" w:rsidRDefault="00B9256D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gp.mddsz@gov.si</w:t>
    </w:r>
  </w:p>
  <w:p w:rsidR="00B9256D" w:rsidRPr="008F3500" w:rsidRDefault="00B9256D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www.mddsz.gov.si</w:t>
    </w:r>
  </w:p>
  <w:p w:rsidR="00B9256D" w:rsidRPr="008F3500" w:rsidRDefault="00B9256D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2DDC"/>
    <w:multiLevelType w:val="hybridMultilevel"/>
    <w:tmpl w:val="176CE6EC"/>
    <w:lvl w:ilvl="0" w:tplc="FAF8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F36"/>
    <w:multiLevelType w:val="hybridMultilevel"/>
    <w:tmpl w:val="5B0C3964"/>
    <w:lvl w:ilvl="0" w:tplc="6ACA3942">
      <w:start w:val="49"/>
      <w:numFmt w:val="bullet"/>
      <w:lvlText w:val=""/>
      <w:lvlJc w:val="left"/>
      <w:pPr>
        <w:tabs>
          <w:tab w:val="num" w:pos="720"/>
        </w:tabs>
        <w:ind w:left="1134" w:hanging="41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51B"/>
    <w:multiLevelType w:val="hybridMultilevel"/>
    <w:tmpl w:val="AFAE3E52"/>
    <w:lvl w:ilvl="0" w:tplc="6204950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2F6F"/>
    <w:multiLevelType w:val="hybridMultilevel"/>
    <w:tmpl w:val="C570CCD4"/>
    <w:lvl w:ilvl="0" w:tplc="B20CE60C">
      <w:start w:val="49"/>
      <w:numFmt w:val="bullet"/>
      <w:lvlText w:val=""/>
      <w:lvlJc w:val="left"/>
      <w:pPr>
        <w:ind w:left="1080" w:hanging="108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83F40"/>
    <w:multiLevelType w:val="hybridMultilevel"/>
    <w:tmpl w:val="5ADAD72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04F03"/>
    <w:multiLevelType w:val="hybridMultilevel"/>
    <w:tmpl w:val="F38017C2"/>
    <w:lvl w:ilvl="0" w:tplc="FAF8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A1A9C"/>
    <w:multiLevelType w:val="hybridMultilevel"/>
    <w:tmpl w:val="339AFD32"/>
    <w:lvl w:ilvl="0" w:tplc="37B815DE">
      <w:start w:val="1"/>
      <w:numFmt w:val="bullet"/>
      <w:lvlText w:val=""/>
      <w:lvlJc w:val="left"/>
      <w:pPr>
        <w:ind w:left="680" w:hanging="3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93B59"/>
    <w:multiLevelType w:val="hybridMultilevel"/>
    <w:tmpl w:val="1E2E3D06"/>
    <w:lvl w:ilvl="0" w:tplc="4488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244276"/>
    <w:multiLevelType w:val="hybridMultilevel"/>
    <w:tmpl w:val="BD224344"/>
    <w:lvl w:ilvl="0" w:tplc="6CE039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C4B8E"/>
    <w:multiLevelType w:val="hybridMultilevel"/>
    <w:tmpl w:val="994699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20B3F"/>
    <w:multiLevelType w:val="hybridMultilevel"/>
    <w:tmpl w:val="333A9A80"/>
    <w:lvl w:ilvl="0" w:tplc="21B0A576">
      <w:start w:val="49"/>
      <w:numFmt w:val="bullet"/>
      <w:lvlText w:val="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A3BC8"/>
    <w:multiLevelType w:val="hybridMultilevel"/>
    <w:tmpl w:val="F022DF7C"/>
    <w:lvl w:ilvl="0" w:tplc="4FF4A654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A1A65"/>
    <w:multiLevelType w:val="hybridMultilevel"/>
    <w:tmpl w:val="9AE261B0"/>
    <w:lvl w:ilvl="0" w:tplc="A74C865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45970"/>
    <w:multiLevelType w:val="hybridMultilevel"/>
    <w:tmpl w:val="ED5A47A8"/>
    <w:lvl w:ilvl="0" w:tplc="F1108F0C">
      <w:start w:val="49"/>
      <w:numFmt w:val="bullet"/>
      <w:lvlText w:val=""/>
      <w:lvlJc w:val="left"/>
      <w:pPr>
        <w:ind w:left="720" w:firstLine="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813FE6"/>
    <w:multiLevelType w:val="hybridMultilevel"/>
    <w:tmpl w:val="40C2C05E"/>
    <w:lvl w:ilvl="0" w:tplc="A0160EBA">
      <w:start w:val="49"/>
      <w:numFmt w:val="bullet"/>
      <w:lvlText w:val=""/>
      <w:lvlJc w:val="left"/>
      <w:pPr>
        <w:tabs>
          <w:tab w:val="num" w:pos="720"/>
        </w:tabs>
        <w:ind w:left="1134" w:hanging="41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826ACA"/>
    <w:multiLevelType w:val="hybridMultilevel"/>
    <w:tmpl w:val="2E6C68C0"/>
    <w:lvl w:ilvl="0" w:tplc="4F444C1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72B78"/>
    <w:multiLevelType w:val="hybridMultilevel"/>
    <w:tmpl w:val="BF2438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A5D10"/>
    <w:multiLevelType w:val="hybridMultilevel"/>
    <w:tmpl w:val="1200C846"/>
    <w:lvl w:ilvl="0" w:tplc="6CE039BC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3EF61351"/>
    <w:multiLevelType w:val="hybridMultilevel"/>
    <w:tmpl w:val="7CD8CA08"/>
    <w:lvl w:ilvl="0" w:tplc="FC469F8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D211E3"/>
    <w:multiLevelType w:val="hybridMultilevel"/>
    <w:tmpl w:val="E454184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E08C5"/>
    <w:multiLevelType w:val="hybridMultilevel"/>
    <w:tmpl w:val="3B302C6C"/>
    <w:lvl w:ilvl="0" w:tplc="C4741F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26057"/>
    <w:multiLevelType w:val="hybridMultilevel"/>
    <w:tmpl w:val="F022DF7C"/>
    <w:lvl w:ilvl="0" w:tplc="4FF4A654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D089B"/>
    <w:multiLevelType w:val="hybridMultilevel"/>
    <w:tmpl w:val="C84A4ADA"/>
    <w:lvl w:ilvl="0" w:tplc="8F5C3BDA">
      <w:start w:val="49"/>
      <w:numFmt w:val="bullet"/>
      <w:lvlText w:val=""/>
      <w:lvlJc w:val="left"/>
      <w:pPr>
        <w:tabs>
          <w:tab w:val="num" w:pos="720"/>
        </w:tabs>
        <w:ind w:left="1134" w:hanging="41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339FA"/>
    <w:multiLevelType w:val="hybridMultilevel"/>
    <w:tmpl w:val="7F741B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E3849"/>
    <w:multiLevelType w:val="hybridMultilevel"/>
    <w:tmpl w:val="FAB0ED7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F36C6"/>
    <w:multiLevelType w:val="hybridMultilevel"/>
    <w:tmpl w:val="F7D2CE46"/>
    <w:lvl w:ilvl="0" w:tplc="466AD32C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3051E"/>
    <w:multiLevelType w:val="hybridMultilevel"/>
    <w:tmpl w:val="E06421AA"/>
    <w:lvl w:ilvl="0" w:tplc="FAF8AAC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9568F"/>
    <w:multiLevelType w:val="hybridMultilevel"/>
    <w:tmpl w:val="57361A54"/>
    <w:lvl w:ilvl="0" w:tplc="708061FC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B1A89"/>
    <w:multiLevelType w:val="hybridMultilevel"/>
    <w:tmpl w:val="6F569BBE"/>
    <w:lvl w:ilvl="0" w:tplc="E64A23E8">
      <w:start w:val="1"/>
      <w:numFmt w:val="bullet"/>
      <w:lvlText w:val=""/>
      <w:lvlJc w:val="left"/>
      <w:pPr>
        <w:tabs>
          <w:tab w:val="num" w:pos="357"/>
        </w:tabs>
        <w:ind w:left="851" w:hanging="49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01BA5"/>
    <w:multiLevelType w:val="hybridMultilevel"/>
    <w:tmpl w:val="9E20C142"/>
    <w:lvl w:ilvl="0" w:tplc="8A7AE556">
      <w:start w:val="49"/>
      <w:numFmt w:val="bullet"/>
      <w:lvlText w:val="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112D0"/>
    <w:multiLevelType w:val="hybridMultilevel"/>
    <w:tmpl w:val="ED628CF2"/>
    <w:lvl w:ilvl="0" w:tplc="50425394">
      <w:start w:val="49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B6C8A"/>
    <w:multiLevelType w:val="hybridMultilevel"/>
    <w:tmpl w:val="66AC6676"/>
    <w:lvl w:ilvl="0" w:tplc="C23ADC7A">
      <w:start w:val="49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C7B9D"/>
    <w:multiLevelType w:val="hybridMultilevel"/>
    <w:tmpl w:val="01E4F974"/>
    <w:lvl w:ilvl="0" w:tplc="3222B860">
      <w:start w:val="49"/>
      <w:numFmt w:val="bullet"/>
      <w:lvlText w:val=""/>
      <w:lvlJc w:val="left"/>
      <w:pPr>
        <w:tabs>
          <w:tab w:val="num" w:pos="720"/>
        </w:tabs>
        <w:ind w:left="1191" w:hanging="471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80F52"/>
    <w:multiLevelType w:val="hybridMultilevel"/>
    <w:tmpl w:val="EE98E30E"/>
    <w:lvl w:ilvl="0" w:tplc="FAF8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739C6"/>
    <w:multiLevelType w:val="hybridMultilevel"/>
    <w:tmpl w:val="3B882152"/>
    <w:lvl w:ilvl="0" w:tplc="FAF8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F70D1"/>
    <w:multiLevelType w:val="hybridMultilevel"/>
    <w:tmpl w:val="A9F4AB1C"/>
    <w:lvl w:ilvl="0" w:tplc="498AA622">
      <w:start w:val="49"/>
      <w:numFmt w:val="bullet"/>
      <w:lvlText w:val="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B092A"/>
    <w:multiLevelType w:val="hybridMultilevel"/>
    <w:tmpl w:val="806C18B8"/>
    <w:lvl w:ilvl="0" w:tplc="9D6CBBE6">
      <w:start w:val="49"/>
      <w:numFmt w:val="bullet"/>
      <w:lvlText w:val=""/>
      <w:lvlJc w:val="left"/>
      <w:pPr>
        <w:tabs>
          <w:tab w:val="num" w:pos="720"/>
        </w:tabs>
        <w:ind w:left="1134" w:hanging="41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26"/>
  </w:num>
  <w:num w:numId="4">
    <w:abstractNumId w:val="4"/>
  </w:num>
  <w:num w:numId="5">
    <w:abstractNumId w:val="9"/>
  </w:num>
  <w:num w:numId="6">
    <w:abstractNumId w:val="20"/>
  </w:num>
  <w:num w:numId="7">
    <w:abstractNumId w:val="31"/>
  </w:num>
  <w:num w:numId="8">
    <w:abstractNumId w:val="8"/>
  </w:num>
  <w:num w:numId="9">
    <w:abstractNumId w:val="28"/>
  </w:num>
  <w:num w:numId="10">
    <w:abstractNumId w:val="12"/>
  </w:num>
  <w:num w:numId="11">
    <w:abstractNumId w:val="37"/>
  </w:num>
  <w:num w:numId="12">
    <w:abstractNumId w:val="46"/>
  </w:num>
  <w:num w:numId="13">
    <w:abstractNumId w:val="25"/>
  </w:num>
  <w:num w:numId="14">
    <w:abstractNumId w:val="17"/>
  </w:num>
  <w:num w:numId="15">
    <w:abstractNumId w:val="32"/>
  </w:num>
  <w:num w:numId="16">
    <w:abstractNumId w:val="5"/>
  </w:num>
  <w:num w:numId="17">
    <w:abstractNumId w:val="14"/>
  </w:num>
  <w:num w:numId="18">
    <w:abstractNumId w:val="47"/>
  </w:num>
  <w:num w:numId="19">
    <w:abstractNumId w:val="16"/>
  </w:num>
  <w:num w:numId="20">
    <w:abstractNumId w:val="41"/>
  </w:num>
  <w:num w:numId="21">
    <w:abstractNumId w:val="42"/>
  </w:num>
  <w:num w:numId="22">
    <w:abstractNumId w:val="43"/>
  </w:num>
  <w:num w:numId="23">
    <w:abstractNumId w:val="48"/>
  </w:num>
  <w:num w:numId="24">
    <w:abstractNumId w:val="19"/>
  </w:num>
  <w:num w:numId="25">
    <w:abstractNumId w:val="30"/>
  </w:num>
  <w:num w:numId="26">
    <w:abstractNumId w:val="33"/>
  </w:num>
  <w:num w:numId="27">
    <w:abstractNumId w:val="27"/>
  </w:num>
  <w:num w:numId="28">
    <w:abstractNumId w:val="15"/>
  </w:num>
  <w:num w:numId="29">
    <w:abstractNumId w:val="7"/>
  </w:num>
  <w:num w:numId="30">
    <w:abstractNumId w:val="24"/>
  </w:num>
  <w:num w:numId="31">
    <w:abstractNumId w:val="21"/>
  </w:num>
  <w:num w:numId="32">
    <w:abstractNumId w:val="39"/>
  </w:num>
  <w:num w:numId="33">
    <w:abstractNumId w:val="34"/>
  </w:num>
  <w:num w:numId="34">
    <w:abstractNumId w:val="3"/>
  </w:num>
  <w:num w:numId="35">
    <w:abstractNumId w:val="1"/>
  </w:num>
  <w:num w:numId="36">
    <w:abstractNumId w:val="13"/>
  </w:num>
  <w:num w:numId="37">
    <w:abstractNumId w:val="40"/>
  </w:num>
  <w:num w:numId="38">
    <w:abstractNumId w:val="2"/>
  </w:num>
  <w:num w:numId="39">
    <w:abstractNumId w:val="22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0"/>
  </w:num>
  <w:num w:numId="43">
    <w:abstractNumId w:val="29"/>
  </w:num>
  <w:num w:numId="44">
    <w:abstractNumId w:val="6"/>
  </w:num>
  <w:num w:numId="45">
    <w:abstractNumId w:val="44"/>
  </w:num>
  <w:num w:numId="46">
    <w:abstractNumId w:val="0"/>
  </w:num>
  <w:num w:numId="47">
    <w:abstractNumId w:val="45"/>
  </w:num>
  <w:num w:numId="48">
    <w:abstractNumId w:val="2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0990"/>
    <w:rsid w:val="000015F8"/>
    <w:rsid w:val="00002148"/>
    <w:rsid w:val="00003516"/>
    <w:rsid w:val="00004525"/>
    <w:rsid w:val="00004AE4"/>
    <w:rsid w:val="00011136"/>
    <w:rsid w:val="00013A5C"/>
    <w:rsid w:val="0002099B"/>
    <w:rsid w:val="00020AB8"/>
    <w:rsid w:val="000223EE"/>
    <w:rsid w:val="00023A88"/>
    <w:rsid w:val="00032F1D"/>
    <w:rsid w:val="00040BB2"/>
    <w:rsid w:val="00045C43"/>
    <w:rsid w:val="000665F0"/>
    <w:rsid w:val="00070253"/>
    <w:rsid w:val="00082C6C"/>
    <w:rsid w:val="00083024"/>
    <w:rsid w:val="0008359A"/>
    <w:rsid w:val="000A0A68"/>
    <w:rsid w:val="000A3C8D"/>
    <w:rsid w:val="000A7238"/>
    <w:rsid w:val="000A7FF9"/>
    <w:rsid w:val="000B65F3"/>
    <w:rsid w:val="000C4D98"/>
    <w:rsid w:val="000D3A27"/>
    <w:rsid w:val="000D4D98"/>
    <w:rsid w:val="000E235A"/>
    <w:rsid w:val="000E2434"/>
    <w:rsid w:val="000E2458"/>
    <w:rsid w:val="000E2462"/>
    <w:rsid w:val="000E3CE6"/>
    <w:rsid w:val="000E5098"/>
    <w:rsid w:val="000F5789"/>
    <w:rsid w:val="000F6B59"/>
    <w:rsid w:val="00105769"/>
    <w:rsid w:val="001115E4"/>
    <w:rsid w:val="00122A59"/>
    <w:rsid w:val="001231ED"/>
    <w:rsid w:val="00132947"/>
    <w:rsid w:val="00135338"/>
    <w:rsid w:val="001357B2"/>
    <w:rsid w:val="00137139"/>
    <w:rsid w:val="00137722"/>
    <w:rsid w:val="00141F15"/>
    <w:rsid w:val="00145019"/>
    <w:rsid w:val="00146A67"/>
    <w:rsid w:val="001562BC"/>
    <w:rsid w:val="00164EF6"/>
    <w:rsid w:val="00165BE7"/>
    <w:rsid w:val="0017478F"/>
    <w:rsid w:val="00190FD2"/>
    <w:rsid w:val="001A2453"/>
    <w:rsid w:val="001B567F"/>
    <w:rsid w:val="001C2C8F"/>
    <w:rsid w:val="001D5294"/>
    <w:rsid w:val="001E4FFF"/>
    <w:rsid w:val="001E5DCB"/>
    <w:rsid w:val="001E6D2B"/>
    <w:rsid w:val="001F1908"/>
    <w:rsid w:val="001F29E7"/>
    <w:rsid w:val="001F4165"/>
    <w:rsid w:val="00202A77"/>
    <w:rsid w:val="00207E85"/>
    <w:rsid w:val="00220338"/>
    <w:rsid w:val="00224CF2"/>
    <w:rsid w:val="0023104B"/>
    <w:rsid w:val="00231D31"/>
    <w:rsid w:val="00254B3D"/>
    <w:rsid w:val="002564ED"/>
    <w:rsid w:val="00256FBE"/>
    <w:rsid w:val="00271CE5"/>
    <w:rsid w:val="00274543"/>
    <w:rsid w:val="00282020"/>
    <w:rsid w:val="00282D8A"/>
    <w:rsid w:val="00290D1C"/>
    <w:rsid w:val="00291D9F"/>
    <w:rsid w:val="002A2B69"/>
    <w:rsid w:val="002A4AC2"/>
    <w:rsid w:val="002A68A7"/>
    <w:rsid w:val="002B238D"/>
    <w:rsid w:val="002B454B"/>
    <w:rsid w:val="002B761A"/>
    <w:rsid w:val="002C7E27"/>
    <w:rsid w:val="002D382D"/>
    <w:rsid w:val="002D63EB"/>
    <w:rsid w:val="002E4BF1"/>
    <w:rsid w:val="002E7B53"/>
    <w:rsid w:val="0030496A"/>
    <w:rsid w:val="0031350A"/>
    <w:rsid w:val="0031640C"/>
    <w:rsid w:val="00320A78"/>
    <w:rsid w:val="003307F0"/>
    <w:rsid w:val="0033626C"/>
    <w:rsid w:val="00340F15"/>
    <w:rsid w:val="0034386C"/>
    <w:rsid w:val="003636BF"/>
    <w:rsid w:val="003640D0"/>
    <w:rsid w:val="003657A7"/>
    <w:rsid w:val="00371442"/>
    <w:rsid w:val="00383833"/>
    <w:rsid w:val="003845B4"/>
    <w:rsid w:val="00387B1A"/>
    <w:rsid w:val="00393C0D"/>
    <w:rsid w:val="003A01AD"/>
    <w:rsid w:val="003A0E1A"/>
    <w:rsid w:val="003B4D5C"/>
    <w:rsid w:val="003C302F"/>
    <w:rsid w:val="003C5EE5"/>
    <w:rsid w:val="003D4FA4"/>
    <w:rsid w:val="003D5115"/>
    <w:rsid w:val="003D63F5"/>
    <w:rsid w:val="003D6B8B"/>
    <w:rsid w:val="003E1C74"/>
    <w:rsid w:val="003E2255"/>
    <w:rsid w:val="003E6376"/>
    <w:rsid w:val="00402683"/>
    <w:rsid w:val="0041131C"/>
    <w:rsid w:val="00413378"/>
    <w:rsid w:val="00422CFC"/>
    <w:rsid w:val="004239A0"/>
    <w:rsid w:val="00426C99"/>
    <w:rsid w:val="0043598F"/>
    <w:rsid w:val="004421E4"/>
    <w:rsid w:val="00442689"/>
    <w:rsid w:val="00444852"/>
    <w:rsid w:val="004648F0"/>
    <w:rsid w:val="004657EE"/>
    <w:rsid w:val="00477B7C"/>
    <w:rsid w:val="00480BB2"/>
    <w:rsid w:val="00482782"/>
    <w:rsid w:val="00495B26"/>
    <w:rsid w:val="00497D9A"/>
    <w:rsid w:val="004A1119"/>
    <w:rsid w:val="004A2009"/>
    <w:rsid w:val="004A345A"/>
    <w:rsid w:val="004B08FD"/>
    <w:rsid w:val="004B5764"/>
    <w:rsid w:val="004B63E0"/>
    <w:rsid w:val="004C29F3"/>
    <w:rsid w:val="004C45F4"/>
    <w:rsid w:val="004D05B1"/>
    <w:rsid w:val="004D3D71"/>
    <w:rsid w:val="004D5264"/>
    <w:rsid w:val="004D782B"/>
    <w:rsid w:val="004E79AB"/>
    <w:rsid w:val="005011EF"/>
    <w:rsid w:val="005145AE"/>
    <w:rsid w:val="0051726B"/>
    <w:rsid w:val="00520A4D"/>
    <w:rsid w:val="00526246"/>
    <w:rsid w:val="005364CD"/>
    <w:rsid w:val="00536AE7"/>
    <w:rsid w:val="00543613"/>
    <w:rsid w:val="0055180F"/>
    <w:rsid w:val="00553251"/>
    <w:rsid w:val="00566CD8"/>
    <w:rsid w:val="00567106"/>
    <w:rsid w:val="005706CD"/>
    <w:rsid w:val="005722BB"/>
    <w:rsid w:val="0058030B"/>
    <w:rsid w:val="00584452"/>
    <w:rsid w:val="00593DDF"/>
    <w:rsid w:val="005A4C72"/>
    <w:rsid w:val="005A72FE"/>
    <w:rsid w:val="005B4EE6"/>
    <w:rsid w:val="005D7F9E"/>
    <w:rsid w:val="005E0B79"/>
    <w:rsid w:val="005E0C7A"/>
    <w:rsid w:val="005E1D3C"/>
    <w:rsid w:val="005F6CC3"/>
    <w:rsid w:val="0060114C"/>
    <w:rsid w:val="006107D2"/>
    <w:rsid w:val="0061704F"/>
    <w:rsid w:val="0062126A"/>
    <w:rsid w:val="006239BF"/>
    <w:rsid w:val="00625AE6"/>
    <w:rsid w:val="00632253"/>
    <w:rsid w:val="00640AF4"/>
    <w:rsid w:val="00642714"/>
    <w:rsid w:val="006455CE"/>
    <w:rsid w:val="00647B47"/>
    <w:rsid w:val="00655841"/>
    <w:rsid w:val="006870B7"/>
    <w:rsid w:val="00690C0F"/>
    <w:rsid w:val="0069450C"/>
    <w:rsid w:val="006B165B"/>
    <w:rsid w:val="006B2DC0"/>
    <w:rsid w:val="006C3919"/>
    <w:rsid w:val="006D2567"/>
    <w:rsid w:val="006E3B66"/>
    <w:rsid w:val="006F2354"/>
    <w:rsid w:val="007240E4"/>
    <w:rsid w:val="00725A2B"/>
    <w:rsid w:val="007326BD"/>
    <w:rsid w:val="00733017"/>
    <w:rsid w:val="0075545E"/>
    <w:rsid w:val="00765A63"/>
    <w:rsid w:val="00782171"/>
    <w:rsid w:val="00783310"/>
    <w:rsid w:val="00784F13"/>
    <w:rsid w:val="0079216E"/>
    <w:rsid w:val="0079396D"/>
    <w:rsid w:val="007960AC"/>
    <w:rsid w:val="007A4A6D"/>
    <w:rsid w:val="007A4F2B"/>
    <w:rsid w:val="007B257B"/>
    <w:rsid w:val="007B32F4"/>
    <w:rsid w:val="007C02D2"/>
    <w:rsid w:val="007C0526"/>
    <w:rsid w:val="007C41CB"/>
    <w:rsid w:val="007C7CD9"/>
    <w:rsid w:val="007D1BCF"/>
    <w:rsid w:val="007D5DB0"/>
    <w:rsid w:val="007D75CF"/>
    <w:rsid w:val="007E0440"/>
    <w:rsid w:val="007E0F01"/>
    <w:rsid w:val="007E6DC5"/>
    <w:rsid w:val="007F13EB"/>
    <w:rsid w:val="007F4217"/>
    <w:rsid w:val="0080112A"/>
    <w:rsid w:val="008227E2"/>
    <w:rsid w:val="0085401B"/>
    <w:rsid w:val="008567DC"/>
    <w:rsid w:val="0086023D"/>
    <w:rsid w:val="00862C35"/>
    <w:rsid w:val="0086383B"/>
    <w:rsid w:val="00864267"/>
    <w:rsid w:val="00870B4C"/>
    <w:rsid w:val="00874019"/>
    <w:rsid w:val="00876A36"/>
    <w:rsid w:val="00876CDE"/>
    <w:rsid w:val="0088043C"/>
    <w:rsid w:val="00884889"/>
    <w:rsid w:val="0089050B"/>
    <w:rsid w:val="008906C9"/>
    <w:rsid w:val="00897013"/>
    <w:rsid w:val="008A077A"/>
    <w:rsid w:val="008A4F14"/>
    <w:rsid w:val="008A6D4C"/>
    <w:rsid w:val="008A7503"/>
    <w:rsid w:val="008C12BB"/>
    <w:rsid w:val="008C5178"/>
    <w:rsid w:val="008C55AA"/>
    <w:rsid w:val="008C5738"/>
    <w:rsid w:val="008D04CB"/>
    <w:rsid w:val="008D04F0"/>
    <w:rsid w:val="008D5C2A"/>
    <w:rsid w:val="008F06E8"/>
    <w:rsid w:val="008F3500"/>
    <w:rsid w:val="00902742"/>
    <w:rsid w:val="00911BF7"/>
    <w:rsid w:val="009132F1"/>
    <w:rsid w:val="00913D9C"/>
    <w:rsid w:val="00915DFA"/>
    <w:rsid w:val="00924E3C"/>
    <w:rsid w:val="009300CD"/>
    <w:rsid w:val="0093070A"/>
    <w:rsid w:val="00932C34"/>
    <w:rsid w:val="00936167"/>
    <w:rsid w:val="00941389"/>
    <w:rsid w:val="00941FE1"/>
    <w:rsid w:val="009612BB"/>
    <w:rsid w:val="00961721"/>
    <w:rsid w:val="00962610"/>
    <w:rsid w:val="009711BE"/>
    <w:rsid w:val="009764A0"/>
    <w:rsid w:val="00981905"/>
    <w:rsid w:val="00984E12"/>
    <w:rsid w:val="00985EE5"/>
    <w:rsid w:val="009863E2"/>
    <w:rsid w:val="009912A2"/>
    <w:rsid w:val="00991479"/>
    <w:rsid w:val="00991851"/>
    <w:rsid w:val="0099235A"/>
    <w:rsid w:val="00992962"/>
    <w:rsid w:val="009932EA"/>
    <w:rsid w:val="00993596"/>
    <w:rsid w:val="009A5000"/>
    <w:rsid w:val="009B4421"/>
    <w:rsid w:val="009B4698"/>
    <w:rsid w:val="009C4154"/>
    <w:rsid w:val="009C740A"/>
    <w:rsid w:val="009F3EAE"/>
    <w:rsid w:val="00A06265"/>
    <w:rsid w:val="00A125C4"/>
    <w:rsid w:val="00A125C5"/>
    <w:rsid w:val="00A2451C"/>
    <w:rsid w:val="00A279A1"/>
    <w:rsid w:val="00A27A99"/>
    <w:rsid w:val="00A329E3"/>
    <w:rsid w:val="00A365CC"/>
    <w:rsid w:val="00A41768"/>
    <w:rsid w:val="00A50E26"/>
    <w:rsid w:val="00A54EF2"/>
    <w:rsid w:val="00A641A3"/>
    <w:rsid w:val="00A64B32"/>
    <w:rsid w:val="00A65EE7"/>
    <w:rsid w:val="00A66FC0"/>
    <w:rsid w:val="00A70133"/>
    <w:rsid w:val="00A74333"/>
    <w:rsid w:val="00A761C2"/>
    <w:rsid w:val="00A770A6"/>
    <w:rsid w:val="00A80C3B"/>
    <w:rsid w:val="00A813B1"/>
    <w:rsid w:val="00A814E3"/>
    <w:rsid w:val="00A82C77"/>
    <w:rsid w:val="00A833C9"/>
    <w:rsid w:val="00A8378A"/>
    <w:rsid w:val="00A92A2E"/>
    <w:rsid w:val="00A947BA"/>
    <w:rsid w:val="00AA0BF9"/>
    <w:rsid w:val="00AB2AE0"/>
    <w:rsid w:val="00AB36C4"/>
    <w:rsid w:val="00AB66C2"/>
    <w:rsid w:val="00AB7E0B"/>
    <w:rsid w:val="00AC285A"/>
    <w:rsid w:val="00AC32B2"/>
    <w:rsid w:val="00AD752B"/>
    <w:rsid w:val="00AE45C3"/>
    <w:rsid w:val="00AE78CC"/>
    <w:rsid w:val="00B01054"/>
    <w:rsid w:val="00B021EA"/>
    <w:rsid w:val="00B02719"/>
    <w:rsid w:val="00B02E6C"/>
    <w:rsid w:val="00B04D16"/>
    <w:rsid w:val="00B13DD1"/>
    <w:rsid w:val="00B17141"/>
    <w:rsid w:val="00B31575"/>
    <w:rsid w:val="00B349C6"/>
    <w:rsid w:val="00B43C56"/>
    <w:rsid w:val="00B520A4"/>
    <w:rsid w:val="00B52389"/>
    <w:rsid w:val="00B5758D"/>
    <w:rsid w:val="00B63CE2"/>
    <w:rsid w:val="00B71DE2"/>
    <w:rsid w:val="00B80ECB"/>
    <w:rsid w:val="00B83B35"/>
    <w:rsid w:val="00B8547D"/>
    <w:rsid w:val="00B9256D"/>
    <w:rsid w:val="00B92BBF"/>
    <w:rsid w:val="00BB1DC9"/>
    <w:rsid w:val="00BB79C2"/>
    <w:rsid w:val="00BC0ECF"/>
    <w:rsid w:val="00BD074C"/>
    <w:rsid w:val="00BD597D"/>
    <w:rsid w:val="00BE28D0"/>
    <w:rsid w:val="00BE7BFC"/>
    <w:rsid w:val="00BF2CCD"/>
    <w:rsid w:val="00C0152F"/>
    <w:rsid w:val="00C06D70"/>
    <w:rsid w:val="00C07E8C"/>
    <w:rsid w:val="00C140B9"/>
    <w:rsid w:val="00C250D5"/>
    <w:rsid w:val="00C33716"/>
    <w:rsid w:val="00C35666"/>
    <w:rsid w:val="00C3747D"/>
    <w:rsid w:val="00C426B8"/>
    <w:rsid w:val="00C47079"/>
    <w:rsid w:val="00C57E96"/>
    <w:rsid w:val="00C82945"/>
    <w:rsid w:val="00C9239F"/>
    <w:rsid w:val="00C92898"/>
    <w:rsid w:val="00C95AE1"/>
    <w:rsid w:val="00C96BC7"/>
    <w:rsid w:val="00CA4340"/>
    <w:rsid w:val="00CA4937"/>
    <w:rsid w:val="00CA5370"/>
    <w:rsid w:val="00CC0F90"/>
    <w:rsid w:val="00CD2C3F"/>
    <w:rsid w:val="00CE09E4"/>
    <w:rsid w:val="00CE1F4C"/>
    <w:rsid w:val="00CE2381"/>
    <w:rsid w:val="00CE5238"/>
    <w:rsid w:val="00CE7514"/>
    <w:rsid w:val="00CF4981"/>
    <w:rsid w:val="00CF682F"/>
    <w:rsid w:val="00D04605"/>
    <w:rsid w:val="00D1217F"/>
    <w:rsid w:val="00D14006"/>
    <w:rsid w:val="00D16FE4"/>
    <w:rsid w:val="00D230D1"/>
    <w:rsid w:val="00D248DE"/>
    <w:rsid w:val="00D2772A"/>
    <w:rsid w:val="00D34670"/>
    <w:rsid w:val="00D36F37"/>
    <w:rsid w:val="00D418A1"/>
    <w:rsid w:val="00D41D8C"/>
    <w:rsid w:val="00D453B3"/>
    <w:rsid w:val="00D508E9"/>
    <w:rsid w:val="00D5730E"/>
    <w:rsid w:val="00D64A8D"/>
    <w:rsid w:val="00D662C5"/>
    <w:rsid w:val="00D738AF"/>
    <w:rsid w:val="00D75237"/>
    <w:rsid w:val="00D763C8"/>
    <w:rsid w:val="00D8542D"/>
    <w:rsid w:val="00DB0B2E"/>
    <w:rsid w:val="00DB41A7"/>
    <w:rsid w:val="00DB6B22"/>
    <w:rsid w:val="00DC6A71"/>
    <w:rsid w:val="00DE055C"/>
    <w:rsid w:val="00DE50F8"/>
    <w:rsid w:val="00DE57D4"/>
    <w:rsid w:val="00DE5A09"/>
    <w:rsid w:val="00DF417F"/>
    <w:rsid w:val="00E00F53"/>
    <w:rsid w:val="00E0357D"/>
    <w:rsid w:val="00E17C8A"/>
    <w:rsid w:val="00E2622D"/>
    <w:rsid w:val="00E327E2"/>
    <w:rsid w:val="00E358D0"/>
    <w:rsid w:val="00E41857"/>
    <w:rsid w:val="00E5110A"/>
    <w:rsid w:val="00E63A73"/>
    <w:rsid w:val="00E64570"/>
    <w:rsid w:val="00E7187C"/>
    <w:rsid w:val="00E71B03"/>
    <w:rsid w:val="00E83A5A"/>
    <w:rsid w:val="00E85E35"/>
    <w:rsid w:val="00E926E5"/>
    <w:rsid w:val="00E94AF8"/>
    <w:rsid w:val="00E94D12"/>
    <w:rsid w:val="00E94D78"/>
    <w:rsid w:val="00EA1BDC"/>
    <w:rsid w:val="00EB74D6"/>
    <w:rsid w:val="00EC71F2"/>
    <w:rsid w:val="00EC73AD"/>
    <w:rsid w:val="00ED1542"/>
    <w:rsid w:val="00ED1C3E"/>
    <w:rsid w:val="00ED2B75"/>
    <w:rsid w:val="00ED33D9"/>
    <w:rsid w:val="00ED520B"/>
    <w:rsid w:val="00ED5633"/>
    <w:rsid w:val="00ED76E1"/>
    <w:rsid w:val="00EE0213"/>
    <w:rsid w:val="00EE0A19"/>
    <w:rsid w:val="00EE1598"/>
    <w:rsid w:val="00EF7369"/>
    <w:rsid w:val="00F02A9C"/>
    <w:rsid w:val="00F0560B"/>
    <w:rsid w:val="00F07CCD"/>
    <w:rsid w:val="00F21005"/>
    <w:rsid w:val="00F240BB"/>
    <w:rsid w:val="00F30A0B"/>
    <w:rsid w:val="00F36909"/>
    <w:rsid w:val="00F405AF"/>
    <w:rsid w:val="00F40D91"/>
    <w:rsid w:val="00F46BED"/>
    <w:rsid w:val="00F47DAF"/>
    <w:rsid w:val="00F51DB4"/>
    <w:rsid w:val="00F52EDB"/>
    <w:rsid w:val="00F52EFE"/>
    <w:rsid w:val="00F5347B"/>
    <w:rsid w:val="00F54F72"/>
    <w:rsid w:val="00F57596"/>
    <w:rsid w:val="00F57FED"/>
    <w:rsid w:val="00F60744"/>
    <w:rsid w:val="00F676A3"/>
    <w:rsid w:val="00F70986"/>
    <w:rsid w:val="00F743B6"/>
    <w:rsid w:val="00F746E0"/>
    <w:rsid w:val="00F869A7"/>
    <w:rsid w:val="00F931FF"/>
    <w:rsid w:val="00F94446"/>
    <w:rsid w:val="00F95028"/>
    <w:rsid w:val="00FB0663"/>
    <w:rsid w:val="00FB12BB"/>
    <w:rsid w:val="00FB32DA"/>
    <w:rsid w:val="00FB5EDA"/>
    <w:rsid w:val="00FC2A2E"/>
    <w:rsid w:val="00FC4B7E"/>
    <w:rsid w:val="00FC75F8"/>
    <w:rsid w:val="00FD15AA"/>
    <w:rsid w:val="00FD3DCE"/>
    <w:rsid w:val="00FE42A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7C3662A"/>
  <w15:docId w15:val="{9657E204-1975-4C4C-A391-25376AB5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4F13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8567DC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8567DC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8567DC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8567D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8567DC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8567DC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8567DC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8567DC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8567DC"/>
    <w:rPr>
      <w:rFonts w:ascii="Arial" w:hAnsi="Arial" w:cs="Arial"/>
      <w:b/>
      <w:bCs/>
      <w:color w:val="000000"/>
      <w:spacing w:val="40"/>
      <w:sz w:val="22"/>
      <w:szCs w:val="22"/>
    </w:rPr>
  </w:style>
  <w:style w:type="character" w:customStyle="1" w:styleId="Naslov1Znak">
    <w:name w:val="Naslov 1 Znak"/>
    <w:aliases w:val="NASLOV Znak"/>
    <w:link w:val="Naslov1"/>
    <w:rsid w:val="008567DC"/>
    <w:rPr>
      <w:rFonts w:ascii="Arial" w:hAnsi="Arial"/>
      <w:b/>
      <w:kern w:val="32"/>
      <w:sz w:val="28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8567DC"/>
    <w:pPr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rFonts w:ascii="Times New Roman" w:hAnsi="Times New Roman"/>
      <w:sz w:val="24"/>
      <w:szCs w:val="20"/>
      <w:lang w:val="sl-SI"/>
    </w:rPr>
  </w:style>
  <w:style w:type="character" w:customStyle="1" w:styleId="OdstavekseznamaZnak">
    <w:name w:val="Odstavek seznama Znak"/>
    <w:link w:val="Odstavekseznama"/>
    <w:uiPriority w:val="34"/>
    <w:rsid w:val="008567DC"/>
    <w:rPr>
      <w:sz w:val="24"/>
      <w:lang w:eastAsia="en-US"/>
    </w:rPr>
  </w:style>
  <w:style w:type="paragraph" w:customStyle="1" w:styleId="pravnapodlaga1">
    <w:name w:val="pravnapodlaga1"/>
    <w:basedOn w:val="Navaden"/>
    <w:rsid w:val="008567DC"/>
    <w:pPr>
      <w:spacing w:before="48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480BB2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480BB2"/>
    <w:rPr>
      <w:rFonts w:ascii="Arial" w:hAnsi="Arial"/>
      <w:lang w:val="en-US" w:eastAsia="en-US"/>
    </w:rPr>
  </w:style>
  <w:style w:type="paragraph" w:customStyle="1" w:styleId="Odstavekseznama1">
    <w:name w:val="Odstavek seznama1"/>
    <w:basedOn w:val="Navaden"/>
    <w:uiPriority w:val="99"/>
    <w:rsid w:val="00480BB2"/>
    <w:pPr>
      <w:ind w:left="720"/>
      <w:contextualSpacing/>
    </w:pPr>
  </w:style>
  <w:style w:type="character" w:styleId="Sprotnaopomba-sklic">
    <w:name w:val="footnote reference"/>
    <w:basedOn w:val="Privzetapisavaodstavka"/>
    <w:uiPriority w:val="99"/>
    <w:semiHidden/>
    <w:rsid w:val="00480BB2"/>
    <w:rPr>
      <w:rFonts w:cs="Times New Roman"/>
      <w:vertAlign w:val="superscript"/>
    </w:rPr>
  </w:style>
  <w:style w:type="character" w:customStyle="1" w:styleId="exchangeinfo">
    <w:name w:val="exchange_info"/>
    <w:basedOn w:val="Privzetapisavaodstavka"/>
    <w:uiPriority w:val="99"/>
    <w:rsid w:val="00480BB2"/>
    <w:rPr>
      <w:rFonts w:cs="Times New Roman"/>
    </w:rPr>
  </w:style>
  <w:style w:type="table" w:customStyle="1" w:styleId="Tabelamrea1">
    <w:name w:val="Tabela – mreža1"/>
    <w:basedOn w:val="Navadnatabela"/>
    <w:next w:val="Tabelamrea"/>
    <w:uiPriority w:val="39"/>
    <w:rsid w:val="00480B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9912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912A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lo.org/global/meetings-and-events/regional-meetings/europe-and-central-asia/erm-10/WCMS_567104/lang--en/index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493D80-4B30-4D59-92EA-B88AE9E8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12</Pages>
  <Words>3497</Words>
  <Characters>19939</Characters>
  <Application>Microsoft Office Word</Application>
  <DocSecurity>0</DocSecurity>
  <Lines>166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DMasera</dc:creator>
  <cp:lastModifiedBy>Uporabnik sistema Windows</cp:lastModifiedBy>
  <cp:revision>325</cp:revision>
  <cp:lastPrinted>2017-08-30T08:05:00Z</cp:lastPrinted>
  <dcterms:created xsi:type="dcterms:W3CDTF">2017-02-02T07:56:00Z</dcterms:created>
  <dcterms:modified xsi:type="dcterms:W3CDTF">2017-09-22T10:26:00Z</dcterms:modified>
</cp:coreProperties>
</file>