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7AF" w:rsidRPr="005A6E37" w:rsidRDefault="006877AF" w:rsidP="006877AF">
      <w:pPr>
        <w:jc w:val="right"/>
        <w:rPr>
          <w:rFonts w:ascii="Arial" w:hAnsi="Arial" w:cs="Arial"/>
          <w:sz w:val="20"/>
          <w:shd w:val="clear" w:color="auto" w:fill="FFFFFF"/>
        </w:rPr>
      </w:pPr>
      <w:r w:rsidRPr="005A6E37">
        <w:rPr>
          <w:rFonts w:ascii="Arial" w:hAnsi="Arial" w:cs="Arial"/>
          <w:sz w:val="20"/>
          <w:shd w:val="clear" w:color="auto" w:fill="FFFFFF"/>
        </w:rPr>
        <w:t>PRILOGA 3</w:t>
      </w:r>
    </w:p>
    <w:p w:rsidR="006877AF" w:rsidRPr="005A6E37" w:rsidRDefault="006877AF" w:rsidP="006877AF">
      <w:pPr>
        <w:jc w:val="right"/>
        <w:rPr>
          <w:rFonts w:ascii="Arial" w:hAnsi="Arial" w:cs="Arial"/>
          <w:sz w:val="20"/>
          <w:shd w:val="clear" w:color="auto" w:fill="FFFFFF"/>
        </w:rPr>
      </w:pPr>
    </w:p>
    <w:p w:rsidR="006877AF" w:rsidRPr="0076386C" w:rsidRDefault="006877AF" w:rsidP="006877AF">
      <w:pPr>
        <w:jc w:val="center"/>
        <w:rPr>
          <w:rFonts w:ascii="Arial" w:hAnsi="Arial" w:cs="Arial"/>
          <w:b/>
          <w:szCs w:val="24"/>
          <w:lang w:eastAsia="sl-SI"/>
        </w:rPr>
      </w:pPr>
      <w:r w:rsidRPr="0076386C">
        <w:rPr>
          <w:rFonts w:ascii="Arial" w:hAnsi="Arial" w:cs="Arial"/>
          <w:b/>
          <w:color w:val="000000"/>
          <w:szCs w:val="24"/>
        </w:rPr>
        <w:t>Poročilo Ministrstva za finance o opravljenem nadzoru nad Družbo za upravljanje terjatev bank, d. d., in o izdanih pisnih usmeritvah</w:t>
      </w:r>
      <w:r w:rsidRPr="0076386C">
        <w:rPr>
          <w:rFonts w:ascii="Arial" w:hAnsi="Arial" w:cs="Arial"/>
          <w:b/>
          <w:szCs w:val="24"/>
          <w:lang w:eastAsia="sl-SI"/>
        </w:rPr>
        <w:t xml:space="preserve"> za obdobje od 1. 5. 2017 do 31. 7. 2017</w:t>
      </w:r>
    </w:p>
    <w:p w:rsidR="006877AF" w:rsidRPr="0076386C" w:rsidRDefault="006877AF" w:rsidP="006877AF">
      <w:pPr>
        <w:rPr>
          <w:rFonts w:ascii="Arial" w:hAnsi="Arial" w:cs="Arial"/>
          <w:sz w:val="20"/>
          <w:shd w:val="clear" w:color="auto" w:fill="FFFFFF"/>
        </w:rPr>
      </w:pPr>
    </w:p>
    <w:p w:rsidR="006877AF" w:rsidRPr="0076386C" w:rsidRDefault="006877AF" w:rsidP="006877AF">
      <w:pPr>
        <w:rPr>
          <w:rFonts w:ascii="Arial" w:hAnsi="Arial" w:cs="Arial"/>
          <w:color w:val="00B050"/>
          <w:sz w:val="20"/>
          <w:shd w:val="clear" w:color="auto" w:fill="FFFFFF"/>
        </w:rPr>
      </w:pPr>
    </w:p>
    <w:p w:rsidR="006877AF" w:rsidRPr="0076386C" w:rsidRDefault="006877AF" w:rsidP="006877AF">
      <w:pPr>
        <w:rPr>
          <w:rFonts w:ascii="Arial" w:hAnsi="Arial" w:cs="Arial"/>
          <w:color w:val="00B050"/>
          <w:sz w:val="20"/>
          <w:shd w:val="clear" w:color="auto" w:fill="FFFFFF"/>
        </w:rPr>
      </w:pPr>
    </w:p>
    <w:p w:rsidR="006877AF" w:rsidRPr="0076386C" w:rsidRDefault="006877AF" w:rsidP="006877AF">
      <w:pPr>
        <w:rPr>
          <w:rFonts w:ascii="Arial" w:hAnsi="Arial" w:cs="Arial"/>
          <w:b/>
          <w:sz w:val="20"/>
        </w:rPr>
      </w:pPr>
      <w:r w:rsidRPr="0076386C">
        <w:rPr>
          <w:rFonts w:ascii="Arial" w:hAnsi="Arial" w:cs="Arial"/>
          <w:b/>
          <w:sz w:val="20"/>
        </w:rPr>
        <w:t>1 SPLOŠNO O NADZORU MINISTRSTVA</w:t>
      </w:r>
    </w:p>
    <w:p w:rsidR="006877AF" w:rsidRPr="0076386C" w:rsidRDefault="006877AF" w:rsidP="006877AF">
      <w:pPr>
        <w:rPr>
          <w:rFonts w:ascii="Arial" w:hAnsi="Arial" w:cs="Arial"/>
          <w:sz w:val="20"/>
          <w:shd w:val="clear" w:color="auto" w:fill="FFFFFF"/>
        </w:rPr>
      </w:pPr>
    </w:p>
    <w:p w:rsidR="006877AF" w:rsidRPr="0076386C" w:rsidRDefault="006877AF" w:rsidP="006877AF">
      <w:pPr>
        <w:numPr>
          <w:ilvl w:val="1"/>
          <w:numId w:val="2"/>
        </w:numPr>
        <w:shd w:val="clear" w:color="auto" w:fill="FFFFFF"/>
        <w:rPr>
          <w:rFonts w:ascii="Arial" w:hAnsi="Arial" w:cs="Arial"/>
          <w:b/>
          <w:sz w:val="20"/>
          <w:shd w:val="clear" w:color="auto" w:fill="FFFFFF"/>
        </w:rPr>
      </w:pPr>
      <w:r w:rsidRPr="0076386C">
        <w:rPr>
          <w:rFonts w:ascii="Arial" w:hAnsi="Arial" w:cs="Arial"/>
          <w:b/>
          <w:sz w:val="20"/>
        </w:rPr>
        <w:t>Pristojnosti pri nadzoru</w:t>
      </w:r>
    </w:p>
    <w:p w:rsidR="006877AF" w:rsidRPr="0076386C" w:rsidRDefault="006877AF" w:rsidP="006877AF">
      <w:pPr>
        <w:shd w:val="clear" w:color="auto" w:fill="FFFFFF"/>
        <w:rPr>
          <w:rFonts w:ascii="Arial" w:hAnsi="Arial" w:cs="Arial"/>
          <w:sz w:val="20"/>
        </w:rPr>
      </w:pPr>
    </w:p>
    <w:p w:rsidR="006877AF" w:rsidRPr="0076386C" w:rsidRDefault="006877AF" w:rsidP="006877AF">
      <w:pPr>
        <w:shd w:val="clear" w:color="auto" w:fill="FFFFFF"/>
        <w:rPr>
          <w:rFonts w:ascii="Arial" w:eastAsia="Times New Roman" w:hAnsi="Arial" w:cs="Arial"/>
          <w:bCs/>
          <w:sz w:val="20"/>
          <w:lang w:eastAsia="sl-SI"/>
        </w:rPr>
      </w:pPr>
      <w:r w:rsidRPr="0076386C">
        <w:rPr>
          <w:rFonts w:ascii="Arial" w:hAnsi="Arial" w:cs="Arial"/>
          <w:sz w:val="20"/>
        </w:rPr>
        <w:t xml:space="preserve">V skladu z drugim odstavkom 4. člena </w:t>
      </w:r>
      <w:r w:rsidRPr="0076386C">
        <w:rPr>
          <w:rFonts w:ascii="Arial" w:eastAsia="Times New Roman" w:hAnsi="Arial" w:cs="Arial"/>
          <w:bCs/>
          <w:sz w:val="20"/>
          <w:lang w:eastAsia="sl-SI"/>
        </w:rPr>
        <w:t xml:space="preserve">Zakona o ukrepih Republike Slovenije za krepitev stabilnosti bank (Uradni list RS, št. 105/12, 63/13 – ZS-K, 23/14 – ZDIJZ-C, 104/15, 26/17 – ORZUKSB33 in 27/17 – </w:t>
      </w:r>
      <w:proofErr w:type="spellStart"/>
      <w:r w:rsidRPr="0076386C">
        <w:rPr>
          <w:rFonts w:ascii="Arial" w:eastAsia="Times New Roman" w:hAnsi="Arial" w:cs="Arial"/>
          <w:bCs/>
          <w:sz w:val="20"/>
          <w:lang w:eastAsia="sl-SI"/>
        </w:rPr>
        <w:t>popr</w:t>
      </w:r>
      <w:proofErr w:type="spellEnd"/>
      <w:r w:rsidRPr="0076386C">
        <w:rPr>
          <w:rFonts w:ascii="Arial" w:eastAsia="Times New Roman" w:hAnsi="Arial" w:cs="Arial"/>
          <w:bCs/>
          <w:sz w:val="20"/>
          <w:lang w:eastAsia="sl-SI"/>
        </w:rPr>
        <w:t xml:space="preserve">.; v nadaljnjem besedilu: ZUKSB) izvaja Ministrstvo za finance (v nadaljnjem besedilu: ministrstvo) nadzor nad Družbo za upravljanje terjatev bank, d. d. (v nadaljnjem besedilu: DUTB). </w:t>
      </w:r>
      <w:r w:rsidRPr="0076386C">
        <w:rPr>
          <w:rFonts w:ascii="Arial" w:hAnsi="Arial" w:cs="Arial"/>
          <w:sz w:val="20"/>
        </w:rPr>
        <w:t>Nadzor ministrstva obsega nadzor poslovanja DUTB. ZUKSB v navedenem členu v zvezi z nadzorom ministrstva še določa, da DUTB predloži ministrstvu vse dokumente in informacije, ki jih ministrstvo zahteva. Ministrstvo lahko zahteva vse dokumente in informacije, ki jih potrebuje za opravljanje nadzora, razen dokumentov in informacij, ki se nanašajo na zaupna razmerja.</w:t>
      </w:r>
      <w:r w:rsidRPr="0076386C">
        <w:rPr>
          <w:rFonts w:ascii="Arial" w:hAnsi="Arial" w:cs="Arial"/>
          <w:sz w:val="20"/>
          <w:shd w:val="clear" w:color="auto" w:fill="FFFFFF"/>
        </w:rPr>
        <w:t xml:space="preserve"> </w:t>
      </w:r>
    </w:p>
    <w:p w:rsidR="006877AF" w:rsidRPr="0076386C" w:rsidRDefault="006877AF" w:rsidP="006877AF">
      <w:pPr>
        <w:tabs>
          <w:tab w:val="left" w:pos="-1080"/>
          <w:tab w:val="left" w:pos="-720"/>
          <w:tab w:val="left" w:pos="0"/>
          <w:tab w:val="left" w:pos="990"/>
          <w:tab w:val="left" w:pos="1260"/>
        </w:tabs>
        <w:outlineLvl w:val="0"/>
        <w:rPr>
          <w:rFonts w:ascii="Arial" w:hAnsi="Arial" w:cs="Arial"/>
          <w:b/>
          <w:sz w:val="20"/>
        </w:rPr>
      </w:pPr>
    </w:p>
    <w:p w:rsidR="006877AF" w:rsidRPr="0076386C" w:rsidRDefault="006877AF" w:rsidP="006877AF">
      <w:pPr>
        <w:shd w:val="clear" w:color="auto" w:fill="FFFFFF"/>
        <w:rPr>
          <w:rFonts w:ascii="Arial" w:hAnsi="Arial" w:cs="Arial"/>
          <w:sz w:val="20"/>
          <w:shd w:val="clear" w:color="auto" w:fill="FFFFFF"/>
        </w:rPr>
      </w:pPr>
      <w:r w:rsidRPr="0076386C">
        <w:rPr>
          <w:rFonts w:ascii="Arial" w:hAnsi="Arial" w:cs="Arial"/>
          <w:sz w:val="20"/>
          <w:shd w:val="clear" w:color="auto" w:fill="FFFFFF"/>
        </w:rPr>
        <w:t xml:space="preserve">Nadzor, ki ga izvaja ministrstvo, je podrobneje določen v Smernicah za delovanje DUTB (v nadaljnjem besedilu: smernice), ki jih je sprejela Vlada Republike Slovenije (v nadaljnjem besedilu: vlada) </w:t>
      </w:r>
      <w:r w:rsidRPr="0076386C">
        <w:rPr>
          <w:rFonts w:ascii="Arial" w:eastAsia="Times New Roman" w:hAnsi="Arial" w:cs="Arial"/>
          <w:sz w:val="20"/>
          <w:lang w:eastAsia="sl-SI"/>
        </w:rPr>
        <w:t xml:space="preserve">dne 7. 12. 2016 s sklepom št. 40300-2/2016/7. </w:t>
      </w:r>
      <w:r w:rsidRPr="0076386C">
        <w:rPr>
          <w:rFonts w:ascii="Arial" w:hAnsi="Arial" w:cs="Arial"/>
          <w:sz w:val="20"/>
          <w:shd w:val="clear" w:color="auto" w:fill="FFFFFF"/>
        </w:rPr>
        <w:t xml:space="preserve">V 5. točki </w:t>
      </w:r>
      <w:r>
        <w:rPr>
          <w:rFonts w:ascii="Arial" w:hAnsi="Arial" w:cs="Arial"/>
          <w:sz w:val="20"/>
          <w:shd w:val="clear" w:color="auto" w:fill="FFFFFF"/>
        </w:rPr>
        <w:t>naved</w:t>
      </w:r>
      <w:r w:rsidRPr="0076386C">
        <w:rPr>
          <w:rFonts w:ascii="Arial" w:hAnsi="Arial" w:cs="Arial"/>
          <w:sz w:val="20"/>
          <w:shd w:val="clear" w:color="auto" w:fill="FFFFFF"/>
        </w:rPr>
        <w:t xml:space="preserve">enih smernic je določeno, da ministrstvo izvaja nadzor nad delovanjem DUTB v skladu z ZUKSB. Ministrstvo v skladu z ZUKSB nadzoruje skladnost poslovanja DUTB z ZUKSB in predpisi, izdanimi na njegovi podlagi. Ministrstvo mora pri izvajanju nadzora spoštovati dejstvo, da je DUTB gospodarska družba. </w:t>
      </w:r>
    </w:p>
    <w:p w:rsidR="006877AF" w:rsidRPr="0076386C" w:rsidRDefault="006877AF" w:rsidP="006877AF">
      <w:pPr>
        <w:shd w:val="clear" w:color="auto" w:fill="FFFFFF"/>
        <w:rPr>
          <w:rFonts w:ascii="Arial" w:hAnsi="Arial" w:cs="Arial"/>
          <w:sz w:val="20"/>
          <w:shd w:val="clear" w:color="auto" w:fill="FFFFFF"/>
        </w:rPr>
      </w:pPr>
    </w:p>
    <w:p w:rsidR="006877AF" w:rsidRPr="0076386C" w:rsidRDefault="006877AF" w:rsidP="006877AF">
      <w:pPr>
        <w:rPr>
          <w:rFonts w:ascii="Arial" w:eastAsia="Times New Roman" w:hAnsi="Arial" w:cs="Arial"/>
          <w:sz w:val="20"/>
          <w:lang w:eastAsia="sl-SI"/>
        </w:rPr>
      </w:pPr>
      <w:r w:rsidRPr="0076386C">
        <w:rPr>
          <w:rFonts w:ascii="Arial" w:hAnsi="Arial" w:cs="Arial"/>
          <w:sz w:val="20"/>
          <w:shd w:val="clear" w:color="auto" w:fill="FFFFFF"/>
        </w:rPr>
        <w:t>Ministrstvo se v okviru nadzora ne sme opredeljevati do posameznih poslovnih odločitev DUTB.</w:t>
      </w:r>
      <w:r w:rsidRPr="0076386C">
        <w:rPr>
          <w:rFonts w:ascii="Arial" w:eastAsia="Times New Roman" w:hAnsi="Arial" w:cs="Arial"/>
          <w:sz w:val="20"/>
          <w:lang w:eastAsia="sl-SI"/>
        </w:rPr>
        <w:t xml:space="preserve"> Temeljno vodilo urejanja DUTB je namreč, da mora biti njeno delovanje neodvisno od političnih navodil in interesov. Da je to pogoj za uspešno delovanje DUTB, so Republiko Slovenijo opozorile tudi mednarodne </w:t>
      </w:r>
      <w:r>
        <w:rPr>
          <w:rFonts w:ascii="Arial" w:eastAsia="Times New Roman" w:hAnsi="Arial" w:cs="Arial"/>
          <w:sz w:val="20"/>
          <w:lang w:eastAsia="sl-SI"/>
        </w:rPr>
        <w:t>ustanov</w:t>
      </w:r>
      <w:r w:rsidRPr="0076386C">
        <w:rPr>
          <w:rFonts w:ascii="Arial" w:eastAsia="Times New Roman" w:hAnsi="Arial" w:cs="Arial"/>
          <w:sz w:val="20"/>
          <w:lang w:eastAsia="sl-SI"/>
        </w:rPr>
        <w:t>e. Mednarodni denarni sklad je v rednem letnem pregledu položaja v Republiki Sloveniji zapisal, da je z vidika maksimiranja sredstev, ki se bodo vrnila v proračun, nujno, da se zagotovi neodvisnost korporativnega upravljanja in zaposlenih. Smiselno enako je leta 2013 zapisala Organizacija za gospodarsko sodelovanje in razvoj. Zahteva po neodvisnosti poslovanja DUTB izhaja tudi iz Priporočila Sveta v zvezi z nacionalnim programom reform Slovenije za leto 2015 in iz mnenja Sveta o programu Slovenije za stabilnost za leto 2015. V njem je zapisano, da mora Republika Slovenija ohraniti trdno korporativno upravljanje v DUTB. Zahteva, da se ohrani trdno korporativno upravljanje</w:t>
      </w:r>
      <w:r>
        <w:rPr>
          <w:rFonts w:ascii="Arial" w:eastAsia="Times New Roman" w:hAnsi="Arial" w:cs="Arial"/>
          <w:sz w:val="20"/>
          <w:lang w:eastAsia="sl-SI"/>
        </w:rPr>
        <w:t>,</w:t>
      </w:r>
      <w:r w:rsidRPr="0076386C">
        <w:rPr>
          <w:rFonts w:ascii="Arial" w:eastAsia="Times New Roman" w:hAnsi="Arial" w:cs="Arial"/>
          <w:sz w:val="20"/>
          <w:lang w:eastAsia="sl-SI"/>
        </w:rPr>
        <w:t xml:space="preserve"> namreč pomeni, da mora DUTB (in ne vlada ali ministrstvo) </w:t>
      </w:r>
      <w:r>
        <w:rPr>
          <w:rFonts w:ascii="Arial" w:eastAsia="Times New Roman" w:hAnsi="Arial" w:cs="Arial"/>
          <w:sz w:val="20"/>
          <w:lang w:eastAsia="sl-SI"/>
        </w:rPr>
        <w:t xml:space="preserve">sama </w:t>
      </w:r>
      <w:r w:rsidRPr="0076386C">
        <w:rPr>
          <w:rFonts w:ascii="Arial" w:eastAsia="Times New Roman" w:hAnsi="Arial" w:cs="Arial"/>
          <w:sz w:val="20"/>
          <w:lang w:eastAsia="sl-SI"/>
        </w:rPr>
        <w:t xml:space="preserve">sprejemati svoje odločitve. </w:t>
      </w:r>
    </w:p>
    <w:p w:rsidR="006877AF" w:rsidRPr="0076386C" w:rsidRDefault="006877AF" w:rsidP="006877AF">
      <w:pPr>
        <w:shd w:val="clear" w:color="auto" w:fill="FFFFFF"/>
        <w:rPr>
          <w:rFonts w:ascii="Arial" w:hAnsi="Arial" w:cs="Arial"/>
          <w:sz w:val="20"/>
          <w:shd w:val="clear" w:color="auto" w:fill="FFFFFF"/>
        </w:rPr>
      </w:pPr>
    </w:p>
    <w:p w:rsidR="006877AF" w:rsidRPr="0076386C" w:rsidRDefault="006877AF" w:rsidP="006877AF">
      <w:pPr>
        <w:shd w:val="clear" w:color="auto" w:fill="FFFFFF"/>
        <w:rPr>
          <w:rFonts w:ascii="Arial" w:hAnsi="Arial" w:cs="Arial"/>
          <w:sz w:val="20"/>
        </w:rPr>
      </w:pPr>
      <w:r>
        <w:rPr>
          <w:rFonts w:ascii="Arial" w:hAnsi="Arial" w:cs="Arial"/>
          <w:sz w:val="20"/>
          <w:shd w:val="clear" w:color="auto" w:fill="FFFFFF"/>
        </w:rPr>
        <w:t>Treba je</w:t>
      </w:r>
      <w:r w:rsidRPr="0076386C">
        <w:rPr>
          <w:rFonts w:ascii="Arial" w:hAnsi="Arial" w:cs="Arial"/>
          <w:sz w:val="20"/>
          <w:shd w:val="clear" w:color="auto" w:fill="FFFFFF"/>
        </w:rPr>
        <w:t xml:space="preserve"> poudariti, da ministrstvo pri nadzoru </w:t>
      </w:r>
      <w:r>
        <w:rPr>
          <w:rFonts w:ascii="Arial" w:hAnsi="Arial" w:cs="Arial"/>
          <w:sz w:val="20"/>
          <w:shd w:val="clear" w:color="auto" w:fill="FFFFFF"/>
        </w:rPr>
        <w:t xml:space="preserve">nad </w:t>
      </w:r>
      <w:r w:rsidRPr="0076386C">
        <w:rPr>
          <w:rFonts w:ascii="Arial" w:hAnsi="Arial" w:cs="Arial"/>
          <w:sz w:val="20"/>
          <w:shd w:val="clear" w:color="auto" w:fill="FFFFFF"/>
        </w:rPr>
        <w:t xml:space="preserve">DUTB </w:t>
      </w:r>
      <w:r w:rsidRPr="0076386C">
        <w:rPr>
          <w:rFonts w:ascii="Arial" w:hAnsi="Arial" w:cs="Arial"/>
          <w:sz w:val="20"/>
        </w:rPr>
        <w:t>nima inšpekcijskih pooblastil (npr. da bi pregledovalo delovanje DUTB na kraju samem). Ministrstvo spremlja aktivnosti DUTB na podlagi poročil, ki jih pripravlja DUTB.</w:t>
      </w:r>
    </w:p>
    <w:p w:rsidR="006877AF" w:rsidRPr="0076386C" w:rsidRDefault="006877AF" w:rsidP="006877AF">
      <w:pPr>
        <w:shd w:val="clear" w:color="auto" w:fill="FFFFFF"/>
        <w:rPr>
          <w:rFonts w:ascii="Arial" w:hAnsi="Arial" w:cs="Arial"/>
          <w:sz w:val="20"/>
          <w:shd w:val="clear" w:color="auto" w:fill="FFFFFF"/>
        </w:rPr>
      </w:pPr>
    </w:p>
    <w:p w:rsidR="006877AF" w:rsidRPr="0076386C" w:rsidRDefault="006877AF" w:rsidP="006877AF">
      <w:pPr>
        <w:shd w:val="clear" w:color="auto" w:fill="FFFFFF"/>
        <w:rPr>
          <w:rFonts w:ascii="Arial" w:hAnsi="Arial" w:cs="Arial"/>
          <w:sz w:val="20"/>
          <w:shd w:val="clear" w:color="auto" w:fill="FFFFFF"/>
        </w:rPr>
      </w:pPr>
      <w:r w:rsidRPr="0076386C">
        <w:rPr>
          <w:rFonts w:ascii="Arial" w:hAnsi="Arial" w:cs="Arial"/>
          <w:sz w:val="20"/>
        </w:rPr>
        <w:t xml:space="preserve">V skladu z drugim odstavkom 4. člena </w:t>
      </w:r>
      <w:r w:rsidRPr="0076386C">
        <w:rPr>
          <w:rFonts w:ascii="Arial" w:eastAsia="Times New Roman" w:hAnsi="Arial" w:cs="Arial"/>
          <w:bCs/>
          <w:sz w:val="20"/>
          <w:lang w:eastAsia="sl-SI"/>
        </w:rPr>
        <w:t xml:space="preserve">ZUKSB </w:t>
      </w:r>
      <w:r w:rsidRPr="0076386C">
        <w:rPr>
          <w:rFonts w:ascii="Arial" w:hAnsi="Arial" w:cs="Arial"/>
          <w:sz w:val="20"/>
        </w:rPr>
        <w:t>ministrstvo vsake tri mesece obvesti vlado in Državni zbor Republike Slovenije o nadzoru, ki ga je opravilo</w:t>
      </w:r>
      <w:r>
        <w:rPr>
          <w:rFonts w:ascii="Arial" w:hAnsi="Arial" w:cs="Arial"/>
          <w:sz w:val="20"/>
        </w:rPr>
        <w:t>,</w:t>
      </w:r>
      <w:r w:rsidRPr="0076386C">
        <w:rPr>
          <w:rFonts w:ascii="Arial" w:hAnsi="Arial" w:cs="Arial"/>
          <w:sz w:val="20"/>
        </w:rPr>
        <w:t xml:space="preserve"> ter o izdanih pisnih usmeritvah. </w:t>
      </w:r>
      <w:r w:rsidRPr="0076386C">
        <w:rPr>
          <w:rFonts w:ascii="Arial" w:hAnsi="Arial" w:cs="Arial"/>
          <w:sz w:val="20"/>
          <w:shd w:val="clear" w:color="auto" w:fill="FFFFFF"/>
        </w:rPr>
        <w:t>Če ministrstvo v postopku nadzora ugotovi, da je član upravnega odbora kršil svojo dolžnost, o kršitvi nemudoma obvesti vlado.</w:t>
      </w:r>
    </w:p>
    <w:p w:rsidR="006877AF" w:rsidRPr="0076386C" w:rsidRDefault="006877AF" w:rsidP="006877AF">
      <w:pPr>
        <w:shd w:val="clear" w:color="auto" w:fill="FFFFFF"/>
        <w:rPr>
          <w:rFonts w:ascii="Arial" w:hAnsi="Arial" w:cs="Arial"/>
          <w:sz w:val="20"/>
        </w:rPr>
      </w:pPr>
    </w:p>
    <w:p w:rsidR="006877AF" w:rsidRPr="0076386C" w:rsidRDefault="006877AF" w:rsidP="006877AF">
      <w:pPr>
        <w:shd w:val="clear" w:color="auto" w:fill="FFFFFF"/>
        <w:rPr>
          <w:rFonts w:ascii="Arial" w:hAnsi="Arial" w:cs="Arial"/>
          <w:sz w:val="20"/>
        </w:rPr>
      </w:pPr>
    </w:p>
    <w:p w:rsidR="006877AF" w:rsidRPr="0076386C" w:rsidRDefault="006877AF" w:rsidP="006877AF">
      <w:pPr>
        <w:shd w:val="clear" w:color="auto" w:fill="FFFFFF"/>
        <w:rPr>
          <w:rFonts w:ascii="Arial" w:hAnsi="Arial" w:cs="Arial"/>
          <w:sz w:val="20"/>
        </w:rPr>
      </w:pPr>
    </w:p>
    <w:p w:rsidR="006877AF" w:rsidRPr="0076386C" w:rsidRDefault="006877AF" w:rsidP="006877AF">
      <w:pPr>
        <w:shd w:val="clear" w:color="auto" w:fill="FFFFFF"/>
        <w:rPr>
          <w:rFonts w:ascii="Arial" w:hAnsi="Arial" w:cs="Arial"/>
          <w:b/>
          <w:bCs/>
          <w:iCs/>
          <w:sz w:val="20"/>
        </w:rPr>
      </w:pPr>
      <w:r w:rsidRPr="0076386C">
        <w:rPr>
          <w:rFonts w:ascii="Arial" w:hAnsi="Arial" w:cs="Arial"/>
          <w:b/>
          <w:bCs/>
          <w:iCs/>
          <w:sz w:val="20"/>
        </w:rPr>
        <w:t xml:space="preserve">2 NADZOR MINISTRSTVA NAD DUTB V OBDOBJU OD </w:t>
      </w:r>
      <w:r w:rsidRPr="0076386C">
        <w:rPr>
          <w:rFonts w:ascii="Arial" w:hAnsi="Arial" w:cs="Arial"/>
          <w:b/>
          <w:sz w:val="20"/>
          <w:lang w:eastAsia="sl-SI"/>
        </w:rPr>
        <w:t>1. 5. 2017 DO 31. 7. 2017</w:t>
      </w:r>
    </w:p>
    <w:p w:rsidR="006877AF" w:rsidRPr="0076386C" w:rsidRDefault="006877AF" w:rsidP="006877AF">
      <w:pPr>
        <w:shd w:val="clear" w:color="auto" w:fill="FFFFFF"/>
        <w:rPr>
          <w:rFonts w:ascii="Arial" w:hAnsi="Arial" w:cs="Arial"/>
          <w:bCs/>
          <w:iCs/>
          <w:color w:val="0000FF"/>
          <w:sz w:val="20"/>
        </w:rPr>
      </w:pPr>
    </w:p>
    <w:p w:rsidR="006877AF" w:rsidRPr="0076386C" w:rsidRDefault="006877AF" w:rsidP="006877AF">
      <w:pPr>
        <w:overflowPunct/>
        <w:textAlignment w:val="auto"/>
        <w:rPr>
          <w:rFonts w:ascii="Arial" w:hAnsi="Arial" w:cs="Arial"/>
          <w:b/>
          <w:sz w:val="20"/>
        </w:rPr>
      </w:pPr>
      <w:r w:rsidRPr="0076386C">
        <w:rPr>
          <w:rFonts w:ascii="Arial" w:hAnsi="Arial" w:cs="Arial"/>
          <w:b/>
          <w:sz w:val="20"/>
        </w:rPr>
        <w:t>2.1 Seznanjenost s poslovanjem DUTB</w:t>
      </w:r>
    </w:p>
    <w:p w:rsidR="006877AF" w:rsidRPr="0076386C" w:rsidRDefault="006877AF" w:rsidP="006877AF">
      <w:pPr>
        <w:overflowPunct/>
        <w:textAlignment w:val="auto"/>
        <w:rPr>
          <w:rFonts w:ascii="Arial" w:hAnsi="Arial" w:cs="Arial"/>
          <w:b/>
          <w:color w:val="00B050"/>
          <w:sz w:val="20"/>
        </w:rPr>
      </w:pPr>
    </w:p>
    <w:p w:rsidR="006877AF" w:rsidRPr="0076386C" w:rsidRDefault="006877AF" w:rsidP="006877AF">
      <w:pPr>
        <w:overflowPunct/>
        <w:textAlignment w:val="auto"/>
        <w:rPr>
          <w:rFonts w:ascii="Arial" w:hAnsi="Arial" w:cs="Arial"/>
          <w:b/>
          <w:sz w:val="20"/>
        </w:rPr>
      </w:pPr>
      <w:r w:rsidRPr="0076386C">
        <w:rPr>
          <w:rFonts w:ascii="Arial" w:eastAsia="Times New Roman" w:hAnsi="Arial" w:cs="Arial"/>
          <w:sz w:val="20"/>
          <w:lang w:eastAsia="sl-SI"/>
        </w:rPr>
        <w:t xml:space="preserve">V skladu s 5. točko </w:t>
      </w:r>
      <w:r w:rsidRPr="008E44E4">
        <w:rPr>
          <w:rFonts w:ascii="Arial" w:eastAsia="Times New Roman" w:hAnsi="Arial" w:cs="Arial"/>
          <w:sz w:val="20"/>
          <w:lang w:eastAsia="sl-SI"/>
        </w:rPr>
        <w:t>smernic mora upravni</w:t>
      </w:r>
      <w:r w:rsidRPr="0076386C">
        <w:rPr>
          <w:rFonts w:ascii="Arial" w:eastAsia="Times New Roman" w:hAnsi="Arial" w:cs="Arial"/>
          <w:sz w:val="20"/>
          <w:lang w:eastAsia="sl-SI"/>
        </w:rPr>
        <w:t xml:space="preserve"> odbor DUTB mesečno in četrtletno poročati ministrstvu o svojem izvajanju pristojnosti po </w:t>
      </w:r>
      <w:r w:rsidRPr="0076386C">
        <w:rPr>
          <w:rFonts w:ascii="Arial" w:hAnsi="Arial" w:cs="Arial"/>
          <w:sz w:val="20"/>
        </w:rPr>
        <w:t>ZUKSB</w:t>
      </w:r>
      <w:r w:rsidRPr="0076386C">
        <w:rPr>
          <w:rFonts w:ascii="Arial" w:eastAsia="Times New Roman" w:hAnsi="Arial" w:cs="Arial"/>
          <w:sz w:val="20"/>
          <w:lang w:eastAsia="sl-SI"/>
        </w:rPr>
        <w:t xml:space="preserve">. </w:t>
      </w:r>
    </w:p>
    <w:p w:rsidR="006877AF" w:rsidRPr="0076386C" w:rsidRDefault="006877AF" w:rsidP="006877AF">
      <w:pPr>
        <w:overflowPunct/>
        <w:textAlignment w:val="auto"/>
        <w:rPr>
          <w:rFonts w:ascii="Arial" w:hAnsi="Arial" w:cs="Arial"/>
          <w:b/>
          <w:color w:val="00B050"/>
          <w:sz w:val="20"/>
        </w:rPr>
      </w:pPr>
    </w:p>
    <w:p w:rsidR="006877AF" w:rsidRPr="0076386C" w:rsidRDefault="006877AF" w:rsidP="006877AF">
      <w:pPr>
        <w:shd w:val="clear" w:color="auto" w:fill="FFFFFF"/>
        <w:rPr>
          <w:rFonts w:ascii="Arial" w:hAnsi="Arial" w:cs="Arial"/>
          <w:bCs/>
          <w:iCs/>
          <w:sz w:val="20"/>
        </w:rPr>
      </w:pPr>
      <w:r w:rsidRPr="0076386C">
        <w:rPr>
          <w:rFonts w:ascii="Arial" w:hAnsi="Arial" w:cs="Arial"/>
          <w:sz w:val="20"/>
        </w:rPr>
        <w:t xml:space="preserve">Nadzor ministrstva poteka z rednim mesečnim pregledovanjem prejete dokumentacije DUTB s strani pristojnih direktoratov (Direktorat za finančni sistem, Direktorat za javno premoženje, Direktorat za proračun). Ministrstvo izvaja </w:t>
      </w:r>
      <w:r>
        <w:rPr>
          <w:rFonts w:ascii="Arial" w:hAnsi="Arial" w:cs="Arial"/>
          <w:sz w:val="20"/>
        </w:rPr>
        <w:t>mesečne</w:t>
      </w:r>
      <w:r w:rsidRPr="0076386C">
        <w:rPr>
          <w:rFonts w:ascii="Arial" w:hAnsi="Arial" w:cs="Arial"/>
          <w:sz w:val="20"/>
        </w:rPr>
        <w:t xml:space="preserve"> sestanke</w:t>
      </w:r>
      <w:r>
        <w:rPr>
          <w:rFonts w:ascii="Arial" w:hAnsi="Arial" w:cs="Arial"/>
          <w:sz w:val="20"/>
        </w:rPr>
        <w:t xml:space="preserve"> </w:t>
      </w:r>
      <w:r w:rsidRPr="0076386C">
        <w:rPr>
          <w:rFonts w:ascii="Arial" w:hAnsi="Arial" w:cs="Arial"/>
          <w:sz w:val="20"/>
        </w:rPr>
        <w:t xml:space="preserve">z izvršnimi direktorji DUTB, </w:t>
      </w:r>
      <w:r>
        <w:rPr>
          <w:rFonts w:ascii="Arial" w:hAnsi="Arial" w:cs="Arial"/>
          <w:sz w:val="20"/>
        </w:rPr>
        <w:t>na katerih</w:t>
      </w:r>
      <w:r w:rsidRPr="0076386C">
        <w:rPr>
          <w:rFonts w:ascii="Arial" w:hAnsi="Arial" w:cs="Arial"/>
          <w:sz w:val="20"/>
        </w:rPr>
        <w:t xml:space="preserve"> se obravnavajo </w:t>
      </w:r>
      <w:r w:rsidRPr="0076386C">
        <w:rPr>
          <w:rFonts w:ascii="Arial" w:hAnsi="Arial" w:cs="Arial"/>
          <w:sz w:val="20"/>
        </w:rPr>
        <w:lastRenderedPageBreak/>
        <w:t xml:space="preserve">predložena mesečna poročila </w:t>
      </w:r>
      <w:r>
        <w:rPr>
          <w:rFonts w:ascii="Arial" w:hAnsi="Arial" w:cs="Arial"/>
          <w:sz w:val="20"/>
        </w:rPr>
        <w:t>in</w:t>
      </w:r>
      <w:r w:rsidRPr="0076386C">
        <w:rPr>
          <w:rFonts w:ascii="Arial" w:hAnsi="Arial" w:cs="Arial"/>
          <w:sz w:val="20"/>
        </w:rPr>
        <w:t xml:space="preserve"> aktualna vprašanja</w:t>
      </w:r>
      <w:r>
        <w:rPr>
          <w:rFonts w:ascii="Arial" w:hAnsi="Arial" w:cs="Arial"/>
          <w:sz w:val="20"/>
        </w:rPr>
        <w:t xml:space="preserve"> v</w:t>
      </w:r>
      <w:r w:rsidRPr="0076386C">
        <w:rPr>
          <w:rFonts w:ascii="Arial" w:hAnsi="Arial" w:cs="Arial"/>
          <w:sz w:val="20"/>
        </w:rPr>
        <w:t xml:space="preserve"> </w:t>
      </w:r>
      <w:r>
        <w:rPr>
          <w:rFonts w:ascii="Arial" w:hAnsi="Arial" w:cs="Arial"/>
          <w:sz w:val="20"/>
        </w:rPr>
        <w:t>z</w:t>
      </w:r>
      <w:r w:rsidRPr="0076386C">
        <w:rPr>
          <w:rFonts w:ascii="Arial" w:hAnsi="Arial" w:cs="Arial"/>
          <w:sz w:val="20"/>
        </w:rPr>
        <w:t>vez</w:t>
      </w:r>
      <w:r>
        <w:rPr>
          <w:rFonts w:ascii="Arial" w:hAnsi="Arial" w:cs="Arial"/>
          <w:sz w:val="20"/>
        </w:rPr>
        <w:t>i</w:t>
      </w:r>
      <w:r w:rsidRPr="0076386C">
        <w:rPr>
          <w:rFonts w:ascii="Arial" w:hAnsi="Arial" w:cs="Arial"/>
          <w:sz w:val="20"/>
        </w:rPr>
        <w:t xml:space="preserve"> </w:t>
      </w:r>
      <w:r>
        <w:rPr>
          <w:rFonts w:ascii="Arial" w:hAnsi="Arial" w:cs="Arial"/>
          <w:sz w:val="20"/>
        </w:rPr>
        <w:t>z</w:t>
      </w:r>
      <w:r w:rsidRPr="0076386C">
        <w:rPr>
          <w:rFonts w:ascii="Arial" w:hAnsi="Arial" w:cs="Arial"/>
          <w:sz w:val="20"/>
        </w:rPr>
        <w:t xml:space="preserve"> delovanje</w:t>
      </w:r>
      <w:r>
        <w:rPr>
          <w:rFonts w:ascii="Arial" w:hAnsi="Arial" w:cs="Arial"/>
          <w:sz w:val="20"/>
        </w:rPr>
        <w:t>m</w:t>
      </w:r>
      <w:r w:rsidRPr="0076386C">
        <w:rPr>
          <w:rFonts w:ascii="Arial" w:hAnsi="Arial" w:cs="Arial"/>
          <w:sz w:val="20"/>
        </w:rPr>
        <w:t xml:space="preserve"> DUTB (vprašanja zadolževanja, priprave gradiv za predložitev vladi kot skupščini,</w:t>
      </w:r>
      <w:r w:rsidRPr="0076386C">
        <w:rPr>
          <w:rFonts w:ascii="Arial" w:eastAsia="Times New Roman" w:hAnsi="Arial" w:cs="Arial"/>
          <w:sz w:val="20"/>
          <w:lang w:eastAsia="sl-SI"/>
        </w:rPr>
        <w:t xml:space="preserve"> izračun salda DUTB </w:t>
      </w:r>
      <w:r>
        <w:rPr>
          <w:rFonts w:ascii="Arial" w:eastAsia="Times New Roman" w:hAnsi="Arial" w:cs="Arial"/>
          <w:sz w:val="20"/>
          <w:lang w:eastAsia="sl-SI"/>
        </w:rPr>
        <w:t xml:space="preserve">v </w:t>
      </w:r>
      <w:r w:rsidRPr="0076386C">
        <w:rPr>
          <w:rFonts w:ascii="Arial" w:eastAsia="Times New Roman" w:hAnsi="Arial" w:cs="Arial"/>
          <w:sz w:val="20"/>
          <w:lang w:eastAsia="sl-SI"/>
        </w:rPr>
        <w:t>sklad</w:t>
      </w:r>
      <w:r>
        <w:rPr>
          <w:rFonts w:ascii="Arial" w:eastAsia="Times New Roman" w:hAnsi="Arial" w:cs="Arial"/>
          <w:sz w:val="20"/>
          <w:lang w:eastAsia="sl-SI"/>
        </w:rPr>
        <w:t>u</w:t>
      </w:r>
      <w:r w:rsidRPr="0076386C">
        <w:rPr>
          <w:rFonts w:ascii="Arial" w:eastAsia="Times New Roman" w:hAnsi="Arial" w:cs="Arial"/>
          <w:sz w:val="20"/>
          <w:lang w:eastAsia="sl-SI"/>
        </w:rPr>
        <w:t xml:space="preserve"> z metodologijo ESA itn</w:t>
      </w:r>
      <w:r>
        <w:rPr>
          <w:rFonts w:ascii="Arial" w:eastAsia="Times New Roman" w:hAnsi="Arial" w:cs="Arial"/>
          <w:sz w:val="20"/>
          <w:lang w:eastAsia="sl-SI"/>
        </w:rPr>
        <w:t>.</w:t>
      </w:r>
      <w:r w:rsidRPr="0076386C">
        <w:rPr>
          <w:rFonts w:ascii="Arial" w:eastAsia="Times New Roman" w:hAnsi="Arial" w:cs="Arial"/>
          <w:sz w:val="20"/>
          <w:lang w:eastAsia="sl-SI"/>
        </w:rPr>
        <w:t>)</w:t>
      </w:r>
      <w:r w:rsidRPr="0076386C">
        <w:rPr>
          <w:rFonts w:ascii="Arial" w:hAnsi="Arial" w:cs="Arial"/>
          <w:sz w:val="20"/>
        </w:rPr>
        <w:t>.</w:t>
      </w:r>
    </w:p>
    <w:p w:rsidR="006877AF" w:rsidRPr="0076386C" w:rsidRDefault="006877AF" w:rsidP="006877AF">
      <w:pPr>
        <w:overflowPunct/>
        <w:textAlignment w:val="auto"/>
        <w:rPr>
          <w:rFonts w:ascii="Arial" w:hAnsi="Arial" w:cs="Arial"/>
          <w:b/>
          <w:color w:val="00B050"/>
          <w:sz w:val="20"/>
        </w:rPr>
      </w:pPr>
    </w:p>
    <w:p w:rsidR="006877AF" w:rsidRPr="0076386C" w:rsidRDefault="006877AF" w:rsidP="006877AF">
      <w:pPr>
        <w:overflowPunct/>
        <w:textAlignment w:val="auto"/>
        <w:rPr>
          <w:rFonts w:ascii="Arial" w:hAnsi="Arial" w:cs="Arial"/>
          <w:strike/>
          <w:sz w:val="20"/>
        </w:rPr>
      </w:pPr>
      <w:r w:rsidRPr="0076386C">
        <w:rPr>
          <w:rFonts w:ascii="Arial" w:hAnsi="Arial" w:cs="Arial"/>
          <w:sz w:val="20"/>
        </w:rPr>
        <w:t xml:space="preserve">V obdobju poročanja je ministrstvo v okviru svojih pristojnosti vodilo korespondenco z DUTB o aktualnem dogajanju ter </w:t>
      </w:r>
      <w:r>
        <w:rPr>
          <w:rFonts w:ascii="Arial" w:hAnsi="Arial" w:cs="Arial"/>
          <w:sz w:val="20"/>
        </w:rPr>
        <w:t xml:space="preserve">jo </w:t>
      </w:r>
      <w:r w:rsidRPr="0076386C">
        <w:rPr>
          <w:rFonts w:ascii="Arial" w:hAnsi="Arial" w:cs="Arial"/>
          <w:sz w:val="20"/>
        </w:rPr>
        <w:t xml:space="preserve">zaprosilo za dodatna pojasnila in podatke. </w:t>
      </w:r>
    </w:p>
    <w:p w:rsidR="006877AF" w:rsidRPr="0076386C" w:rsidRDefault="006877AF" w:rsidP="006877AF">
      <w:pPr>
        <w:rPr>
          <w:rFonts w:ascii="Arial" w:eastAsia="Times New Roman" w:hAnsi="Arial" w:cs="Arial"/>
          <w:strike/>
          <w:sz w:val="20"/>
        </w:rPr>
      </w:pPr>
    </w:p>
    <w:p w:rsidR="006877AF" w:rsidRPr="0076386C" w:rsidRDefault="006877AF" w:rsidP="006877AF">
      <w:pPr>
        <w:rPr>
          <w:rFonts w:ascii="Arial" w:hAnsi="Arial" w:cs="Arial"/>
          <w:sz w:val="20"/>
        </w:rPr>
      </w:pPr>
      <w:r w:rsidRPr="0076386C">
        <w:rPr>
          <w:rFonts w:ascii="Arial" w:hAnsi="Arial" w:cs="Arial"/>
          <w:sz w:val="20"/>
          <w:shd w:val="clear" w:color="auto" w:fill="FFFFFF"/>
        </w:rPr>
        <w:t xml:space="preserve">V obdobju poročanja je ministrstvo DUTB zaprosilo za bolj jasni način poročanja v okviru mesečnih in </w:t>
      </w:r>
      <w:proofErr w:type="spellStart"/>
      <w:r w:rsidRPr="0076386C">
        <w:rPr>
          <w:rFonts w:ascii="Arial" w:hAnsi="Arial" w:cs="Arial"/>
          <w:sz w:val="20"/>
          <w:shd w:val="clear" w:color="auto" w:fill="FFFFFF"/>
        </w:rPr>
        <w:t>kvartalnih</w:t>
      </w:r>
      <w:proofErr w:type="spellEnd"/>
      <w:r w:rsidRPr="0076386C">
        <w:rPr>
          <w:rFonts w:ascii="Arial" w:hAnsi="Arial" w:cs="Arial"/>
          <w:sz w:val="20"/>
          <w:shd w:val="clear" w:color="auto" w:fill="FFFFFF"/>
        </w:rPr>
        <w:t xml:space="preserve"> poročil. Na prošnjo DUTB je ministrstvo obenem </w:t>
      </w:r>
      <w:r>
        <w:rPr>
          <w:rFonts w:ascii="Arial" w:hAnsi="Arial" w:cs="Arial"/>
          <w:sz w:val="20"/>
          <w:shd w:val="clear" w:color="auto" w:fill="FFFFFF"/>
        </w:rPr>
        <w:t>podalo strokovno razlago</w:t>
      </w:r>
      <w:r w:rsidRPr="0076386C">
        <w:rPr>
          <w:rFonts w:ascii="Arial" w:hAnsi="Arial" w:cs="Arial"/>
          <w:sz w:val="20"/>
        </w:rPr>
        <w:t xml:space="preserve"> </w:t>
      </w:r>
      <w:r>
        <w:rPr>
          <w:rFonts w:ascii="Arial" w:hAnsi="Arial" w:cs="Arial"/>
          <w:sz w:val="20"/>
        </w:rPr>
        <w:t xml:space="preserve">13. člena </w:t>
      </w:r>
      <w:r w:rsidRPr="0076386C">
        <w:rPr>
          <w:rFonts w:ascii="Arial" w:hAnsi="Arial" w:cs="Arial"/>
          <w:sz w:val="20"/>
        </w:rPr>
        <w:t xml:space="preserve">ZUKSB </w:t>
      </w:r>
      <w:r>
        <w:rPr>
          <w:rFonts w:ascii="Arial" w:hAnsi="Arial" w:cs="Arial"/>
          <w:sz w:val="20"/>
        </w:rPr>
        <w:t>in</w:t>
      </w:r>
      <w:r w:rsidRPr="0076386C">
        <w:rPr>
          <w:rFonts w:ascii="Arial" w:hAnsi="Arial" w:cs="Arial"/>
          <w:sz w:val="20"/>
        </w:rPr>
        <w:t xml:space="preserve"> predstavilo svoje mnenje glede delovanja revizijske komisije DUTB.</w:t>
      </w:r>
    </w:p>
    <w:p w:rsidR="006877AF" w:rsidRPr="0076386C" w:rsidRDefault="006877AF" w:rsidP="006877AF">
      <w:pPr>
        <w:rPr>
          <w:rFonts w:ascii="Arial" w:hAnsi="Arial" w:cs="Arial"/>
          <w:sz w:val="20"/>
        </w:rPr>
      </w:pPr>
    </w:p>
    <w:p w:rsidR="006877AF" w:rsidRPr="0076386C" w:rsidRDefault="006877AF" w:rsidP="006877AF">
      <w:pPr>
        <w:overflowPunct/>
        <w:textAlignment w:val="auto"/>
        <w:rPr>
          <w:rFonts w:ascii="Arial" w:hAnsi="Arial" w:cs="Arial"/>
          <w:i/>
          <w:sz w:val="20"/>
        </w:rPr>
      </w:pPr>
      <w:r w:rsidRPr="0076386C">
        <w:rPr>
          <w:rFonts w:ascii="Arial" w:hAnsi="Arial" w:cs="Arial"/>
          <w:i/>
          <w:sz w:val="20"/>
        </w:rPr>
        <w:t xml:space="preserve">Stališče: V skladu s 5. poglavjem smernic je DUTB o svojem poslovanju mesečno seznanjala ministrstvo. V zvezi s tem je v obdobju poročanja poslala mesečna poročila za maj, junij in julij 2017 ter četrtletno poročilo za obdobje od 1. 4. 2017 do 30. 6. 2017. </w:t>
      </w:r>
      <w:r w:rsidRPr="0076386C">
        <w:rPr>
          <w:rFonts w:ascii="Arial" w:eastAsia="Times New Roman" w:hAnsi="Arial" w:cs="Arial"/>
          <w:i/>
          <w:sz w:val="20"/>
          <w:lang w:eastAsia="sl-SI"/>
        </w:rPr>
        <w:t>Ministrstvo je navedena poročila redno pregledovalo in ugotovilo, da je vsebina informacij ustrezna.</w:t>
      </w:r>
    </w:p>
    <w:p w:rsidR="006877AF" w:rsidRPr="0076386C" w:rsidRDefault="006877AF" w:rsidP="006877AF">
      <w:pPr>
        <w:overflowPunct/>
        <w:textAlignment w:val="auto"/>
        <w:rPr>
          <w:rFonts w:ascii="Arial" w:hAnsi="Arial" w:cs="Arial"/>
          <w:b/>
          <w:strike/>
          <w:color w:val="00B050"/>
          <w:sz w:val="20"/>
        </w:rPr>
      </w:pPr>
    </w:p>
    <w:p w:rsidR="006877AF" w:rsidRPr="0076386C" w:rsidRDefault="006877AF" w:rsidP="006877AF">
      <w:pPr>
        <w:overflowPunct/>
        <w:textAlignment w:val="auto"/>
        <w:rPr>
          <w:rFonts w:ascii="Arial" w:hAnsi="Arial" w:cs="Arial"/>
          <w:b/>
          <w:sz w:val="20"/>
        </w:rPr>
      </w:pPr>
    </w:p>
    <w:p w:rsidR="006877AF" w:rsidRPr="0076386C" w:rsidRDefault="006877AF" w:rsidP="006877AF">
      <w:pPr>
        <w:overflowPunct/>
        <w:textAlignment w:val="auto"/>
        <w:rPr>
          <w:rFonts w:ascii="Arial" w:hAnsi="Arial" w:cs="Arial"/>
          <w:b/>
          <w:color w:val="00B050"/>
          <w:sz w:val="20"/>
        </w:rPr>
      </w:pPr>
      <w:r w:rsidRPr="0076386C">
        <w:rPr>
          <w:rFonts w:ascii="Arial" w:hAnsi="Arial" w:cs="Arial"/>
          <w:b/>
          <w:sz w:val="20"/>
        </w:rPr>
        <w:t>2.2 Letno poročilo DUTB 2016</w:t>
      </w:r>
    </w:p>
    <w:p w:rsidR="006877AF" w:rsidRPr="0076386C" w:rsidRDefault="006877AF" w:rsidP="006877AF">
      <w:pPr>
        <w:overflowPunct/>
        <w:textAlignment w:val="auto"/>
        <w:rPr>
          <w:rFonts w:ascii="Arial" w:hAnsi="Arial" w:cs="Arial"/>
          <w:b/>
          <w:color w:val="00B050"/>
          <w:sz w:val="20"/>
        </w:rPr>
      </w:pPr>
    </w:p>
    <w:p w:rsidR="006877AF" w:rsidRDefault="006877AF" w:rsidP="006877AF">
      <w:pPr>
        <w:pStyle w:val="NormalWeb"/>
        <w:rPr>
          <w:rFonts w:ascii="Arial" w:hAnsi="Arial" w:cs="Arial"/>
          <w:sz w:val="20"/>
        </w:rPr>
      </w:pPr>
      <w:r w:rsidRPr="0076386C">
        <w:rPr>
          <w:rFonts w:ascii="Arial" w:hAnsi="Arial" w:cs="Arial"/>
          <w:sz w:val="20"/>
        </w:rPr>
        <w:t>Vlada se je 21. 6. 2017 seznanila z revidiranim Letnim poročilom DUTB za leto 2016. V okviru obravnave navedenega poročila se je vlada kot skupščina seznanila tudi z izkazom poslovnega izida za leto 2016.</w:t>
      </w:r>
    </w:p>
    <w:p w:rsidR="006877AF" w:rsidRDefault="006877AF" w:rsidP="006877AF">
      <w:pPr>
        <w:pStyle w:val="NormalWeb"/>
        <w:rPr>
          <w:rFonts w:ascii="Arial" w:hAnsi="Arial" w:cs="Arial"/>
          <w:sz w:val="20"/>
        </w:rPr>
      </w:pPr>
    </w:p>
    <w:p w:rsidR="006877AF" w:rsidRPr="0076386C" w:rsidRDefault="006877AF" w:rsidP="006877AF">
      <w:pPr>
        <w:pStyle w:val="NormalWeb"/>
        <w:rPr>
          <w:rFonts w:ascii="Arial" w:hAnsi="Arial" w:cs="Arial"/>
          <w:sz w:val="20"/>
          <w:szCs w:val="20"/>
        </w:rPr>
      </w:pPr>
      <w:r w:rsidRPr="0076386C">
        <w:rPr>
          <w:rFonts w:ascii="Arial" w:hAnsi="Arial" w:cs="Arial"/>
          <w:sz w:val="20"/>
          <w:szCs w:val="20"/>
        </w:rPr>
        <w:t xml:space="preserve">Delovanje DUTB so v letu 2016 zaznamovali pripojitev </w:t>
      </w:r>
      <w:proofErr w:type="spellStart"/>
      <w:r w:rsidRPr="0076386C">
        <w:rPr>
          <w:rFonts w:ascii="Arial" w:hAnsi="Arial" w:cs="Arial"/>
          <w:sz w:val="20"/>
          <w:szCs w:val="20"/>
        </w:rPr>
        <w:t>Factor</w:t>
      </w:r>
      <w:proofErr w:type="spellEnd"/>
      <w:r w:rsidRPr="0076386C">
        <w:rPr>
          <w:rFonts w:ascii="Arial" w:hAnsi="Arial" w:cs="Arial"/>
          <w:sz w:val="20"/>
          <w:szCs w:val="20"/>
        </w:rPr>
        <w:t xml:space="preserve"> banke in Probanke ter visoki ustvarjeni prilivi iz upravljanja sredstev, ki so presegli zakonsko opredeljeni cilj. Ustvarjeni prilivi iz upravljanja sredstev so v letu 2016 znašali 369,2 milijona EUR, kar predstavlja 18,3 % vrednos</w:t>
      </w:r>
      <w:r w:rsidRPr="0076386C">
        <w:rPr>
          <w:rFonts w:ascii="Arial" w:hAnsi="Arial" w:cs="Arial"/>
          <w:sz w:val="20"/>
        </w:rPr>
        <w:t>ti prenesenih sredstev</w:t>
      </w:r>
      <w:r w:rsidRPr="0076386C">
        <w:rPr>
          <w:rFonts w:ascii="Arial" w:hAnsi="Arial" w:cs="Arial"/>
          <w:sz w:val="20"/>
          <w:szCs w:val="20"/>
        </w:rPr>
        <w:t>. Od ustanovitve dalje je DUTB ustvarila 862,8 milijon</w:t>
      </w:r>
      <w:r>
        <w:rPr>
          <w:rFonts w:ascii="Arial" w:hAnsi="Arial" w:cs="Arial"/>
          <w:sz w:val="20"/>
          <w:szCs w:val="20"/>
        </w:rPr>
        <w:t>a</w:t>
      </w:r>
      <w:r w:rsidRPr="0076386C">
        <w:rPr>
          <w:rFonts w:ascii="Arial" w:hAnsi="Arial" w:cs="Arial"/>
          <w:sz w:val="20"/>
          <w:szCs w:val="20"/>
        </w:rPr>
        <w:t xml:space="preserve"> EUR prilivov, kar je 43 % vrednosti vseh prenesenih sredstev na DUTB.</w:t>
      </w:r>
      <w:r w:rsidRPr="0076386C">
        <w:rPr>
          <w:rFonts w:ascii="Arial" w:hAnsi="Arial" w:cs="Arial"/>
          <w:sz w:val="20"/>
        </w:rPr>
        <w:t xml:space="preserve"> </w:t>
      </w:r>
      <w:r w:rsidRPr="0076386C">
        <w:rPr>
          <w:rFonts w:ascii="Arial" w:hAnsi="Arial" w:cs="Arial"/>
          <w:sz w:val="20"/>
          <w:szCs w:val="20"/>
        </w:rPr>
        <w:t>DUTB je v letu 2016 izkazala 7,8 milijon</w:t>
      </w:r>
      <w:r>
        <w:rPr>
          <w:rFonts w:ascii="Arial" w:hAnsi="Arial" w:cs="Arial"/>
          <w:sz w:val="20"/>
          <w:szCs w:val="20"/>
        </w:rPr>
        <w:t>a</w:t>
      </w:r>
      <w:r w:rsidRPr="0076386C">
        <w:rPr>
          <w:rFonts w:ascii="Arial" w:hAnsi="Arial" w:cs="Arial"/>
          <w:sz w:val="20"/>
          <w:szCs w:val="20"/>
        </w:rPr>
        <w:t xml:space="preserve"> EUR čiste izgube.</w:t>
      </w:r>
      <w:r w:rsidRPr="0076386C">
        <w:rPr>
          <w:rFonts w:ascii="Arial" w:hAnsi="Arial" w:cs="Arial"/>
          <w:sz w:val="20"/>
        </w:rPr>
        <w:t xml:space="preserve"> </w:t>
      </w:r>
      <w:r w:rsidRPr="0076386C">
        <w:rPr>
          <w:rFonts w:ascii="Arial" w:hAnsi="Arial" w:cs="Arial"/>
          <w:sz w:val="20"/>
          <w:szCs w:val="20"/>
        </w:rPr>
        <w:t>Ekonomska donosnost na kapital je konec leta 2016 znašala 9,5 %</w:t>
      </w:r>
      <w:r w:rsidRPr="0076386C">
        <w:rPr>
          <w:rFonts w:ascii="Arial" w:hAnsi="Arial" w:cs="Arial"/>
          <w:sz w:val="20"/>
        </w:rPr>
        <w:t>.</w:t>
      </w:r>
      <w:r w:rsidRPr="0076386C">
        <w:rPr>
          <w:rFonts w:ascii="Arial" w:hAnsi="Arial" w:cs="Arial"/>
          <w:sz w:val="20"/>
          <w:szCs w:val="20"/>
        </w:rPr>
        <w:t xml:space="preserve"> DUTB je v letu 2016 v celoti poplačala 369 milijonov EUR finančnih obveznosti do Republike Slovenije, ki so bile prevzete ob pripojitvi </w:t>
      </w:r>
      <w:proofErr w:type="spellStart"/>
      <w:r w:rsidRPr="0076386C">
        <w:rPr>
          <w:rFonts w:ascii="Arial" w:hAnsi="Arial" w:cs="Arial"/>
          <w:sz w:val="20"/>
          <w:szCs w:val="20"/>
        </w:rPr>
        <w:t>Factor</w:t>
      </w:r>
      <w:proofErr w:type="spellEnd"/>
      <w:r w:rsidRPr="0076386C">
        <w:rPr>
          <w:rFonts w:ascii="Arial" w:hAnsi="Arial" w:cs="Arial"/>
          <w:sz w:val="20"/>
          <w:szCs w:val="20"/>
        </w:rPr>
        <w:t xml:space="preserve"> banke in Probanke, ter refinancirala zapadlo obveznico. S tem so se pomembno znižali odhodki financiranja DUTB v letu 2017 in v prihodnje. Revizijo računovodskih izkazov za leto 2016 je opravila revizijska družba KPMG Slovenija, d.</w:t>
      </w:r>
      <w:r>
        <w:rPr>
          <w:rFonts w:ascii="Arial" w:hAnsi="Arial" w:cs="Arial"/>
          <w:sz w:val="20"/>
          <w:szCs w:val="20"/>
        </w:rPr>
        <w:t> </w:t>
      </w:r>
      <w:r w:rsidRPr="0076386C">
        <w:rPr>
          <w:rFonts w:ascii="Arial" w:hAnsi="Arial" w:cs="Arial"/>
          <w:sz w:val="20"/>
          <w:szCs w:val="20"/>
        </w:rPr>
        <w:t>o.</w:t>
      </w:r>
      <w:r>
        <w:rPr>
          <w:rFonts w:ascii="Arial" w:hAnsi="Arial" w:cs="Arial"/>
          <w:sz w:val="20"/>
          <w:szCs w:val="20"/>
        </w:rPr>
        <w:t> </w:t>
      </w:r>
      <w:r w:rsidRPr="0076386C">
        <w:rPr>
          <w:rFonts w:ascii="Arial" w:hAnsi="Arial" w:cs="Arial"/>
          <w:sz w:val="20"/>
          <w:szCs w:val="20"/>
        </w:rPr>
        <w:t xml:space="preserve">o., Železna cesta 8a, Ljubljana, ter 25. 4. 2017 izdala mnenje brez pridržka. </w:t>
      </w:r>
    </w:p>
    <w:p w:rsidR="006877AF" w:rsidRPr="0076386C" w:rsidRDefault="006877AF" w:rsidP="006877AF">
      <w:pPr>
        <w:pStyle w:val="NormalWeb"/>
        <w:ind w:left="284"/>
        <w:rPr>
          <w:rFonts w:ascii="Arial" w:hAnsi="Arial" w:cs="Arial"/>
          <w:sz w:val="20"/>
          <w:szCs w:val="20"/>
        </w:rPr>
      </w:pPr>
    </w:p>
    <w:p w:rsidR="006877AF" w:rsidRPr="0076386C" w:rsidRDefault="006877AF" w:rsidP="006877AF">
      <w:pPr>
        <w:shd w:val="clear" w:color="auto" w:fill="FFFFFF"/>
        <w:overflowPunct/>
        <w:textAlignment w:val="auto"/>
        <w:rPr>
          <w:rFonts w:ascii="Arial" w:hAnsi="Arial" w:cs="Arial"/>
          <w:i/>
          <w:sz w:val="20"/>
        </w:rPr>
      </w:pPr>
      <w:r w:rsidRPr="0076386C">
        <w:rPr>
          <w:rFonts w:ascii="Arial" w:hAnsi="Arial" w:cs="Arial"/>
          <w:i/>
          <w:sz w:val="20"/>
        </w:rPr>
        <w:t>Stališče: Ustvarjeni prilivi DUTB v letu 2016 presegajo določbo ZUKSB o letnih prilivih v višini vsaj 10</w:t>
      </w:r>
      <w:r>
        <w:rPr>
          <w:rFonts w:ascii="Arial" w:hAnsi="Arial" w:cs="Arial"/>
          <w:i/>
          <w:sz w:val="20"/>
        </w:rPr>
        <w:t> </w:t>
      </w:r>
      <w:r w:rsidRPr="0076386C">
        <w:rPr>
          <w:rFonts w:ascii="Arial" w:hAnsi="Arial" w:cs="Arial"/>
          <w:i/>
          <w:sz w:val="20"/>
        </w:rPr>
        <w:t xml:space="preserve">% ocenjene vrednosti prenesenih sredstev. Ekonomska donosnost na kapital je bila v letu 2016 za 1,5 odstotne točke višja od cilja iz smernic. Ministrstvo se je v okviru poročanja DUTB seznanilo tudi z razlogi poslovne izgube DUTB v letu 2016 in jih </w:t>
      </w:r>
      <w:r>
        <w:rPr>
          <w:rFonts w:ascii="Arial" w:hAnsi="Arial" w:cs="Arial"/>
          <w:i/>
          <w:sz w:val="20"/>
        </w:rPr>
        <w:t>šteje za</w:t>
      </w:r>
      <w:r w:rsidRPr="0076386C">
        <w:rPr>
          <w:rFonts w:ascii="Arial" w:hAnsi="Arial" w:cs="Arial"/>
          <w:i/>
          <w:sz w:val="20"/>
        </w:rPr>
        <w:t xml:space="preserve"> sprejemljive. Več v zvezi s tem je ministrstvo zapisalo v »Opredelitvi Vlade Republike Slovenije do sklepa Odbora DZ za finance in monetarno politiko, ki se nanaša na Poročilo Ministrstva za finance glede opravljenega nadzora nad Družbo za upravljanje terjatev bank, d. d., in o izdanih pisnih usmeritvah</w:t>
      </w:r>
      <w:r w:rsidRPr="0076386C">
        <w:rPr>
          <w:rFonts w:ascii="Arial" w:hAnsi="Arial" w:cs="Arial"/>
          <w:i/>
          <w:sz w:val="20"/>
          <w:lang w:eastAsia="sl-SI"/>
        </w:rPr>
        <w:t>, februar–april 2017«.</w:t>
      </w:r>
    </w:p>
    <w:p w:rsidR="006877AF" w:rsidRPr="0076386C" w:rsidRDefault="006877AF" w:rsidP="006877AF">
      <w:pPr>
        <w:rPr>
          <w:rFonts w:ascii="Arial" w:hAnsi="Arial" w:cs="Arial"/>
          <w:color w:val="0000FF"/>
          <w:sz w:val="20"/>
          <w:lang w:eastAsia="sl-SI"/>
        </w:rPr>
      </w:pPr>
    </w:p>
    <w:p w:rsidR="006877AF" w:rsidRPr="0076386C" w:rsidRDefault="006877AF" w:rsidP="006877AF">
      <w:pPr>
        <w:rPr>
          <w:rFonts w:ascii="Arial" w:hAnsi="Arial" w:cs="Arial"/>
          <w:color w:val="0000FF"/>
          <w:sz w:val="20"/>
          <w:lang w:eastAsia="sl-SI"/>
        </w:rPr>
      </w:pPr>
    </w:p>
    <w:p w:rsidR="006877AF" w:rsidRPr="0076386C" w:rsidRDefault="006877AF" w:rsidP="006877AF">
      <w:pPr>
        <w:overflowPunct/>
        <w:textAlignment w:val="auto"/>
        <w:rPr>
          <w:rFonts w:ascii="Arial" w:hAnsi="Arial" w:cs="Arial"/>
          <w:b/>
          <w:sz w:val="20"/>
        </w:rPr>
      </w:pPr>
      <w:r w:rsidRPr="0076386C">
        <w:rPr>
          <w:rFonts w:ascii="Arial" w:hAnsi="Arial" w:cs="Arial"/>
          <w:b/>
          <w:sz w:val="20"/>
        </w:rPr>
        <w:t>2.3 Ciljne vrednosti kazalnikov poslovanja</w:t>
      </w:r>
    </w:p>
    <w:p w:rsidR="006877AF" w:rsidRPr="0076386C" w:rsidRDefault="006877AF" w:rsidP="006877AF">
      <w:pPr>
        <w:overflowPunct/>
        <w:textAlignment w:val="auto"/>
        <w:rPr>
          <w:rFonts w:ascii="Arial" w:hAnsi="Arial" w:cs="Arial"/>
          <w:b/>
          <w:color w:val="00B050"/>
          <w:sz w:val="20"/>
        </w:rPr>
      </w:pPr>
    </w:p>
    <w:p w:rsidR="006877AF" w:rsidRPr="0076386C" w:rsidRDefault="006877AF" w:rsidP="006877AF">
      <w:pPr>
        <w:rPr>
          <w:rFonts w:ascii="Arial" w:hAnsi="Arial" w:cs="Arial"/>
          <w:sz w:val="20"/>
        </w:rPr>
      </w:pPr>
      <w:r w:rsidRPr="0076386C">
        <w:rPr>
          <w:rFonts w:ascii="Arial" w:hAnsi="Arial" w:cs="Arial"/>
          <w:sz w:val="20"/>
        </w:rPr>
        <w:t xml:space="preserve">V skladu s smernicami se šteje, da DUTB v skladu z ZUKSB posluje gospodarno, učinkovito in uspešno, če so dosežene ciljne vrednosti kazalnikov poslovanja, ki so povzete v </w:t>
      </w:r>
      <w:r>
        <w:rPr>
          <w:rFonts w:ascii="Arial" w:hAnsi="Arial" w:cs="Arial"/>
          <w:sz w:val="20"/>
        </w:rPr>
        <w:t>P</w:t>
      </w:r>
      <w:r w:rsidRPr="0076386C">
        <w:rPr>
          <w:rFonts w:ascii="Arial" w:hAnsi="Arial" w:cs="Arial"/>
          <w:sz w:val="20"/>
        </w:rPr>
        <w:t xml:space="preserve">reglednici 1. </w:t>
      </w:r>
    </w:p>
    <w:p w:rsidR="006877AF" w:rsidRPr="0076386C" w:rsidRDefault="006877AF" w:rsidP="006877AF">
      <w:pPr>
        <w:rPr>
          <w:rFonts w:ascii="Arial" w:hAnsi="Arial" w:cs="Arial"/>
          <w:b/>
          <w:sz w:val="20"/>
        </w:rPr>
      </w:pPr>
    </w:p>
    <w:p w:rsidR="006877AF" w:rsidRPr="0076386C" w:rsidRDefault="006877AF" w:rsidP="006877AF">
      <w:pPr>
        <w:jc w:val="center"/>
        <w:rPr>
          <w:rFonts w:ascii="Arial" w:hAnsi="Arial" w:cs="Arial"/>
          <w:i/>
          <w:sz w:val="20"/>
        </w:rPr>
      </w:pPr>
      <w:r w:rsidRPr="0076386C">
        <w:rPr>
          <w:rFonts w:ascii="Arial" w:hAnsi="Arial" w:cs="Arial"/>
          <w:i/>
          <w:sz w:val="20"/>
        </w:rPr>
        <w:t>Preglednica 1: Ciljne vrednosti kazalnikov poslovanja</w:t>
      </w:r>
    </w:p>
    <w:p w:rsidR="006877AF" w:rsidRPr="0076386C" w:rsidRDefault="006877AF" w:rsidP="006877AF">
      <w:pPr>
        <w:rPr>
          <w:rFonts w:ascii="Arial" w:hAnsi="Arial" w:cs="Arial"/>
          <w:b/>
          <w:sz w:val="20"/>
        </w:rPr>
      </w:pPr>
    </w:p>
    <w:tbl>
      <w:tblPr>
        <w:tblW w:w="90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6"/>
        <w:gridCol w:w="708"/>
        <w:gridCol w:w="709"/>
        <w:gridCol w:w="709"/>
        <w:gridCol w:w="709"/>
        <w:gridCol w:w="711"/>
        <w:gridCol w:w="762"/>
      </w:tblGrid>
      <w:tr w:rsidR="006877AF" w:rsidRPr="0076386C" w:rsidTr="00AD7187">
        <w:trPr>
          <w:jc w:val="center"/>
        </w:trPr>
        <w:tc>
          <w:tcPr>
            <w:tcW w:w="4736" w:type="dxa"/>
            <w:tcBorders>
              <w:top w:val="single" w:sz="4" w:space="0" w:color="auto"/>
              <w:left w:val="single" w:sz="4" w:space="0" w:color="auto"/>
              <w:bottom w:val="single" w:sz="4" w:space="0" w:color="auto"/>
              <w:right w:val="single" w:sz="4" w:space="0" w:color="auto"/>
            </w:tcBorders>
            <w:shd w:val="clear" w:color="auto" w:fill="D9D9D9"/>
            <w:hideMark/>
          </w:tcPr>
          <w:p w:rsidR="006877AF" w:rsidRPr="0076386C" w:rsidRDefault="006877AF" w:rsidP="00AD7187">
            <w:pPr>
              <w:rPr>
                <w:rFonts w:ascii="Arial" w:hAnsi="Arial" w:cs="Arial"/>
                <w:b/>
                <w:sz w:val="20"/>
              </w:rPr>
            </w:pPr>
            <w:r w:rsidRPr="0076386C">
              <w:rPr>
                <w:rFonts w:ascii="Arial" w:hAnsi="Arial" w:cs="Arial"/>
                <w:b/>
                <w:sz w:val="20"/>
              </w:rPr>
              <w:t>Parameter/kazalnik poslovanja</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6877AF" w:rsidRPr="0076386C" w:rsidRDefault="006877AF" w:rsidP="00AD7187">
            <w:pPr>
              <w:jc w:val="center"/>
              <w:rPr>
                <w:rFonts w:ascii="Arial" w:hAnsi="Arial" w:cs="Arial"/>
                <w:b/>
                <w:sz w:val="20"/>
              </w:rPr>
            </w:pPr>
            <w:r w:rsidRPr="0076386C">
              <w:rPr>
                <w:rFonts w:ascii="Arial" w:hAnsi="Arial" w:cs="Arial"/>
                <w:b/>
                <w:sz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6877AF" w:rsidRPr="0076386C" w:rsidRDefault="006877AF" w:rsidP="00AD7187">
            <w:pPr>
              <w:jc w:val="center"/>
              <w:rPr>
                <w:rFonts w:ascii="Arial" w:hAnsi="Arial" w:cs="Arial"/>
                <w:b/>
                <w:sz w:val="20"/>
              </w:rPr>
            </w:pPr>
            <w:r w:rsidRPr="0076386C">
              <w:rPr>
                <w:rFonts w:ascii="Arial" w:hAnsi="Arial" w:cs="Arial"/>
                <w:b/>
                <w:sz w:val="20"/>
              </w:rPr>
              <w:t>2018</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6877AF" w:rsidRPr="0076386C" w:rsidRDefault="006877AF" w:rsidP="00AD7187">
            <w:pPr>
              <w:jc w:val="center"/>
              <w:rPr>
                <w:rFonts w:ascii="Arial" w:hAnsi="Arial" w:cs="Arial"/>
                <w:b/>
                <w:sz w:val="20"/>
              </w:rPr>
            </w:pPr>
            <w:r w:rsidRPr="0076386C">
              <w:rPr>
                <w:rFonts w:ascii="Arial" w:hAnsi="Arial" w:cs="Arial"/>
                <w:b/>
                <w:sz w:val="20"/>
              </w:rPr>
              <w:t>2019</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6877AF" w:rsidRPr="0076386C" w:rsidRDefault="006877AF" w:rsidP="00AD7187">
            <w:pPr>
              <w:jc w:val="center"/>
              <w:rPr>
                <w:rFonts w:ascii="Arial" w:hAnsi="Arial" w:cs="Arial"/>
                <w:b/>
                <w:sz w:val="20"/>
              </w:rPr>
            </w:pPr>
            <w:r w:rsidRPr="0076386C">
              <w:rPr>
                <w:rFonts w:ascii="Arial" w:hAnsi="Arial" w:cs="Arial"/>
                <w:b/>
                <w:sz w:val="20"/>
              </w:rPr>
              <w:t>2020</w:t>
            </w:r>
          </w:p>
        </w:tc>
        <w:tc>
          <w:tcPr>
            <w:tcW w:w="711" w:type="dxa"/>
            <w:tcBorders>
              <w:top w:val="single" w:sz="4" w:space="0" w:color="auto"/>
              <w:left w:val="single" w:sz="4" w:space="0" w:color="auto"/>
              <w:bottom w:val="single" w:sz="4" w:space="0" w:color="auto"/>
              <w:right w:val="single" w:sz="4" w:space="0" w:color="auto"/>
            </w:tcBorders>
            <w:shd w:val="clear" w:color="auto" w:fill="D9D9D9"/>
          </w:tcPr>
          <w:p w:rsidR="006877AF" w:rsidRPr="0076386C" w:rsidRDefault="006877AF" w:rsidP="00AD7187">
            <w:pPr>
              <w:jc w:val="center"/>
              <w:rPr>
                <w:rFonts w:ascii="Arial" w:hAnsi="Arial" w:cs="Arial"/>
                <w:b/>
                <w:sz w:val="20"/>
              </w:rPr>
            </w:pPr>
            <w:r w:rsidRPr="0076386C">
              <w:rPr>
                <w:rFonts w:ascii="Arial" w:hAnsi="Arial" w:cs="Arial"/>
                <w:b/>
                <w:sz w:val="20"/>
              </w:rPr>
              <w:t>2021</w:t>
            </w:r>
          </w:p>
        </w:tc>
        <w:tc>
          <w:tcPr>
            <w:tcW w:w="762" w:type="dxa"/>
            <w:tcBorders>
              <w:top w:val="single" w:sz="4" w:space="0" w:color="auto"/>
              <w:left w:val="single" w:sz="4" w:space="0" w:color="auto"/>
              <w:bottom w:val="single" w:sz="4" w:space="0" w:color="auto"/>
              <w:right w:val="single" w:sz="4" w:space="0" w:color="auto"/>
            </w:tcBorders>
            <w:shd w:val="clear" w:color="auto" w:fill="D9D9D9"/>
          </w:tcPr>
          <w:p w:rsidR="006877AF" w:rsidRPr="0076386C" w:rsidRDefault="006877AF" w:rsidP="00AD7187">
            <w:pPr>
              <w:jc w:val="center"/>
              <w:rPr>
                <w:rFonts w:ascii="Arial" w:hAnsi="Arial" w:cs="Arial"/>
                <w:b/>
                <w:sz w:val="20"/>
              </w:rPr>
            </w:pPr>
            <w:r w:rsidRPr="0076386C">
              <w:rPr>
                <w:rFonts w:ascii="Arial" w:hAnsi="Arial" w:cs="Arial"/>
                <w:b/>
                <w:sz w:val="20"/>
              </w:rPr>
              <w:t>2022</w:t>
            </w:r>
          </w:p>
        </w:tc>
      </w:tr>
      <w:tr w:rsidR="006877AF" w:rsidRPr="0076386C" w:rsidTr="00AD7187">
        <w:trPr>
          <w:jc w:val="center"/>
        </w:trPr>
        <w:tc>
          <w:tcPr>
            <w:tcW w:w="4736"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minimalni ustvarjeni kumulativni prilivi (v milijonih EUR)</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676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877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1.078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1.279</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1.480</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1.681</w:t>
            </w:r>
          </w:p>
        </w:tc>
      </w:tr>
      <w:tr w:rsidR="006877AF" w:rsidRPr="0076386C" w:rsidTr="00AD7187">
        <w:trPr>
          <w:jc w:val="center"/>
        </w:trPr>
        <w:tc>
          <w:tcPr>
            <w:tcW w:w="4736"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ustvarjeni prilivi/začetna prenosna vrednost sredstev</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10</w:t>
            </w:r>
            <w:r>
              <w:rPr>
                <w:rFonts w:ascii="Arial" w:hAnsi="Arial" w:cs="Arial"/>
                <w:sz w:val="16"/>
                <w:szCs w:val="16"/>
              </w:rPr>
              <w:t xml:space="preserve"> </w:t>
            </w:r>
            <w:r w:rsidRPr="0076386C">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10</w:t>
            </w:r>
            <w:r>
              <w:rPr>
                <w:rFonts w:ascii="Arial" w:hAnsi="Arial" w:cs="Arial"/>
                <w:sz w:val="16"/>
                <w:szCs w:val="16"/>
              </w:rPr>
              <w:t xml:space="preserve"> </w:t>
            </w:r>
            <w:r w:rsidRPr="0076386C">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10 %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10 %</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10 %</w:t>
            </w:r>
          </w:p>
        </w:tc>
      </w:tr>
      <w:tr w:rsidR="006877AF" w:rsidRPr="0076386C" w:rsidTr="00AD7187">
        <w:trPr>
          <w:jc w:val="center"/>
        </w:trPr>
        <w:tc>
          <w:tcPr>
            <w:tcW w:w="4736"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kumulativni EROE (vrednost lastniškega kapitala DUTB konec leta/vrednost vloženega kapitala s popravki, izračunan</w:t>
            </w:r>
            <w:r>
              <w:rPr>
                <w:rFonts w:ascii="Arial" w:hAnsi="Arial" w:cs="Arial"/>
                <w:sz w:val="16"/>
                <w:szCs w:val="16"/>
              </w:rPr>
              <w:t>a</w:t>
            </w:r>
            <w:r w:rsidRPr="0076386C">
              <w:rPr>
                <w:rFonts w:ascii="Arial" w:hAnsi="Arial" w:cs="Arial"/>
                <w:sz w:val="16"/>
                <w:szCs w:val="16"/>
              </w:rPr>
              <w:t xml:space="preserve"> kot letno povprečje)</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8</w:t>
            </w:r>
            <w:r>
              <w:rPr>
                <w:rFonts w:ascii="Arial" w:hAnsi="Arial" w:cs="Arial"/>
                <w:sz w:val="16"/>
                <w:szCs w:val="16"/>
              </w:rPr>
              <w:t xml:space="preserve"> </w:t>
            </w:r>
            <w:r w:rsidRPr="0076386C">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8 %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8 %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8 %</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8 %</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8 %</w:t>
            </w:r>
          </w:p>
        </w:tc>
      </w:tr>
      <w:tr w:rsidR="006877AF" w:rsidRPr="0076386C" w:rsidTr="00AD7187">
        <w:trPr>
          <w:jc w:val="center"/>
        </w:trPr>
        <w:tc>
          <w:tcPr>
            <w:tcW w:w="4736"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stroškovna učinkovitost (stroški poslovanja brez neposrednih transakcijskih stroškov/povprečna sredstva v upravljanju)</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1,9 %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877AF" w:rsidRPr="0076386C" w:rsidRDefault="006877AF" w:rsidP="00AD7187">
            <w:pPr>
              <w:rPr>
                <w:rFonts w:ascii="Arial" w:hAnsi="Arial" w:cs="Arial"/>
                <w:sz w:val="16"/>
                <w:szCs w:val="16"/>
              </w:rPr>
            </w:pPr>
            <w:r w:rsidRPr="0076386C">
              <w:rPr>
                <w:rFonts w:ascii="Arial" w:hAnsi="Arial" w:cs="Arial"/>
                <w:sz w:val="16"/>
                <w:szCs w:val="16"/>
              </w:rPr>
              <w:t>2,0</w:t>
            </w:r>
            <w:r>
              <w:rPr>
                <w:rFonts w:ascii="Arial" w:hAnsi="Arial" w:cs="Arial"/>
                <w:sz w:val="16"/>
                <w:szCs w:val="16"/>
              </w:rPr>
              <w:t xml:space="preserve"> </w:t>
            </w:r>
            <w:r w:rsidRPr="0076386C">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2,0</w:t>
            </w:r>
            <w:r>
              <w:rPr>
                <w:rFonts w:ascii="Arial" w:hAnsi="Arial" w:cs="Arial"/>
                <w:sz w:val="16"/>
                <w:szCs w:val="16"/>
              </w:rPr>
              <w:t xml:space="preserve"> </w:t>
            </w:r>
            <w:r w:rsidRPr="0076386C">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2,0</w:t>
            </w:r>
            <w:r>
              <w:rPr>
                <w:rFonts w:ascii="Arial" w:hAnsi="Arial" w:cs="Arial"/>
                <w:sz w:val="16"/>
                <w:szCs w:val="16"/>
              </w:rPr>
              <w:t xml:space="preserve"> </w:t>
            </w:r>
            <w:r w:rsidRPr="0076386C">
              <w:rPr>
                <w:rFonts w:ascii="Arial" w:hAnsi="Arial" w:cs="Arial"/>
                <w:sz w:val="16"/>
                <w:szCs w:val="16"/>
              </w:rPr>
              <w:t>%*</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2,0</w:t>
            </w:r>
            <w:r>
              <w:rPr>
                <w:rFonts w:ascii="Arial" w:hAnsi="Arial" w:cs="Arial"/>
                <w:sz w:val="16"/>
                <w:szCs w:val="16"/>
              </w:rPr>
              <w:t xml:space="preserve"> </w:t>
            </w:r>
            <w:r w:rsidRPr="0076386C">
              <w:rPr>
                <w:rFonts w:ascii="Arial" w:hAnsi="Arial" w:cs="Arial"/>
                <w:sz w:val="16"/>
                <w:szCs w:val="16"/>
              </w:rPr>
              <w:t>%*</w:t>
            </w:r>
          </w:p>
        </w:tc>
        <w:tc>
          <w:tcPr>
            <w:tcW w:w="762" w:type="dxa"/>
            <w:tcBorders>
              <w:top w:val="single" w:sz="4" w:space="0" w:color="auto"/>
              <w:left w:val="single" w:sz="4" w:space="0" w:color="auto"/>
              <w:bottom w:val="single" w:sz="4" w:space="0" w:color="auto"/>
              <w:right w:val="single" w:sz="4" w:space="0" w:color="auto"/>
            </w:tcBorders>
            <w:shd w:val="clear" w:color="auto" w:fill="auto"/>
          </w:tcPr>
          <w:p w:rsidR="006877AF" w:rsidRPr="0076386C" w:rsidRDefault="006877AF" w:rsidP="00AD7187">
            <w:pPr>
              <w:rPr>
                <w:rFonts w:ascii="Arial" w:hAnsi="Arial" w:cs="Arial"/>
                <w:sz w:val="16"/>
                <w:szCs w:val="16"/>
              </w:rPr>
            </w:pPr>
            <w:r w:rsidRPr="0076386C">
              <w:rPr>
                <w:rFonts w:ascii="Arial" w:hAnsi="Arial" w:cs="Arial"/>
                <w:sz w:val="16"/>
                <w:szCs w:val="16"/>
              </w:rPr>
              <w:t>2,0</w:t>
            </w:r>
            <w:r>
              <w:rPr>
                <w:rFonts w:ascii="Arial" w:hAnsi="Arial" w:cs="Arial"/>
                <w:sz w:val="16"/>
                <w:szCs w:val="16"/>
              </w:rPr>
              <w:t xml:space="preserve"> </w:t>
            </w:r>
            <w:r w:rsidRPr="0076386C">
              <w:rPr>
                <w:rFonts w:ascii="Arial" w:hAnsi="Arial" w:cs="Arial"/>
                <w:sz w:val="16"/>
                <w:szCs w:val="16"/>
              </w:rPr>
              <w:t>%*</w:t>
            </w:r>
          </w:p>
        </w:tc>
      </w:tr>
    </w:tbl>
    <w:p w:rsidR="006877AF" w:rsidRPr="0076386C" w:rsidRDefault="006877AF" w:rsidP="006877AF">
      <w:pPr>
        <w:rPr>
          <w:rFonts w:ascii="Arial" w:hAnsi="Arial" w:cs="Arial"/>
          <w:sz w:val="16"/>
          <w:szCs w:val="16"/>
        </w:rPr>
      </w:pPr>
      <w:r w:rsidRPr="0076386C">
        <w:rPr>
          <w:rFonts w:ascii="Arial" w:hAnsi="Arial" w:cs="Arial"/>
          <w:sz w:val="16"/>
          <w:szCs w:val="16"/>
        </w:rPr>
        <w:t xml:space="preserve">* </w:t>
      </w:r>
      <w:r>
        <w:rPr>
          <w:rFonts w:ascii="Arial" w:hAnsi="Arial" w:cs="Arial"/>
          <w:sz w:val="16"/>
          <w:szCs w:val="16"/>
        </w:rPr>
        <w:t>K</w:t>
      </w:r>
      <w:r w:rsidRPr="0076386C">
        <w:rPr>
          <w:rFonts w:ascii="Arial" w:hAnsi="Arial" w:cs="Arial"/>
          <w:sz w:val="16"/>
          <w:szCs w:val="16"/>
        </w:rPr>
        <w:t>azalnik stroškovne učinkovitosti se v teh letih lahko spremeni, če se bistveno spremeni portfelj DUTB.</w:t>
      </w:r>
    </w:p>
    <w:p w:rsidR="006877AF" w:rsidRDefault="006877AF" w:rsidP="006877AF">
      <w:pPr>
        <w:overflowPunct/>
        <w:textAlignment w:val="auto"/>
        <w:rPr>
          <w:rFonts w:ascii="Arial" w:hAnsi="Arial" w:cs="Arial"/>
          <w:b/>
          <w:color w:val="00B050"/>
          <w:sz w:val="20"/>
        </w:rPr>
      </w:pPr>
    </w:p>
    <w:p w:rsidR="006877AF" w:rsidRPr="0076386C" w:rsidRDefault="006877AF" w:rsidP="006877AF">
      <w:pPr>
        <w:overflowPunct/>
        <w:textAlignment w:val="auto"/>
        <w:rPr>
          <w:rFonts w:ascii="Arial" w:hAnsi="Arial" w:cs="Arial"/>
          <w:b/>
          <w:color w:val="00B050"/>
          <w:sz w:val="20"/>
        </w:rPr>
      </w:pPr>
    </w:p>
    <w:p w:rsidR="006877AF" w:rsidRPr="005F42FB" w:rsidRDefault="006877AF" w:rsidP="006877AF">
      <w:pPr>
        <w:pStyle w:val="Default"/>
        <w:jc w:val="both"/>
        <w:rPr>
          <w:rFonts w:ascii="Arial" w:hAnsi="Arial" w:cs="Arial"/>
          <w:b/>
          <w:i/>
          <w:color w:val="auto"/>
          <w:sz w:val="20"/>
          <w:szCs w:val="20"/>
        </w:rPr>
      </w:pPr>
      <w:r w:rsidRPr="005F42FB">
        <w:rPr>
          <w:rFonts w:ascii="Arial" w:hAnsi="Arial" w:cs="Arial"/>
          <w:b/>
          <w:i/>
          <w:sz w:val="20"/>
        </w:rPr>
        <w:t xml:space="preserve">2.3.1 </w:t>
      </w:r>
      <w:r w:rsidRPr="005F42FB">
        <w:rPr>
          <w:rFonts w:ascii="Arial" w:hAnsi="Arial" w:cs="Arial"/>
          <w:b/>
          <w:i/>
          <w:color w:val="auto"/>
          <w:sz w:val="20"/>
          <w:szCs w:val="20"/>
        </w:rPr>
        <w:t>Ustvarjeni prilivi</w:t>
      </w:r>
    </w:p>
    <w:p w:rsidR="006877AF" w:rsidRDefault="006877AF" w:rsidP="006877AF">
      <w:pPr>
        <w:pStyle w:val="Default"/>
        <w:jc w:val="both"/>
        <w:rPr>
          <w:rFonts w:ascii="Arial" w:hAnsi="Arial" w:cs="Arial"/>
          <w:sz w:val="20"/>
          <w:szCs w:val="20"/>
        </w:rPr>
      </w:pPr>
    </w:p>
    <w:p w:rsidR="006877AF" w:rsidRPr="0076386C" w:rsidRDefault="006877AF" w:rsidP="006877AF">
      <w:pPr>
        <w:pStyle w:val="Default"/>
        <w:jc w:val="both"/>
        <w:rPr>
          <w:rFonts w:ascii="Arial" w:hAnsi="Arial" w:cs="Arial"/>
          <w:b/>
          <w:color w:val="auto"/>
          <w:sz w:val="20"/>
          <w:szCs w:val="20"/>
        </w:rPr>
      </w:pPr>
      <w:r w:rsidRPr="0076386C">
        <w:rPr>
          <w:rFonts w:ascii="Arial" w:hAnsi="Arial" w:cs="Arial"/>
          <w:sz w:val="20"/>
          <w:szCs w:val="20"/>
        </w:rPr>
        <w:t xml:space="preserve">V maju 2017 je DUTB ustvarila 90,5 milijona EUR prilivov iz upravljanja premoženja. V juniju 2017 je DUTB ustvarila 22,3 milijona EUR prilivov iz upravljanja premoženja. </w:t>
      </w:r>
      <w:r w:rsidRPr="0076386C">
        <w:rPr>
          <w:rFonts w:ascii="Arial" w:eastAsia="Times New Roman" w:hAnsi="Arial" w:cs="Arial"/>
          <w:sz w:val="20"/>
          <w:szCs w:val="20"/>
          <w:lang w:eastAsia="sl-SI"/>
        </w:rPr>
        <w:t xml:space="preserve">V juliju 2017 je DUTB ustvarila 42,3 milijona </w:t>
      </w:r>
      <w:r w:rsidRPr="0076386C">
        <w:rPr>
          <w:rFonts w:ascii="Arial" w:eastAsia="Times New Roman" w:hAnsi="Arial" w:cs="Arial"/>
          <w:sz w:val="20"/>
          <w:szCs w:val="20"/>
          <w:lang w:eastAsia="sl-SI"/>
        </w:rPr>
        <w:lastRenderedPageBreak/>
        <w:t xml:space="preserve">EUR prilivov iz upravljanja premoženja. </w:t>
      </w:r>
      <w:r w:rsidRPr="0076386C">
        <w:rPr>
          <w:rFonts w:ascii="Arial" w:hAnsi="Arial" w:cs="Arial"/>
          <w:sz w:val="20"/>
          <w:szCs w:val="20"/>
        </w:rPr>
        <w:t>Skupaj je DUTB v letu 2017 ustvarila 288,7 milijona EUR prilivov iz upravljanja premoženja, kar predstavlja 14,3 % celotne prenosne vrednosti portfelja.</w:t>
      </w:r>
    </w:p>
    <w:p w:rsidR="006877AF" w:rsidRPr="0076386C" w:rsidRDefault="006877AF" w:rsidP="006877AF">
      <w:pPr>
        <w:jc w:val="center"/>
        <w:rPr>
          <w:rFonts w:ascii="Arial" w:hAnsi="Arial" w:cs="Arial"/>
          <w:i/>
          <w:sz w:val="20"/>
        </w:rPr>
      </w:pPr>
    </w:p>
    <w:p w:rsidR="006877AF" w:rsidRPr="0076386C" w:rsidRDefault="006877AF" w:rsidP="006877AF">
      <w:pPr>
        <w:jc w:val="center"/>
        <w:rPr>
          <w:rFonts w:ascii="Arial" w:hAnsi="Arial" w:cs="Arial"/>
          <w:i/>
          <w:sz w:val="20"/>
        </w:rPr>
      </w:pPr>
      <w:r w:rsidRPr="0076386C">
        <w:rPr>
          <w:rFonts w:ascii="Arial" w:hAnsi="Arial" w:cs="Arial"/>
          <w:i/>
          <w:sz w:val="20"/>
        </w:rPr>
        <w:t>Preglednica 2: Prilivi iz upravljanja premoženja</w:t>
      </w:r>
    </w:p>
    <w:p w:rsidR="006877AF" w:rsidRPr="0076386C" w:rsidRDefault="006877AF" w:rsidP="006877AF">
      <w:pPr>
        <w:pStyle w:val="Default"/>
        <w:jc w:val="center"/>
        <w:rPr>
          <w:rFonts w:ascii="Arial" w:hAnsi="Arial" w:cs="Arial"/>
          <w:bCs/>
          <w:i/>
          <w:color w:val="auto"/>
          <w:sz w:val="16"/>
          <w:szCs w:val="16"/>
        </w:rPr>
      </w:pPr>
    </w:p>
    <w:p w:rsidR="006877AF" w:rsidRPr="0076386C" w:rsidRDefault="006877AF" w:rsidP="006877AF">
      <w:pPr>
        <w:pStyle w:val="Default"/>
        <w:jc w:val="center"/>
        <w:rPr>
          <w:rFonts w:ascii="Arial" w:hAnsi="Arial" w:cs="Arial"/>
          <w:bCs/>
          <w:i/>
          <w:color w:val="auto"/>
          <w:sz w:val="16"/>
          <w:szCs w:val="16"/>
        </w:rPr>
      </w:pPr>
      <w:r>
        <w:rPr>
          <w:rFonts w:ascii="Arial" w:hAnsi="Arial" w:cs="Arial"/>
          <w:bCs/>
          <w:i/>
          <w:noProof/>
          <w:color w:val="auto"/>
          <w:sz w:val="16"/>
          <w:szCs w:val="16"/>
          <w:lang w:eastAsia="sl-SI"/>
        </w:rPr>
        <w:drawing>
          <wp:inline distT="0" distB="0" distL="0" distR="0">
            <wp:extent cx="1724025" cy="1552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1552575"/>
                    </a:xfrm>
                    <a:prstGeom prst="rect">
                      <a:avLst/>
                    </a:prstGeom>
                    <a:noFill/>
                    <a:ln>
                      <a:noFill/>
                    </a:ln>
                  </pic:spPr>
                </pic:pic>
              </a:graphicData>
            </a:graphic>
          </wp:inline>
        </w:drawing>
      </w:r>
    </w:p>
    <w:p w:rsidR="006877AF" w:rsidRDefault="006877AF" w:rsidP="006877AF">
      <w:pPr>
        <w:pStyle w:val="Default"/>
        <w:jc w:val="both"/>
        <w:rPr>
          <w:rFonts w:ascii="Arial" w:hAnsi="Arial" w:cs="Arial"/>
          <w:b/>
          <w:sz w:val="20"/>
        </w:rPr>
      </w:pPr>
    </w:p>
    <w:p w:rsidR="006877AF" w:rsidRDefault="006877AF" w:rsidP="006877AF">
      <w:pPr>
        <w:pStyle w:val="Default"/>
        <w:jc w:val="both"/>
        <w:rPr>
          <w:rFonts w:ascii="Arial" w:hAnsi="Arial" w:cs="Arial"/>
          <w:b/>
          <w:sz w:val="20"/>
        </w:rPr>
      </w:pPr>
    </w:p>
    <w:p w:rsidR="006877AF" w:rsidRPr="005F42FB" w:rsidRDefault="006877AF" w:rsidP="006877AF">
      <w:pPr>
        <w:pStyle w:val="Default"/>
        <w:jc w:val="both"/>
        <w:rPr>
          <w:rFonts w:ascii="Arial" w:hAnsi="Arial" w:cs="Arial"/>
          <w:b/>
          <w:i/>
          <w:color w:val="auto"/>
          <w:sz w:val="20"/>
          <w:szCs w:val="20"/>
        </w:rPr>
      </w:pPr>
      <w:r w:rsidRPr="005F42FB">
        <w:rPr>
          <w:rFonts w:ascii="Arial" w:hAnsi="Arial" w:cs="Arial"/>
          <w:b/>
          <w:i/>
          <w:sz w:val="20"/>
        </w:rPr>
        <w:t xml:space="preserve">2.3.2 </w:t>
      </w:r>
      <w:r w:rsidRPr="005F42FB">
        <w:rPr>
          <w:rFonts w:ascii="Arial" w:hAnsi="Arial" w:cs="Arial"/>
          <w:b/>
          <w:i/>
          <w:color w:val="auto"/>
          <w:sz w:val="20"/>
          <w:szCs w:val="20"/>
        </w:rPr>
        <w:t>Stroški poslovanja</w:t>
      </w:r>
    </w:p>
    <w:p w:rsidR="006877AF" w:rsidRDefault="006877AF" w:rsidP="006877AF">
      <w:pPr>
        <w:pStyle w:val="Default"/>
        <w:jc w:val="both"/>
        <w:rPr>
          <w:rFonts w:ascii="Arial" w:hAnsi="Arial" w:cs="Arial"/>
          <w:sz w:val="20"/>
          <w:szCs w:val="20"/>
        </w:rPr>
      </w:pPr>
    </w:p>
    <w:p w:rsidR="006877AF" w:rsidRPr="0076386C" w:rsidRDefault="006877AF" w:rsidP="006877AF">
      <w:pPr>
        <w:pStyle w:val="Default"/>
        <w:jc w:val="both"/>
        <w:rPr>
          <w:rFonts w:ascii="Arial" w:hAnsi="Arial" w:cs="Arial"/>
          <w:b/>
          <w:color w:val="auto"/>
          <w:sz w:val="20"/>
          <w:szCs w:val="20"/>
        </w:rPr>
      </w:pPr>
      <w:r w:rsidRPr="0076386C">
        <w:rPr>
          <w:rFonts w:ascii="Arial" w:hAnsi="Arial" w:cs="Arial"/>
          <w:sz w:val="20"/>
          <w:szCs w:val="20"/>
        </w:rPr>
        <w:t xml:space="preserve">Stroški poslovanja DUTB (z izločenimi stroški upravljanja nepremičnin </w:t>
      </w:r>
      <w:r>
        <w:rPr>
          <w:rFonts w:ascii="Arial" w:hAnsi="Arial" w:cs="Arial"/>
          <w:sz w:val="20"/>
          <w:szCs w:val="20"/>
        </w:rPr>
        <w:t>in</w:t>
      </w:r>
      <w:r w:rsidRPr="0076386C">
        <w:rPr>
          <w:rFonts w:ascii="Arial" w:hAnsi="Arial" w:cs="Arial"/>
          <w:sz w:val="20"/>
          <w:szCs w:val="20"/>
        </w:rPr>
        <w:t xml:space="preserve"> transakcijskimi stroški, povezanimi s prodajo lastniških naložb) so v maju 2017 znašali 1,3 milijona EUR, v juniju 2017 1,</w:t>
      </w:r>
      <w:r>
        <w:rPr>
          <w:rFonts w:ascii="Arial" w:hAnsi="Arial" w:cs="Arial"/>
          <w:sz w:val="20"/>
          <w:szCs w:val="20"/>
        </w:rPr>
        <w:t>4</w:t>
      </w:r>
      <w:r w:rsidRPr="0076386C">
        <w:rPr>
          <w:rFonts w:ascii="Arial" w:hAnsi="Arial" w:cs="Arial"/>
          <w:sz w:val="20"/>
          <w:szCs w:val="20"/>
        </w:rPr>
        <w:t xml:space="preserve"> milijona EUR ter v juliju 2017 1,1 milijona EUR. Kumulativno so zadevni stroški poslovanja v obdobju januar</w:t>
      </w:r>
      <w:r>
        <w:rPr>
          <w:rFonts w:ascii="Arial" w:hAnsi="Arial" w:cs="Arial"/>
          <w:sz w:val="20"/>
          <w:szCs w:val="20"/>
        </w:rPr>
        <w:t>–</w:t>
      </w:r>
      <w:r w:rsidRPr="0076386C">
        <w:rPr>
          <w:rFonts w:ascii="Arial" w:hAnsi="Arial" w:cs="Arial"/>
          <w:sz w:val="20"/>
          <w:szCs w:val="20"/>
        </w:rPr>
        <w:t xml:space="preserve">julij 2017 za 29 % nižji od lanskih </w:t>
      </w:r>
      <w:r>
        <w:rPr>
          <w:rFonts w:ascii="Arial" w:hAnsi="Arial" w:cs="Arial"/>
          <w:sz w:val="20"/>
          <w:szCs w:val="20"/>
        </w:rPr>
        <w:t>in</w:t>
      </w:r>
      <w:r w:rsidRPr="0076386C">
        <w:rPr>
          <w:rFonts w:ascii="Arial" w:hAnsi="Arial" w:cs="Arial"/>
          <w:sz w:val="20"/>
          <w:szCs w:val="20"/>
        </w:rPr>
        <w:t xml:space="preserve"> za 16 % nižji od načrtovanih.</w:t>
      </w:r>
    </w:p>
    <w:p w:rsidR="006877AF" w:rsidRPr="0076386C" w:rsidRDefault="006877AF" w:rsidP="006877AF">
      <w:pPr>
        <w:pStyle w:val="Default"/>
        <w:jc w:val="both"/>
        <w:rPr>
          <w:rFonts w:ascii="Arial" w:hAnsi="Arial" w:cs="Arial"/>
          <w:b/>
          <w:color w:val="auto"/>
          <w:sz w:val="20"/>
          <w:szCs w:val="20"/>
        </w:rPr>
      </w:pPr>
    </w:p>
    <w:p w:rsidR="006877AF" w:rsidRPr="0076386C" w:rsidRDefault="006877AF" w:rsidP="006877AF">
      <w:pPr>
        <w:pStyle w:val="Default"/>
        <w:jc w:val="center"/>
        <w:rPr>
          <w:rFonts w:ascii="Arial" w:hAnsi="Arial" w:cs="Arial"/>
          <w:i/>
          <w:color w:val="auto"/>
          <w:sz w:val="20"/>
          <w:szCs w:val="20"/>
        </w:rPr>
      </w:pPr>
      <w:r w:rsidRPr="0076386C">
        <w:rPr>
          <w:rFonts w:ascii="Arial" w:hAnsi="Arial" w:cs="Arial"/>
          <w:i/>
          <w:color w:val="auto"/>
          <w:sz w:val="20"/>
          <w:szCs w:val="20"/>
        </w:rPr>
        <w:t>Preglednica 3: Stroški poslovanja</w:t>
      </w:r>
    </w:p>
    <w:p w:rsidR="006877AF" w:rsidRPr="0076386C" w:rsidRDefault="006877AF" w:rsidP="006877AF">
      <w:pPr>
        <w:pStyle w:val="Default"/>
        <w:jc w:val="center"/>
        <w:rPr>
          <w:rFonts w:ascii="Arial" w:hAnsi="Arial" w:cs="Arial"/>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44"/>
      </w:tblGrid>
      <w:tr w:rsidR="006877AF" w:rsidRPr="0076386C" w:rsidTr="00AD7187">
        <w:trPr>
          <w:trHeight w:val="60"/>
          <w:jc w:val="center"/>
        </w:trPr>
        <w:tc>
          <w:tcPr>
            <w:tcW w:w="6245" w:type="dxa"/>
            <w:shd w:val="clear" w:color="auto" w:fill="auto"/>
          </w:tcPr>
          <w:p w:rsidR="006877AF" w:rsidRPr="0076386C" w:rsidRDefault="006877AF" w:rsidP="00AD7187">
            <w:pPr>
              <w:jc w:val="center"/>
              <w:rPr>
                <w:rFonts w:ascii="Arial" w:hAnsi="Arial" w:cs="Arial"/>
                <w:sz w:val="20"/>
              </w:rPr>
            </w:pPr>
            <w:r w:rsidRPr="0076386C">
              <w:object w:dxaOrig="14260" w:dyaOrig="5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68.75pt" o:ole="">
                  <v:imagedata r:id="rId9" o:title=""/>
                </v:shape>
                <o:OLEObject Type="Embed" ProgID="PBrush" ShapeID="_x0000_i1025" DrawAspect="Content" ObjectID="_1573021351" r:id="rId10"/>
              </w:object>
            </w:r>
          </w:p>
        </w:tc>
      </w:tr>
    </w:tbl>
    <w:p w:rsidR="006877AF" w:rsidRPr="0076386C" w:rsidRDefault="006877AF" w:rsidP="006877AF">
      <w:pPr>
        <w:pStyle w:val="Default"/>
        <w:jc w:val="both"/>
        <w:rPr>
          <w:rFonts w:ascii="Arial" w:eastAsia="Times New Roman" w:hAnsi="Arial" w:cs="Arial"/>
          <w:i/>
          <w:sz w:val="16"/>
          <w:szCs w:val="16"/>
          <w:lang w:eastAsia="sl-SI"/>
        </w:rPr>
      </w:pPr>
    </w:p>
    <w:p w:rsidR="006877AF" w:rsidRPr="0076386C" w:rsidRDefault="006877AF" w:rsidP="006877AF">
      <w:pPr>
        <w:pStyle w:val="Default"/>
        <w:jc w:val="both"/>
        <w:rPr>
          <w:rFonts w:ascii="Arial" w:hAnsi="Arial" w:cs="Arial"/>
          <w:b/>
          <w:i/>
          <w:color w:val="auto"/>
          <w:sz w:val="16"/>
          <w:szCs w:val="16"/>
        </w:rPr>
      </w:pPr>
      <w:r w:rsidRPr="008E44E4">
        <w:rPr>
          <w:rFonts w:ascii="Arial" w:eastAsia="Times New Roman" w:hAnsi="Arial" w:cs="Arial"/>
          <w:i/>
          <w:sz w:val="16"/>
          <w:szCs w:val="16"/>
          <w:lang w:eastAsia="sl-SI"/>
        </w:rPr>
        <w:t>Opomba: Stroški poslovanja so predstavljeni na naslednji način: v tabeli so skupni stroški poslovanja razdeljeni na stroške upravljanja nepremičnin, transakcijske stroške, povezane s prodajo lastniških naložb (ti dve skupini stroškov sta torej neposredno povezani s prodajo in ohranjanjem vrednosti premoženja, ki ga DUTB upravlja), ter preostale stroške poslovanja DUTB po izločitvah (navedenih skupin). Podatkom za vsak mesec so dodani še primerljivi stroški iz leta 2016.</w:t>
      </w:r>
      <w:r w:rsidRPr="008E44E4">
        <w:rPr>
          <w:rFonts w:ascii="Arial" w:hAnsi="Arial" w:cs="Arial"/>
          <w:i/>
          <w:sz w:val="16"/>
          <w:szCs w:val="16"/>
        </w:rPr>
        <w:t xml:space="preserve"> Stroški upravljanja nepremičnin vključujejo tudi transakcijske stroške prodaje nepremičnin.</w:t>
      </w:r>
    </w:p>
    <w:p w:rsidR="006877AF" w:rsidRPr="0076386C" w:rsidRDefault="006877AF" w:rsidP="006877AF">
      <w:pPr>
        <w:rPr>
          <w:rFonts w:ascii="Arial" w:hAnsi="Arial" w:cs="Arial"/>
          <w:sz w:val="16"/>
          <w:szCs w:val="16"/>
        </w:rPr>
      </w:pPr>
    </w:p>
    <w:p w:rsidR="006877AF" w:rsidRPr="0076386C" w:rsidRDefault="006877AF" w:rsidP="006877AF">
      <w:pPr>
        <w:pStyle w:val="NormalWeb"/>
        <w:rPr>
          <w:rFonts w:ascii="Arial" w:hAnsi="Arial" w:cs="Arial"/>
          <w:color w:val="000000"/>
          <w:sz w:val="20"/>
          <w:szCs w:val="20"/>
        </w:rPr>
      </w:pPr>
      <w:r w:rsidRPr="0076386C">
        <w:rPr>
          <w:rStyle w:val="Strong"/>
          <w:rFonts w:ascii="Arial" w:hAnsi="Arial" w:cs="Arial"/>
          <w:b w:val="0"/>
          <w:color w:val="000000"/>
          <w:sz w:val="20"/>
          <w:szCs w:val="20"/>
        </w:rPr>
        <w:t xml:space="preserve">V juniju 2017 je DUTB javno sporočila, da je dosegla pomemben mejnik v svojem poslovanju. </w:t>
      </w:r>
      <w:r>
        <w:rPr>
          <w:rStyle w:val="Strong"/>
          <w:rFonts w:ascii="Arial" w:hAnsi="Arial" w:cs="Arial"/>
          <w:b w:val="0"/>
          <w:color w:val="000000"/>
          <w:sz w:val="20"/>
          <w:szCs w:val="20"/>
        </w:rPr>
        <w:t xml:space="preserve">Občutno prej, kot je bilo načrtovano, </w:t>
      </w:r>
      <w:r w:rsidRPr="0076386C">
        <w:rPr>
          <w:rStyle w:val="Strong"/>
          <w:rFonts w:ascii="Arial" w:hAnsi="Arial" w:cs="Arial"/>
          <w:b w:val="0"/>
          <w:color w:val="000000"/>
          <w:sz w:val="20"/>
          <w:szCs w:val="20"/>
        </w:rPr>
        <w:t xml:space="preserve">je namreč </w:t>
      </w:r>
      <w:r>
        <w:rPr>
          <w:rStyle w:val="Strong"/>
          <w:rFonts w:ascii="Arial" w:hAnsi="Arial" w:cs="Arial"/>
          <w:b w:val="0"/>
          <w:color w:val="000000"/>
          <w:sz w:val="20"/>
          <w:szCs w:val="20"/>
        </w:rPr>
        <w:t xml:space="preserve">že </w:t>
      </w:r>
      <w:r w:rsidRPr="0076386C">
        <w:rPr>
          <w:rStyle w:val="Strong"/>
          <w:rFonts w:ascii="Arial" w:hAnsi="Arial" w:cs="Arial"/>
          <w:b w:val="0"/>
          <w:color w:val="000000"/>
          <w:sz w:val="20"/>
          <w:szCs w:val="20"/>
        </w:rPr>
        <w:t xml:space="preserve">unovčila dobro polovico vrednosti premoženja, ki je bilo kot tvegano preneseno nanjo iz slovenskih sistemskih bank. DUTB je v slabih treh in pol letih od prvih prenosov ustvarila več kot milijardo </w:t>
      </w:r>
      <w:r>
        <w:rPr>
          <w:rStyle w:val="Strong"/>
          <w:rFonts w:ascii="Arial" w:hAnsi="Arial" w:cs="Arial"/>
          <w:b w:val="0"/>
          <w:color w:val="000000"/>
          <w:sz w:val="20"/>
          <w:szCs w:val="20"/>
        </w:rPr>
        <w:t>EUR</w:t>
      </w:r>
      <w:r w:rsidRPr="0076386C">
        <w:rPr>
          <w:rStyle w:val="Strong"/>
          <w:rFonts w:ascii="Arial" w:hAnsi="Arial" w:cs="Arial"/>
          <w:b w:val="0"/>
          <w:color w:val="000000"/>
          <w:sz w:val="20"/>
          <w:szCs w:val="20"/>
        </w:rPr>
        <w:t xml:space="preserve"> denarnih prilivov, in sicer v skupnem seštevku 1,086 milijarde EUR do konca maja 2017.</w:t>
      </w:r>
      <w:r w:rsidRPr="0076386C">
        <w:rPr>
          <w:rFonts w:ascii="Arial" w:hAnsi="Arial" w:cs="Arial"/>
          <w:b/>
          <w:color w:val="000000"/>
          <w:sz w:val="20"/>
          <w:szCs w:val="20"/>
        </w:rPr>
        <w:t xml:space="preserve"> </w:t>
      </w:r>
      <w:r w:rsidRPr="0076386C">
        <w:rPr>
          <w:rFonts w:ascii="Arial" w:hAnsi="Arial" w:cs="Arial"/>
          <w:color w:val="000000"/>
          <w:sz w:val="20"/>
          <w:szCs w:val="20"/>
        </w:rPr>
        <w:t xml:space="preserve">Čeprav je bila naloga DUTB </w:t>
      </w:r>
      <w:r>
        <w:rPr>
          <w:rFonts w:ascii="Arial" w:hAnsi="Arial" w:cs="Arial"/>
          <w:color w:val="000000"/>
          <w:sz w:val="20"/>
          <w:szCs w:val="20"/>
        </w:rPr>
        <w:t xml:space="preserve">kumulativno </w:t>
      </w:r>
      <w:r w:rsidRPr="0076386C">
        <w:rPr>
          <w:rFonts w:ascii="Arial" w:hAnsi="Arial" w:cs="Arial"/>
          <w:color w:val="000000"/>
          <w:sz w:val="20"/>
          <w:szCs w:val="20"/>
        </w:rPr>
        <w:t xml:space="preserve">ustvariti milijardo EUR prilivov šele v letu 2019, je ta mejnik dosegla že v maju 2017. Tako je presegla minimalne zahteve, določene v smernicah. </w:t>
      </w:r>
    </w:p>
    <w:p w:rsidR="006877AF" w:rsidRPr="0076386C" w:rsidRDefault="006877AF" w:rsidP="006877AF">
      <w:pPr>
        <w:pStyle w:val="NormalWeb"/>
        <w:rPr>
          <w:rFonts w:ascii="Arial" w:hAnsi="Arial" w:cs="Arial"/>
          <w:color w:val="000000"/>
          <w:sz w:val="20"/>
          <w:szCs w:val="20"/>
        </w:rPr>
      </w:pPr>
    </w:p>
    <w:p w:rsidR="006877AF" w:rsidRPr="0076386C" w:rsidRDefault="006877AF" w:rsidP="006877AF">
      <w:pPr>
        <w:pStyle w:val="NormalWeb"/>
        <w:rPr>
          <w:rFonts w:ascii="Arial" w:hAnsi="Arial" w:cs="Arial"/>
          <w:color w:val="000000"/>
          <w:sz w:val="20"/>
          <w:szCs w:val="20"/>
        </w:rPr>
      </w:pPr>
      <w:r w:rsidRPr="0076386C">
        <w:rPr>
          <w:rFonts w:ascii="Arial" w:hAnsi="Arial" w:cs="Arial"/>
          <w:color w:val="000000"/>
          <w:sz w:val="20"/>
          <w:szCs w:val="20"/>
        </w:rPr>
        <w:t>DUTB je</w:t>
      </w:r>
      <w:r>
        <w:rPr>
          <w:rFonts w:ascii="Arial" w:hAnsi="Arial" w:cs="Arial"/>
          <w:color w:val="000000"/>
          <w:sz w:val="20"/>
          <w:szCs w:val="20"/>
        </w:rPr>
        <w:t xml:space="preserve"> v prvem polletju 2017 zabeležila dobiček v višini 17,1 mio EUR. </w:t>
      </w:r>
    </w:p>
    <w:p w:rsidR="006877AF" w:rsidRPr="0076386C" w:rsidRDefault="006877AF" w:rsidP="006877AF">
      <w:pPr>
        <w:overflowPunct/>
        <w:textAlignment w:val="auto"/>
        <w:rPr>
          <w:rFonts w:ascii="Arial" w:hAnsi="Arial" w:cs="Arial"/>
          <w:i/>
          <w:sz w:val="20"/>
        </w:rPr>
      </w:pPr>
    </w:p>
    <w:p w:rsidR="006877AF" w:rsidRPr="0076386C" w:rsidRDefault="006877AF" w:rsidP="006877AF">
      <w:pPr>
        <w:overflowPunct/>
        <w:textAlignment w:val="auto"/>
        <w:rPr>
          <w:rFonts w:ascii="Arial" w:eastAsia="Times New Roman" w:hAnsi="Arial" w:cs="Arial"/>
          <w:i/>
          <w:lang w:eastAsia="sl-SI"/>
        </w:rPr>
      </w:pPr>
      <w:r w:rsidRPr="0076386C">
        <w:rPr>
          <w:rFonts w:ascii="Arial" w:hAnsi="Arial" w:cs="Arial"/>
          <w:i/>
          <w:sz w:val="20"/>
        </w:rPr>
        <w:t>Stališče:</w:t>
      </w:r>
      <w:r w:rsidRPr="0076386C">
        <w:rPr>
          <w:rFonts w:ascii="Arial" w:eastAsia="Times New Roman" w:hAnsi="Arial" w:cs="Arial"/>
          <w:b/>
          <w:i/>
          <w:sz w:val="20"/>
          <w:lang w:eastAsia="sl-SI"/>
        </w:rPr>
        <w:t xml:space="preserve"> </w:t>
      </w:r>
      <w:r w:rsidRPr="0076386C">
        <w:rPr>
          <w:rFonts w:ascii="Arial" w:eastAsia="Times New Roman" w:hAnsi="Arial" w:cs="Arial"/>
          <w:i/>
          <w:sz w:val="20"/>
          <w:lang w:eastAsia="sl-SI"/>
        </w:rPr>
        <w:t xml:space="preserve">DUTB v obdobju poročanja po oceni ministrstva dosega ključne cilje in uresničuje strateške usmeritve, zlasti unovčuje premoženje v skladu z določbami ZUKSB. Skupaj je DUTB v letu 2017 ustvarila 288,7 milijona EUR prilivov iz upravljanja premoženja, kar predstavlja 14,3 % celotne prenosne vrednosti portfelja. Ministrstvo na podlagi </w:t>
      </w:r>
      <w:r>
        <w:rPr>
          <w:rFonts w:ascii="Arial" w:eastAsia="Times New Roman" w:hAnsi="Arial" w:cs="Arial"/>
          <w:i/>
          <w:sz w:val="20"/>
          <w:lang w:eastAsia="sl-SI"/>
        </w:rPr>
        <w:t xml:space="preserve">tega </w:t>
      </w:r>
      <w:r w:rsidRPr="0076386C">
        <w:rPr>
          <w:rFonts w:ascii="Arial" w:eastAsia="Times New Roman" w:hAnsi="Arial" w:cs="Arial"/>
          <w:i/>
          <w:sz w:val="20"/>
          <w:lang w:eastAsia="sl-SI"/>
        </w:rPr>
        <w:t xml:space="preserve">poročanja ocenjuje, da bo DUTB dosegla predvidene kazalnike poslovanja za leto 2017. </w:t>
      </w:r>
    </w:p>
    <w:p w:rsidR="006877AF" w:rsidRPr="0076386C" w:rsidRDefault="006877AF" w:rsidP="006877AF">
      <w:pPr>
        <w:overflowPunct/>
        <w:textAlignment w:val="auto"/>
        <w:rPr>
          <w:rFonts w:ascii="Arial" w:hAnsi="Arial" w:cs="Arial"/>
          <w:b/>
          <w:sz w:val="20"/>
        </w:rPr>
      </w:pPr>
    </w:p>
    <w:p w:rsidR="006877AF" w:rsidRPr="0076386C" w:rsidRDefault="006877AF" w:rsidP="006877AF">
      <w:pPr>
        <w:rPr>
          <w:rFonts w:ascii="Arial" w:hAnsi="Arial" w:cs="Arial"/>
          <w:i/>
          <w:sz w:val="20"/>
        </w:rPr>
      </w:pPr>
      <w:r w:rsidRPr="0076386C">
        <w:rPr>
          <w:rFonts w:ascii="Arial" w:hAnsi="Arial" w:cs="Arial"/>
          <w:i/>
          <w:sz w:val="20"/>
        </w:rPr>
        <w:t xml:space="preserve">Ministrstvo meni, da mora DUTB še naprej uresničevati zastavljene ključne usmeritve in strateške cilje, in sicer: i) s finančnega vidika zagotoviti največji mogoči donos za državo in davkoplačevalce ter v zvezi s tem odplačati obveznice z državnim poroštvom, ki so bile izdane kot plačilo za prenesena sredstva, in ustvariti zahtevani donos na prvotno vplačani kapital Republike Slovenije; </w:t>
      </w:r>
      <w:proofErr w:type="spellStart"/>
      <w:r w:rsidRPr="0076386C">
        <w:rPr>
          <w:rFonts w:ascii="Arial" w:hAnsi="Arial" w:cs="Arial"/>
          <w:i/>
          <w:sz w:val="20"/>
        </w:rPr>
        <w:t>ii</w:t>
      </w:r>
      <w:proofErr w:type="spellEnd"/>
      <w:r w:rsidRPr="0076386C">
        <w:rPr>
          <w:rFonts w:ascii="Arial" w:hAnsi="Arial" w:cs="Arial"/>
          <w:i/>
          <w:sz w:val="20"/>
        </w:rPr>
        <w:t xml:space="preserve">) prestrukturirati družbe, če je to ekonomsko upravičeno, ter prispevati k ponovni vzpostavitvi vzdržnega delovanja nepremičninskega trga in drugih trgov v Sloveniji; </w:t>
      </w:r>
      <w:proofErr w:type="spellStart"/>
      <w:r w:rsidRPr="0076386C">
        <w:rPr>
          <w:rFonts w:ascii="Arial" w:hAnsi="Arial" w:cs="Arial"/>
          <w:i/>
          <w:sz w:val="20"/>
        </w:rPr>
        <w:t>iii</w:t>
      </w:r>
      <w:proofErr w:type="spellEnd"/>
      <w:r w:rsidRPr="0076386C">
        <w:rPr>
          <w:rFonts w:ascii="Arial" w:hAnsi="Arial" w:cs="Arial"/>
          <w:i/>
          <w:sz w:val="20"/>
        </w:rPr>
        <w:t>) intenzivno upravljati sredstva in dodatno vlagati vanje zaradi optimiziranja njihovih poslovnih zmožnosti in povečevanja njihove unovčljive vrednosti.</w:t>
      </w:r>
    </w:p>
    <w:p w:rsidR="006877AF" w:rsidRPr="0076386C" w:rsidRDefault="006877AF" w:rsidP="006877AF">
      <w:pPr>
        <w:overflowPunct/>
        <w:textAlignment w:val="auto"/>
        <w:rPr>
          <w:rFonts w:ascii="Arial" w:hAnsi="Arial" w:cs="Arial"/>
          <w:b/>
          <w:sz w:val="20"/>
        </w:rPr>
      </w:pPr>
    </w:p>
    <w:p w:rsidR="006877AF" w:rsidRPr="0076386C" w:rsidRDefault="006877AF" w:rsidP="006877AF">
      <w:pPr>
        <w:overflowPunct/>
        <w:textAlignment w:val="auto"/>
        <w:rPr>
          <w:rFonts w:ascii="Arial" w:hAnsi="Arial" w:cs="Arial"/>
          <w:b/>
          <w:sz w:val="20"/>
        </w:rPr>
      </w:pPr>
    </w:p>
    <w:p w:rsidR="006877AF" w:rsidRPr="0076386C" w:rsidRDefault="006877AF" w:rsidP="006877AF">
      <w:pPr>
        <w:overflowPunct/>
        <w:textAlignment w:val="auto"/>
        <w:rPr>
          <w:rFonts w:ascii="Arial" w:hAnsi="Arial" w:cs="Arial"/>
          <w:b/>
          <w:sz w:val="20"/>
        </w:rPr>
      </w:pPr>
      <w:r w:rsidRPr="0076386C">
        <w:rPr>
          <w:rFonts w:ascii="Arial" w:hAnsi="Arial" w:cs="Arial"/>
          <w:b/>
          <w:sz w:val="20"/>
        </w:rPr>
        <w:t>2.4 Zaposleni</w:t>
      </w:r>
    </w:p>
    <w:p w:rsidR="006877AF" w:rsidRPr="0076386C" w:rsidRDefault="006877AF" w:rsidP="006877AF">
      <w:pPr>
        <w:overflowPunct/>
        <w:textAlignment w:val="auto"/>
        <w:rPr>
          <w:rFonts w:ascii="Arial" w:hAnsi="Arial" w:cs="Arial"/>
          <w:b/>
          <w:sz w:val="20"/>
        </w:rPr>
      </w:pPr>
    </w:p>
    <w:p w:rsidR="006877AF" w:rsidRPr="0076386C" w:rsidRDefault="006877AF" w:rsidP="006877AF">
      <w:pPr>
        <w:overflowPunct/>
        <w:textAlignment w:val="auto"/>
        <w:rPr>
          <w:rFonts w:ascii="Arial" w:hAnsi="Arial" w:cs="Arial"/>
          <w:b/>
          <w:sz w:val="20"/>
        </w:rPr>
      </w:pPr>
      <w:r w:rsidRPr="0076386C">
        <w:rPr>
          <w:rFonts w:ascii="Arial" w:hAnsi="Arial" w:cs="Arial"/>
          <w:sz w:val="20"/>
        </w:rPr>
        <w:t>V maju 2017 se število skupaj zaposlenih</w:t>
      </w:r>
      <w:r w:rsidRPr="0076386C">
        <w:rPr>
          <w:rStyle w:val="FootnoteReference"/>
          <w:rFonts w:ascii="Arial" w:hAnsi="Arial" w:cs="Arial"/>
          <w:sz w:val="20"/>
        </w:rPr>
        <w:footnoteReference w:id="1"/>
      </w:r>
      <w:r w:rsidRPr="0076386C">
        <w:rPr>
          <w:rFonts w:ascii="Arial" w:hAnsi="Arial" w:cs="Arial"/>
          <w:sz w:val="20"/>
        </w:rPr>
        <w:t xml:space="preserve"> ni spremenilo in je znašalo 156. Število stalno zaposlenih je znašalo 137. V juniju 2017 se je število skupaj zaposlenih zmanjšalo za dva, na 154. Število stalno zaposlenih se je zmanjšalo za enega, na 136. V juliju se je število skupaj zaposlenih zmanjšalo za enega, na 153. Število stalno zaposlenih se je zmanjšalo za enega, na 135. </w:t>
      </w:r>
    </w:p>
    <w:p w:rsidR="006877AF" w:rsidRPr="0076386C" w:rsidRDefault="006877AF" w:rsidP="006877AF">
      <w:pPr>
        <w:overflowPunct/>
        <w:textAlignment w:val="auto"/>
        <w:rPr>
          <w:rFonts w:ascii="Arial" w:hAnsi="Arial" w:cs="Arial"/>
          <w:b/>
          <w:sz w:val="20"/>
        </w:rPr>
      </w:pPr>
    </w:p>
    <w:p w:rsidR="006877AF" w:rsidRPr="0076386C" w:rsidRDefault="006877AF" w:rsidP="006877AF">
      <w:pPr>
        <w:jc w:val="center"/>
        <w:rPr>
          <w:rFonts w:ascii="Arial" w:hAnsi="Arial" w:cs="Arial"/>
          <w:i/>
          <w:sz w:val="20"/>
        </w:rPr>
      </w:pPr>
      <w:r w:rsidRPr="0076386C">
        <w:rPr>
          <w:rFonts w:ascii="Arial" w:hAnsi="Arial" w:cs="Arial"/>
          <w:i/>
          <w:sz w:val="20"/>
        </w:rPr>
        <w:t>Slika 1: Gibanje števila zaposlenih za zadnjih 12 mesecev</w:t>
      </w:r>
    </w:p>
    <w:p w:rsidR="006877AF" w:rsidRPr="0076386C" w:rsidRDefault="006877AF" w:rsidP="006877AF">
      <w:pPr>
        <w:pStyle w:val="Default"/>
        <w:jc w:val="center"/>
        <w:rPr>
          <w:rFonts w:ascii="Arial" w:hAnsi="Arial" w:cs="Arial"/>
          <w:i/>
          <w:color w:val="00B050"/>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2"/>
      </w:tblGrid>
      <w:tr w:rsidR="006877AF" w:rsidRPr="0076386C" w:rsidTr="00AD7187">
        <w:trPr>
          <w:jc w:val="center"/>
        </w:trPr>
        <w:tc>
          <w:tcPr>
            <w:tcW w:w="7559" w:type="dxa"/>
            <w:tcBorders>
              <w:top w:val="single" w:sz="4" w:space="0" w:color="000000"/>
              <w:left w:val="single" w:sz="4" w:space="0" w:color="000000"/>
              <w:bottom w:val="single" w:sz="4" w:space="0" w:color="000000"/>
              <w:right w:val="single" w:sz="4" w:space="0" w:color="000000"/>
            </w:tcBorders>
            <w:hideMark/>
          </w:tcPr>
          <w:p w:rsidR="006877AF" w:rsidRPr="0076386C" w:rsidRDefault="006877AF" w:rsidP="00AD7187">
            <w:pPr>
              <w:rPr>
                <w:rFonts w:ascii="Arial" w:hAnsi="Arial" w:cs="Arial"/>
                <w:noProof/>
                <w:color w:val="00B050"/>
                <w:sz w:val="20"/>
                <w:lang w:eastAsia="sl-SI"/>
              </w:rPr>
            </w:pPr>
            <w:r>
              <w:rPr>
                <w:rFonts w:ascii="Arial" w:hAnsi="Arial" w:cs="Arial"/>
                <w:noProof/>
                <w:sz w:val="20"/>
                <w:lang w:eastAsia="sl-SI"/>
              </w:rPr>
              <w:drawing>
                <wp:inline distT="0" distB="0" distL="0" distR="0">
                  <wp:extent cx="6029325" cy="2590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9325" cy="2590800"/>
                          </a:xfrm>
                          <a:prstGeom prst="rect">
                            <a:avLst/>
                          </a:prstGeom>
                          <a:noFill/>
                          <a:ln>
                            <a:noFill/>
                          </a:ln>
                        </pic:spPr>
                      </pic:pic>
                    </a:graphicData>
                  </a:graphic>
                </wp:inline>
              </w:drawing>
            </w:r>
          </w:p>
        </w:tc>
      </w:tr>
    </w:tbl>
    <w:p w:rsidR="006877AF" w:rsidRPr="0076386C" w:rsidRDefault="006877AF" w:rsidP="006877AF">
      <w:pPr>
        <w:rPr>
          <w:rFonts w:ascii="Arial" w:hAnsi="Arial" w:cs="Arial"/>
          <w:sz w:val="20"/>
        </w:rPr>
      </w:pPr>
    </w:p>
    <w:p w:rsidR="006877AF" w:rsidRPr="0076386C" w:rsidRDefault="006877AF" w:rsidP="006877AF">
      <w:pPr>
        <w:rPr>
          <w:rFonts w:ascii="Arial" w:hAnsi="Arial" w:cs="Arial"/>
          <w:i/>
          <w:sz w:val="20"/>
        </w:rPr>
      </w:pPr>
      <w:r w:rsidRPr="0076386C">
        <w:rPr>
          <w:rFonts w:ascii="Arial" w:hAnsi="Arial" w:cs="Arial"/>
          <w:i/>
          <w:sz w:val="20"/>
        </w:rPr>
        <w:t xml:space="preserve">Stališče: V juliju 2017 je bilo število stalno zaposlenih v DUTB </w:t>
      </w:r>
      <w:r>
        <w:rPr>
          <w:rFonts w:ascii="Arial" w:hAnsi="Arial" w:cs="Arial"/>
          <w:i/>
          <w:sz w:val="20"/>
        </w:rPr>
        <w:t xml:space="preserve">v </w:t>
      </w:r>
      <w:r w:rsidRPr="0076386C">
        <w:rPr>
          <w:rFonts w:ascii="Arial" w:hAnsi="Arial" w:cs="Arial"/>
          <w:i/>
          <w:sz w:val="20"/>
        </w:rPr>
        <w:t xml:space="preserve">mejah </w:t>
      </w:r>
      <w:r>
        <w:rPr>
          <w:rFonts w:ascii="Arial" w:hAnsi="Arial" w:cs="Arial"/>
          <w:i/>
          <w:sz w:val="20"/>
        </w:rPr>
        <w:t>p</w:t>
      </w:r>
      <w:r w:rsidRPr="0076386C">
        <w:rPr>
          <w:rFonts w:ascii="Arial" w:hAnsi="Arial" w:cs="Arial"/>
          <w:i/>
          <w:sz w:val="20"/>
        </w:rPr>
        <w:t xml:space="preserve">oslovne strategija 2016–2022 </w:t>
      </w:r>
      <w:r>
        <w:rPr>
          <w:rFonts w:ascii="Arial" w:hAnsi="Arial" w:cs="Arial"/>
          <w:i/>
          <w:sz w:val="20"/>
        </w:rPr>
        <w:t>in</w:t>
      </w:r>
      <w:r w:rsidRPr="0076386C">
        <w:rPr>
          <w:rFonts w:ascii="Arial" w:hAnsi="Arial" w:cs="Arial"/>
          <w:i/>
          <w:sz w:val="20"/>
        </w:rPr>
        <w:t xml:space="preserve"> </w:t>
      </w:r>
      <w:r>
        <w:rPr>
          <w:rFonts w:ascii="Arial" w:hAnsi="Arial" w:cs="Arial"/>
          <w:i/>
          <w:sz w:val="20"/>
        </w:rPr>
        <w:t>f</w:t>
      </w:r>
      <w:r w:rsidRPr="0076386C">
        <w:rPr>
          <w:rFonts w:ascii="Arial" w:hAnsi="Arial" w:cs="Arial"/>
          <w:i/>
          <w:sz w:val="20"/>
        </w:rPr>
        <w:t xml:space="preserve">inančnega načrta 2017–2022. Število zaposlenih je bilo julija 2017 za dva zaposlena nižje </w:t>
      </w:r>
      <w:r>
        <w:rPr>
          <w:rFonts w:ascii="Arial" w:hAnsi="Arial" w:cs="Arial"/>
          <w:i/>
          <w:sz w:val="20"/>
        </w:rPr>
        <w:t>kot načrtovano</w:t>
      </w:r>
      <w:r w:rsidRPr="0076386C">
        <w:rPr>
          <w:rFonts w:ascii="Arial" w:hAnsi="Arial" w:cs="Arial"/>
          <w:i/>
          <w:sz w:val="20"/>
        </w:rPr>
        <w:t xml:space="preserve">. V okviru navedenih dokumentov je DUTB za konec decembra 2017 načrtovala 131 stalno zaposlenih. Na tem mestu </w:t>
      </w:r>
      <w:r>
        <w:rPr>
          <w:rFonts w:ascii="Arial" w:hAnsi="Arial" w:cs="Arial"/>
          <w:i/>
          <w:sz w:val="20"/>
        </w:rPr>
        <w:t>je treba</w:t>
      </w:r>
      <w:r w:rsidRPr="0076386C">
        <w:rPr>
          <w:rFonts w:ascii="Arial" w:hAnsi="Arial" w:cs="Arial"/>
          <w:i/>
          <w:sz w:val="20"/>
        </w:rPr>
        <w:t xml:space="preserve"> </w:t>
      </w:r>
      <w:r>
        <w:rPr>
          <w:rFonts w:ascii="Arial" w:hAnsi="Arial" w:cs="Arial"/>
          <w:i/>
          <w:sz w:val="20"/>
        </w:rPr>
        <w:t>navesti</w:t>
      </w:r>
      <w:r w:rsidRPr="0076386C">
        <w:rPr>
          <w:rFonts w:ascii="Arial" w:hAnsi="Arial" w:cs="Arial"/>
          <w:i/>
          <w:sz w:val="20"/>
        </w:rPr>
        <w:t>, da je ministrstvo podalo mnenje glede aktualnega števila zaposlenih, metodologije opredeljevanja števila zaposlenih in dodatkov za lojalnost v »Opredelitvi Vlade Republike Slovenije do sklepa Odbora DZ za finance in monetarno politiko, ki se nanaša na Poročilo Ministrstva za finance glede opravljenega nadzora nad Družbo za upravljanje terjatev bank, d. d., in o izdanih pisnih usmeritvah</w:t>
      </w:r>
      <w:r w:rsidRPr="0076386C">
        <w:rPr>
          <w:rFonts w:ascii="Arial" w:hAnsi="Arial" w:cs="Arial"/>
          <w:i/>
          <w:sz w:val="20"/>
          <w:lang w:eastAsia="sl-SI"/>
        </w:rPr>
        <w:t>, februar–april 2017«.</w:t>
      </w:r>
    </w:p>
    <w:p w:rsidR="006877AF" w:rsidRDefault="006877AF" w:rsidP="006877AF">
      <w:pPr>
        <w:rPr>
          <w:rFonts w:ascii="Arial" w:hAnsi="Arial" w:cs="Arial"/>
          <w:sz w:val="20"/>
        </w:rPr>
      </w:pPr>
    </w:p>
    <w:p w:rsidR="006877AF" w:rsidRDefault="006877AF" w:rsidP="006877AF">
      <w:pPr>
        <w:rPr>
          <w:rFonts w:ascii="Arial" w:hAnsi="Arial" w:cs="Arial"/>
          <w:sz w:val="20"/>
        </w:rPr>
      </w:pPr>
      <w:r>
        <w:rPr>
          <w:rFonts w:ascii="Arial" w:hAnsi="Arial" w:cs="Arial"/>
          <w:sz w:val="20"/>
        </w:rPr>
        <w:t>V okviru »Opredelitve Vlade Republike Slovenije do sklepa Odbora Državnega zbora za finance in monetarno politiko, ki se nanaša na Poročilo Ministrstva za finance glede opravljenega nadzora nad Družbo za upravljanje terjatev bank, d. d., in o izdanih pisnih usmeritvah, februar – april 2017«, ki jo je vlada sprejela 12. 10 2017 v okviru sklepa št. 47607-11/2016/27, je med drugim navedeno, da bo Ministrstvo za finance od DUTB dodatno pridobilo (i) projekcije zaposlenosti vseh zaposlenih v DUTB ter (</w:t>
      </w:r>
      <w:proofErr w:type="spellStart"/>
      <w:r>
        <w:rPr>
          <w:rFonts w:ascii="Arial" w:hAnsi="Arial" w:cs="Arial"/>
          <w:sz w:val="20"/>
        </w:rPr>
        <w:t>ii</w:t>
      </w:r>
      <w:proofErr w:type="spellEnd"/>
      <w:r>
        <w:rPr>
          <w:rFonts w:ascii="Arial" w:hAnsi="Arial" w:cs="Arial"/>
          <w:sz w:val="20"/>
        </w:rPr>
        <w:t>) pojasnila glede izplačil dodatkov za lojalnost. Ministrstvo za finance je s strani DUTB pridobilo navedene podatke, ki pa zaradi varovanja poslovne skrivnosti DUTB niso predmet tega poročila.</w:t>
      </w:r>
    </w:p>
    <w:p w:rsidR="006877AF" w:rsidRDefault="006877AF" w:rsidP="006877AF">
      <w:pPr>
        <w:jc w:val="center"/>
        <w:rPr>
          <w:rFonts w:ascii="Arial" w:hAnsi="Arial" w:cs="Arial"/>
          <w:sz w:val="20"/>
        </w:rPr>
      </w:pPr>
    </w:p>
    <w:p w:rsidR="006877AF" w:rsidRDefault="006877AF" w:rsidP="006877AF">
      <w:pPr>
        <w:rPr>
          <w:rFonts w:ascii="Arial" w:hAnsi="Arial" w:cs="Arial"/>
          <w:sz w:val="20"/>
        </w:rPr>
      </w:pPr>
    </w:p>
    <w:p w:rsidR="006877AF" w:rsidRDefault="006877AF" w:rsidP="006877AF">
      <w:pPr>
        <w:rPr>
          <w:rFonts w:ascii="Arial" w:hAnsi="Arial" w:cs="Arial"/>
          <w:sz w:val="20"/>
        </w:rPr>
      </w:pPr>
    </w:p>
    <w:p w:rsidR="006877AF" w:rsidRPr="0076386C" w:rsidRDefault="006877AF" w:rsidP="006877AF">
      <w:pPr>
        <w:rPr>
          <w:rFonts w:ascii="Arial" w:hAnsi="Arial" w:cs="Arial"/>
          <w:sz w:val="20"/>
        </w:rPr>
      </w:pPr>
    </w:p>
    <w:p w:rsidR="006877AF" w:rsidRPr="0076386C" w:rsidRDefault="006877AF" w:rsidP="006877AF">
      <w:pPr>
        <w:overflowPunct/>
        <w:textAlignment w:val="auto"/>
        <w:rPr>
          <w:rFonts w:ascii="Arial" w:hAnsi="Arial" w:cs="Arial"/>
          <w:b/>
          <w:sz w:val="20"/>
        </w:rPr>
      </w:pPr>
      <w:r w:rsidRPr="0076386C">
        <w:rPr>
          <w:rFonts w:ascii="Arial" w:eastAsia="Times New Roman" w:hAnsi="Arial" w:cs="Arial"/>
          <w:b/>
          <w:sz w:val="20"/>
          <w:lang w:eastAsia="sl-SI"/>
        </w:rPr>
        <w:lastRenderedPageBreak/>
        <w:t>2.5 Vpliv transakcij DUTB na saldo sektorja država</w:t>
      </w:r>
    </w:p>
    <w:p w:rsidR="006877AF" w:rsidRPr="0076386C" w:rsidRDefault="006877AF" w:rsidP="006877AF">
      <w:pPr>
        <w:overflowPunct/>
        <w:textAlignment w:val="auto"/>
        <w:rPr>
          <w:rFonts w:ascii="Arial" w:eastAsia="Times New Roman" w:hAnsi="Arial" w:cs="Arial"/>
          <w:b/>
          <w:color w:val="00B050"/>
          <w:sz w:val="20"/>
          <w:lang w:eastAsia="sl-SI"/>
        </w:rPr>
      </w:pPr>
    </w:p>
    <w:p w:rsidR="006877AF" w:rsidRPr="0076386C" w:rsidRDefault="006877AF" w:rsidP="006877AF">
      <w:pPr>
        <w:overflowPunct/>
        <w:textAlignment w:val="auto"/>
        <w:rPr>
          <w:rFonts w:ascii="Arial" w:eastAsia="Times New Roman" w:hAnsi="Arial" w:cs="Arial"/>
          <w:sz w:val="20"/>
          <w:lang w:eastAsia="sl-SI"/>
        </w:rPr>
      </w:pPr>
      <w:r w:rsidRPr="0076386C">
        <w:rPr>
          <w:rFonts w:ascii="Arial" w:eastAsia="Times New Roman" w:hAnsi="Arial" w:cs="Arial"/>
          <w:sz w:val="20"/>
          <w:lang w:eastAsia="sl-SI"/>
        </w:rPr>
        <w:t>V skladu s 5. poglavjem smernic je DUTB v obdobju poročanja po</w:t>
      </w:r>
      <w:r>
        <w:rPr>
          <w:rFonts w:ascii="Arial" w:eastAsia="Times New Roman" w:hAnsi="Arial" w:cs="Arial"/>
          <w:sz w:val="20"/>
          <w:lang w:eastAsia="sl-SI"/>
        </w:rPr>
        <w:t>šilj</w:t>
      </w:r>
      <w:r w:rsidRPr="0076386C">
        <w:rPr>
          <w:rFonts w:ascii="Arial" w:eastAsia="Times New Roman" w:hAnsi="Arial" w:cs="Arial"/>
          <w:sz w:val="20"/>
          <w:lang w:eastAsia="sl-SI"/>
        </w:rPr>
        <w:t xml:space="preserve">ala mesečna poročila, ki se uporabljajo za izračune salda DUTB </w:t>
      </w:r>
      <w:r>
        <w:rPr>
          <w:rFonts w:ascii="Arial" w:eastAsia="Times New Roman" w:hAnsi="Arial" w:cs="Arial"/>
          <w:sz w:val="20"/>
          <w:lang w:eastAsia="sl-SI"/>
        </w:rPr>
        <w:t xml:space="preserve">v </w:t>
      </w:r>
      <w:r w:rsidRPr="0076386C">
        <w:rPr>
          <w:rFonts w:ascii="Arial" w:eastAsia="Times New Roman" w:hAnsi="Arial" w:cs="Arial"/>
          <w:sz w:val="20"/>
          <w:lang w:eastAsia="sl-SI"/>
        </w:rPr>
        <w:t>sklad</w:t>
      </w:r>
      <w:r>
        <w:rPr>
          <w:rFonts w:ascii="Arial" w:eastAsia="Times New Roman" w:hAnsi="Arial" w:cs="Arial"/>
          <w:sz w:val="20"/>
          <w:lang w:eastAsia="sl-SI"/>
        </w:rPr>
        <w:t>u</w:t>
      </w:r>
      <w:r w:rsidRPr="0076386C">
        <w:rPr>
          <w:rFonts w:ascii="Arial" w:eastAsia="Times New Roman" w:hAnsi="Arial" w:cs="Arial"/>
          <w:sz w:val="20"/>
          <w:lang w:eastAsia="sl-SI"/>
        </w:rPr>
        <w:t xml:space="preserve"> z metodologijo</w:t>
      </w:r>
      <w:r>
        <w:rPr>
          <w:rFonts w:ascii="Arial" w:eastAsia="Times New Roman" w:hAnsi="Arial" w:cs="Arial"/>
          <w:sz w:val="20"/>
          <w:lang w:eastAsia="sl-SI"/>
        </w:rPr>
        <w:t xml:space="preserve"> ESA.</w:t>
      </w:r>
    </w:p>
    <w:p w:rsidR="006877AF" w:rsidRPr="0076386C" w:rsidRDefault="006877AF" w:rsidP="006877AF">
      <w:pPr>
        <w:overflowPunct/>
        <w:textAlignment w:val="auto"/>
        <w:rPr>
          <w:rFonts w:ascii="Arial" w:eastAsia="Times New Roman" w:hAnsi="Arial" w:cs="Arial"/>
          <w:sz w:val="20"/>
          <w:lang w:eastAsia="sl-SI"/>
        </w:rPr>
      </w:pPr>
    </w:p>
    <w:p w:rsidR="006877AF" w:rsidRPr="0076386C" w:rsidRDefault="006877AF" w:rsidP="006877AF">
      <w:pPr>
        <w:overflowPunct/>
        <w:textAlignment w:val="auto"/>
        <w:rPr>
          <w:rFonts w:ascii="Arial" w:hAnsi="Arial" w:cs="Arial"/>
          <w:i/>
          <w:sz w:val="20"/>
        </w:rPr>
      </w:pPr>
      <w:r w:rsidRPr="0076386C">
        <w:rPr>
          <w:rFonts w:ascii="Arial" w:hAnsi="Arial" w:cs="Arial"/>
          <w:i/>
          <w:sz w:val="20"/>
        </w:rPr>
        <w:t xml:space="preserve">Stališče: Ministrstvo je podatke iz prejetih poročil preračunalo </w:t>
      </w:r>
      <w:r>
        <w:rPr>
          <w:rFonts w:ascii="Arial" w:hAnsi="Arial" w:cs="Arial"/>
          <w:i/>
          <w:sz w:val="20"/>
        </w:rPr>
        <w:t xml:space="preserve">v </w:t>
      </w:r>
      <w:r w:rsidRPr="0076386C">
        <w:rPr>
          <w:rFonts w:ascii="Arial" w:hAnsi="Arial" w:cs="Arial"/>
          <w:i/>
          <w:sz w:val="20"/>
        </w:rPr>
        <w:t>sklad</w:t>
      </w:r>
      <w:r>
        <w:rPr>
          <w:rFonts w:ascii="Arial" w:hAnsi="Arial" w:cs="Arial"/>
          <w:i/>
          <w:sz w:val="20"/>
        </w:rPr>
        <w:t>u</w:t>
      </w:r>
      <w:r w:rsidRPr="0076386C">
        <w:rPr>
          <w:rFonts w:ascii="Arial" w:hAnsi="Arial" w:cs="Arial"/>
          <w:i/>
          <w:sz w:val="20"/>
        </w:rPr>
        <w:t xml:space="preserve"> s posebnimi navodili metodologije ESA in ugotovilo, da izračuni sledijo </w:t>
      </w:r>
      <w:r>
        <w:rPr>
          <w:rFonts w:ascii="Arial" w:hAnsi="Arial" w:cs="Arial"/>
          <w:i/>
          <w:sz w:val="20"/>
        </w:rPr>
        <w:t>načrtov</w:t>
      </w:r>
      <w:r w:rsidRPr="0076386C">
        <w:rPr>
          <w:rFonts w:ascii="Arial" w:hAnsi="Arial" w:cs="Arial"/>
          <w:i/>
          <w:sz w:val="20"/>
        </w:rPr>
        <w:t xml:space="preserve">ani dinamiki javnofinančne konsolidacije. </w:t>
      </w:r>
    </w:p>
    <w:p w:rsidR="006877AF" w:rsidRPr="0076386C" w:rsidRDefault="006877AF" w:rsidP="006877AF">
      <w:pPr>
        <w:overflowPunct/>
        <w:textAlignment w:val="auto"/>
        <w:rPr>
          <w:rFonts w:ascii="Arial" w:hAnsi="Arial" w:cs="Arial"/>
          <w:b/>
          <w:color w:val="00B050"/>
          <w:sz w:val="20"/>
        </w:rPr>
      </w:pPr>
    </w:p>
    <w:p w:rsidR="006877AF" w:rsidRPr="0076386C" w:rsidRDefault="006877AF" w:rsidP="006877AF">
      <w:pPr>
        <w:overflowPunct/>
        <w:textAlignment w:val="auto"/>
        <w:rPr>
          <w:rFonts w:ascii="Arial" w:hAnsi="Arial" w:cs="Arial"/>
          <w:b/>
          <w:color w:val="00B050"/>
          <w:sz w:val="20"/>
        </w:rPr>
      </w:pPr>
    </w:p>
    <w:p w:rsidR="006877AF" w:rsidRPr="0076386C" w:rsidRDefault="006877AF" w:rsidP="006877AF">
      <w:pPr>
        <w:rPr>
          <w:rFonts w:ascii="Arial" w:eastAsia="Times New Roman" w:hAnsi="Arial" w:cs="Arial"/>
          <w:sz w:val="20"/>
          <w:lang w:eastAsia="sl-SI"/>
        </w:rPr>
      </w:pPr>
      <w:r w:rsidRPr="0076386C">
        <w:rPr>
          <w:rFonts w:ascii="Arial" w:eastAsia="Times New Roman" w:hAnsi="Arial" w:cs="Arial"/>
          <w:b/>
          <w:sz w:val="20"/>
          <w:lang w:eastAsia="sl-SI"/>
        </w:rPr>
        <w:t>2.</w:t>
      </w:r>
      <w:r>
        <w:rPr>
          <w:rFonts w:ascii="Arial" w:eastAsia="Times New Roman" w:hAnsi="Arial" w:cs="Arial"/>
          <w:b/>
          <w:sz w:val="20"/>
          <w:lang w:eastAsia="sl-SI"/>
        </w:rPr>
        <w:t>6</w:t>
      </w:r>
      <w:r w:rsidRPr="0076386C">
        <w:rPr>
          <w:rFonts w:ascii="Arial" w:eastAsia="Times New Roman" w:hAnsi="Arial" w:cs="Arial"/>
          <w:b/>
          <w:sz w:val="20"/>
          <w:lang w:eastAsia="sl-SI"/>
        </w:rPr>
        <w:t xml:space="preserve"> Zadolženost DUTB</w:t>
      </w:r>
      <w:r w:rsidRPr="0076386C">
        <w:rPr>
          <w:rFonts w:ascii="Arial" w:eastAsia="Times New Roman" w:hAnsi="Arial" w:cs="Arial"/>
          <w:sz w:val="20"/>
          <w:lang w:eastAsia="sl-SI"/>
        </w:rPr>
        <w:t xml:space="preserve"> </w:t>
      </w:r>
    </w:p>
    <w:p w:rsidR="006877AF" w:rsidRPr="0076386C" w:rsidRDefault="006877AF" w:rsidP="006877AF">
      <w:pPr>
        <w:rPr>
          <w:rFonts w:ascii="Arial" w:eastAsia="Times New Roman" w:hAnsi="Arial" w:cs="Arial"/>
          <w:color w:val="0000FF"/>
          <w:sz w:val="20"/>
          <w:lang w:eastAsia="sl-SI"/>
        </w:rPr>
      </w:pPr>
    </w:p>
    <w:p w:rsidR="006877AF" w:rsidRPr="0076386C" w:rsidRDefault="006877AF" w:rsidP="006877AF">
      <w:pPr>
        <w:rPr>
          <w:rFonts w:ascii="Arial" w:eastAsia="Times New Roman" w:hAnsi="Arial" w:cs="Arial"/>
          <w:sz w:val="20"/>
          <w:lang w:eastAsia="sl-SI"/>
        </w:rPr>
      </w:pPr>
      <w:r w:rsidRPr="0076386C">
        <w:rPr>
          <w:rFonts w:ascii="Arial" w:eastAsia="Times New Roman" w:hAnsi="Arial" w:cs="Arial"/>
          <w:sz w:val="20"/>
          <w:lang w:eastAsia="sl-SI"/>
        </w:rPr>
        <w:t xml:space="preserve">Na podlagi 87. člena Zakona o javnih financah (Uradni list RS, št. 11/11 – uradno prečiščeno besedilo, 14/13 – </w:t>
      </w:r>
      <w:proofErr w:type="spellStart"/>
      <w:r w:rsidRPr="0076386C">
        <w:rPr>
          <w:rFonts w:ascii="Arial" w:eastAsia="Times New Roman" w:hAnsi="Arial" w:cs="Arial"/>
          <w:sz w:val="20"/>
          <w:lang w:eastAsia="sl-SI"/>
        </w:rPr>
        <w:t>popr</w:t>
      </w:r>
      <w:proofErr w:type="spellEnd"/>
      <w:r w:rsidRPr="0076386C">
        <w:rPr>
          <w:rFonts w:ascii="Arial" w:eastAsia="Times New Roman" w:hAnsi="Arial" w:cs="Arial"/>
          <w:sz w:val="20"/>
          <w:lang w:eastAsia="sl-SI"/>
        </w:rPr>
        <w:t>., 101/13, 55/15</w:t>
      </w:r>
      <w:r>
        <w:rPr>
          <w:rFonts w:ascii="Arial" w:eastAsia="Times New Roman" w:hAnsi="Arial" w:cs="Arial"/>
          <w:sz w:val="20"/>
          <w:lang w:eastAsia="sl-SI"/>
        </w:rPr>
        <w:t xml:space="preserve"> - </w:t>
      </w:r>
      <w:proofErr w:type="spellStart"/>
      <w:r w:rsidRPr="0076386C">
        <w:rPr>
          <w:rFonts w:ascii="Arial" w:eastAsia="Times New Roman" w:hAnsi="Arial" w:cs="Arial"/>
          <w:sz w:val="20"/>
          <w:lang w:eastAsia="sl-SI"/>
        </w:rPr>
        <w:t>ZFisP</w:t>
      </w:r>
      <w:proofErr w:type="spellEnd"/>
      <w:r w:rsidRPr="0076386C">
        <w:rPr>
          <w:rFonts w:ascii="Arial" w:eastAsia="Times New Roman" w:hAnsi="Arial" w:cs="Arial"/>
          <w:sz w:val="20"/>
          <w:lang w:eastAsia="sl-SI"/>
        </w:rPr>
        <w:t xml:space="preserve"> in 96/15</w:t>
      </w:r>
      <w:r>
        <w:rPr>
          <w:rFonts w:ascii="Arial" w:eastAsia="Times New Roman" w:hAnsi="Arial" w:cs="Arial"/>
          <w:sz w:val="20"/>
          <w:lang w:eastAsia="sl-SI"/>
        </w:rPr>
        <w:t xml:space="preserve"> - </w:t>
      </w:r>
      <w:r w:rsidRPr="0076386C">
        <w:rPr>
          <w:rFonts w:ascii="Arial" w:eastAsia="Times New Roman" w:hAnsi="Arial" w:cs="Arial"/>
          <w:sz w:val="20"/>
          <w:lang w:eastAsia="sl-SI"/>
        </w:rPr>
        <w:t>ZIPRS1617; v nadaljnjem besedilu: ZJF) in Uredbe o pogojih in postopkih zadolževanja pravnih oseb iz 87. člena Zakona o javnih financah (Uradni list RS, št.</w:t>
      </w:r>
      <w:r>
        <w:rPr>
          <w:rFonts w:ascii="Arial" w:eastAsia="Times New Roman" w:hAnsi="Arial" w:cs="Arial"/>
          <w:sz w:val="20"/>
          <w:lang w:eastAsia="sl-SI"/>
        </w:rPr>
        <w:t> </w:t>
      </w:r>
      <w:r w:rsidRPr="0076386C">
        <w:rPr>
          <w:rFonts w:ascii="Arial" w:eastAsia="Times New Roman" w:hAnsi="Arial" w:cs="Arial"/>
          <w:sz w:val="20"/>
          <w:lang w:eastAsia="sl-SI"/>
        </w:rPr>
        <w:t xml:space="preserve">112/09; v nadaljnjem besedilu: </w:t>
      </w:r>
      <w:r>
        <w:rPr>
          <w:rFonts w:ascii="Arial" w:eastAsia="Times New Roman" w:hAnsi="Arial" w:cs="Arial"/>
          <w:sz w:val="20"/>
          <w:lang w:eastAsia="sl-SI"/>
        </w:rPr>
        <w:t>u</w:t>
      </w:r>
      <w:r w:rsidRPr="0076386C">
        <w:rPr>
          <w:rFonts w:ascii="Arial" w:eastAsia="Times New Roman" w:hAnsi="Arial" w:cs="Arial"/>
          <w:sz w:val="20"/>
          <w:lang w:eastAsia="sl-SI"/>
        </w:rPr>
        <w:t xml:space="preserve">redba) DUTB ministrstvu četrtletno poroča o stanju zadolženosti in letno pošilja napovedi o </w:t>
      </w:r>
      <w:r>
        <w:rPr>
          <w:rFonts w:ascii="Arial" w:eastAsia="Times New Roman" w:hAnsi="Arial" w:cs="Arial"/>
          <w:sz w:val="20"/>
          <w:lang w:eastAsia="sl-SI"/>
        </w:rPr>
        <w:t>prihodnj</w:t>
      </w:r>
      <w:r w:rsidRPr="0076386C">
        <w:rPr>
          <w:rFonts w:ascii="Arial" w:eastAsia="Times New Roman" w:hAnsi="Arial" w:cs="Arial"/>
          <w:sz w:val="20"/>
          <w:lang w:eastAsia="sl-SI"/>
        </w:rPr>
        <w:t>em zadolževanju družbe za obdobje prihodnjih treh let.</w:t>
      </w:r>
    </w:p>
    <w:p w:rsidR="006877AF" w:rsidRPr="0076386C" w:rsidRDefault="006877AF" w:rsidP="006877AF">
      <w:pPr>
        <w:rPr>
          <w:rFonts w:ascii="Arial" w:eastAsia="Times New Roman" w:hAnsi="Arial" w:cs="Arial"/>
          <w:sz w:val="20"/>
          <w:lang w:eastAsia="sl-SI"/>
        </w:rPr>
      </w:pPr>
    </w:p>
    <w:p w:rsidR="006877AF" w:rsidRPr="0076386C" w:rsidRDefault="006877AF" w:rsidP="006877AF">
      <w:pPr>
        <w:pStyle w:val="Default"/>
        <w:jc w:val="center"/>
        <w:rPr>
          <w:rFonts w:ascii="Arial" w:hAnsi="Arial" w:cs="Arial"/>
          <w:i/>
          <w:color w:val="auto"/>
          <w:sz w:val="20"/>
          <w:szCs w:val="20"/>
        </w:rPr>
      </w:pPr>
      <w:r w:rsidRPr="0076386C">
        <w:rPr>
          <w:rFonts w:ascii="Arial" w:hAnsi="Arial" w:cs="Arial"/>
          <w:i/>
          <w:color w:val="auto"/>
          <w:sz w:val="20"/>
          <w:szCs w:val="20"/>
        </w:rPr>
        <w:t xml:space="preserve">Preglednica </w:t>
      </w:r>
      <w:r>
        <w:rPr>
          <w:rFonts w:ascii="Arial" w:hAnsi="Arial" w:cs="Arial"/>
          <w:i/>
          <w:color w:val="auto"/>
          <w:sz w:val="20"/>
          <w:szCs w:val="20"/>
        </w:rPr>
        <w:t>4</w:t>
      </w:r>
      <w:r w:rsidRPr="0076386C">
        <w:rPr>
          <w:rFonts w:ascii="Arial" w:hAnsi="Arial" w:cs="Arial"/>
          <w:i/>
          <w:color w:val="auto"/>
          <w:sz w:val="20"/>
          <w:szCs w:val="20"/>
        </w:rPr>
        <w:t xml:space="preserve">: Stanje zadolženosti DUTB </w:t>
      </w:r>
    </w:p>
    <w:p w:rsidR="006877AF" w:rsidRPr="0076386C" w:rsidRDefault="006877AF" w:rsidP="006877AF">
      <w:pPr>
        <w:rPr>
          <w:rFonts w:ascii="Arial" w:hAnsi="Arial" w:cs="Arial"/>
          <w:color w:val="0000FF"/>
          <w:sz w:val="20"/>
        </w:rPr>
      </w:pPr>
    </w:p>
    <w:tbl>
      <w:tblPr>
        <w:tblW w:w="9673" w:type="dxa"/>
        <w:tblInd w:w="55" w:type="dxa"/>
        <w:tblCellMar>
          <w:left w:w="70" w:type="dxa"/>
          <w:right w:w="70" w:type="dxa"/>
        </w:tblCellMar>
        <w:tblLook w:val="04A0" w:firstRow="1" w:lastRow="0" w:firstColumn="1" w:lastColumn="0" w:noHBand="0" w:noVBand="1"/>
      </w:tblPr>
      <w:tblGrid>
        <w:gridCol w:w="2142"/>
        <w:gridCol w:w="2126"/>
        <w:gridCol w:w="1134"/>
        <w:gridCol w:w="1030"/>
        <w:gridCol w:w="1185"/>
        <w:gridCol w:w="621"/>
        <w:gridCol w:w="1364"/>
        <w:gridCol w:w="203"/>
      </w:tblGrid>
      <w:tr w:rsidR="006877AF" w:rsidRPr="0076386C" w:rsidTr="00AD7187">
        <w:trPr>
          <w:trHeight w:val="675"/>
        </w:trPr>
        <w:tc>
          <w:tcPr>
            <w:tcW w:w="2142"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6877AF" w:rsidRPr="0076386C" w:rsidRDefault="006877AF" w:rsidP="00AD7187">
            <w:pPr>
              <w:overflowPunct/>
              <w:autoSpaceDE/>
              <w:autoSpaceDN/>
              <w:adjustRightInd/>
              <w:jc w:val="left"/>
              <w:textAlignment w:val="auto"/>
              <w:rPr>
                <w:rFonts w:ascii="Arial" w:eastAsia="Times New Roman" w:hAnsi="Arial" w:cs="Arial"/>
                <w:b/>
                <w:bCs/>
                <w:sz w:val="16"/>
                <w:szCs w:val="16"/>
                <w:lang w:eastAsia="sl-SI"/>
              </w:rPr>
            </w:pPr>
            <w:r w:rsidRPr="0076386C">
              <w:rPr>
                <w:rFonts w:ascii="Arial" w:eastAsia="Times New Roman" w:hAnsi="Arial" w:cs="Arial"/>
                <w:b/>
                <w:bCs/>
                <w:sz w:val="16"/>
                <w:szCs w:val="16"/>
                <w:lang w:eastAsia="sl-SI"/>
              </w:rPr>
              <w:t>DOLŽNIK / VRSTA DOLGA</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7AF" w:rsidRPr="0076386C" w:rsidRDefault="006877AF" w:rsidP="00AD7187">
            <w:pPr>
              <w:overflowPunct/>
              <w:autoSpaceDE/>
              <w:autoSpaceDN/>
              <w:adjustRightInd/>
              <w:jc w:val="left"/>
              <w:textAlignment w:val="auto"/>
              <w:rPr>
                <w:rFonts w:ascii="Arial" w:eastAsia="Times New Roman" w:hAnsi="Arial" w:cs="Arial"/>
                <w:b/>
                <w:bCs/>
                <w:sz w:val="16"/>
                <w:szCs w:val="16"/>
                <w:lang w:eastAsia="sl-SI"/>
              </w:rPr>
            </w:pPr>
            <w:r w:rsidRPr="0076386C">
              <w:rPr>
                <w:rFonts w:ascii="Arial" w:eastAsia="Times New Roman" w:hAnsi="Arial" w:cs="Arial"/>
                <w:b/>
                <w:bCs/>
                <w:sz w:val="16"/>
                <w:szCs w:val="16"/>
                <w:lang w:eastAsia="sl-SI"/>
              </w:rPr>
              <w:t>UPNIK</w:t>
            </w:r>
          </w:p>
        </w:tc>
        <w:tc>
          <w:tcPr>
            <w:tcW w:w="113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7AF" w:rsidRPr="0076386C" w:rsidRDefault="006877AF" w:rsidP="00AD7187">
            <w:pPr>
              <w:overflowPunct/>
              <w:autoSpaceDE/>
              <w:autoSpaceDN/>
              <w:adjustRightInd/>
              <w:jc w:val="right"/>
              <w:textAlignment w:val="auto"/>
              <w:rPr>
                <w:rFonts w:ascii="Arial" w:eastAsia="Times New Roman" w:hAnsi="Arial" w:cs="Arial"/>
                <w:b/>
                <w:bCs/>
                <w:sz w:val="16"/>
                <w:szCs w:val="16"/>
                <w:lang w:eastAsia="sl-SI"/>
              </w:rPr>
            </w:pPr>
            <w:r w:rsidRPr="0076386C">
              <w:rPr>
                <w:rFonts w:ascii="Arial" w:eastAsia="Times New Roman" w:hAnsi="Arial" w:cs="Arial"/>
                <w:b/>
                <w:bCs/>
                <w:sz w:val="16"/>
                <w:szCs w:val="16"/>
                <w:lang w:eastAsia="sl-SI"/>
              </w:rPr>
              <w:t>Datum začetka</w:t>
            </w:r>
          </w:p>
        </w:tc>
        <w:tc>
          <w:tcPr>
            <w:tcW w:w="94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7AF" w:rsidRPr="0076386C" w:rsidRDefault="006877AF" w:rsidP="00AD7187">
            <w:pPr>
              <w:overflowPunct/>
              <w:autoSpaceDE/>
              <w:autoSpaceDN/>
              <w:adjustRightInd/>
              <w:jc w:val="right"/>
              <w:textAlignment w:val="auto"/>
              <w:rPr>
                <w:rFonts w:ascii="Arial" w:eastAsia="Times New Roman" w:hAnsi="Arial" w:cs="Arial"/>
                <w:b/>
                <w:bCs/>
                <w:sz w:val="16"/>
                <w:szCs w:val="16"/>
                <w:lang w:eastAsia="sl-SI"/>
              </w:rPr>
            </w:pPr>
            <w:r w:rsidRPr="0076386C">
              <w:rPr>
                <w:rFonts w:ascii="Arial" w:eastAsia="Times New Roman" w:hAnsi="Arial" w:cs="Arial"/>
                <w:b/>
                <w:bCs/>
                <w:sz w:val="16"/>
                <w:szCs w:val="16"/>
                <w:lang w:eastAsia="sl-SI"/>
              </w:rPr>
              <w:t>Datum konca</w:t>
            </w:r>
          </w:p>
        </w:tc>
        <w:tc>
          <w:tcPr>
            <w:tcW w:w="118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7AF" w:rsidRPr="0076386C" w:rsidRDefault="006877AF" w:rsidP="00AD7187">
            <w:pPr>
              <w:overflowPunct/>
              <w:autoSpaceDE/>
              <w:autoSpaceDN/>
              <w:adjustRightInd/>
              <w:jc w:val="right"/>
              <w:textAlignment w:val="auto"/>
              <w:rPr>
                <w:rFonts w:ascii="Arial" w:eastAsia="Times New Roman" w:hAnsi="Arial" w:cs="Arial"/>
                <w:b/>
                <w:bCs/>
                <w:sz w:val="16"/>
                <w:szCs w:val="16"/>
                <w:lang w:eastAsia="sl-SI"/>
              </w:rPr>
            </w:pPr>
            <w:r w:rsidRPr="0076386C">
              <w:rPr>
                <w:rFonts w:ascii="Arial" w:eastAsia="Times New Roman" w:hAnsi="Arial" w:cs="Arial"/>
                <w:b/>
                <w:bCs/>
                <w:sz w:val="16"/>
                <w:szCs w:val="16"/>
                <w:lang w:eastAsia="sl-SI"/>
              </w:rPr>
              <w:t>Znesek zadolžitve</w:t>
            </w:r>
          </w:p>
        </w:tc>
        <w:tc>
          <w:tcPr>
            <w:tcW w:w="62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7AF" w:rsidRPr="0076386C" w:rsidRDefault="006877AF" w:rsidP="00AD7187">
            <w:pPr>
              <w:overflowPunct/>
              <w:autoSpaceDE/>
              <w:autoSpaceDN/>
              <w:adjustRightInd/>
              <w:jc w:val="left"/>
              <w:textAlignment w:val="auto"/>
              <w:rPr>
                <w:rFonts w:ascii="Arial" w:eastAsia="Times New Roman" w:hAnsi="Arial" w:cs="Arial"/>
                <w:b/>
                <w:bCs/>
                <w:sz w:val="16"/>
                <w:szCs w:val="16"/>
                <w:lang w:eastAsia="sl-SI"/>
              </w:rPr>
            </w:pPr>
            <w:r w:rsidRPr="0076386C">
              <w:rPr>
                <w:rFonts w:ascii="Arial" w:eastAsia="Times New Roman" w:hAnsi="Arial" w:cs="Arial"/>
                <w:b/>
                <w:bCs/>
                <w:sz w:val="16"/>
                <w:szCs w:val="16"/>
                <w:lang w:eastAsia="sl-SI"/>
              </w:rPr>
              <w:t>Valuta posla</w:t>
            </w:r>
          </w:p>
        </w:tc>
        <w:tc>
          <w:tcPr>
            <w:tcW w:w="136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877AF" w:rsidRPr="0076386C" w:rsidRDefault="006877AF" w:rsidP="00AD7187">
            <w:pPr>
              <w:overflowPunct/>
              <w:autoSpaceDE/>
              <w:autoSpaceDN/>
              <w:adjustRightInd/>
              <w:jc w:val="right"/>
              <w:textAlignment w:val="auto"/>
              <w:rPr>
                <w:rFonts w:ascii="Arial" w:eastAsia="Times New Roman" w:hAnsi="Arial" w:cs="Arial"/>
                <w:b/>
                <w:bCs/>
                <w:sz w:val="16"/>
                <w:szCs w:val="16"/>
                <w:lang w:eastAsia="sl-SI"/>
              </w:rPr>
            </w:pPr>
            <w:r w:rsidRPr="0076386C">
              <w:rPr>
                <w:rFonts w:ascii="Arial" w:eastAsia="Times New Roman" w:hAnsi="Arial" w:cs="Arial"/>
                <w:b/>
                <w:bCs/>
                <w:sz w:val="16"/>
                <w:szCs w:val="16"/>
                <w:lang w:eastAsia="sl-SI"/>
              </w:rPr>
              <w:t>Stanje v originalni valuti na dan 30.6.2017</w:t>
            </w:r>
          </w:p>
        </w:tc>
        <w:tc>
          <w:tcPr>
            <w:tcW w:w="160" w:type="dxa"/>
            <w:tcBorders>
              <w:top w:val="nil"/>
              <w:left w:val="single" w:sz="4" w:space="0" w:color="auto"/>
              <w:bottom w:val="nil"/>
              <w:right w:val="nil"/>
            </w:tcBorders>
            <w:shd w:val="clear" w:color="auto" w:fill="auto"/>
            <w:noWrap/>
            <w:vAlign w:val="center"/>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p>
        </w:tc>
      </w:tr>
      <w:tr w:rsidR="006877AF" w:rsidRPr="0076386C" w:rsidTr="00AD7187">
        <w:trPr>
          <w:trHeight w:val="285"/>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left"/>
              <w:textAlignment w:val="auto"/>
              <w:rPr>
                <w:rFonts w:ascii="Verdana" w:eastAsia="Times New Roman" w:hAnsi="Verdana" w:cs="Arial"/>
                <w:sz w:val="16"/>
                <w:szCs w:val="16"/>
                <w:lang w:eastAsia="sl-SI"/>
              </w:rPr>
            </w:pPr>
            <w:r w:rsidRPr="0076386C">
              <w:rPr>
                <w:rFonts w:ascii="Verdana" w:eastAsia="Times New Roman" w:hAnsi="Verdana" w:cs="Arial"/>
                <w:sz w:val="16"/>
                <w:szCs w:val="16"/>
                <w:lang w:eastAsia="sl-SI"/>
              </w:rPr>
              <w:t>DUTB obveznice (Abanka)</w:t>
            </w:r>
            <w:r>
              <w:rPr>
                <w:rFonts w:ascii="Verdana" w:eastAsia="Times New Roman" w:hAnsi="Verdana" w:cs="Arial"/>
                <w:sz w:val="16"/>
                <w:szCs w:val="16"/>
                <w:lang w:eastAsia="sl-SI"/>
              </w:rPr>
              <w:t xml:space="preserve"> –</w:t>
            </w:r>
            <w:r w:rsidRPr="0076386C">
              <w:rPr>
                <w:rFonts w:ascii="Verdana" w:eastAsia="Times New Roman" w:hAnsi="Verdana" w:cs="Arial"/>
                <w:sz w:val="16"/>
                <w:szCs w:val="16"/>
                <w:lang w:eastAsia="sl-SI"/>
              </w:rPr>
              <w:t xml:space="preserve"> DUT03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20.</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10.</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2014</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2017</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424.600.000</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EUR</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424.600.000</w:t>
            </w:r>
          </w:p>
        </w:tc>
        <w:tc>
          <w:tcPr>
            <w:tcW w:w="160" w:type="dxa"/>
            <w:tcBorders>
              <w:top w:val="nil"/>
              <w:left w:val="single" w:sz="4" w:space="0" w:color="auto"/>
              <w:bottom w:val="nil"/>
              <w:right w:val="nil"/>
            </w:tcBorders>
            <w:shd w:val="clear" w:color="000000" w:fill="FFFFFF"/>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r w:rsidRPr="0076386C">
              <w:rPr>
                <w:rFonts w:ascii="Arial" w:eastAsia="Times New Roman" w:hAnsi="Arial" w:cs="Arial"/>
                <w:color w:val="000000"/>
                <w:sz w:val="16"/>
                <w:szCs w:val="16"/>
                <w:lang w:eastAsia="sl-SI"/>
              </w:rPr>
              <w:t>*</w:t>
            </w:r>
          </w:p>
        </w:tc>
      </w:tr>
      <w:tr w:rsidR="006877AF" w:rsidRPr="0076386C" w:rsidTr="00AD7187">
        <w:trPr>
          <w:trHeight w:val="285"/>
        </w:trPr>
        <w:tc>
          <w:tcPr>
            <w:tcW w:w="21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left"/>
              <w:textAlignment w:val="auto"/>
              <w:rPr>
                <w:rFonts w:ascii="Verdana" w:eastAsia="Times New Roman" w:hAnsi="Verdana" w:cs="Arial"/>
                <w:sz w:val="16"/>
                <w:szCs w:val="16"/>
                <w:lang w:eastAsia="sl-SI"/>
              </w:rPr>
            </w:pPr>
            <w:r w:rsidRPr="0076386C">
              <w:rPr>
                <w:rFonts w:ascii="Verdana" w:eastAsia="Times New Roman" w:hAnsi="Verdana" w:cs="Arial"/>
                <w:sz w:val="16"/>
                <w:szCs w:val="16"/>
                <w:lang w:eastAsia="sl-SI"/>
              </w:rPr>
              <w:t>DUTB obveznice (Banka Celje)</w:t>
            </w:r>
            <w:r>
              <w:rPr>
                <w:rFonts w:ascii="Verdana" w:eastAsia="Times New Roman" w:hAnsi="Verdana" w:cs="Arial"/>
                <w:sz w:val="16"/>
                <w:szCs w:val="16"/>
                <w:lang w:eastAsia="sl-SI"/>
              </w:rPr>
              <w:t xml:space="preserve"> –</w:t>
            </w:r>
            <w:r w:rsidRPr="0076386C">
              <w:rPr>
                <w:rFonts w:ascii="Verdana" w:eastAsia="Times New Roman" w:hAnsi="Verdana" w:cs="Arial"/>
                <w:sz w:val="16"/>
                <w:szCs w:val="16"/>
                <w:lang w:eastAsia="sl-SI"/>
              </w:rPr>
              <w:t xml:space="preserve"> DUT04</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19.</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2014</w:t>
            </w:r>
          </w:p>
        </w:tc>
        <w:tc>
          <w:tcPr>
            <w:tcW w:w="9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2017</w:t>
            </w:r>
          </w:p>
        </w:tc>
        <w:tc>
          <w:tcPr>
            <w:tcW w:w="11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127.000.000</w:t>
            </w:r>
          </w:p>
        </w:tc>
        <w:tc>
          <w:tcPr>
            <w:tcW w:w="62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EUR</w:t>
            </w:r>
          </w:p>
        </w:tc>
        <w:tc>
          <w:tcPr>
            <w:tcW w:w="13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127.000.000</w:t>
            </w:r>
          </w:p>
        </w:tc>
        <w:tc>
          <w:tcPr>
            <w:tcW w:w="160" w:type="dxa"/>
            <w:tcBorders>
              <w:top w:val="nil"/>
              <w:left w:val="single" w:sz="4" w:space="0" w:color="auto"/>
              <w:bottom w:val="nil"/>
              <w:right w:val="nil"/>
            </w:tcBorders>
            <w:shd w:val="clear" w:color="000000" w:fill="FFFFFF"/>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r w:rsidRPr="0076386C">
              <w:rPr>
                <w:rFonts w:ascii="Arial" w:eastAsia="Times New Roman" w:hAnsi="Arial" w:cs="Arial"/>
                <w:color w:val="000000"/>
                <w:sz w:val="16"/>
                <w:szCs w:val="16"/>
                <w:lang w:eastAsia="sl-SI"/>
              </w:rPr>
              <w:t>*</w:t>
            </w:r>
          </w:p>
        </w:tc>
      </w:tr>
      <w:tr w:rsidR="006877AF" w:rsidRPr="0076386C" w:rsidTr="00AD7187">
        <w:trPr>
          <w:trHeight w:val="28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Verdana" w:eastAsia="Times New Roman" w:hAnsi="Verdana" w:cs="Arial"/>
                <w:sz w:val="16"/>
                <w:szCs w:val="16"/>
                <w:lang w:eastAsia="sl-SI"/>
              </w:rPr>
            </w:pPr>
            <w:r w:rsidRPr="0076386C">
              <w:rPr>
                <w:rFonts w:ascii="Verdana" w:eastAsia="Times New Roman" w:hAnsi="Verdana" w:cs="Arial"/>
                <w:sz w:val="16"/>
                <w:szCs w:val="16"/>
                <w:lang w:eastAsia="sl-SI"/>
              </w:rPr>
              <w:t>DUTB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 xml:space="preserve">SID BANKA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17.</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2007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17.</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2018</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3.998.626</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EUR</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1.998.626</w:t>
            </w:r>
          </w:p>
        </w:tc>
        <w:tc>
          <w:tcPr>
            <w:tcW w:w="160" w:type="dxa"/>
            <w:tcBorders>
              <w:top w:val="nil"/>
              <w:left w:val="single" w:sz="4" w:space="0" w:color="auto"/>
              <w:bottom w:val="nil"/>
              <w:right w:val="nil"/>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p>
        </w:tc>
      </w:tr>
      <w:tr w:rsidR="006877AF" w:rsidRPr="0076386C" w:rsidTr="00AD7187">
        <w:trPr>
          <w:trHeight w:val="28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Verdana" w:eastAsia="Times New Roman" w:hAnsi="Verdana" w:cs="Arial"/>
                <w:sz w:val="16"/>
                <w:szCs w:val="16"/>
                <w:lang w:eastAsia="sl-SI"/>
              </w:rPr>
            </w:pPr>
            <w:r w:rsidRPr="0076386C">
              <w:rPr>
                <w:rFonts w:ascii="Verdana" w:eastAsia="Times New Roman" w:hAnsi="Verdana" w:cs="Arial"/>
                <w:sz w:val="16"/>
                <w:szCs w:val="16"/>
                <w:lang w:eastAsia="sl-SI"/>
              </w:rPr>
              <w:t>DUTB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poslovna banka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2015</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2017</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200.000.000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EUR</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200.000.000</w:t>
            </w:r>
          </w:p>
        </w:tc>
        <w:tc>
          <w:tcPr>
            <w:tcW w:w="160" w:type="dxa"/>
            <w:tcBorders>
              <w:top w:val="nil"/>
              <w:left w:val="single" w:sz="4" w:space="0" w:color="auto"/>
              <w:bottom w:val="nil"/>
              <w:right w:val="nil"/>
            </w:tcBorders>
            <w:shd w:val="clear" w:color="auto" w:fill="auto"/>
            <w:noWrap/>
            <w:vAlign w:val="bottom"/>
            <w:hideMark/>
          </w:tcPr>
          <w:p w:rsidR="006877AF" w:rsidRPr="0076386C" w:rsidRDefault="006877AF" w:rsidP="00AD7187">
            <w:pPr>
              <w:tabs>
                <w:tab w:val="left" w:pos="122"/>
              </w:tabs>
              <w:overflowPunct/>
              <w:autoSpaceDE/>
              <w:autoSpaceDN/>
              <w:adjustRightInd/>
              <w:ind w:right="361"/>
              <w:jc w:val="left"/>
              <w:textAlignment w:val="auto"/>
              <w:rPr>
                <w:rFonts w:ascii="Arial" w:eastAsia="Times New Roman" w:hAnsi="Arial" w:cs="Arial"/>
                <w:color w:val="000000"/>
                <w:sz w:val="16"/>
                <w:szCs w:val="16"/>
                <w:lang w:eastAsia="sl-SI"/>
              </w:rPr>
            </w:pPr>
          </w:p>
        </w:tc>
      </w:tr>
      <w:tr w:rsidR="006877AF" w:rsidRPr="0076386C" w:rsidTr="00AD7187">
        <w:trPr>
          <w:trHeight w:val="28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Verdana" w:eastAsia="Times New Roman" w:hAnsi="Verdana" w:cs="Arial"/>
                <w:sz w:val="16"/>
                <w:szCs w:val="16"/>
                <w:lang w:eastAsia="sl-SI"/>
              </w:rPr>
            </w:pPr>
            <w:r w:rsidRPr="0076386C">
              <w:rPr>
                <w:rFonts w:ascii="Verdana" w:eastAsia="Times New Roman" w:hAnsi="Verdana" w:cs="Arial"/>
                <w:sz w:val="16"/>
                <w:szCs w:val="16"/>
                <w:lang w:eastAsia="sl-SI"/>
              </w:rPr>
              <w:t>DUTB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poslovna banka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2021</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150.000.000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EUR</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135.000.000</w:t>
            </w:r>
          </w:p>
        </w:tc>
        <w:tc>
          <w:tcPr>
            <w:tcW w:w="160" w:type="dxa"/>
            <w:tcBorders>
              <w:top w:val="nil"/>
              <w:left w:val="single" w:sz="4" w:space="0" w:color="auto"/>
              <w:bottom w:val="nil"/>
              <w:right w:val="nil"/>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p>
        </w:tc>
      </w:tr>
      <w:tr w:rsidR="006877AF" w:rsidRPr="0076386C" w:rsidTr="00AD7187">
        <w:trPr>
          <w:trHeight w:val="28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Verdana" w:eastAsia="Times New Roman" w:hAnsi="Verdana" w:cs="Arial"/>
                <w:sz w:val="16"/>
                <w:szCs w:val="16"/>
                <w:lang w:eastAsia="sl-SI"/>
              </w:rPr>
            </w:pPr>
            <w:r w:rsidRPr="0076386C">
              <w:rPr>
                <w:rFonts w:ascii="Verdana" w:eastAsia="Times New Roman" w:hAnsi="Verdana" w:cs="Arial"/>
                <w:sz w:val="16"/>
                <w:szCs w:val="16"/>
                <w:lang w:eastAsia="sl-SI"/>
              </w:rPr>
              <w:t>DUTB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 xml:space="preserve">poslovna banka SINDIKAT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2016</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16.</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9.</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2019</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Pr>
                <w:rFonts w:ascii="Arial" w:eastAsia="Times New Roman" w:hAnsi="Arial" w:cs="Arial"/>
                <w:sz w:val="16"/>
                <w:szCs w:val="16"/>
                <w:lang w:eastAsia="sl-SI"/>
              </w:rPr>
              <w:t>355</w:t>
            </w:r>
            <w:r w:rsidRPr="0076386C">
              <w:rPr>
                <w:rFonts w:ascii="Arial" w:eastAsia="Times New Roman" w:hAnsi="Arial" w:cs="Arial"/>
                <w:sz w:val="16"/>
                <w:szCs w:val="16"/>
                <w:lang w:eastAsia="sl-SI"/>
              </w:rPr>
              <w:t>.000.000</w:t>
            </w:r>
            <w:r>
              <w:rPr>
                <w:rFonts w:ascii="Arial" w:eastAsia="Times New Roman" w:hAnsi="Arial" w:cs="Arial"/>
                <w:sz w:val="16"/>
                <w:szCs w:val="16"/>
                <w:lang w:eastAsia="sl-SI"/>
              </w:rPr>
              <w:t>**</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EUR</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81.500.000</w:t>
            </w:r>
          </w:p>
        </w:tc>
        <w:tc>
          <w:tcPr>
            <w:tcW w:w="160" w:type="dxa"/>
            <w:tcBorders>
              <w:top w:val="nil"/>
              <w:left w:val="single" w:sz="4" w:space="0" w:color="auto"/>
              <w:bottom w:val="nil"/>
              <w:right w:val="nil"/>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p>
        </w:tc>
      </w:tr>
      <w:tr w:rsidR="006877AF" w:rsidRPr="0076386C" w:rsidTr="00AD718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Verdana" w:eastAsia="Times New Roman" w:hAnsi="Verdana" w:cs="Arial"/>
                <w:sz w:val="16"/>
                <w:szCs w:val="16"/>
                <w:lang w:eastAsia="sl-SI"/>
              </w:rPr>
            </w:pPr>
            <w:r w:rsidRPr="0076386C">
              <w:rPr>
                <w:rFonts w:ascii="Verdana" w:eastAsia="Times New Roman" w:hAnsi="Verdana" w:cs="Arial"/>
                <w:sz w:val="16"/>
                <w:szCs w:val="16"/>
                <w:lang w:eastAsia="sl-SI"/>
              </w:rPr>
              <w:t>DUTB</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pravna oseba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2017</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15.</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12.</w:t>
            </w:r>
            <w:r>
              <w:rPr>
                <w:rFonts w:ascii="Arial" w:eastAsia="Times New Roman" w:hAnsi="Arial" w:cs="Arial"/>
                <w:sz w:val="16"/>
                <w:szCs w:val="16"/>
                <w:lang w:eastAsia="sl-SI"/>
              </w:rPr>
              <w:t> </w:t>
            </w:r>
            <w:r w:rsidRPr="0076386C">
              <w:rPr>
                <w:rFonts w:ascii="Arial" w:eastAsia="Times New Roman" w:hAnsi="Arial" w:cs="Arial"/>
                <w:sz w:val="16"/>
                <w:szCs w:val="16"/>
                <w:lang w:eastAsia="sl-SI"/>
              </w:rPr>
              <w:t>2017</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18.000.000</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EUR</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18.000.000</w:t>
            </w:r>
          </w:p>
        </w:tc>
        <w:tc>
          <w:tcPr>
            <w:tcW w:w="160" w:type="dxa"/>
            <w:tcBorders>
              <w:top w:val="nil"/>
              <w:left w:val="single" w:sz="4" w:space="0" w:color="auto"/>
              <w:bottom w:val="nil"/>
              <w:right w:val="nil"/>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p>
        </w:tc>
      </w:tr>
      <w:tr w:rsidR="006877AF" w:rsidRPr="0076386C" w:rsidTr="00AD7187">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Verdana" w:eastAsia="Times New Roman" w:hAnsi="Verdana" w:cs="Arial"/>
                <w:b/>
                <w:bCs/>
                <w:sz w:val="16"/>
                <w:szCs w:val="16"/>
                <w:lang w:eastAsia="sl-SI"/>
              </w:rPr>
            </w:pPr>
            <w:r w:rsidRPr="0076386C">
              <w:rPr>
                <w:rFonts w:ascii="Verdana" w:eastAsia="Times New Roman" w:hAnsi="Verdana" w:cs="Arial"/>
                <w:b/>
                <w:bCs/>
                <w:sz w:val="16"/>
                <w:szCs w:val="16"/>
                <w:lang w:eastAsia="sl-SI"/>
              </w:rPr>
              <w:t>SKUPAJ</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r w:rsidRPr="0076386C">
              <w:rPr>
                <w:rFonts w:ascii="Arial" w:eastAsia="Times New Roman" w:hAnsi="Arial" w:cs="Arial"/>
                <w:color w:val="000000"/>
                <w:sz w:val="16"/>
                <w:szCs w:val="16"/>
                <w:lang w:eastAsia="sl-SI"/>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r w:rsidRPr="0076386C">
              <w:rPr>
                <w:rFonts w:ascii="Arial" w:eastAsia="Times New Roman" w:hAnsi="Arial" w:cs="Arial"/>
                <w:color w:val="000000"/>
                <w:sz w:val="16"/>
                <w:szCs w:val="16"/>
                <w:lang w:eastAsia="sl-SI"/>
              </w:rPr>
              <w:t> </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r w:rsidRPr="0076386C">
              <w:rPr>
                <w:rFonts w:ascii="Arial" w:eastAsia="Times New Roman" w:hAnsi="Arial" w:cs="Arial"/>
                <w:color w:val="000000"/>
                <w:sz w:val="16"/>
                <w:szCs w:val="16"/>
                <w:lang w:eastAsia="sl-SI"/>
              </w:rPr>
              <w:t> </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r w:rsidRPr="0076386C">
              <w:rPr>
                <w:rFonts w:ascii="Arial" w:eastAsia="Times New Roman" w:hAnsi="Arial" w:cs="Arial"/>
                <w:color w:val="000000"/>
                <w:sz w:val="16"/>
                <w:szCs w:val="16"/>
                <w:lang w:eastAsia="sl-SI"/>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r w:rsidRPr="0076386C">
              <w:rPr>
                <w:rFonts w:ascii="Arial" w:eastAsia="Times New Roman" w:hAnsi="Arial" w:cs="Arial"/>
                <w:color w:val="000000"/>
                <w:sz w:val="16"/>
                <w:szCs w:val="16"/>
                <w:lang w:eastAsia="sl-SI"/>
              </w:rPr>
              <w:t> </w:t>
            </w:r>
          </w:p>
        </w:tc>
        <w:tc>
          <w:tcPr>
            <w:tcW w:w="13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77AF" w:rsidRPr="0076386C" w:rsidRDefault="006877AF" w:rsidP="00AD7187">
            <w:pPr>
              <w:overflowPunct/>
              <w:autoSpaceDE/>
              <w:autoSpaceDN/>
              <w:adjustRightInd/>
              <w:jc w:val="right"/>
              <w:textAlignment w:val="auto"/>
              <w:rPr>
                <w:rFonts w:ascii="Arial" w:eastAsia="Times New Roman" w:hAnsi="Arial" w:cs="Arial"/>
                <w:b/>
                <w:bCs/>
                <w:color w:val="000000"/>
                <w:sz w:val="16"/>
                <w:szCs w:val="16"/>
                <w:lang w:eastAsia="sl-SI"/>
              </w:rPr>
            </w:pPr>
            <w:r w:rsidRPr="0076386C">
              <w:rPr>
                <w:rFonts w:ascii="Arial" w:eastAsia="Times New Roman" w:hAnsi="Arial" w:cs="Arial"/>
                <w:b/>
                <w:bCs/>
                <w:color w:val="000000"/>
                <w:sz w:val="16"/>
                <w:szCs w:val="16"/>
                <w:lang w:eastAsia="sl-SI"/>
              </w:rPr>
              <w:t>988.098.626</w:t>
            </w:r>
          </w:p>
        </w:tc>
        <w:tc>
          <w:tcPr>
            <w:tcW w:w="160" w:type="dxa"/>
            <w:tcBorders>
              <w:top w:val="nil"/>
              <w:left w:val="single" w:sz="4" w:space="0" w:color="auto"/>
              <w:right w:val="nil"/>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16"/>
                <w:szCs w:val="16"/>
                <w:lang w:eastAsia="sl-SI"/>
              </w:rPr>
            </w:pPr>
          </w:p>
        </w:tc>
      </w:tr>
      <w:tr w:rsidR="006877AF" w:rsidRPr="0076386C" w:rsidTr="00AD7187">
        <w:trPr>
          <w:trHeight w:val="285"/>
        </w:trPr>
        <w:tc>
          <w:tcPr>
            <w:tcW w:w="8149" w:type="dxa"/>
            <w:gridSpan w:val="6"/>
            <w:tcBorders>
              <w:top w:val="single" w:sz="4" w:space="0" w:color="auto"/>
              <w:bottom w:val="nil"/>
              <w:right w:val="nil"/>
            </w:tcBorders>
            <w:shd w:val="clear" w:color="auto" w:fill="auto"/>
            <w:noWrap/>
            <w:vAlign w:val="bottom"/>
            <w:hideMark/>
          </w:tcPr>
          <w:p w:rsidR="006877AF" w:rsidRDefault="006877AF" w:rsidP="00AD7187">
            <w:pPr>
              <w:overflowPunct/>
              <w:autoSpaceDE/>
              <w:autoSpaceDN/>
              <w:adjustRightInd/>
              <w:jc w:val="left"/>
              <w:textAlignment w:val="auto"/>
              <w:rPr>
                <w:rFonts w:ascii="Arial" w:eastAsia="Times New Roman" w:hAnsi="Arial" w:cs="Arial"/>
                <w:sz w:val="16"/>
                <w:szCs w:val="16"/>
                <w:lang w:eastAsia="sl-SI"/>
              </w:rPr>
            </w:pPr>
            <w:r w:rsidRPr="0076386C">
              <w:rPr>
                <w:rFonts w:ascii="Arial" w:eastAsia="Times New Roman" w:hAnsi="Arial" w:cs="Arial"/>
                <w:sz w:val="16"/>
                <w:szCs w:val="16"/>
                <w:lang w:eastAsia="sl-SI"/>
              </w:rPr>
              <w:t xml:space="preserve">* </w:t>
            </w:r>
            <w:r>
              <w:rPr>
                <w:rFonts w:ascii="Arial" w:eastAsia="Times New Roman" w:hAnsi="Arial" w:cs="Arial"/>
                <w:sz w:val="16"/>
                <w:szCs w:val="16"/>
                <w:lang w:eastAsia="sl-SI"/>
              </w:rPr>
              <w:t>S</w:t>
            </w:r>
            <w:r w:rsidRPr="0076386C">
              <w:rPr>
                <w:rFonts w:ascii="Arial" w:eastAsia="Times New Roman" w:hAnsi="Arial" w:cs="Arial"/>
                <w:sz w:val="16"/>
                <w:szCs w:val="16"/>
                <w:lang w:eastAsia="sl-SI"/>
              </w:rPr>
              <w:t>tanje zajema tudi vrnjene obveznice DUTB (trenutno je stanje izročenih obveznic</w:t>
            </w:r>
            <w:r>
              <w:rPr>
                <w:rFonts w:ascii="Arial" w:eastAsia="Times New Roman" w:hAnsi="Arial" w:cs="Arial"/>
                <w:sz w:val="16"/>
                <w:szCs w:val="16"/>
                <w:lang w:eastAsia="sl-SI"/>
              </w:rPr>
              <w:t>,</w:t>
            </w:r>
            <w:r w:rsidRPr="0076386C">
              <w:rPr>
                <w:rFonts w:ascii="Arial" w:eastAsia="Times New Roman" w:hAnsi="Arial" w:cs="Arial"/>
                <w:sz w:val="16"/>
                <w:szCs w:val="16"/>
                <w:lang w:eastAsia="sl-SI"/>
              </w:rPr>
              <w:t xml:space="preserve"> brez vrnjenih</w:t>
            </w:r>
            <w:r>
              <w:rPr>
                <w:rFonts w:ascii="Arial" w:eastAsia="Times New Roman" w:hAnsi="Arial" w:cs="Arial"/>
                <w:sz w:val="16"/>
                <w:szCs w:val="16"/>
                <w:lang w:eastAsia="sl-SI"/>
              </w:rPr>
              <w:t>,</w:t>
            </w:r>
            <w:r w:rsidRPr="0076386C">
              <w:rPr>
                <w:rFonts w:ascii="Arial" w:eastAsia="Times New Roman" w:hAnsi="Arial" w:cs="Arial"/>
                <w:sz w:val="16"/>
                <w:szCs w:val="16"/>
                <w:lang w:eastAsia="sl-SI"/>
              </w:rPr>
              <w:t xml:space="preserve"> </w:t>
            </w:r>
            <w:r>
              <w:rPr>
                <w:rFonts w:ascii="Arial" w:eastAsia="Times New Roman" w:hAnsi="Arial" w:cs="Arial"/>
                <w:sz w:val="16"/>
                <w:szCs w:val="16"/>
                <w:lang w:eastAsia="sl-SI"/>
              </w:rPr>
              <w:t xml:space="preserve">za </w:t>
            </w:r>
            <w:r w:rsidRPr="0076386C">
              <w:rPr>
                <w:rFonts w:ascii="Arial" w:eastAsia="Times New Roman" w:hAnsi="Arial" w:cs="Arial"/>
                <w:sz w:val="16"/>
                <w:szCs w:val="16"/>
                <w:lang w:eastAsia="sl-SI"/>
              </w:rPr>
              <w:t>2,9 mio EUR nižje)</w:t>
            </w:r>
            <w:r>
              <w:rPr>
                <w:rFonts w:ascii="Arial" w:eastAsia="Times New Roman" w:hAnsi="Arial" w:cs="Arial"/>
                <w:sz w:val="16"/>
                <w:szCs w:val="16"/>
                <w:lang w:eastAsia="sl-SI"/>
              </w:rPr>
              <w:t>.</w:t>
            </w:r>
          </w:p>
          <w:p w:rsidR="006877AF" w:rsidRPr="0076386C" w:rsidRDefault="006877AF" w:rsidP="00AD7187">
            <w:pPr>
              <w:overflowPunct/>
              <w:autoSpaceDE/>
              <w:autoSpaceDN/>
              <w:adjustRightInd/>
              <w:jc w:val="left"/>
              <w:textAlignment w:val="auto"/>
              <w:rPr>
                <w:rFonts w:ascii="Arial" w:eastAsia="Times New Roman" w:hAnsi="Arial" w:cs="Arial"/>
                <w:sz w:val="16"/>
                <w:szCs w:val="16"/>
                <w:lang w:eastAsia="sl-SI"/>
              </w:rPr>
            </w:pPr>
            <w:r>
              <w:rPr>
                <w:rFonts w:ascii="Arial" w:eastAsia="Times New Roman" w:hAnsi="Arial" w:cs="Arial"/>
                <w:sz w:val="16"/>
                <w:szCs w:val="16"/>
                <w:lang w:eastAsia="sl-SI"/>
              </w:rPr>
              <w:t>** Znesek črpanja je bil 355 milijonov EUR, pogodbeni znesek pa je 370 milijonov EUR.</w:t>
            </w:r>
          </w:p>
        </w:tc>
        <w:tc>
          <w:tcPr>
            <w:tcW w:w="1364" w:type="dxa"/>
            <w:tcBorders>
              <w:top w:val="single" w:sz="4" w:space="0" w:color="auto"/>
              <w:left w:val="nil"/>
              <w:bottom w:val="nil"/>
              <w:right w:val="nil"/>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22"/>
                <w:szCs w:val="22"/>
                <w:lang w:eastAsia="sl-SI"/>
              </w:rPr>
            </w:pPr>
          </w:p>
        </w:tc>
        <w:tc>
          <w:tcPr>
            <w:tcW w:w="160" w:type="dxa"/>
            <w:tcBorders>
              <w:top w:val="nil"/>
              <w:left w:val="nil"/>
              <w:bottom w:val="nil"/>
              <w:right w:val="nil"/>
            </w:tcBorders>
            <w:shd w:val="clear" w:color="auto" w:fill="auto"/>
            <w:noWrap/>
            <w:vAlign w:val="bottom"/>
            <w:hideMark/>
          </w:tcPr>
          <w:p w:rsidR="006877AF" w:rsidRPr="0076386C" w:rsidRDefault="006877AF" w:rsidP="00AD7187">
            <w:pPr>
              <w:overflowPunct/>
              <w:autoSpaceDE/>
              <w:autoSpaceDN/>
              <w:adjustRightInd/>
              <w:jc w:val="left"/>
              <w:textAlignment w:val="auto"/>
              <w:rPr>
                <w:rFonts w:ascii="Arial" w:eastAsia="Times New Roman" w:hAnsi="Arial" w:cs="Arial"/>
                <w:color w:val="000000"/>
                <w:sz w:val="22"/>
                <w:szCs w:val="22"/>
                <w:lang w:eastAsia="sl-SI"/>
              </w:rPr>
            </w:pPr>
          </w:p>
        </w:tc>
      </w:tr>
    </w:tbl>
    <w:p w:rsidR="006877AF" w:rsidRPr="0076386C" w:rsidRDefault="006877AF" w:rsidP="006877AF">
      <w:pPr>
        <w:rPr>
          <w:rFonts w:ascii="Arial" w:hAnsi="Arial" w:cs="Arial"/>
          <w:i/>
          <w:sz w:val="20"/>
        </w:rPr>
      </w:pPr>
    </w:p>
    <w:p w:rsidR="006877AF" w:rsidRPr="0076386C" w:rsidRDefault="006877AF" w:rsidP="006877AF">
      <w:pPr>
        <w:rPr>
          <w:rFonts w:ascii="Arial" w:eastAsia="Times New Roman" w:hAnsi="Arial" w:cs="Arial"/>
          <w:sz w:val="20"/>
          <w:lang w:eastAsia="sl-SI"/>
        </w:rPr>
      </w:pPr>
      <w:r w:rsidRPr="0076386C">
        <w:rPr>
          <w:rFonts w:ascii="Arial" w:eastAsia="Times New Roman" w:hAnsi="Arial" w:cs="Arial"/>
          <w:sz w:val="20"/>
          <w:lang w:eastAsia="sl-SI"/>
        </w:rPr>
        <w:t xml:space="preserve">Po prejemu vloge za izdajo soglasja za zadolžitev </w:t>
      </w:r>
      <w:r>
        <w:rPr>
          <w:rFonts w:ascii="Arial" w:eastAsia="Times New Roman" w:hAnsi="Arial" w:cs="Arial"/>
          <w:sz w:val="20"/>
          <w:lang w:eastAsia="sl-SI"/>
        </w:rPr>
        <w:t xml:space="preserve">po </w:t>
      </w:r>
      <w:r w:rsidRPr="0076386C">
        <w:rPr>
          <w:rFonts w:ascii="Arial" w:eastAsia="Times New Roman" w:hAnsi="Arial" w:cs="Arial"/>
          <w:sz w:val="20"/>
          <w:lang w:eastAsia="sl-SI"/>
        </w:rPr>
        <w:t>87. člen</w:t>
      </w:r>
      <w:r>
        <w:rPr>
          <w:rFonts w:ascii="Arial" w:eastAsia="Times New Roman" w:hAnsi="Arial" w:cs="Arial"/>
          <w:sz w:val="20"/>
          <w:lang w:eastAsia="sl-SI"/>
        </w:rPr>
        <w:t>u</w:t>
      </w:r>
      <w:r w:rsidRPr="0076386C">
        <w:rPr>
          <w:rFonts w:ascii="Arial" w:eastAsia="Times New Roman" w:hAnsi="Arial" w:cs="Arial"/>
          <w:sz w:val="20"/>
          <w:lang w:eastAsia="sl-SI"/>
        </w:rPr>
        <w:t xml:space="preserve"> ZJF ministrstvo pr</w:t>
      </w:r>
      <w:r>
        <w:rPr>
          <w:rFonts w:ascii="Arial" w:eastAsia="Times New Roman" w:hAnsi="Arial" w:cs="Arial"/>
          <w:sz w:val="20"/>
          <w:lang w:eastAsia="sl-SI"/>
        </w:rPr>
        <w:t>o</w:t>
      </w:r>
      <w:r w:rsidRPr="0076386C">
        <w:rPr>
          <w:rFonts w:ascii="Arial" w:eastAsia="Times New Roman" w:hAnsi="Arial" w:cs="Arial"/>
          <w:sz w:val="20"/>
          <w:lang w:eastAsia="sl-SI"/>
        </w:rPr>
        <w:t xml:space="preserve">uči poslano dokumentacijo in od DUTB po potrebi zahteva še dodatna pojasnila v skladu z </w:t>
      </w:r>
      <w:r>
        <w:rPr>
          <w:rFonts w:ascii="Arial" w:eastAsia="Times New Roman" w:hAnsi="Arial" w:cs="Arial"/>
          <w:sz w:val="20"/>
          <w:lang w:eastAsia="sl-SI"/>
        </w:rPr>
        <w:t>u</w:t>
      </w:r>
      <w:r w:rsidRPr="0076386C">
        <w:rPr>
          <w:rFonts w:ascii="Arial" w:eastAsia="Times New Roman" w:hAnsi="Arial" w:cs="Arial"/>
          <w:sz w:val="20"/>
          <w:lang w:eastAsia="sl-SI"/>
        </w:rPr>
        <w:t xml:space="preserve">redbo. </w:t>
      </w:r>
      <w:r>
        <w:rPr>
          <w:rFonts w:ascii="Arial" w:eastAsia="Times New Roman" w:hAnsi="Arial" w:cs="Arial"/>
          <w:sz w:val="20"/>
          <w:lang w:eastAsia="sl-SI"/>
        </w:rPr>
        <w:t>Pri</w:t>
      </w:r>
      <w:r w:rsidRPr="0076386C">
        <w:rPr>
          <w:rFonts w:ascii="Arial" w:eastAsia="Times New Roman" w:hAnsi="Arial" w:cs="Arial"/>
          <w:sz w:val="20"/>
          <w:lang w:eastAsia="sl-SI"/>
        </w:rPr>
        <w:t xml:space="preserve"> popoln</w:t>
      </w:r>
      <w:r>
        <w:rPr>
          <w:rFonts w:ascii="Arial" w:eastAsia="Times New Roman" w:hAnsi="Arial" w:cs="Arial"/>
          <w:sz w:val="20"/>
          <w:lang w:eastAsia="sl-SI"/>
        </w:rPr>
        <w:t>i</w:t>
      </w:r>
      <w:r w:rsidRPr="0076386C">
        <w:rPr>
          <w:rFonts w:ascii="Arial" w:eastAsia="Times New Roman" w:hAnsi="Arial" w:cs="Arial"/>
          <w:sz w:val="20"/>
          <w:lang w:eastAsia="sl-SI"/>
        </w:rPr>
        <w:t xml:space="preserve"> dokumentacij</w:t>
      </w:r>
      <w:r>
        <w:rPr>
          <w:rFonts w:ascii="Arial" w:eastAsia="Times New Roman" w:hAnsi="Arial" w:cs="Arial"/>
          <w:sz w:val="20"/>
          <w:lang w:eastAsia="sl-SI"/>
        </w:rPr>
        <w:t>i</w:t>
      </w:r>
      <w:r w:rsidRPr="0076386C">
        <w:rPr>
          <w:rFonts w:ascii="Arial" w:eastAsia="Times New Roman" w:hAnsi="Arial" w:cs="Arial"/>
          <w:sz w:val="20"/>
          <w:lang w:eastAsia="sl-SI"/>
        </w:rPr>
        <w:t xml:space="preserve"> ministrstvo izda ustrezno soglasje k zadolžitvi DUTB, </w:t>
      </w:r>
      <w:r>
        <w:rPr>
          <w:rFonts w:ascii="Arial" w:eastAsia="Times New Roman" w:hAnsi="Arial" w:cs="Arial"/>
          <w:sz w:val="20"/>
          <w:lang w:eastAsia="sl-SI"/>
        </w:rPr>
        <w:t>t</w:t>
      </w:r>
      <w:r w:rsidRPr="0076386C">
        <w:rPr>
          <w:rFonts w:ascii="Arial" w:eastAsia="Times New Roman" w:hAnsi="Arial" w:cs="Arial"/>
          <w:sz w:val="20"/>
          <w:lang w:eastAsia="sl-SI"/>
        </w:rPr>
        <w:t xml:space="preserve">a pa izvede ustrezni postopek zadolževanja </w:t>
      </w:r>
      <w:r>
        <w:rPr>
          <w:rFonts w:ascii="Arial" w:eastAsia="Times New Roman" w:hAnsi="Arial" w:cs="Arial"/>
          <w:sz w:val="20"/>
          <w:lang w:eastAsia="sl-SI"/>
        </w:rPr>
        <w:t xml:space="preserve">v </w:t>
      </w:r>
      <w:r w:rsidRPr="0076386C">
        <w:rPr>
          <w:rFonts w:ascii="Arial" w:eastAsia="Times New Roman" w:hAnsi="Arial" w:cs="Arial"/>
          <w:sz w:val="20"/>
          <w:lang w:eastAsia="sl-SI"/>
        </w:rPr>
        <w:t>sklad</w:t>
      </w:r>
      <w:r>
        <w:rPr>
          <w:rFonts w:ascii="Arial" w:eastAsia="Times New Roman" w:hAnsi="Arial" w:cs="Arial"/>
          <w:sz w:val="20"/>
          <w:lang w:eastAsia="sl-SI"/>
        </w:rPr>
        <w:t>u</w:t>
      </w:r>
      <w:r w:rsidRPr="0076386C">
        <w:rPr>
          <w:rFonts w:ascii="Arial" w:eastAsia="Times New Roman" w:hAnsi="Arial" w:cs="Arial"/>
          <w:sz w:val="20"/>
          <w:lang w:eastAsia="sl-SI"/>
        </w:rPr>
        <w:t xml:space="preserve"> z </w:t>
      </w:r>
      <w:r>
        <w:rPr>
          <w:rFonts w:ascii="Arial" w:eastAsia="Times New Roman" w:hAnsi="Arial" w:cs="Arial"/>
          <w:sz w:val="20"/>
          <w:lang w:eastAsia="sl-SI"/>
        </w:rPr>
        <w:t>u</w:t>
      </w:r>
      <w:r w:rsidRPr="0076386C">
        <w:rPr>
          <w:rFonts w:ascii="Arial" w:eastAsia="Times New Roman" w:hAnsi="Arial" w:cs="Arial"/>
          <w:sz w:val="20"/>
          <w:lang w:eastAsia="sl-SI"/>
        </w:rPr>
        <w:t xml:space="preserve">redbo in z izbranim najugodnejšim kreditodajalcem podpiše pogodbo o zadolžitvi. </w:t>
      </w:r>
      <w:r>
        <w:rPr>
          <w:rFonts w:ascii="Arial" w:eastAsia="Times New Roman" w:hAnsi="Arial" w:cs="Arial"/>
          <w:sz w:val="20"/>
          <w:lang w:eastAsia="sl-SI"/>
        </w:rPr>
        <w:t>P</w:t>
      </w:r>
      <w:r w:rsidRPr="0076386C">
        <w:rPr>
          <w:rFonts w:ascii="Arial" w:eastAsia="Times New Roman" w:hAnsi="Arial" w:cs="Arial"/>
          <w:sz w:val="20"/>
          <w:lang w:eastAsia="sl-SI"/>
        </w:rPr>
        <w:t>o sklenjeni pogodbi DUTB sproti po</w:t>
      </w:r>
      <w:r>
        <w:rPr>
          <w:rFonts w:ascii="Arial" w:eastAsia="Times New Roman" w:hAnsi="Arial" w:cs="Arial"/>
          <w:sz w:val="20"/>
          <w:lang w:eastAsia="sl-SI"/>
        </w:rPr>
        <w:t>šilja</w:t>
      </w:r>
      <w:r w:rsidRPr="0076386C">
        <w:rPr>
          <w:rFonts w:ascii="Arial" w:eastAsia="Times New Roman" w:hAnsi="Arial" w:cs="Arial"/>
          <w:sz w:val="20"/>
          <w:lang w:eastAsia="sl-SI"/>
        </w:rPr>
        <w:t xml:space="preserve"> podatke </w:t>
      </w:r>
      <w:r>
        <w:rPr>
          <w:rFonts w:ascii="Arial" w:eastAsia="Times New Roman" w:hAnsi="Arial" w:cs="Arial"/>
          <w:sz w:val="20"/>
          <w:lang w:eastAsia="sl-SI"/>
        </w:rPr>
        <w:t>o</w:t>
      </w:r>
      <w:r w:rsidRPr="0076386C">
        <w:rPr>
          <w:rFonts w:ascii="Arial" w:eastAsia="Times New Roman" w:hAnsi="Arial" w:cs="Arial"/>
          <w:sz w:val="20"/>
          <w:lang w:eastAsia="sl-SI"/>
        </w:rPr>
        <w:t xml:space="preserve"> stanju dolga </w:t>
      </w:r>
      <w:r>
        <w:rPr>
          <w:rFonts w:ascii="Arial" w:eastAsia="Times New Roman" w:hAnsi="Arial" w:cs="Arial"/>
          <w:sz w:val="20"/>
          <w:lang w:eastAsia="sl-SI"/>
        </w:rPr>
        <w:t xml:space="preserve">v </w:t>
      </w:r>
      <w:r w:rsidRPr="0076386C">
        <w:rPr>
          <w:rFonts w:ascii="Arial" w:eastAsia="Times New Roman" w:hAnsi="Arial" w:cs="Arial"/>
          <w:sz w:val="20"/>
          <w:lang w:eastAsia="sl-SI"/>
        </w:rPr>
        <w:t>sklad</w:t>
      </w:r>
      <w:r>
        <w:rPr>
          <w:rFonts w:ascii="Arial" w:eastAsia="Times New Roman" w:hAnsi="Arial" w:cs="Arial"/>
          <w:sz w:val="20"/>
          <w:lang w:eastAsia="sl-SI"/>
        </w:rPr>
        <w:t>u</w:t>
      </w:r>
      <w:r w:rsidRPr="0076386C">
        <w:rPr>
          <w:rFonts w:ascii="Arial" w:eastAsia="Times New Roman" w:hAnsi="Arial" w:cs="Arial"/>
          <w:sz w:val="20"/>
          <w:lang w:eastAsia="sl-SI"/>
        </w:rPr>
        <w:t xml:space="preserve"> s Pravilnikom o pošiljanju podatkov o stanju in spremembah zadolžitve pravnih oseb javnega sektorja in občin (Uradni list RS, št.</w:t>
      </w:r>
      <w:r>
        <w:rPr>
          <w:rFonts w:ascii="Arial" w:eastAsia="Times New Roman" w:hAnsi="Arial" w:cs="Arial"/>
          <w:sz w:val="20"/>
          <w:lang w:eastAsia="sl-SI"/>
        </w:rPr>
        <w:t> </w:t>
      </w:r>
      <w:r w:rsidRPr="0076386C">
        <w:rPr>
          <w:rFonts w:ascii="Arial" w:eastAsia="Times New Roman" w:hAnsi="Arial" w:cs="Arial"/>
          <w:sz w:val="20"/>
          <w:lang w:eastAsia="sl-SI"/>
        </w:rPr>
        <w:t>3/13.</w:t>
      </w:r>
    </w:p>
    <w:p w:rsidR="006877AF" w:rsidRPr="0076386C" w:rsidRDefault="006877AF" w:rsidP="006877AF">
      <w:pPr>
        <w:rPr>
          <w:rFonts w:ascii="Arial" w:eastAsia="Times New Roman" w:hAnsi="Arial" w:cs="Arial"/>
          <w:sz w:val="20"/>
          <w:lang w:eastAsia="sl-SI"/>
        </w:rPr>
      </w:pPr>
    </w:p>
    <w:p w:rsidR="006877AF" w:rsidRPr="0076386C" w:rsidRDefault="006877AF" w:rsidP="006877AF">
      <w:pPr>
        <w:rPr>
          <w:rFonts w:ascii="Arial" w:eastAsia="Times New Roman" w:hAnsi="Arial" w:cs="Arial"/>
          <w:sz w:val="20"/>
          <w:lang w:eastAsia="sl-SI"/>
        </w:rPr>
      </w:pPr>
      <w:r w:rsidRPr="0076386C">
        <w:rPr>
          <w:rFonts w:ascii="Arial" w:eastAsia="Times New Roman" w:hAnsi="Arial" w:cs="Arial"/>
          <w:sz w:val="20"/>
          <w:lang w:eastAsia="sl-SI"/>
        </w:rPr>
        <w:t xml:space="preserve">Stanje zadolženosti DUTB na dan 30. 6. 2017 je znašalo 988.098.626 EUR, pri čemer je bil dolg v višini 768.100.000 EUR zavarovan s poroštvom Republike Slovenije, ki je dano na podlagi 12. člena ZUKSB. Podrobnejši podatki so razvidni iz </w:t>
      </w:r>
      <w:r>
        <w:rPr>
          <w:rFonts w:ascii="Arial" w:eastAsia="Times New Roman" w:hAnsi="Arial" w:cs="Arial"/>
          <w:sz w:val="20"/>
          <w:lang w:eastAsia="sl-SI"/>
        </w:rPr>
        <w:t>P</w:t>
      </w:r>
      <w:r w:rsidRPr="0076386C">
        <w:rPr>
          <w:rFonts w:ascii="Arial" w:eastAsia="Times New Roman" w:hAnsi="Arial" w:cs="Arial"/>
          <w:sz w:val="20"/>
          <w:lang w:eastAsia="sl-SI"/>
        </w:rPr>
        <w:t xml:space="preserve">reglednice 4. </w:t>
      </w:r>
    </w:p>
    <w:p w:rsidR="006877AF" w:rsidRDefault="006877AF" w:rsidP="006877AF">
      <w:pPr>
        <w:rPr>
          <w:rFonts w:ascii="Arial" w:hAnsi="Arial" w:cs="Arial"/>
          <w:i/>
          <w:sz w:val="20"/>
        </w:rPr>
      </w:pPr>
    </w:p>
    <w:p w:rsidR="006877AF" w:rsidRPr="0076386C" w:rsidRDefault="006877AF" w:rsidP="006877AF">
      <w:pPr>
        <w:rPr>
          <w:rFonts w:ascii="Arial" w:hAnsi="Arial" w:cs="Arial"/>
          <w:i/>
          <w:sz w:val="20"/>
        </w:rPr>
      </w:pPr>
      <w:r w:rsidRPr="0076386C">
        <w:rPr>
          <w:rFonts w:ascii="Arial" w:hAnsi="Arial" w:cs="Arial"/>
          <w:i/>
          <w:sz w:val="20"/>
        </w:rPr>
        <w:t xml:space="preserve">Stališče: DUTB izvaja postopke zadolžitve </w:t>
      </w:r>
      <w:r>
        <w:rPr>
          <w:rFonts w:ascii="Arial" w:hAnsi="Arial" w:cs="Arial"/>
          <w:i/>
          <w:sz w:val="20"/>
        </w:rPr>
        <w:t xml:space="preserve">v </w:t>
      </w:r>
      <w:r w:rsidRPr="0076386C">
        <w:rPr>
          <w:rFonts w:ascii="Arial" w:hAnsi="Arial" w:cs="Arial"/>
          <w:i/>
          <w:sz w:val="20"/>
        </w:rPr>
        <w:t>sklad</w:t>
      </w:r>
      <w:r>
        <w:rPr>
          <w:rFonts w:ascii="Arial" w:hAnsi="Arial" w:cs="Arial"/>
          <w:i/>
          <w:sz w:val="20"/>
        </w:rPr>
        <w:t>u</w:t>
      </w:r>
      <w:r w:rsidRPr="0076386C">
        <w:rPr>
          <w:rFonts w:ascii="Arial" w:hAnsi="Arial" w:cs="Arial"/>
          <w:i/>
          <w:sz w:val="20"/>
        </w:rPr>
        <w:t xml:space="preserve"> z navedeno </w:t>
      </w:r>
      <w:r>
        <w:rPr>
          <w:rFonts w:ascii="Arial" w:hAnsi="Arial" w:cs="Arial"/>
          <w:i/>
          <w:sz w:val="20"/>
        </w:rPr>
        <w:t>u</w:t>
      </w:r>
      <w:r w:rsidRPr="0076386C">
        <w:rPr>
          <w:rFonts w:ascii="Arial" w:hAnsi="Arial" w:cs="Arial"/>
          <w:i/>
          <w:sz w:val="20"/>
        </w:rPr>
        <w:t xml:space="preserve">redbo </w:t>
      </w:r>
      <w:r>
        <w:rPr>
          <w:rFonts w:ascii="Arial" w:hAnsi="Arial" w:cs="Arial"/>
          <w:i/>
          <w:sz w:val="20"/>
        </w:rPr>
        <w:t>in</w:t>
      </w:r>
      <w:r w:rsidRPr="0076386C">
        <w:rPr>
          <w:rFonts w:ascii="Arial" w:hAnsi="Arial" w:cs="Arial"/>
          <w:i/>
          <w:sz w:val="20"/>
        </w:rPr>
        <w:t xml:space="preserve"> redno odplačuje glavnice zadolžitev </w:t>
      </w:r>
      <w:r>
        <w:rPr>
          <w:rFonts w:ascii="Arial" w:hAnsi="Arial" w:cs="Arial"/>
          <w:i/>
          <w:sz w:val="20"/>
        </w:rPr>
        <w:t xml:space="preserve">v </w:t>
      </w:r>
      <w:r w:rsidRPr="0076386C">
        <w:rPr>
          <w:rFonts w:ascii="Arial" w:hAnsi="Arial" w:cs="Arial"/>
          <w:i/>
          <w:sz w:val="20"/>
        </w:rPr>
        <w:t>sklad</w:t>
      </w:r>
      <w:r>
        <w:rPr>
          <w:rFonts w:ascii="Arial" w:hAnsi="Arial" w:cs="Arial"/>
          <w:i/>
          <w:sz w:val="20"/>
        </w:rPr>
        <w:t>u</w:t>
      </w:r>
      <w:r w:rsidRPr="0076386C">
        <w:rPr>
          <w:rFonts w:ascii="Arial" w:hAnsi="Arial" w:cs="Arial"/>
          <w:i/>
          <w:sz w:val="20"/>
        </w:rPr>
        <w:t xml:space="preserve"> s sklenjenimi pogodbami o zadolžitvah.</w:t>
      </w:r>
    </w:p>
    <w:p w:rsidR="006877AF" w:rsidRDefault="006877AF" w:rsidP="006877AF">
      <w:pPr>
        <w:rPr>
          <w:rFonts w:ascii="Arial" w:hAnsi="Arial" w:cs="Arial"/>
          <w:color w:val="0000FF"/>
          <w:sz w:val="20"/>
        </w:rPr>
      </w:pPr>
    </w:p>
    <w:p w:rsidR="006877AF" w:rsidRDefault="006877AF" w:rsidP="006877AF">
      <w:pPr>
        <w:rPr>
          <w:rFonts w:ascii="Arial" w:hAnsi="Arial" w:cs="Arial"/>
          <w:color w:val="0000FF"/>
          <w:sz w:val="20"/>
        </w:rPr>
      </w:pPr>
    </w:p>
    <w:p w:rsidR="006877AF" w:rsidRPr="0076386C" w:rsidRDefault="006877AF" w:rsidP="006877AF">
      <w:pPr>
        <w:rPr>
          <w:rFonts w:ascii="Arial" w:hAnsi="Arial" w:cs="Arial"/>
          <w:color w:val="0000FF"/>
          <w:sz w:val="20"/>
        </w:rPr>
      </w:pPr>
    </w:p>
    <w:p w:rsidR="006877AF" w:rsidRPr="0076386C" w:rsidRDefault="006877AF" w:rsidP="006877AF">
      <w:pPr>
        <w:rPr>
          <w:rFonts w:ascii="Arial" w:hAnsi="Arial" w:cs="Arial"/>
          <w:b/>
          <w:sz w:val="20"/>
        </w:rPr>
      </w:pPr>
      <w:r w:rsidRPr="0076386C">
        <w:rPr>
          <w:rFonts w:ascii="Arial" w:hAnsi="Arial" w:cs="Arial"/>
          <w:b/>
          <w:sz w:val="20"/>
        </w:rPr>
        <w:t xml:space="preserve">3 </w:t>
      </w:r>
      <w:r w:rsidRPr="0076386C">
        <w:rPr>
          <w:rFonts w:ascii="Arial" w:hAnsi="Arial" w:cs="Arial"/>
          <w:b/>
          <w:sz w:val="20"/>
          <w:shd w:val="clear" w:color="auto" w:fill="FFFFFF"/>
        </w:rPr>
        <w:t xml:space="preserve">USMERITVE MINISTRSTVA </w:t>
      </w:r>
    </w:p>
    <w:p w:rsidR="006877AF" w:rsidRPr="0076386C" w:rsidRDefault="006877AF" w:rsidP="006877AF">
      <w:pPr>
        <w:pStyle w:val="ListParagraph"/>
        <w:ind w:left="0"/>
        <w:contextualSpacing/>
        <w:jc w:val="both"/>
        <w:rPr>
          <w:rFonts w:ascii="Arial" w:hAnsi="Arial" w:cs="Arial"/>
          <w:color w:val="0000FF"/>
          <w:shd w:val="clear" w:color="auto" w:fill="FFFFFF"/>
          <w:lang w:val="sl-SI"/>
        </w:rPr>
      </w:pPr>
    </w:p>
    <w:p w:rsidR="006877AF" w:rsidRPr="0076386C" w:rsidRDefault="006877AF" w:rsidP="006877AF">
      <w:pPr>
        <w:rPr>
          <w:rFonts w:ascii="Arial" w:hAnsi="Arial" w:cs="Arial"/>
          <w:sz w:val="20"/>
          <w:shd w:val="clear" w:color="auto" w:fill="FFFFFF"/>
        </w:rPr>
      </w:pPr>
      <w:r w:rsidRPr="0076386C">
        <w:rPr>
          <w:rFonts w:ascii="Arial" w:hAnsi="Arial" w:cs="Arial"/>
          <w:sz w:val="20"/>
        </w:rPr>
        <w:t xml:space="preserve">Ministrstvo lahko v skladu z drugim odstavkom 4. člena ZUKSB DUTB da usmeritve, ki jih mora </w:t>
      </w:r>
      <w:r>
        <w:rPr>
          <w:rFonts w:ascii="Arial" w:hAnsi="Arial" w:cs="Arial"/>
          <w:sz w:val="20"/>
        </w:rPr>
        <w:t>ta</w:t>
      </w:r>
      <w:r w:rsidRPr="0076386C">
        <w:rPr>
          <w:rFonts w:ascii="Arial" w:hAnsi="Arial" w:cs="Arial"/>
          <w:sz w:val="20"/>
        </w:rPr>
        <w:t xml:space="preserve"> upoštevati. Usmeritve so v skladu z ZUKSB pisne, obrazložene, splošne in abstraktne </w:t>
      </w:r>
      <w:r>
        <w:rPr>
          <w:rFonts w:ascii="Arial" w:hAnsi="Arial" w:cs="Arial"/>
          <w:sz w:val="20"/>
        </w:rPr>
        <w:t>ter</w:t>
      </w:r>
      <w:r w:rsidRPr="0076386C">
        <w:rPr>
          <w:rFonts w:ascii="Arial" w:hAnsi="Arial" w:cs="Arial"/>
          <w:sz w:val="20"/>
        </w:rPr>
        <w:t xml:space="preserve"> ne smejo biti navodilo za ravnanje v posameznem primeru. Navedena določba sledi splošnim pravilom korporacijskega prava, po katerih velja, da lahko delničarji prek skupščine le usmerjajo delovanje družbe, ne morejo pa oblikovati njene volje. </w:t>
      </w:r>
    </w:p>
    <w:p w:rsidR="006877AF" w:rsidRPr="0076386C" w:rsidRDefault="006877AF" w:rsidP="006877AF">
      <w:pPr>
        <w:pStyle w:val="ListParagraph"/>
        <w:ind w:left="0"/>
        <w:contextualSpacing/>
        <w:jc w:val="both"/>
        <w:rPr>
          <w:rFonts w:ascii="Arial" w:hAnsi="Arial" w:cs="Arial"/>
          <w:shd w:val="clear" w:color="auto" w:fill="FFFFFF"/>
          <w:lang w:val="sl-SI"/>
        </w:rPr>
      </w:pPr>
    </w:p>
    <w:p w:rsidR="006877AF" w:rsidRPr="0076386C" w:rsidRDefault="006877AF" w:rsidP="006877AF">
      <w:pPr>
        <w:pStyle w:val="ListParagraph"/>
        <w:ind w:left="0"/>
        <w:contextualSpacing/>
        <w:jc w:val="both"/>
        <w:rPr>
          <w:rFonts w:ascii="Arial" w:hAnsi="Arial" w:cs="Arial"/>
          <w:shd w:val="clear" w:color="auto" w:fill="FFFFFF"/>
          <w:lang w:val="sl-SI"/>
        </w:rPr>
      </w:pPr>
      <w:r w:rsidRPr="0076386C">
        <w:rPr>
          <w:rFonts w:ascii="Arial" w:hAnsi="Arial" w:cs="Arial"/>
          <w:shd w:val="clear" w:color="auto" w:fill="FFFFFF"/>
          <w:lang w:val="sl-SI"/>
        </w:rPr>
        <w:lastRenderedPageBreak/>
        <w:t xml:space="preserve">Ministrstvo v obdobju </w:t>
      </w:r>
      <w:r w:rsidRPr="0076386C">
        <w:rPr>
          <w:rFonts w:ascii="Arial" w:hAnsi="Arial" w:cs="Arial"/>
          <w:szCs w:val="24"/>
          <w:lang w:eastAsia="sl-SI"/>
        </w:rPr>
        <w:t>od 1. 5. 2017 do 31. 7. 2017</w:t>
      </w:r>
      <w:r w:rsidRPr="0076386C">
        <w:rPr>
          <w:rFonts w:ascii="Arial" w:hAnsi="Arial" w:cs="Arial"/>
          <w:shd w:val="clear" w:color="auto" w:fill="FFFFFF"/>
          <w:lang w:val="sl-SI"/>
        </w:rPr>
        <w:t xml:space="preserve"> ni dalo pisnih usmeritev na podlagi drugega odstavka 4. člena ZUKSB.</w:t>
      </w:r>
    </w:p>
    <w:p w:rsidR="006877AF" w:rsidRPr="0076386C" w:rsidRDefault="006877AF" w:rsidP="006877AF">
      <w:pPr>
        <w:pStyle w:val="ListParagraph"/>
        <w:ind w:left="0"/>
        <w:contextualSpacing/>
        <w:jc w:val="both"/>
        <w:rPr>
          <w:rFonts w:ascii="Arial" w:hAnsi="Arial" w:cs="Arial"/>
          <w:color w:val="0000FF"/>
          <w:shd w:val="clear" w:color="auto" w:fill="FFFFFF"/>
          <w:lang w:val="sl-SI"/>
        </w:rPr>
      </w:pPr>
    </w:p>
    <w:p w:rsidR="006877AF" w:rsidRPr="0076386C" w:rsidRDefault="006877AF" w:rsidP="006877AF">
      <w:pPr>
        <w:pStyle w:val="ListParagraph"/>
        <w:ind w:left="0"/>
        <w:contextualSpacing/>
        <w:jc w:val="both"/>
        <w:rPr>
          <w:rFonts w:ascii="Arial" w:hAnsi="Arial" w:cs="Arial"/>
          <w:color w:val="0000FF"/>
          <w:shd w:val="clear" w:color="auto" w:fill="FFFFFF"/>
          <w:lang w:val="sl-SI"/>
        </w:rPr>
      </w:pPr>
    </w:p>
    <w:p w:rsidR="006877AF" w:rsidRPr="0076386C" w:rsidRDefault="006877AF" w:rsidP="006877AF">
      <w:pPr>
        <w:rPr>
          <w:rFonts w:ascii="Arial" w:hAnsi="Arial" w:cs="Arial"/>
          <w:color w:val="0000FF"/>
          <w:sz w:val="20"/>
        </w:rPr>
      </w:pPr>
    </w:p>
    <w:p w:rsidR="006877AF" w:rsidRPr="0076386C" w:rsidRDefault="006877AF" w:rsidP="006877AF">
      <w:pPr>
        <w:rPr>
          <w:rFonts w:ascii="Arial" w:hAnsi="Arial" w:cs="Arial"/>
          <w:b/>
          <w:sz w:val="20"/>
        </w:rPr>
      </w:pPr>
      <w:r w:rsidRPr="0076386C">
        <w:rPr>
          <w:rFonts w:ascii="Arial" w:hAnsi="Arial" w:cs="Arial"/>
          <w:b/>
          <w:sz w:val="20"/>
        </w:rPr>
        <w:t>4 AKTUALNE ZADEVE V ZVEZI Z POSLOVANJEM DUTB</w:t>
      </w:r>
    </w:p>
    <w:p w:rsidR="006877AF" w:rsidRPr="0076386C" w:rsidRDefault="006877AF" w:rsidP="006877AF">
      <w:pPr>
        <w:overflowPunct/>
        <w:textAlignment w:val="auto"/>
        <w:rPr>
          <w:rFonts w:ascii="Arial" w:hAnsi="Arial" w:cs="Arial"/>
          <w:iCs/>
          <w:color w:val="00B050"/>
          <w:sz w:val="20"/>
          <w:lang w:eastAsia="sl-SI"/>
        </w:rPr>
      </w:pPr>
    </w:p>
    <w:p w:rsidR="006877AF" w:rsidRPr="0076386C" w:rsidRDefault="006877AF" w:rsidP="006877AF">
      <w:pPr>
        <w:numPr>
          <w:ilvl w:val="0"/>
          <w:numId w:val="3"/>
        </w:numPr>
        <w:overflowPunct/>
        <w:textAlignment w:val="auto"/>
        <w:rPr>
          <w:rFonts w:ascii="Arial" w:hAnsi="Arial" w:cs="Arial"/>
          <w:iCs/>
          <w:sz w:val="20"/>
          <w:lang w:eastAsia="sl-SI"/>
        </w:rPr>
      </w:pPr>
      <w:r w:rsidRPr="0076386C">
        <w:rPr>
          <w:rFonts w:ascii="Arial" w:hAnsi="Arial" w:cs="Arial"/>
          <w:b/>
          <w:iCs/>
          <w:sz w:val="20"/>
          <w:lang w:eastAsia="sl-SI"/>
        </w:rPr>
        <w:t xml:space="preserve">Prenos deleža elektrodistribucijskih podjetjih. </w:t>
      </w:r>
      <w:r w:rsidRPr="0076386C">
        <w:rPr>
          <w:rFonts w:ascii="Arial" w:hAnsi="Arial" w:cs="Arial"/>
          <w:iCs/>
          <w:sz w:val="20"/>
          <w:lang w:eastAsia="sl-SI"/>
        </w:rPr>
        <w:t xml:space="preserve">Vlada je s sklepom </w:t>
      </w:r>
      <w:r>
        <w:rPr>
          <w:rFonts w:ascii="Arial" w:hAnsi="Arial" w:cs="Arial"/>
          <w:iCs/>
          <w:sz w:val="20"/>
          <w:lang w:eastAsia="sl-SI"/>
        </w:rPr>
        <w:t xml:space="preserve">z </w:t>
      </w:r>
      <w:r w:rsidRPr="0076386C">
        <w:rPr>
          <w:rFonts w:ascii="Arial" w:hAnsi="Arial" w:cs="Arial"/>
          <w:iCs/>
          <w:sz w:val="20"/>
          <w:lang w:eastAsia="sl-SI"/>
        </w:rPr>
        <w:t xml:space="preserve">dne 22. 12. 2016 kot skupščina DUTB, ob upoštevanju predloga upravnega odbora DUTB v dopisu </w:t>
      </w:r>
      <w:r>
        <w:rPr>
          <w:rFonts w:ascii="Arial" w:hAnsi="Arial" w:cs="Arial"/>
          <w:iCs/>
          <w:sz w:val="20"/>
          <w:lang w:eastAsia="sl-SI"/>
        </w:rPr>
        <w:t xml:space="preserve">s </w:t>
      </w:r>
      <w:r w:rsidRPr="0076386C">
        <w:rPr>
          <w:rFonts w:ascii="Arial" w:hAnsi="Arial" w:cs="Arial"/>
          <w:iCs/>
          <w:sz w:val="20"/>
          <w:lang w:eastAsia="sl-SI"/>
        </w:rPr>
        <w:t>23. 4. 2015</w:t>
      </w:r>
      <w:r>
        <w:rPr>
          <w:rFonts w:ascii="Arial" w:hAnsi="Arial" w:cs="Arial"/>
          <w:iCs/>
          <w:sz w:val="20"/>
          <w:lang w:eastAsia="sl-SI"/>
        </w:rPr>
        <w:t>,</w:t>
      </w:r>
      <w:r w:rsidRPr="0076386C">
        <w:rPr>
          <w:rFonts w:ascii="Arial" w:hAnsi="Arial" w:cs="Arial"/>
          <w:iCs/>
          <w:sz w:val="20"/>
          <w:lang w:eastAsia="sl-SI"/>
        </w:rPr>
        <w:t xml:space="preserve"> odločila, da DUTB skupaj z drugimi deležniki (SDH) prenese svoje deleže v elektrodistribucijskih podjetjih v last Republike Slovenije. </w:t>
      </w:r>
    </w:p>
    <w:p w:rsidR="006877AF" w:rsidRPr="0076386C" w:rsidRDefault="006877AF" w:rsidP="006877AF">
      <w:pPr>
        <w:overflowPunct/>
        <w:textAlignment w:val="auto"/>
        <w:rPr>
          <w:rFonts w:ascii="Arial" w:hAnsi="Arial" w:cs="Arial"/>
          <w:i/>
          <w:iCs/>
          <w:sz w:val="20"/>
          <w:lang w:eastAsia="sl-SI"/>
        </w:rPr>
      </w:pPr>
    </w:p>
    <w:p w:rsidR="006877AF" w:rsidRPr="0076386C" w:rsidRDefault="006877AF" w:rsidP="006877AF">
      <w:pPr>
        <w:overflowPunct/>
        <w:textAlignment w:val="auto"/>
        <w:rPr>
          <w:rFonts w:ascii="Arial" w:hAnsi="Arial" w:cs="Arial"/>
          <w:i/>
          <w:iCs/>
          <w:sz w:val="20"/>
          <w:lang w:eastAsia="sl-SI"/>
        </w:rPr>
      </w:pPr>
      <w:r w:rsidRPr="0076386C">
        <w:rPr>
          <w:rFonts w:ascii="Arial" w:hAnsi="Arial" w:cs="Arial"/>
          <w:i/>
          <w:iCs/>
          <w:sz w:val="20"/>
          <w:lang w:eastAsia="sl-SI"/>
        </w:rPr>
        <w:t xml:space="preserve">Stališče: Ministrstvo ugotavlja, da sklep vlade z dne 22. 12. 2016 še ni uresničen. </w:t>
      </w:r>
      <w:r w:rsidRPr="0076386C">
        <w:rPr>
          <w:rFonts w:ascii="Arial" w:eastAsia="Times New Roman" w:hAnsi="Arial" w:cs="Arial"/>
          <w:i/>
          <w:sz w:val="20"/>
          <w:lang w:eastAsia="sl-SI"/>
        </w:rPr>
        <w:t xml:space="preserve">V zvezi z navedenim sklepom je ministrstvo od DUTB sicer prejelo informacijo, </w:t>
      </w:r>
      <w:r w:rsidRPr="0076386C">
        <w:rPr>
          <w:rFonts w:ascii="Arial" w:hAnsi="Arial" w:cs="Arial"/>
          <w:i/>
          <w:sz w:val="20"/>
        </w:rPr>
        <w:t xml:space="preserve">da je </w:t>
      </w:r>
      <w:r>
        <w:rPr>
          <w:rFonts w:ascii="Arial" w:hAnsi="Arial" w:cs="Arial"/>
          <w:i/>
          <w:sz w:val="20"/>
        </w:rPr>
        <w:t>uresničitev</w:t>
      </w:r>
      <w:r w:rsidRPr="0076386C">
        <w:rPr>
          <w:rFonts w:ascii="Arial" w:hAnsi="Arial" w:cs="Arial"/>
          <w:i/>
          <w:sz w:val="20"/>
        </w:rPr>
        <w:t xml:space="preserve"> navedenega sklepa odvisna od drugih udeležencev.</w:t>
      </w:r>
    </w:p>
    <w:p w:rsidR="006877AF" w:rsidRPr="0076386C" w:rsidRDefault="006877AF" w:rsidP="006877AF">
      <w:pPr>
        <w:overflowPunct/>
        <w:textAlignment w:val="auto"/>
        <w:rPr>
          <w:rFonts w:ascii="Arial" w:hAnsi="Arial" w:cs="Arial"/>
          <w:iCs/>
          <w:color w:val="00B050"/>
          <w:sz w:val="20"/>
          <w:lang w:eastAsia="sl-SI"/>
        </w:rPr>
      </w:pPr>
    </w:p>
    <w:p w:rsidR="006877AF" w:rsidRPr="0076386C" w:rsidRDefault="006877AF" w:rsidP="006877AF">
      <w:pPr>
        <w:pStyle w:val="ListParagraph"/>
        <w:numPr>
          <w:ilvl w:val="0"/>
          <w:numId w:val="1"/>
        </w:numPr>
        <w:contextualSpacing/>
        <w:jc w:val="both"/>
        <w:rPr>
          <w:rFonts w:ascii="Arial" w:hAnsi="Arial" w:cs="Arial"/>
          <w:lang w:val="sl-SI"/>
        </w:rPr>
      </w:pPr>
      <w:r w:rsidRPr="0076386C">
        <w:rPr>
          <w:rFonts w:ascii="Arial" w:hAnsi="Arial" w:cs="Arial"/>
          <w:b/>
          <w:lang w:val="sl-SI"/>
        </w:rPr>
        <w:t xml:space="preserve">Odločitev vlade kot skupščine DUTB glede prenosa lastniškega deleža, ki ga ima DUTB v podjetju KOTO, na Republiko Slovenijo. </w:t>
      </w:r>
      <w:r w:rsidRPr="0076386C">
        <w:rPr>
          <w:rFonts w:ascii="Arial" w:eastAsia="Times New Roman" w:hAnsi="Arial" w:cs="Arial"/>
          <w:lang w:val="sl-SI"/>
        </w:rPr>
        <w:t xml:space="preserve">Vlada se je 27. 7. 2017 v okviru sklepa številka 02402-13/2017/4 seznanila s </w:t>
      </w:r>
      <w:r>
        <w:rPr>
          <w:rFonts w:ascii="Arial" w:eastAsia="Times New Roman" w:hAnsi="Arial" w:cs="Arial"/>
          <w:lang w:val="sl-SI"/>
        </w:rPr>
        <w:t>p</w:t>
      </w:r>
      <w:r w:rsidRPr="0076386C">
        <w:rPr>
          <w:rFonts w:ascii="Arial" w:eastAsia="Times New Roman" w:hAnsi="Arial" w:cs="Arial"/>
          <w:lang w:val="sl-SI"/>
        </w:rPr>
        <w:t xml:space="preserve">oročilom </w:t>
      </w:r>
      <w:r>
        <w:rPr>
          <w:rFonts w:ascii="Arial" w:eastAsia="Times New Roman" w:hAnsi="Arial" w:cs="Arial"/>
          <w:lang w:val="sl-SI"/>
        </w:rPr>
        <w:t>d</w:t>
      </w:r>
      <w:r w:rsidRPr="0076386C">
        <w:rPr>
          <w:rFonts w:ascii="Arial" w:eastAsia="Times New Roman" w:hAnsi="Arial" w:cs="Arial"/>
          <w:lang w:val="sl-SI"/>
        </w:rPr>
        <w:t xml:space="preserve">elovne skupine za oceno primernosti ureditve javne službe ravnanja s stranskimi živalskimi proizvodi kategorije 1 in 2. Vlada je </w:t>
      </w:r>
      <w:r>
        <w:rPr>
          <w:rFonts w:ascii="Arial" w:eastAsia="Times New Roman" w:hAnsi="Arial" w:cs="Arial"/>
          <w:lang w:val="sl-SI"/>
        </w:rPr>
        <w:t>hkrati</w:t>
      </w:r>
      <w:r w:rsidRPr="0076386C">
        <w:rPr>
          <w:rFonts w:ascii="Arial" w:eastAsia="Times New Roman" w:hAnsi="Arial" w:cs="Arial"/>
          <w:lang w:val="sl-SI"/>
        </w:rPr>
        <w:t xml:space="preserve"> naložila ministrstvu, da izvede postopke za odplačni prenos družbe KOTO</w:t>
      </w:r>
      <w:r>
        <w:rPr>
          <w:rFonts w:ascii="Arial" w:eastAsia="Times New Roman" w:hAnsi="Arial" w:cs="Arial"/>
          <w:lang w:val="sl-SI"/>
        </w:rPr>
        <w:t>,</w:t>
      </w:r>
      <w:r w:rsidRPr="0076386C">
        <w:rPr>
          <w:rFonts w:ascii="Arial" w:eastAsia="Times New Roman" w:hAnsi="Arial" w:cs="Arial"/>
          <w:lang w:val="sl-SI"/>
        </w:rPr>
        <w:t xml:space="preserve"> proizvodno in trgovsko podjetje, d. o. o., Ljubljana, na Republiko Slovenijo.</w:t>
      </w:r>
    </w:p>
    <w:p w:rsidR="006877AF" w:rsidRPr="0076386C" w:rsidRDefault="006877AF" w:rsidP="006877AF">
      <w:pPr>
        <w:rPr>
          <w:rFonts w:ascii="Arial" w:eastAsia="Times New Roman" w:hAnsi="Arial" w:cs="Arial"/>
          <w:sz w:val="20"/>
        </w:rPr>
      </w:pPr>
    </w:p>
    <w:p w:rsidR="006877AF" w:rsidRPr="00AF792A" w:rsidRDefault="006877AF" w:rsidP="006877AF">
      <w:pPr>
        <w:pStyle w:val="Poglavje"/>
        <w:spacing w:before="0" w:after="0" w:line="240" w:lineRule="auto"/>
        <w:jc w:val="both"/>
        <w:rPr>
          <w:b w:val="0"/>
          <w:bCs/>
          <w:i/>
          <w:sz w:val="20"/>
          <w:szCs w:val="20"/>
        </w:rPr>
      </w:pPr>
      <w:r w:rsidRPr="0076386C">
        <w:rPr>
          <w:b w:val="0"/>
          <w:bCs/>
          <w:i/>
          <w:sz w:val="20"/>
          <w:szCs w:val="20"/>
        </w:rPr>
        <w:t xml:space="preserve">Stališče: </w:t>
      </w:r>
      <w:r>
        <w:rPr>
          <w:b w:val="0"/>
          <w:bCs/>
          <w:i/>
          <w:sz w:val="20"/>
          <w:szCs w:val="20"/>
        </w:rPr>
        <w:t>A</w:t>
      </w:r>
      <w:r w:rsidRPr="0076386C">
        <w:rPr>
          <w:b w:val="0"/>
          <w:bCs/>
          <w:i/>
          <w:sz w:val="20"/>
          <w:szCs w:val="20"/>
        </w:rPr>
        <w:t xml:space="preserve">ktivnosti </w:t>
      </w:r>
      <w:r>
        <w:rPr>
          <w:b w:val="0"/>
          <w:bCs/>
          <w:i/>
          <w:sz w:val="20"/>
          <w:szCs w:val="20"/>
        </w:rPr>
        <w:t>se pripravljajo</w:t>
      </w:r>
      <w:r w:rsidRPr="0076386C">
        <w:rPr>
          <w:b w:val="0"/>
          <w:bCs/>
          <w:i/>
          <w:sz w:val="20"/>
          <w:szCs w:val="20"/>
        </w:rPr>
        <w:t>.</w:t>
      </w:r>
      <w:r w:rsidRPr="00980506">
        <w:rPr>
          <w:b w:val="0"/>
          <w:bCs/>
          <w:i/>
          <w:sz w:val="20"/>
          <w:szCs w:val="20"/>
        </w:rPr>
        <w:t xml:space="preserve"> </w:t>
      </w:r>
    </w:p>
    <w:p w:rsidR="006877AF" w:rsidRDefault="006877AF" w:rsidP="006877AF">
      <w:pPr>
        <w:rPr>
          <w:rFonts w:ascii="Arial" w:hAnsi="Arial" w:cs="Arial"/>
          <w:color w:val="00B050"/>
          <w:sz w:val="20"/>
          <w:shd w:val="clear" w:color="auto" w:fill="FFFFFF"/>
        </w:rPr>
      </w:pPr>
    </w:p>
    <w:p w:rsidR="006877AF" w:rsidRDefault="006877AF" w:rsidP="006877AF">
      <w:pPr>
        <w:rPr>
          <w:rFonts w:ascii="Arial" w:hAnsi="Arial" w:cs="Arial"/>
          <w:color w:val="00B050"/>
          <w:sz w:val="20"/>
          <w:shd w:val="clear" w:color="auto" w:fill="FFFFFF"/>
        </w:rPr>
      </w:pPr>
    </w:p>
    <w:p w:rsidR="006877AF" w:rsidRDefault="006877AF" w:rsidP="006877AF">
      <w:pPr>
        <w:rPr>
          <w:rFonts w:ascii="Arial" w:hAnsi="Arial" w:cs="Arial"/>
          <w:color w:val="00B050"/>
          <w:sz w:val="20"/>
          <w:shd w:val="clear" w:color="auto" w:fill="FFFFFF"/>
        </w:rPr>
      </w:pPr>
    </w:p>
    <w:p w:rsidR="006877AF" w:rsidRDefault="006877AF" w:rsidP="006877AF">
      <w:pPr>
        <w:rPr>
          <w:rFonts w:ascii="Arial" w:hAnsi="Arial" w:cs="Arial"/>
          <w:color w:val="00B050"/>
          <w:sz w:val="20"/>
          <w:shd w:val="clear" w:color="auto" w:fill="FFFFFF"/>
        </w:rPr>
      </w:pPr>
    </w:p>
    <w:p w:rsidR="006877AF" w:rsidRDefault="006877AF" w:rsidP="006877AF">
      <w:pPr>
        <w:rPr>
          <w:rFonts w:ascii="Arial" w:hAnsi="Arial" w:cs="Arial"/>
          <w:color w:val="00B050"/>
          <w:sz w:val="20"/>
          <w:shd w:val="clear" w:color="auto" w:fill="FFFFFF"/>
        </w:rPr>
      </w:pPr>
    </w:p>
    <w:p w:rsidR="006877AF" w:rsidRPr="005A6E37" w:rsidRDefault="006877AF" w:rsidP="006877AF">
      <w:pPr>
        <w:pStyle w:val="Poglavje"/>
        <w:spacing w:before="0" w:after="0" w:line="240" w:lineRule="auto"/>
        <w:jc w:val="both"/>
        <w:rPr>
          <w:b w:val="0"/>
          <w:bCs/>
          <w:i/>
          <w:sz w:val="20"/>
          <w:szCs w:val="20"/>
        </w:rPr>
      </w:pPr>
      <w:r w:rsidRPr="005A6E37">
        <w:rPr>
          <w:b w:val="0"/>
          <w:bCs/>
          <w:i/>
          <w:sz w:val="20"/>
          <w:szCs w:val="20"/>
        </w:rPr>
        <w:t xml:space="preserve"> </w:t>
      </w:r>
    </w:p>
    <w:p w:rsidR="00D130C5" w:rsidRDefault="00D130C5">
      <w:bookmarkStart w:id="0" w:name="_GoBack"/>
      <w:bookmarkEnd w:id="0"/>
    </w:p>
    <w:sectPr w:rsidR="00D130C5" w:rsidSect="00D22983">
      <w:headerReference w:type="default" r:id="rId12"/>
      <w:footerReference w:type="default" r:id="rId13"/>
      <w:pgSz w:w="11906" w:h="16838"/>
      <w:pgMar w:top="1135"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AA6" w:rsidRDefault="00526AA6" w:rsidP="006877AF">
      <w:r>
        <w:separator/>
      </w:r>
    </w:p>
  </w:endnote>
  <w:endnote w:type="continuationSeparator" w:id="0">
    <w:p w:rsidR="00526AA6" w:rsidRDefault="00526AA6" w:rsidP="0068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425037"/>
      <w:docPartObj>
        <w:docPartGallery w:val="Page Numbers (Bottom of Page)"/>
        <w:docPartUnique/>
      </w:docPartObj>
    </w:sdtPr>
    <w:sdtContent>
      <w:sdt>
        <w:sdtPr>
          <w:id w:val="860082579"/>
          <w:docPartObj>
            <w:docPartGallery w:val="Page Numbers (Top of Page)"/>
            <w:docPartUnique/>
          </w:docPartObj>
        </w:sdtPr>
        <w:sdtContent>
          <w:p w:rsidR="006877AF" w:rsidRDefault="006877AF">
            <w:pPr>
              <w:pStyle w:val="Footer"/>
              <w:jc w:val="right"/>
            </w:pPr>
            <w:r>
              <w:t xml:space="preserve">Stran </w:t>
            </w:r>
            <w:r>
              <w:rPr>
                <w:b/>
                <w:bCs/>
                <w:szCs w:val="24"/>
              </w:rPr>
              <w:fldChar w:fldCharType="begin"/>
            </w:r>
            <w:r>
              <w:rPr>
                <w:b/>
                <w:bCs/>
              </w:rPr>
              <w:instrText>PAGE</w:instrText>
            </w:r>
            <w:r>
              <w:rPr>
                <w:b/>
                <w:bCs/>
                <w:szCs w:val="24"/>
              </w:rPr>
              <w:fldChar w:fldCharType="separate"/>
            </w:r>
            <w:r>
              <w:rPr>
                <w:b/>
                <w:bCs/>
                <w:noProof/>
              </w:rPr>
              <w:t>1</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Pr>
                <w:b/>
                <w:bCs/>
                <w:noProof/>
              </w:rPr>
              <w:t>6</w:t>
            </w:r>
            <w:r>
              <w:rPr>
                <w:b/>
                <w:bCs/>
                <w:szCs w:val="24"/>
              </w:rPr>
              <w:fldChar w:fldCharType="end"/>
            </w:r>
          </w:p>
        </w:sdtContent>
      </w:sdt>
    </w:sdtContent>
  </w:sdt>
  <w:p w:rsidR="000679C6" w:rsidRPr="007C2698" w:rsidRDefault="00526AA6" w:rsidP="007C2698">
    <w:pPr>
      <w:pStyle w:val="Footer"/>
      <w:jc w:val="center"/>
      <w:rPr>
        <w:b/>
        <w:color w:val="FF0000"/>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AA6" w:rsidRDefault="00526AA6" w:rsidP="006877AF">
      <w:r>
        <w:separator/>
      </w:r>
    </w:p>
  </w:footnote>
  <w:footnote w:type="continuationSeparator" w:id="0">
    <w:p w:rsidR="00526AA6" w:rsidRDefault="00526AA6" w:rsidP="006877AF">
      <w:r>
        <w:continuationSeparator/>
      </w:r>
    </w:p>
  </w:footnote>
  <w:footnote w:id="1">
    <w:p w:rsidR="006877AF" w:rsidRPr="006F546E" w:rsidRDefault="006877AF" w:rsidP="006877AF">
      <w:pPr>
        <w:rPr>
          <w:rFonts w:ascii="Arial" w:hAnsi="Arial" w:cs="Arial"/>
          <w:sz w:val="16"/>
          <w:szCs w:val="16"/>
          <w:highlight w:val="green"/>
        </w:rPr>
      </w:pPr>
      <w:r w:rsidRPr="006F546E">
        <w:rPr>
          <w:rStyle w:val="FootnoteReference"/>
          <w:sz w:val="16"/>
          <w:szCs w:val="16"/>
        </w:rPr>
        <w:footnoteRef/>
      </w:r>
      <w:r w:rsidRPr="006F546E">
        <w:rPr>
          <w:sz w:val="16"/>
          <w:szCs w:val="16"/>
        </w:rPr>
        <w:t xml:space="preserve"> </w:t>
      </w:r>
      <w:r w:rsidRPr="003662A4">
        <w:rPr>
          <w:rFonts w:ascii="Arial" w:hAnsi="Arial" w:cs="Arial"/>
          <w:sz w:val="16"/>
          <w:szCs w:val="16"/>
        </w:rPr>
        <w:t>Število</w:t>
      </w:r>
      <w:r w:rsidRPr="006F546E">
        <w:rPr>
          <w:rFonts w:ascii="Arial" w:hAnsi="Arial" w:cs="Arial"/>
          <w:sz w:val="16"/>
          <w:szCs w:val="16"/>
        </w:rPr>
        <w:t xml:space="preserve"> skupaj zaposlenih predstavlja število vseh zaposlenih v zaposlitvenem razmerju (z veljavno zaposlitveno pogodbo) z DUTB. Poleg »stalno« zaposlenih vključuje še zaposlene na časovno omejenih projektih </w:t>
      </w:r>
      <w:r>
        <w:rPr>
          <w:rFonts w:ascii="Arial" w:hAnsi="Arial" w:cs="Arial"/>
          <w:sz w:val="16"/>
          <w:szCs w:val="16"/>
        </w:rPr>
        <w:t>in</w:t>
      </w:r>
      <w:r w:rsidRPr="006F546E">
        <w:rPr>
          <w:rFonts w:ascii="Arial" w:hAnsi="Arial" w:cs="Arial"/>
          <w:sz w:val="16"/>
          <w:szCs w:val="16"/>
        </w:rPr>
        <w:t xml:space="preserve"> zaposlene, ki so odsotni dalj časa, a še vedno v zaposlitvenem razmerju z DUTB (zaposleni na porodniškem dopustu ali dolgotrajni bolniški).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9C6" w:rsidRPr="007C2698" w:rsidRDefault="00526AA6" w:rsidP="007C2698">
    <w:pPr>
      <w:pStyle w:val="Footer"/>
      <w:jc w:val="center"/>
      <w:rPr>
        <w:b/>
        <w:color w:val="FF000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86E"/>
    <w:multiLevelType w:val="multilevel"/>
    <w:tmpl w:val="5956A4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45594A"/>
    <w:multiLevelType w:val="multilevel"/>
    <w:tmpl w:val="922AB7E4"/>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631321D"/>
    <w:multiLevelType w:val="multilevel"/>
    <w:tmpl w:val="9E3C0DF0"/>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AF"/>
    <w:rsid w:val="00526AA6"/>
    <w:rsid w:val="006877AF"/>
    <w:rsid w:val="00A8205C"/>
    <w:rsid w:val="00AC5189"/>
    <w:rsid w:val="00B43DF1"/>
    <w:rsid w:val="00D13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AF"/>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glavje">
    <w:name w:val="Poglavje"/>
    <w:basedOn w:val="Normal"/>
    <w:qFormat/>
    <w:rsid w:val="006877AF"/>
    <w:pPr>
      <w:suppressAutoHyphens/>
      <w:spacing w:before="360" w:after="60" w:line="200" w:lineRule="exact"/>
      <w:jc w:val="center"/>
      <w:outlineLvl w:val="3"/>
    </w:pPr>
    <w:rPr>
      <w:rFonts w:ascii="Arial" w:hAnsi="Arial" w:cs="Arial"/>
      <w:b/>
      <w:sz w:val="22"/>
      <w:szCs w:val="22"/>
      <w:lang w:eastAsia="sl-SI"/>
    </w:rPr>
  </w:style>
  <w:style w:type="paragraph" w:styleId="Footer">
    <w:name w:val="footer"/>
    <w:basedOn w:val="Normal"/>
    <w:link w:val="FooterChar"/>
    <w:uiPriority w:val="99"/>
    <w:rsid w:val="006877AF"/>
    <w:pPr>
      <w:tabs>
        <w:tab w:val="center" w:pos="4536"/>
        <w:tab w:val="right" w:pos="9072"/>
      </w:tabs>
    </w:pPr>
  </w:style>
  <w:style w:type="character" w:customStyle="1" w:styleId="FooterChar">
    <w:name w:val="Footer Char"/>
    <w:basedOn w:val="DefaultParagraphFont"/>
    <w:link w:val="Footer"/>
    <w:uiPriority w:val="99"/>
    <w:rsid w:val="006877AF"/>
    <w:rPr>
      <w:rFonts w:ascii="Times New Roman" w:eastAsia="Calibri" w:hAnsi="Times New Roman" w:cs="Times New Roman"/>
      <w:sz w:val="24"/>
      <w:szCs w:val="20"/>
    </w:rPr>
  </w:style>
  <w:style w:type="paragraph" w:styleId="ListParagraph">
    <w:name w:val="List Paragraph"/>
    <w:basedOn w:val="Normal"/>
    <w:link w:val="ListParagraphChar"/>
    <w:uiPriority w:val="34"/>
    <w:qFormat/>
    <w:rsid w:val="006877AF"/>
    <w:pPr>
      <w:overflowPunct/>
      <w:autoSpaceDE/>
      <w:autoSpaceDN/>
      <w:adjustRightInd/>
      <w:ind w:left="708"/>
      <w:jc w:val="left"/>
      <w:textAlignment w:val="auto"/>
    </w:pPr>
    <w:rPr>
      <w:sz w:val="20"/>
      <w:lang w:val="x-none"/>
    </w:rPr>
  </w:style>
  <w:style w:type="character" w:customStyle="1" w:styleId="ListParagraphChar">
    <w:name w:val="List Paragraph Char"/>
    <w:link w:val="ListParagraph"/>
    <w:uiPriority w:val="34"/>
    <w:locked/>
    <w:rsid w:val="006877AF"/>
    <w:rPr>
      <w:rFonts w:ascii="Times New Roman" w:eastAsia="Calibri" w:hAnsi="Times New Roman" w:cs="Times New Roman"/>
      <w:sz w:val="20"/>
      <w:szCs w:val="20"/>
      <w:lang w:val="x-none"/>
    </w:rPr>
  </w:style>
  <w:style w:type="paragraph" w:styleId="NormalWeb">
    <w:name w:val="Normal (Web)"/>
    <w:basedOn w:val="Normal"/>
    <w:uiPriority w:val="99"/>
    <w:rsid w:val="006877AF"/>
    <w:rPr>
      <w:szCs w:val="24"/>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6877AF"/>
    <w:rPr>
      <w:vertAlign w:val="superscript"/>
    </w:rPr>
  </w:style>
  <w:style w:type="paragraph" w:customStyle="1" w:styleId="Default">
    <w:name w:val="Default"/>
    <w:rsid w:val="006877AF"/>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6877AF"/>
    <w:rPr>
      <w:b/>
      <w:bCs/>
    </w:rPr>
  </w:style>
  <w:style w:type="paragraph" w:styleId="BalloonText">
    <w:name w:val="Balloon Text"/>
    <w:basedOn w:val="Normal"/>
    <w:link w:val="BalloonTextChar"/>
    <w:uiPriority w:val="99"/>
    <w:semiHidden/>
    <w:unhideWhenUsed/>
    <w:rsid w:val="006877AF"/>
    <w:rPr>
      <w:rFonts w:ascii="Tahoma" w:hAnsi="Tahoma" w:cs="Tahoma"/>
      <w:sz w:val="16"/>
      <w:szCs w:val="16"/>
    </w:rPr>
  </w:style>
  <w:style w:type="character" w:customStyle="1" w:styleId="BalloonTextChar">
    <w:name w:val="Balloon Text Char"/>
    <w:basedOn w:val="DefaultParagraphFont"/>
    <w:link w:val="BalloonText"/>
    <w:uiPriority w:val="99"/>
    <w:semiHidden/>
    <w:rsid w:val="006877AF"/>
    <w:rPr>
      <w:rFonts w:ascii="Tahoma" w:eastAsia="Calibri" w:hAnsi="Tahoma" w:cs="Tahoma"/>
      <w:sz w:val="16"/>
      <w:szCs w:val="16"/>
    </w:rPr>
  </w:style>
  <w:style w:type="paragraph" w:styleId="Header">
    <w:name w:val="header"/>
    <w:basedOn w:val="Normal"/>
    <w:link w:val="HeaderChar"/>
    <w:uiPriority w:val="99"/>
    <w:unhideWhenUsed/>
    <w:rsid w:val="006877AF"/>
    <w:pPr>
      <w:tabs>
        <w:tab w:val="center" w:pos="4536"/>
        <w:tab w:val="right" w:pos="9072"/>
      </w:tabs>
    </w:pPr>
  </w:style>
  <w:style w:type="character" w:customStyle="1" w:styleId="HeaderChar">
    <w:name w:val="Header Char"/>
    <w:basedOn w:val="DefaultParagraphFont"/>
    <w:link w:val="Header"/>
    <w:uiPriority w:val="99"/>
    <w:rsid w:val="006877AF"/>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AF"/>
    <w:pPr>
      <w:overflowPunct w:val="0"/>
      <w:autoSpaceDE w:val="0"/>
      <w:autoSpaceDN w:val="0"/>
      <w:adjustRightInd w:val="0"/>
      <w:spacing w:after="0" w:line="240" w:lineRule="auto"/>
      <w:jc w:val="both"/>
      <w:textAlignment w:val="baseline"/>
    </w:pPr>
    <w:rPr>
      <w:rFonts w:ascii="Times New Roman" w:eastAsia="Calibri"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glavje">
    <w:name w:val="Poglavje"/>
    <w:basedOn w:val="Normal"/>
    <w:qFormat/>
    <w:rsid w:val="006877AF"/>
    <w:pPr>
      <w:suppressAutoHyphens/>
      <w:spacing w:before="360" w:after="60" w:line="200" w:lineRule="exact"/>
      <w:jc w:val="center"/>
      <w:outlineLvl w:val="3"/>
    </w:pPr>
    <w:rPr>
      <w:rFonts w:ascii="Arial" w:hAnsi="Arial" w:cs="Arial"/>
      <w:b/>
      <w:sz w:val="22"/>
      <w:szCs w:val="22"/>
      <w:lang w:eastAsia="sl-SI"/>
    </w:rPr>
  </w:style>
  <w:style w:type="paragraph" w:styleId="Footer">
    <w:name w:val="footer"/>
    <w:basedOn w:val="Normal"/>
    <w:link w:val="FooterChar"/>
    <w:uiPriority w:val="99"/>
    <w:rsid w:val="006877AF"/>
    <w:pPr>
      <w:tabs>
        <w:tab w:val="center" w:pos="4536"/>
        <w:tab w:val="right" w:pos="9072"/>
      </w:tabs>
    </w:pPr>
  </w:style>
  <w:style w:type="character" w:customStyle="1" w:styleId="FooterChar">
    <w:name w:val="Footer Char"/>
    <w:basedOn w:val="DefaultParagraphFont"/>
    <w:link w:val="Footer"/>
    <w:uiPriority w:val="99"/>
    <w:rsid w:val="006877AF"/>
    <w:rPr>
      <w:rFonts w:ascii="Times New Roman" w:eastAsia="Calibri" w:hAnsi="Times New Roman" w:cs="Times New Roman"/>
      <w:sz w:val="24"/>
      <w:szCs w:val="20"/>
    </w:rPr>
  </w:style>
  <w:style w:type="paragraph" w:styleId="ListParagraph">
    <w:name w:val="List Paragraph"/>
    <w:basedOn w:val="Normal"/>
    <w:link w:val="ListParagraphChar"/>
    <w:uiPriority w:val="34"/>
    <w:qFormat/>
    <w:rsid w:val="006877AF"/>
    <w:pPr>
      <w:overflowPunct/>
      <w:autoSpaceDE/>
      <w:autoSpaceDN/>
      <w:adjustRightInd/>
      <w:ind w:left="708"/>
      <w:jc w:val="left"/>
      <w:textAlignment w:val="auto"/>
    </w:pPr>
    <w:rPr>
      <w:sz w:val="20"/>
      <w:lang w:val="x-none"/>
    </w:rPr>
  </w:style>
  <w:style w:type="character" w:customStyle="1" w:styleId="ListParagraphChar">
    <w:name w:val="List Paragraph Char"/>
    <w:link w:val="ListParagraph"/>
    <w:uiPriority w:val="34"/>
    <w:locked/>
    <w:rsid w:val="006877AF"/>
    <w:rPr>
      <w:rFonts w:ascii="Times New Roman" w:eastAsia="Calibri" w:hAnsi="Times New Roman" w:cs="Times New Roman"/>
      <w:sz w:val="20"/>
      <w:szCs w:val="20"/>
      <w:lang w:val="x-none"/>
    </w:rPr>
  </w:style>
  <w:style w:type="paragraph" w:styleId="NormalWeb">
    <w:name w:val="Normal (Web)"/>
    <w:basedOn w:val="Normal"/>
    <w:uiPriority w:val="99"/>
    <w:rsid w:val="006877AF"/>
    <w:rPr>
      <w:szCs w:val="24"/>
    </w:rPr>
  </w:style>
  <w:style w:type="character" w:styleId="FootnoteReference">
    <w:name w:val="footnote reference"/>
    <w:aliases w:val="Fussnota,Footnote symbol,Footnote reference number,Times 10 Point,Exposant 3 Point,EN Footnote Reference,note TESI,E...,nota de rodapé,Footnote Reference_LVL6,Footnote Reference_LVL61,Footnote Reference_LVL62,Footnot,stylish,SUPER"/>
    <w:uiPriority w:val="99"/>
    <w:qFormat/>
    <w:rsid w:val="006877AF"/>
    <w:rPr>
      <w:vertAlign w:val="superscript"/>
    </w:rPr>
  </w:style>
  <w:style w:type="paragraph" w:customStyle="1" w:styleId="Default">
    <w:name w:val="Default"/>
    <w:rsid w:val="006877AF"/>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uiPriority w:val="22"/>
    <w:qFormat/>
    <w:rsid w:val="006877AF"/>
    <w:rPr>
      <w:b/>
      <w:bCs/>
    </w:rPr>
  </w:style>
  <w:style w:type="paragraph" w:styleId="BalloonText">
    <w:name w:val="Balloon Text"/>
    <w:basedOn w:val="Normal"/>
    <w:link w:val="BalloonTextChar"/>
    <w:uiPriority w:val="99"/>
    <w:semiHidden/>
    <w:unhideWhenUsed/>
    <w:rsid w:val="006877AF"/>
    <w:rPr>
      <w:rFonts w:ascii="Tahoma" w:hAnsi="Tahoma" w:cs="Tahoma"/>
      <w:sz w:val="16"/>
      <w:szCs w:val="16"/>
    </w:rPr>
  </w:style>
  <w:style w:type="character" w:customStyle="1" w:styleId="BalloonTextChar">
    <w:name w:val="Balloon Text Char"/>
    <w:basedOn w:val="DefaultParagraphFont"/>
    <w:link w:val="BalloonText"/>
    <w:uiPriority w:val="99"/>
    <w:semiHidden/>
    <w:rsid w:val="006877AF"/>
    <w:rPr>
      <w:rFonts w:ascii="Tahoma" w:eastAsia="Calibri" w:hAnsi="Tahoma" w:cs="Tahoma"/>
      <w:sz w:val="16"/>
      <w:szCs w:val="16"/>
    </w:rPr>
  </w:style>
  <w:style w:type="paragraph" w:styleId="Header">
    <w:name w:val="header"/>
    <w:basedOn w:val="Normal"/>
    <w:link w:val="HeaderChar"/>
    <w:uiPriority w:val="99"/>
    <w:unhideWhenUsed/>
    <w:rsid w:val="006877AF"/>
    <w:pPr>
      <w:tabs>
        <w:tab w:val="center" w:pos="4536"/>
        <w:tab w:val="right" w:pos="9072"/>
      </w:tabs>
    </w:pPr>
  </w:style>
  <w:style w:type="character" w:customStyle="1" w:styleId="HeaderChar">
    <w:name w:val="Header Char"/>
    <w:basedOn w:val="DefaultParagraphFont"/>
    <w:link w:val="Header"/>
    <w:uiPriority w:val="99"/>
    <w:rsid w:val="006877AF"/>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2017-11-24T08:34:00Z</dcterms:created>
  <dcterms:modified xsi:type="dcterms:W3CDTF">2017-11-24T08:36:00Z</dcterms:modified>
</cp:coreProperties>
</file>