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drawings/drawing2.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3.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201A" w:rsidRPr="00BB6E3B" w:rsidRDefault="000C201A" w:rsidP="000C201A">
      <w:pPr>
        <w:spacing w:after="0"/>
        <w:jc w:val="center"/>
        <w:rPr>
          <w:rFonts w:cs="Arial"/>
          <w:b/>
          <w:color w:val="0D0D0D" w:themeColor="text1" w:themeTint="F2"/>
          <w:sz w:val="28"/>
          <w:szCs w:val="28"/>
        </w:rPr>
      </w:pPr>
      <w:bookmarkStart w:id="0" w:name="_GoBack"/>
      <w:bookmarkEnd w:id="0"/>
    </w:p>
    <w:p w:rsidR="000C201A" w:rsidRPr="00BB6E3B" w:rsidRDefault="000C201A" w:rsidP="000C201A">
      <w:pPr>
        <w:rPr>
          <w:rFonts w:cs="Arial"/>
          <w:color w:val="0D0D0D" w:themeColor="text1" w:themeTint="F2"/>
        </w:rPr>
      </w:pPr>
    </w:p>
    <w:p w:rsidR="000C201A" w:rsidRPr="00BB6E3B" w:rsidRDefault="000C201A" w:rsidP="000C201A">
      <w:pPr>
        <w:spacing w:line="264" w:lineRule="auto"/>
        <w:jc w:val="center"/>
        <w:rPr>
          <w:rFonts w:cs="Arial"/>
          <w:color w:val="0D0D0D" w:themeColor="text1" w:themeTint="F2"/>
        </w:rPr>
      </w:pPr>
    </w:p>
    <w:p w:rsidR="000C201A" w:rsidRPr="00BB6E3B" w:rsidRDefault="000C201A" w:rsidP="000C201A">
      <w:pPr>
        <w:pStyle w:val="besedilo"/>
        <w:jc w:val="center"/>
        <w:rPr>
          <w:rStyle w:val="vstavekChar"/>
          <w:rFonts w:cs="Arial"/>
          <w:noProof w:val="0"/>
          <w:color w:val="0D0D0D" w:themeColor="text1" w:themeTint="F2"/>
          <w:sz w:val="28"/>
          <w:szCs w:val="28"/>
        </w:rPr>
      </w:pPr>
    </w:p>
    <w:p w:rsidR="000C201A" w:rsidRPr="00BB6E3B" w:rsidRDefault="000C201A" w:rsidP="000C201A">
      <w:pPr>
        <w:pStyle w:val="besedilo"/>
        <w:jc w:val="center"/>
        <w:rPr>
          <w:rStyle w:val="vstavekChar"/>
          <w:rFonts w:cs="Arial"/>
          <w:noProof w:val="0"/>
          <w:color w:val="0D0D0D" w:themeColor="text1" w:themeTint="F2"/>
          <w:sz w:val="28"/>
          <w:szCs w:val="28"/>
        </w:rPr>
      </w:pPr>
    </w:p>
    <w:tbl>
      <w:tblPr>
        <w:tblpPr w:leftFromText="141" w:rightFromText="141" w:vertAnchor="page" w:horzAnchor="margin" w:tblpY="4501"/>
        <w:tblW w:w="5000" w:type="pct"/>
        <w:tblLook w:val="04A0" w:firstRow="1" w:lastRow="0" w:firstColumn="1" w:lastColumn="0" w:noHBand="0" w:noVBand="1"/>
      </w:tblPr>
      <w:tblGrid>
        <w:gridCol w:w="9514"/>
      </w:tblGrid>
      <w:tr w:rsidR="00146BB8" w:rsidRPr="00F1683A" w:rsidTr="00825319">
        <w:trPr>
          <w:trHeight w:val="2880"/>
        </w:trPr>
        <w:tc>
          <w:tcPr>
            <w:tcW w:w="5000" w:type="pct"/>
          </w:tcPr>
          <w:p w:rsidR="00146BB8" w:rsidRDefault="00146BB8" w:rsidP="00825319">
            <w:pPr>
              <w:pStyle w:val="NoSpacing"/>
              <w:jc w:val="center"/>
              <w:rPr>
                <w:rFonts w:asciiTheme="majorHAnsi" w:eastAsiaTheme="majorEastAsia" w:hAnsiTheme="majorHAnsi" w:cstheme="majorBidi"/>
                <w:caps/>
              </w:rPr>
            </w:pPr>
          </w:p>
          <w:p w:rsidR="00146BB8" w:rsidRPr="00F1683A" w:rsidRDefault="00146BB8" w:rsidP="00825319">
            <w:pPr>
              <w:tabs>
                <w:tab w:val="left" w:pos="3690"/>
              </w:tabs>
            </w:pPr>
          </w:p>
        </w:tc>
      </w:tr>
      <w:tr w:rsidR="00146BB8" w:rsidTr="00825319">
        <w:trPr>
          <w:trHeight w:val="2223"/>
        </w:trPr>
        <w:sdt>
          <w:sdtPr>
            <w:rPr>
              <w:rFonts w:asciiTheme="majorHAnsi" w:eastAsiaTheme="majorEastAsia" w:hAnsiTheme="majorHAnsi" w:cstheme="majorBidi"/>
              <w:b/>
              <w:i/>
              <w:noProof/>
              <w:color w:val="1F497D" w:themeColor="text2"/>
              <w:sz w:val="80"/>
              <w:szCs w:val="80"/>
            </w:rPr>
            <w:alias w:val="Naslov"/>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146BB8" w:rsidRDefault="00146BB8" w:rsidP="00146BB8">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color w:val="1F497D" w:themeColor="text2"/>
                    <w:sz w:val="80"/>
                    <w:szCs w:val="80"/>
                  </w:rPr>
                  <w:t>Program stabilnosti</w:t>
                </w:r>
              </w:p>
            </w:tc>
          </w:sdtContent>
        </w:sdt>
      </w:tr>
      <w:tr w:rsidR="00146BB8" w:rsidRPr="00A64710" w:rsidTr="00825319">
        <w:trPr>
          <w:trHeight w:val="1409"/>
        </w:trPr>
        <w:sdt>
          <w:sdtPr>
            <w:rPr>
              <w:rFonts w:asciiTheme="majorHAnsi" w:eastAsiaTheme="majorEastAsia" w:hAnsiTheme="majorHAnsi" w:cstheme="majorBidi"/>
              <w:sz w:val="52"/>
              <w:szCs w:val="52"/>
            </w:rPr>
            <w:alias w:val="Podnaslov"/>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146BB8" w:rsidRPr="00A64710" w:rsidRDefault="00146BB8" w:rsidP="00146BB8">
                <w:pPr>
                  <w:pStyle w:val="NoSpacing"/>
                  <w:jc w:val="center"/>
                  <w:rPr>
                    <w:rFonts w:asciiTheme="majorHAnsi" w:eastAsiaTheme="majorEastAsia" w:hAnsiTheme="majorHAnsi" w:cstheme="majorBidi"/>
                    <w:sz w:val="52"/>
                    <w:szCs w:val="52"/>
                  </w:rPr>
                </w:pPr>
                <w:r>
                  <w:rPr>
                    <w:rFonts w:asciiTheme="majorHAnsi" w:eastAsiaTheme="majorEastAsia" w:hAnsiTheme="majorHAnsi" w:cstheme="majorBidi"/>
                    <w:sz w:val="52"/>
                    <w:szCs w:val="52"/>
                  </w:rPr>
                  <w:t>2019</w:t>
                </w:r>
              </w:p>
            </w:tc>
          </w:sdtContent>
        </w:sdt>
      </w:tr>
      <w:tr w:rsidR="00146BB8" w:rsidTr="00825319">
        <w:trPr>
          <w:trHeight w:val="360"/>
        </w:trPr>
        <w:tc>
          <w:tcPr>
            <w:tcW w:w="5000" w:type="pct"/>
            <w:vAlign w:val="center"/>
          </w:tcPr>
          <w:p w:rsidR="00146BB8" w:rsidRDefault="00146BB8" w:rsidP="00825319">
            <w:pPr>
              <w:pStyle w:val="NoSpacing"/>
              <w:jc w:val="center"/>
            </w:pPr>
          </w:p>
        </w:tc>
      </w:tr>
      <w:tr w:rsidR="00146BB8" w:rsidRPr="001C267A" w:rsidTr="00825319">
        <w:trPr>
          <w:trHeight w:val="360"/>
        </w:trPr>
        <w:tc>
          <w:tcPr>
            <w:tcW w:w="5000" w:type="pct"/>
            <w:vAlign w:val="center"/>
          </w:tcPr>
          <w:p w:rsidR="00146BB8" w:rsidRDefault="00146BB8" w:rsidP="00825319">
            <w:pPr>
              <w:pStyle w:val="NoSpacing"/>
              <w:jc w:val="center"/>
              <w:rPr>
                <w:b/>
                <w:bCs/>
              </w:rPr>
            </w:pPr>
          </w:p>
          <w:p w:rsidR="00146BB8" w:rsidRDefault="00146BB8" w:rsidP="00825319">
            <w:pPr>
              <w:pStyle w:val="NoSpacing"/>
              <w:jc w:val="center"/>
              <w:rPr>
                <w:b/>
                <w:bCs/>
              </w:rPr>
            </w:pPr>
          </w:p>
          <w:p w:rsidR="00612961" w:rsidRDefault="00612961" w:rsidP="00825319">
            <w:pPr>
              <w:pStyle w:val="NoSpacing"/>
              <w:jc w:val="center"/>
              <w:rPr>
                <w:b/>
                <w:bCs/>
              </w:rPr>
            </w:pPr>
          </w:p>
          <w:p w:rsidR="00612961" w:rsidRDefault="00612961" w:rsidP="00825319">
            <w:pPr>
              <w:pStyle w:val="NoSpacing"/>
              <w:jc w:val="center"/>
              <w:rPr>
                <w:b/>
                <w:bCs/>
              </w:rPr>
            </w:pPr>
          </w:p>
          <w:p w:rsidR="00612961" w:rsidRDefault="00612961" w:rsidP="00825319">
            <w:pPr>
              <w:pStyle w:val="NoSpacing"/>
              <w:jc w:val="center"/>
              <w:rPr>
                <w:b/>
                <w:bCs/>
              </w:rPr>
            </w:pPr>
          </w:p>
          <w:p w:rsidR="00146BB8" w:rsidRDefault="00146BB8" w:rsidP="00825319">
            <w:pPr>
              <w:pStyle w:val="NoSpacing"/>
              <w:jc w:val="center"/>
              <w:rPr>
                <w:b/>
                <w:bCs/>
              </w:rPr>
            </w:pPr>
          </w:p>
          <w:p w:rsidR="00146BB8" w:rsidRPr="001C267A" w:rsidRDefault="00146BB8" w:rsidP="00825319">
            <w:pPr>
              <w:pStyle w:val="NoSpacing"/>
              <w:jc w:val="center"/>
              <w:rPr>
                <w:rFonts w:asciiTheme="majorHAnsi" w:hAnsiTheme="majorHAnsi"/>
                <w:bCs/>
                <w:sz w:val="28"/>
                <w:szCs w:val="28"/>
              </w:rPr>
            </w:pPr>
            <w:r w:rsidRPr="001C267A">
              <w:rPr>
                <w:rFonts w:asciiTheme="majorHAnsi" w:hAnsiTheme="majorHAnsi"/>
                <w:bCs/>
                <w:sz w:val="28"/>
                <w:szCs w:val="28"/>
              </w:rPr>
              <w:t>April 2019</w:t>
            </w:r>
          </w:p>
        </w:tc>
      </w:tr>
    </w:tbl>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spacing w:line="264" w:lineRule="auto"/>
        <w:jc w:val="center"/>
        <w:rPr>
          <w:rFonts w:cs="Arial"/>
          <w:color w:val="0D0D0D" w:themeColor="text1" w:themeTint="F2"/>
          <w:sz w:val="24"/>
        </w:rPr>
      </w:pPr>
    </w:p>
    <w:p w:rsidR="000C201A" w:rsidRPr="00BB6E3B" w:rsidRDefault="000C201A" w:rsidP="000C201A">
      <w:pPr>
        <w:pStyle w:val="besedilo"/>
        <w:jc w:val="center"/>
        <w:rPr>
          <w:rStyle w:val="IntenseEmphasis"/>
          <w:rFonts w:cs="Arial"/>
          <w:color w:val="0D0D0D" w:themeColor="text1" w:themeTint="F2"/>
          <w:sz w:val="28"/>
          <w:szCs w:val="28"/>
        </w:rPr>
      </w:pPr>
    </w:p>
    <w:p w:rsidR="004115F8" w:rsidRDefault="004115F8" w:rsidP="000C201A">
      <w:pPr>
        <w:spacing w:line="264" w:lineRule="auto"/>
        <w:jc w:val="center"/>
        <w:rPr>
          <w:rStyle w:val="IntenseEmphasis"/>
          <w:rFonts w:cs="Arial"/>
          <w:color w:val="0D0D0D" w:themeColor="text1" w:themeTint="F2"/>
          <w:sz w:val="24"/>
          <w:szCs w:val="24"/>
        </w:rPr>
      </w:pPr>
    </w:p>
    <w:sdt>
      <w:sdtPr>
        <w:rPr>
          <w:rFonts w:ascii="Arial" w:eastAsiaTheme="minorHAnsi" w:hAnsi="Arial" w:cs="Arial"/>
          <w:b w:val="0"/>
          <w:bCs w:val="0"/>
          <w:i/>
          <w:iCs/>
          <w:color w:val="0D0D0D" w:themeColor="text1" w:themeTint="F2"/>
          <w:sz w:val="22"/>
          <w:szCs w:val="22"/>
          <w:lang w:eastAsia="en-US"/>
        </w:rPr>
        <w:id w:val="-1300600994"/>
        <w:docPartObj>
          <w:docPartGallery w:val="Table of Contents"/>
          <w:docPartUnique/>
        </w:docPartObj>
      </w:sdtPr>
      <w:sdtEndPr>
        <w:rPr>
          <w:rFonts w:cstheme="minorBidi"/>
        </w:rPr>
      </w:sdtEndPr>
      <w:sdtContent>
        <w:p w:rsidR="006D5B8D" w:rsidRPr="00BB6E3B" w:rsidRDefault="006D5B8D" w:rsidP="00560E1A">
          <w:pPr>
            <w:pStyle w:val="TOCHeading"/>
            <w:spacing w:line="23" w:lineRule="atLeast"/>
            <w:rPr>
              <w:rFonts w:ascii="Arial" w:hAnsi="Arial" w:cs="Arial"/>
              <w:color w:val="0D0D0D" w:themeColor="text1" w:themeTint="F2"/>
              <w:sz w:val="22"/>
              <w:szCs w:val="22"/>
            </w:rPr>
          </w:pPr>
          <w:r w:rsidRPr="00BB6E3B">
            <w:rPr>
              <w:rFonts w:ascii="Arial" w:hAnsi="Arial" w:cs="Arial"/>
              <w:color w:val="0D0D0D" w:themeColor="text1" w:themeTint="F2"/>
              <w:sz w:val="22"/>
              <w:szCs w:val="22"/>
            </w:rPr>
            <w:t>Kazalo vsebine</w:t>
          </w:r>
        </w:p>
        <w:p w:rsidR="006D5B8D" w:rsidRPr="00BB6E3B" w:rsidRDefault="006D5B8D" w:rsidP="00560E1A">
          <w:pPr>
            <w:spacing w:line="23" w:lineRule="atLeast"/>
            <w:rPr>
              <w:rFonts w:cs="Arial"/>
              <w:color w:val="0D0D0D" w:themeColor="text1" w:themeTint="F2"/>
              <w:lang w:eastAsia="sl-SI"/>
            </w:rPr>
          </w:pPr>
        </w:p>
        <w:p w:rsidR="006C32E3" w:rsidRPr="00BB6E3B" w:rsidRDefault="006D5B8D" w:rsidP="006C32E3">
          <w:pPr>
            <w:pStyle w:val="TOC1"/>
            <w:rPr>
              <w:rFonts w:asciiTheme="minorHAnsi" w:eastAsiaTheme="minorEastAsia" w:hAnsiTheme="minorHAnsi"/>
              <w:noProof/>
              <w:color w:val="0D0D0D" w:themeColor="text1" w:themeTint="F2"/>
              <w:lang w:eastAsia="sl-SI"/>
            </w:rPr>
          </w:pPr>
          <w:r w:rsidRPr="00BB6E3B">
            <w:rPr>
              <w:rFonts w:cs="Arial"/>
              <w:color w:val="0D0D0D" w:themeColor="text1" w:themeTint="F2"/>
            </w:rPr>
            <w:fldChar w:fldCharType="begin"/>
          </w:r>
          <w:r w:rsidRPr="00BB6E3B">
            <w:rPr>
              <w:rFonts w:cs="Arial"/>
              <w:color w:val="0D0D0D" w:themeColor="text1" w:themeTint="F2"/>
            </w:rPr>
            <w:instrText xml:space="preserve"> TOC \o "1-3" \h \z \u </w:instrText>
          </w:r>
          <w:r w:rsidRPr="00BB6E3B">
            <w:rPr>
              <w:rFonts w:cs="Arial"/>
              <w:color w:val="0D0D0D" w:themeColor="text1" w:themeTint="F2"/>
            </w:rPr>
            <w:fldChar w:fldCharType="separate"/>
          </w:r>
          <w:hyperlink w:anchor="_Toc6923642" w:history="1">
            <w:r w:rsidR="006C32E3" w:rsidRPr="00BB6E3B">
              <w:rPr>
                <w:rStyle w:val="Hyperlink"/>
                <w:noProof/>
                <w:color w:val="0D0D0D" w:themeColor="text1" w:themeTint="F2"/>
              </w:rPr>
              <w:t>1.</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UVOD in SPLOŠNA EKONOMSKA STRATEGIJA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_Toc6923642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w:t>
            </w:r>
            <w:r w:rsidR="006C32E3" w:rsidRPr="00BB6E3B">
              <w:rPr>
                <w:noProof/>
                <w:webHidden/>
                <w:color w:val="0D0D0D" w:themeColor="text1" w:themeTint="F2"/>
              </w:rPr>
              <w:fldChar w:fldCharType="end"/>
            </w:r>
          </w:hyperlink>
        </w:p>
        <w:p w:rsidR="006C32E3" w:rsidRPr="00BB6E3B" w:rsidRDefault="00996B6B" w:rsidP="006C32E3">
          <w:pPr>
            <w:pStyle w:val="TOC1"/>
            <w:rPr>
              <w:rFonts w:asciiTheme="minorHAnsi" w:eastAsiaTheme="minorEastAsia" w:hAnsiTheme="minorHAnsi"/>
              <w:noProof/>
              <w:color w:val="0D0D0D" w:themeColor="text1" w:themeTint="F2"/>
              <w:lang w:eastAsia="sl-SI"/>
            </w:rPr>
          </w:pPr>
          <w:hyperlink w:anchor="_Toc6923643" w:history="1">
            <w:r w:rsidR="006C32E3" w:rsidRPr="00BB6E3B">
              <w:rPr>
                <w:rStyle w:val="Hyperlink"/>
                <w:noProof/>
                <w:color w:val="0D0D0D" w:themeColor="text1" w:themeTint="F2"/>
              </w:rPr>
              <w:t>2.</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MAKROEKONOMSKI PREGLED</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_Toc6923643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6</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44" w:history="1">
            <w:r w:rsidR="006C32E3" w:rsidRPr="00BB6E3B">
              <w:rPr>
                <w:rStyle w:val="Hyperlink"/>
                <w:noProof/>
                <w:color w:val="0D0D0D" w:themeColor="text1" w:themeTint="F2"/>
              </w:rPr>
              <w:t>2.1.</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Makroekonomska gibanja 2018–2019</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_Toc6923644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6</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45" w:history="1">
            <w:r w:rsidR="006C32E3" w:rsidRPr="00BB6E3B">
              <w:rPr>
                <w:rStyle w:val="Hyperlink"/>
                <w:noProof/>
                <w:color w:val="0D0D0D" w:themeColor="text1" w:themeTint="F2"/>
              </w:rPr>
              <w:t>2.2.</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Srednjeročna napoved 2020–2022</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_Toc6923645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11</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46" w:history="1">
            <w:r w:rsidR="006C32E3" w:rsidRPr="00BB6E3B">
              <w:rPr>
                <w:rStyle w:val="Hyperlink"/>
                <w:noProof/>
                <w:color w:val="0D0D0D" w:themeColor="text1" w:themeTint="F2"/>
              </w:rPr>
              <w:t>2.3.</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Položaj v ciklu</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_Toc6923646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14</w:t>
            </w:r>
            <w:r w:rsidR="006C32E3" w:rsidRPr="00BB6E3B">
              <w:rPr>
                <w:noProof/>
                <w:webHidden/>
                <w:color w:val="0D0D0D" w:themeColor="text1" w:themeTint="F2"/>
              </w:rPr>
              <w:fldChar w:fldCharType="end"/>
            </w:r>
          </w:hyperlink>
        </w:p>
        <w:p w:rsidR="006C32E3" w:rsidRPr="00BB6E3B" w:rsidRDefault="00996B6B" w:rsidP="006C32E3">
          <w:pPr>
            <w:pStyle w:val="TOC1"/>
            <w:rPr>
              <w:rFonts w:asciiTheme="minorHAnsi" w:eastAsiaTheme="minorEastAsia" w:hAnsiTheme="minorHAnsi"/>
              <w:noProof/>
              <w:color w:val="0D0D0D" w:themeColor="text1" w:themeTint="F2"/>
              <w:lang w:eastAsia="sl-SI"/>
            </w:rPr>
          </w:pPr>
          <w:hyperlink w:anchor="_Toc6923647" w:history="1">
            <w:r w:rsidR="006C32E3" w:rsidRPr="00BB6E3B">
              <w:rPr>
                <w:rStyle w:val="Hyperlink"/>
                <w:noProof/>
                <w:color w:val="0D0D0D" w:themeColor="text1" w:themeTint="F2"/>
              </w:rPr>
              <w:t>3.</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EKONOMSKA IN FISKALNA POLITIKA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_Toc6923647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17</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48" w:history="1">
            <w:r w:rsidR="006C32E3" w:rsidRPr="00BB6E3B">
              <w:rPr>
                <w:rStyle w:val="Hyperlink"/>
                <w:noProof/>
                <w:color w:val="0D0D0D" w:themeColor="text1" w:themeTint="F2"/>
              </w:rPr>
              <w:t>3.1.</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Fiskalni obeti 2018 in 2019</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_Toc6923648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18</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49" w:history="1">
            <w:r w:rsidR="006C32E3" w:rsidRPr="00BB6E3B">
              <w:rPr>
                <w:rStyle w:val="Hyperlink"/>
                <w:noProof/>
                <w:color w:val="0D0D0D" w:themeColor="text1" w:themeTint="F2"/>
              </w:rPr>
              <w:t>3.2.</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Srednjeročna uravnoteženost sektorja država, izpolnjevanje srednjeročnega cilja v letih 2020–2022</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_Toc6923649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20</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50" w:history="1">
            <w:r w:rsidR="006C32E3" w:rsidRPr="00BB6E3B">
              <w:rPr>
                <w:rStyle w:val="Hyperlink"/>
                <w:noProof/>
                <w:color w:val="0D0D0D" w:themeColor="text1" w:themeTint="F2"/>
              </w:rPr>
              <w:t>3.3.</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Prihodki sektorja država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_Toc6923650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25</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51" w:history="1">
            <w:r w:rsidR="006C32E3" w:rsidRPr="00BB6E3B">
              <w:rPr>
                <w:rStyle w:val="Hyperlink"/>
                <w:noProof/>
                <w:color w:val="0D0D0D" w:themeColor="text1" w:themeTint="F2"/>
              </w:rPr>
              <w:t>3.4.</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Izdatki sektorja država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_Toc6923651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26</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52" w:history="1">
            <w:r w:rsidR="006C32E3" w:rsidRPr="00BB6E3B">
              <w:rPr>
                <w:rStyle w:val="Hyperlink"/>
                <w:noProof/>
                <w:color w:val="0D0D0D" w:themeColor="text1" w:themeTint="F2"/>
              </w:rPr>
              <w:t>3.5.</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Primerjava ekonomskih in proračunskih napovedi s Programom stabilnosti 2018</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_Toc6923652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30</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53" w:history="1">
            <w:r w:rsidR="006C32E3" w:rsidRPr="00BB6E3B">
              <w:rPr>
                <w:rStyle w:val="Hyperlink"/>
                <w:noProof/>
                <w:color w:val="0D0D0D" w:themeColor="text1" w:themeTint="F2"/>
              </w:rPr>
              <w:t>3.6.</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Dolg sektorja država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_Toc6923653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32</w:t>
            </w:r>
            <w:r w:rsidR="006C32E3" w:rsidRPr="00BB6E3B">
              <w:rPr>
                <w:noProof/>
                <w:webHidden/>
                <w:color w:val="0D0D0D" w:themeColor="text1" w:themeTint="F2"/>
              </w:rPr>
              <w:fldChar w:fldCharType="end"/>
            </w:r>
          </w:hyperlink>
        </w:p>
        <w:p w:rsidR="006C32E3" w:rsidRPr="00BB6E3B" w:rsidRDefault="00996B6B" w:rsidP="006C32E3">
          <w:pPr>
            <w:pStyle w:val="TOC1"/>
            <w:rPr>
              <w:rFonts w:asciiTheme="minorHAnsi" w:eastAsiaTheme="minorEastAsia" w:hAnsiTheme="minorHAnsi"/>
              <w:noProof/>
              <w:color w:val="0D0D0D" w:themeColor="text1" w:themeTint="F2"/>
              <w:lang w:eastAsia="sl-SI"/>
            </w:rPr>
          </w:pPr>
          <w:hyperlink w:anchor="_Toc6923654" w:history="1">
            <w:r w:rsidR="006C32E3" w:rsidRPr="00BB6E3B">
              <w:rPr>
                <w:rStyle w:val="Hyperlink"/>
                <w:noProof/>
                <w:color w:val="0D0D0D" w:themeColor="text1" w:themeTint="F2"/>
              </w:rPr>
              <w:t>4.</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FISKALNA TVEGANJA IN ANALIZA OBČUTLJIVOSTI</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_Toc6923654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36</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59" w:history="1">
            <w:r w:rsidR="006C32E3" w:rsidRPr="00BB6E3B">
              <w:rPr>
                <w:rStyle w:val="Hyperlink"/>
                <w:noProof/>
                <w:color w:val="0D0D0D" w:themeColor="text1" w:themeTint="F2"/>
              </w:rPr>
              <w:t>4.1.</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Tveganja za fiskalno napoved</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_Toc6923659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36</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61" w:history="1">
            <w:r w:rsidR="006C32E3" w:rsidRPr="00BB6E3B">
              <w:rPr>
                <w:rStyle w:val="Hyperlink"/>
                <w:noProof/>
                <w:color w:val="0D0D0D" w:themeColor="text1" w:themeTint="F2"/>
              </w:rPr>
              <w:t>4.2.</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Analiza občutljivosti salda sektorja država na spremembe BDP</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_Toc6923661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38</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62" w:history="1">
            <w:r w:rsidR="006C32E3" w:rsidRPr="00BB6E3B">
              <w:rPr>
                <w:rStyle w:val="Hyperlink"/>
                <w:noProof/>
                <w:color w:val="0D0D0D" w:themeColor="text1" w:themeTint="F2"/>
              </w:rPr>
              <w:t>4.3.</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Analiza občutljivosti dolga</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_Toc6923662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39</w:t>
            </w:r>
            <w:r w:rsidR="006C32E3" w:rsidRPr="00BB6E3B">
              <w:rPr>
                <w:noProof/>
                <w:webHidden/>
                <w:color w:val="0D0D0D" w:themeColor="text1" w:themeTint="F2"/>
              </w:rPr>
              <w:fldChar w:fldCharType="end"/>
            </w:r>
          </w:hyperlink>
        </w:p>
        <w:p w:rsidR="006C32E3" w:rsidRPr="00BB6E3B" w:rsidRDefault="00996B6B">
          <w:pPr>
            <w:pStyle w:val="TOC2"/>
            <w:rPr>
              <w:rFonts w:asciiTheme="minorHAnsi" w:eastAsiaTheme="minorEastAsia" w:hAnsiTheme="minorHAnsi"/>
              <w:noProof/>
              <w:color w:val="0D0D0D" w:themeColor="text1" w:themeTint="F2"/>
              <w:lang w:eastAsia="sl-SI"/>
            </w:rPr>
          </w:pPr>
          <w:hyperlink w:anchor="_Toc6923663" w:history="1">
            <w:r w:rsidR="006C32E3" w:rsidRPr="00BB6E3B">
              <w:rPr>
                <w:rStyle w:val="Hyperlink"/>
                <w:noProof/>
                <w:color w:val="0D0D0D" w:themeColor="text1" w:themeTint="F2"/>
              </w:rPr>
              <w:t>4.4.</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Dolgoročna vzdržnost javnih financ</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_Toc6923663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40</w:t>
            </w:r>
            <w:r w:rsidR="006C32E3" w:rsidRPr="00BB6E3B">
              <w:rPr>
                <w:noProof/>
                <w:webHidden/>
                <w:color w:val="0D0D0D" w:themeColor="text1" w:themeTint="F2"/>
              </w:rPr>
              <w:fldChar w:fldCharType="end"/>
            </w:r>
          </w:hyperlink>
        </w:p>
        <w:p w:rsidR="006C32E3" w:rsidRPr="00BB6E3B" w:rsidRDefault="00996B6B" w:rsidP="006C32E3">
          <w:pPr>
            <w:pStyle w:val="TOC1"/>
            <w:rPr>
              <w:rFonts w:asciiTheme="minorHAnsi" w:eastAsiaTheme="minorEastAsia" w:hAnsiTheme="minorHAnsi"/>
              <w:noProof/>
              <w:color w:val="0D0D0D" w:themeColor="text1" w:themeTint="F2"/>
              <w:lang w:eastAsia="sl-SI"/>
            </w:rPr>
          </w:pPr>
          <w:hyperlink w:anchor="_Toc6923664" w:history="1">
            <w:r w:rsidR="006C32E3" w:rsidRPr="00BB6E3B">
              <w:rPr>
                <w:rStyle w:val="Hyperlink"/>
                <w:noProof/>
                <w:color w:val="0D0D0D" w:themeColor="text1" w:themeTint="F2"/>
              </w:rPr>
              <w:t>5.</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KVALITETA JAVNIH FINANC in VPLIV STRUKTURNIH REFORM</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_Toc6923664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42</w:t>
            </w:r>
            <w:r w:rsidR="006C32E3" w:rsidRPr="00BB6E3B">
              <w:rPr>
                <w:noProof/>
                <w:webHidden/>
                <w:color w:val="0D0D0D" w:themeColor="text1" w:themeTint="F2"/>
              </w:rPr>
              <w:fldChar w:fldCharType="end"/>
            </w:r>
          </w:hyperlink>
        </w:p>
        <w:p w:rsidR="006C32E3" w:rsidRPr="00BB6E3B" w:rsidRDefault="00996B6B" w:rsidP="006C32E3">
          <w:pPr>
            <w:pStyle w:val="TOC1"/>
            <w:rPr>
              <w:rFonts w:asciiTheme="minorHAnsi" w:eastAsiaTheme="minorEastAsia" w:hAnsiTheme="minorHAnsi"/>
              <w:noProof/>
              <w:color w:val="0D0D0D" w:themeColor="text1" w:themeTint="F2"/>
              <w:lang w:eastAsia="sl-SI"/>
            </w:rPr>
          </w:pPr>
          <w:hyperlink w:anchor="_Toc6923665" w:history="1">
            <w:r w:rsidR="006C32E3" w:rsidRPr="00BB6E3B">
              <w:rPr>
                <w:rStyle w:val="Hyperlink"/>
                <w:noProof/>
                <w:color w:val="0D0D0D" w:themeColor="text1" w:themeTint="F2"/>
              </w:rPr>
              <w:t>6.</w:t>
            </w:r>
            <w:r w:rsidR="006C32E3" w:rsidRPr="00BB6E3B">
              <w:rPr>
                <w:rFonts w:asciiTheme="minorHAnsi" w:eastAsiaTheme="minorEastAsia" w:hAnsiTheme="minorHAnsi"/>
                <w:noProof/>
                <w:color w:val="0D0D0D" w:themeColor="text1" w:themeTint="F2"/>
                <w:lang w:eastAsia="sl-SI"/>
              </w:rPr>
              <w:tab/>
            </w:r>
            <w:r w:rsidR="006C32E3" w:rsidRPr="00BB6E3B">
              <w:rPr>
                <w:rStyle w:val="Hyperlink"/>
                <w:noProof/>
                <w:color w:val="0D0D0D" w:themeColor="text1" w:themeTint="F2"/>
              </w:rPr>
              <w:t>PRILOGE</w:t>
            </w:r>
            <w:r w:rsidR="006C32E3" w:rsidRPr="00BB6E3B">
              <w:rPr>
                <w:noProof/>
                <w:webHidden/>
                <w:color w:val="0D0D0D" w:themeColor="text1" w:themeTint="F2"/>
              </w:rPr>
              <w:tab/>
            </w:r>
            <w:r w:rsidR="006C32E3" w:rsidRPr="00BB6E3B">
              <w:rPr>
                <w:noProof/>
                <w:webHidden/>
                <w:color w:val="0D0D0D" w:themeColor="text1" w:themeTint="F2"/>
              </w:rPr>
              <w:fldChar w:fldCharType="begin"/>
            </w:r>
            <w:r w:rsidR="006C32E3" w:rsidRPr="00BB6E3B">
              <w:rPr>
                <w:noProof/>
                <w:webHidden/>
                <w:color w:val="0D0D0D" w:themeColor="text1" w:themeTint="F2"/>
              </w:rPr>
              <w:instrText xml:space="preserve"> PAGEREF _Toc6923665 \h </w:instrText>
            </w:r>
            <w:r w:rsidR="006C32E3" w:rsidRPr="00BB6E3B">
              <w:rPr>
                <w:noProof/>
                <w:webHidden/>
                <w:color w:val="0D0D0D" w:themeColor="text1" w:themeTint="F2"/>
              </w:rPr>
            </w:r>
            <w:r w:rsidR="006C32E3" w:rsidRPr="00BB6E3B">
              <w:rPr>
                <w:noProof/>
                <w:webHidden/>
                <w:color w:val="0D0D0D" w:themeColor="text1" w:themeTint="F2"/>
              </w:rPr>
              <w:fldChar w:fldCharType="separate"/>
            </w:r>
            <w:r w:rsidR="000D3F26">
              <w:rPr>
                <w:noProof/>
                <w:webHidden/>
                <w:color w:val="0D0D0D" w:themeColor="text1" w:themeTint="F2"/>
              </w:rPr>
              <w:t>44</w:t>
            </w:r>
            <w:r w:rsidR="006C32E3" w:rsidRPr="00BB6E3B">
              <w:rPr>
                <w:noProof/>
                <w:webHidden/>
                <w:color w:val="0D0D0D" w:themeColor="text1" w:themeTint="F2"/>
              </w:rPr>
              <w:fldChar w:fldCharType="end"/>
            </w:r>
          </w:hyperlink>
        </w:p>
        <w:p w:rsidR="006D5B8D" w:rsidRPr="00BB6E3B" w:rsidRDefault="006D5B8D" w:rsidP="006C32E3">
          <w:pPr>
            <w:pStyle w:val="TOC1"/>
            <w:rPr>
              <w:rFonts w:eastAsiaTheme="minorEastAsia"/>
              <w:color w:val="0D0D0D" w:themeColor="text1" w:themeTint="F2"/>
            </w:rPr>
          </w:pPr>
          <w:r w:rsidRPr="00BB6E3B">
            <w:rPr>
              <w:b/>
              <w:bCs/>
              <w:color w:val="0D0D0D" w:themeColor="text1" w:themeTint="F2"/>
            </w:rPr>
            <w:fldChar w:fldCharType="end"/>
          </w:r>
        </w:p>
      </w:sdtContent>
    </w:sdt>
    <w:p w:rsidR="00964E40" w:rsidRPr="00BB6E3B" w:rsidRDefault="006D5B8D" w:rsidP="00613F6F">
      <w:pPr>
        <w:pStyle w:val="Heading1"/>
        <w:rPr>
          <w:color w:val="0D0D0D" w:themeColor="text1" w:themeTint="F2"/>
        </w:rPr>
      </w:pPr>
      <w:r w:rsidRPr="00BB6E3B">
        <w:rPr>
          <w:color w:val="0D0D0D" w:themeColor="text1" w:themeTint="F2"/>
        </w:rPr>
        <w:br w:type="page"/>
      </w:r>
      <w:bookmarkStart w:id="1" w:name="_Toc6923642"/>
      <w:r w:rsidR="002E3C2D" w:rsidRPr="00BB6E3B">
        <w:rPr>
          <w:color w:val="0D0D0D" w:themeColor="text1" w:themeTint="F2"/>
        </w:rPr>
        <w:lastRenderedPageBreak/>
        <w:t xml:space="preserve">UVOD </w:t>
      </w:r>
      <w:r w:rsidR="00613F6F" w:rsidRPr="00BB6E3B">
        <w:rPr>
          <w:color w:val="0D0D0D" w:themeColor="text1" w:themeTint="F2"/>
        </w:rPr>
        <w:t>in SPLOŠNA EKONOMSKA STRATEGIJA</w:t>
      </w:r>
      <w:bookmarkEnd w:id="1"/>
    </w:p>
    <w:p w:rsidR="00964E40" w:rsidRPr="00BB6E3B" w:rsidRDefault="00964E40" w:rsidP="00483477">
      <w:pPr>
        <w:spacing w:after="0"/>
        <w:rPr>
          <w:rFonts w:cs="Arial"/>
          <w:i/>
          <w:color w:val="0D0D0D" w:themeColor="text1" w:themeTint="F2"/>
        </w:rPr>
      </w:pPr>
    </w:p>
    <w:p w:rsidR="00F74606" w:rsidRPr="00BB6E3B" w:rsidRDefault="00D46325" w:rsidP="003259EE">
      <w:pPr>
        <w:spacing w:after="0" w:line="276" w:lineRule="auto"/>
        <w:rPr>
          <w:rFonts w:cs="Arial"/>
          <w:i/>
          <w:color w:val="0D0D0D" w:themeColor="text1" w:themeTint="F2"/>
        </w:rPr>
      </w:pPr>
      <w:r w:rsidRPr="00BB6E3B">
        <w:rPr>
          <w:rFonts w:cs="Arial"/>
          <w:i/>
          <w:color w:val="0D0D0D" w:themeColor="text1" w:themeTint="F2"/>
        </w:rPr>
        <w:t>Status Programa stabilnosti (PS)</w:t>
      </w:r>
    </w:p>
    <w:p w:rsidR="00876A2D" w:rsidRPr="00BB6E3B" w:rsidRDefault="00876A2D" w:rsidP="00847208">
      <w:pPr>
        <w:pStyle w:val="Default"/>
        <w:spacing w:line="276" w:lineRule="auto"/>
        <w:jc w:val="both"/>
        <w:rPr>
          <w:rFonts w:ascii="Arial" w:hAnsi="Arial" w:cs="Arial"/>
          <w:color w:val="0D0D0D" w:themeColor="text1" w:themeTint="F2"/>
        </w:rPr>
      </w:pPr>
    </w:p>
    <w:p w:rsidR="006C2015" w:rsidRPr="00BB6E3B" w:rsidRDefault="00D46325"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Progam stabilnosti za leto 201</w:t>
      </w:r>
      <w:r w:rsidR="00AA4D3D" w:rsidRPr="00BB6E3B">
        <w:rPr>
          <w:rFonts w:ascii="Arial" w:hAnsi="Arial" w:cs="Arial"/>
          <w:color w:val="0D0D0D" w:themeColor="text1" w:themeTint="F2"/>
          <w:sz w:val="22"/>
          <w:szCs w:val="22"/>
        </w:rPr>
        <w:t>9</w:t>
      </w:r>
      <w:r w:rsidRPr="00BB6E3B">
        <w:rPr>
          <w:rFonts w:ascii="Arial" w:hAnsi="Arial" w:cs="Arial"/>
          <w:color w:val="0D0D0D" w:themeColor="text1" w:themeTint="F2"/>
          <w:sz w:val="22"/>
          <w:szCs w:val="22"/>
        </w:rPr>
        <w:t xml:space="preserve"> </w:t>
      </w:r>
      <w:r w:rsidR="00640631" w:rsidRPr="00BB6E3B">
        <w:rPr>
          <w:rFonts w:ascii="Arial" w:hAnsi="Arial" w:cs="Arial"/>
          <w:color w:val="0D0D0D" w:themeColor="text1" w:themeTint="F2"/>
          <w:sz w:val="22"/>
          <w:szCs w:val="22"/>
        </w:rPr>
        <w:t>(osnutek z dne 8.</w:t>
      </w:r>
      <w:r w:rsidR="009940AD" w:rsidRPr="00BB6E3B">
        <w:rPr>
          <w:rFonts w:ascii="Arial" w:hAnsi="Arial" w:cs="Arial"/>
          <w:color w:val="0D0D0D" w:themeColor="text1" w:themeTint="F2"/>
          <w:sz w:val="22"/>
          <w:szCs w:val="22"/>
        </w:rPr>
        <w:t> </w:t>
      </w:r>
      <w:r w:rsidR="00640631" w:rsidRPr="00BB6E3B">
        <w:rPr>
          <w:rFonts w:ascii="Arial" w:hAnsi="Arial" w:cs="Arial"/>
          <w:color w:val="0D0D0D" w:themeColor="text1" w:themeTint="F2"/>
          <w:sz w:val="22"/>
          <w:szCs w:val="22"/>
        </w:rPr>
        <w:t>4.</w:t>
      </w:r>
      <w:r w:rsidR="009940AD" w:rsidRPr="00BB6E3B">
        <w:rPr>
          <w:rFonts w:ascii="Arial" w:hAnsi="Arial" w:cs="Arial"/>
          <w:color w:val="0D0D0D" w:themeColor="text1" w:themeTint="F2"/>
          <w:sz w:val="22"/>
          <w:szCs w:val="22"/>
        </w:rPr>
        <w:t> </w:t>
      </w:r>
      <w:r w:rsidR="00640631" w:rsidRPr="00BB6E3B">
        <w:rPr>
          <w:rFonts w:ascii="Arial" w:hAnsi="Arial" w:cs="Arial"/>
          <w:color w:val="0D0D0D" w:themeColor="text1" w:themeTint="F2"/>
          <w:sz w:val="22"/>
          <w:szCs w:val="22"/>
        </w:rPr>
        <w:t xml:space="preserve">2019) </w:t>
      </w:r>
      <w:r w:rsidRPr="00BB6E3B">
        <w:rPr>
          <w:rFonts w:ascii="Arial" w:hAnsi="Arial" w:cs="Arial"/>
          <w:color w:val="0D0D0D" w:themeColor="text1" w:themeTint="F2"/>
          <w:sz w:val="22"/>
          <w:szCs w:val="22"/>
        </w:rPr>
        <w:t xml:space="preserve">je pripravljen </w:t>
      </w:r>
      <w:r w:rsidR="00AA4D3D" w:rsidRPr="00BB6E3B">
        <w:rPr>
          <w:rFonts w:ascii="Arial" w:hAnsi="Arial" w:cs="Arial"/>
          <w:color w:val="0D0D0D" w:themeColor="text1" w:themeTint="F2"/>
          <w:sz w:val="22"/>
          <w:szCs w:val="22"/>
        </w:rPr>
        <w:t>i</w:t>
      </w:r>
      <w:r w:rsidR="00640631" w:rsidRPr="00BB6E3B">
        <w:rPr>
          <w:rFonts w:ascii="Arial" w:hAnsi="Arial" w:cs="Arial"/>
          <w:color w:val="0D0D0D" w:themeColor="text1" w:themeTint="F2"/>
          <w:sz w:val="22"/>
          <w:szCs w:val="22"/>
        </w:rPr>
        <w:t>sto</w:t>
      </w:r>
      <w:r w:rsidR="00AA4D3D" w:rsidRPr="00BB6E3B">
        <w:rPr>
          <w:rFonts w:ascii="Arial" w:hAnsi="Arial" w:cs="Arial"/>
          <w:color w:val="0D0D0D" w:themeColor="text1" w:themeTint="F2"/>
          <w:sz w:val="22"/>
          <w:szCs w:val="22"/>
        </w:rPr>
        <w:t>časno kot</w:t>
      </w:r>
      <w:r w:rsidRPr="00BB6E3B">
        <w:rPr>
          <w:rFonts w:ascii="Arial" w:hAnsi="Arial" w:cs="Arial"/>
          <w:color w:val="0D0D0D" w:themeColor="text1" w:themeTint="F2"/>
          <w:sz w:val="22"/>
          <w:szCs w:val="22"/>
        </w:rPr>
        <w:t xml:space="preserve"> </w:t>
      </w:r>
      <w:r w:rsidR="00AA4D3D" w:rsidRPr="00BB6E3B">
        <w:rPr>
          <w:rFonts w:ascii="Arial" w:hAnsi="Arial" w:cs="Arial"/>
          <w:color w:val="0D0D0D" w:themeColor="text1" w:themeTint="F2"/>
          <w:sz w:val="22"/>
          <w:szCs w:val="22"/>
        </w:rPr>
        <w:t>Odlok</w:t>
      </w:r>
      <w:r w:rsidR="003C435C" w:rsidRPr="00BB6E3B">
        <w:rPr>
          <w:rFonts w:ascii="Arial" w:hAnsi="Arial" w:cs="Arial"/>
          <w:color w:val="0D0D0D" w:themeColor="text1" w:themeTint="F2"/>
          <w:sz w:val="22"/>
          <w:szCs w:val="22"/>
        </w:rPr>
        <w:t xml:space="preserve"> </w:t>
      </w:r>
      <w:r w:rsidRPr="00BB6E3B">
        <w:rPr>
          <w:rFonts w:ascii="Arial" w:hAnsi="Arial" w:cs="Arial"/>
          <w:color w:val="0D0D0D" w:themeColor="text1" w:themeTint="F2"/>
          <w:sz w:val="22"/>
          <w:szCs w:val="22"/>
        </w:rPr>
        <w:t>o okviru z</w:t>
      </w:r>
      <w:r w:rsidR="00712B0D" w:rsidRPr="00BB6E3B">
        <w:rPr>
          <w:rFonts w:ascii="Arial" w:hAnsi="Arial" w:cs="Arial"/>
          <w:color w:val="0D0D0D" w:themeColor="text1" w:themeTint="F2"/>
          <w:sz w:val="22"/>
          <w:szCs w:val="22"/>
        </w:rPr>
        <w:t xml:space="preserve">a pripravo proračunov </w:t>
      </w:r>
      <w:r w:rsidR="00AA4D3D" w:rsidRPr="00BB6E3B">
        <w:rPr>
          <w:rFonts w:ascii="Arial" w:hAnsi="Arial" w:cs="Arial"/>
          <w:color w:val="0D0D0D" w:themeColor="text1" w:themeTint="F2"/>
          <w:sz w:val="22"/>
          <w:szCs w:val="22"/>
        </w:rPr>
        <w:t>2020</w:t>
      </w:r>
      <w:r w:rsidR="001C284E" w:rsidRPr="00BB6E3B">
        <w:rPr>
          <w:rFonts w:ascii="Arial" w:hAnsi="Arial" w:cs="Arial"/>
          <w:color w:val="0D0D0D" w:themeColor="text1" w:themeTint="F2"/>
          <w:sz w:val="22"/>
          <w:szCs w:val="22"/>
        </w:rPr>
        <w:t>–</w:t>
      </w:r>
      <w:r w:rsidR="00AA4D3D" w:rsidRPr="00BB6E3B">
        <w:rPr>
          <w:rFonts w:ascii="Arial" w:hAnsi="Arial" w:cs="Arial"/>
          <w:color w:val="0D0D0D" w:themeColor="text1" w:themeTint="F2"/>
          <w:sz w:val="22"/>
          <w:szCs w:val="22"/>
        </w:rPr>
        <w:t>2022</w:t>
      </w:r>
      <w:r w:rsidR="007F156E" w:rsidRPr="00BB6E3B">
        <w:rPr>
          <w:rFonts w:ascii="Arial" w:hAnsi="Arial" w:cs="Arial"/>
          <w:color w:val="0D0D0D" w:themeColor="text1" w:themeTint="F2"/>
          <w:sz w:val="22"/>
          <w:szCs w:val="22"/>
        </w:rPr>
        <w:t xml:space="preserve"> (v nadaljnjem besedilu</w:t>
      </w:r>
      <w:r w:rsidR="009940AD" w:rsidRPr="00BB6E3B">
        <w:rPr>
          <w:rFonts w:ascii="Arial" w:hAnsi="Arial" w:cs="Arial"/>
          <w:color w:val="0D0D0D" w:themeColor="text1" w:themeTint="F2"/>
          <w:sz w:val="22"/>
          <w:szCs w:val="22"/>
        </w:rPr>
        <w:t>:</w:t>
      </w:r>
      <w:r w:rsidR="007F156E" w:rsidRPr="00BB6E3B">
        <w:rPr>
          <w:rFonts w:ascii="Arial" w:hAnsi="Arial" w:cs="Arial"/>
          <w:color w:val="0D0D0D" w:themeColor="text1" w:themeTint="F2"/>
          <w:sz w:val="22"/>
          <w:szCs w:val="22"/>
        </w:rPr>
        <w:t xml:space="preserve"> Okvir)</w:t>
      </w:r>
      <w:r w:rsidR="00AA4D3D" w:rsidRPr="00BB6E3B">
        <w:rPr>
          <w:rFonts w:ascii="Arial" w:hAnsi="Arial" w:cs="Arial"/>
          <w:color w:val="0D0D0D" w:themeColor="text1" w:themeTint="F2"/>
          <w:sz w:val="22"/>
          <w:szCs w:val="22"/>
        </w:rPr>
        <w:t xml:space="preserve">, kar je </w:t>
      </w:r>
      <w:r w:rsidRPr="00BB6E3B">
        <w:rPr>
          <w:rFonts w:ascii="Arial" w:hAnsi="Arial" w:cs="Arial"/>
          <w:color w:val="0D0D0D" w:themeColor="text1" w:themeTint="F2"/>
          <w:sz w:val="22"/>
          <w:szCs w:val="22"/>
        </w:rPr>
        <w:t>skladno z Zakonom o fiskalnem pravilu</w:t>
      </w:r>
      <w:r w:rsidR="00C3530F" w:rsidRPr="00BB6E3B">
        <w:rPr>
          <w:rFonts w:ascii="Arial" w:hAnsi="Arial" w:cs="Arial"/>
          <w:color w:val="0D0D0D" w:themeColor="text1" w:themeTint="F2"/>
          <w:sz w:val="22"/>
          <w:szCs w:val="22"/>
        </w:rPr>
        <w:t xml:space="preserve"> (v nadaljnjem besedilu</w:t>
      </w:r>
      <w:r w:rsidR="009940AD" w:rsidRPr="00BB6E3B">
        <w:rPr>
          <w:rFonts w:ascii="Arial" w:hAnsi="Arial" w:cs="Arial"/>
          <w:color w:val="0D0D0D" w:themeColor="text1" w:themeTint="F2"/>
          <w:sz w:val="22"/>
          <w:szCs w:val="22"/>
        </w:rPr>
        <w:t>:</w:t>
      </w:r>
      <w:r w:rsidR="00C3530F" w:rsidRPr="00BB6E3B">
        <w:rPr>
          <w:rFonts w:ascii="Arial" w:hAnsi="Arial" w:cs="Arial"/>
          <w:color w:val="0D0D0D" w:themeColor="text1" w:themeTint="F2"/>
          <w:sz w:val="22"/>
          <w:szCs w:val="22"/>
        </w:rPr>
        <w:t xml:space="preserve"> ZFisP)</w:t>
      </w:r>
      <w:r w:rsidRPr="00BB6E3B">
        <w:rPr>
          <w:rFonts w:ascii="Arial" w:hAnsi="Arial" w:cs="Arial"/>
          <w:color w:val="0D0D0D" w:themeColor="text1" w:themeTint="F2"/>
          <w:sz w:val="22"/>
          <w:szCs w:val="22"/>
        </w:rPr>
        <w:t>. Okvir v skladu z zakonom določa ciljni saldo in najvišji možni obseg izdatkov sektorja država za posamezno proračunsko leto ter ciljne salde in najvišji možni obseg izdatkov posamezne blagajne javnega financiranja za naslednja tri leta, torej za leta 20</w:t>
      </w:r>
      <w:r w:rsidR="00AA4D3D" w:rsidRPr="00BB6E3B">
        <w:rPr>
          <w:rFonts w:ascii="Arial" w:hAnsi="Arial" w:cs="Arial"/>
          <w:color w:val="0D0D0D" w:themeColor="text1" w:themeTint="F2"/>
          <w:sz w:val="22"/>
          <w:szCs w:val="22"/>
        </w:rPr>
        <w:t>20, 2021 in 2022</w:t>
      </w:r>
      <w:r w:rsidRPr="00BB6E3B">
        <w:rPr>
          <w:rFonts w:ascii="Arial" w:hAnsi="Arial" w:cs="Arial"/>
          <w:color w:val="0D0D0D" w:themeColor="text1" w:themeTint="F2"/>
          <w:sz w:val="22"/>
          <w:szCs w:val="22"/>
        </w:rPr>
        <w:t>. O</w:t>
      </w:r>
      <w:r w:rsidR="00AA4D3D" w:rsidRPr="00BB6E3B">
        <w:rPr>
          <w:rFonts w:ascii="Arial" w:hAnsi="Arial" w:cs="Arial"/>
          <w:color w:val="0D0D0D" w:themeColor="text1" w:themeTint="F2"/>
          <w:sz w:val="22"/>
          <w:szCs w:val="22"/>
        </w:rPr>
        <w:t xml:space="preserve">kvir </w:t>
      </w:r>
      <w:r w:rsidR="00640631" w:rsidRPr="00BB6E3B">
        <w:rPr>
          <w:rFonts w:ascii="Arial" w:hAnsi="Arial" w:cs="Arial"/>
          <w:color w:val="0D0D0D" w:themeColor="text1" w:themeTint="F2"/>
          <w:sz w:val="22"/>
          <w:szCs w:val="22"/>
        </w:rPr>
        <w:t>za pripravo proračunov 2020</w:t>
      </w:r>
      <w:r w:rsidR="001C284E" w:rsidRPr="00BB6E3B">
        <w:rPr>
          <w:rFonts w:ascii="Arial" w:hAnsi="Arial" w:cs="Arial"/>
          <w:color w:val="0D0D0D" w:themeColor="text1" w:themeTint="F2"/>
          <w:sz w:val="22"/>
          <w:szCs w:val="22"/>
        </w:rPr>
        <w:t>–</w:t>
      </w:r>
      <w:r w:rsidR="00640631" w:rsidRPr="00BB6E3B">
        <w:rPr>
          <w:rFonts w:ascii="Arial" w:hAnsi="Arial" w:cs="Arial"/>
          <w:color w:val="0D0D0D" w:themeColor="text1" w:themeTint="F2"/>
          <w:sz w:val="22"/>
          <w:szCs w:val="22"/>
        </w:rPr>
        <w:t xml:space="preserve">2022 </w:t>
      </w:r>
      <w:r w:rsidR="00AA4D3D" w:rsidRPr="00BB6E3B">
        <w:rPr>
          <w:rFonts w:ascii="Arial" w:hAnsi="Arial" w:cs="Arial"/>
          <w:color w:val="0D0D0D" w:themeColor="text1" w:themeTint="F2"/>
          <w:sz w:val="22"/>
          <w:szCs w:val="22"/>
        </w:rPr>
        <w:t xml:space="preserve">je </w:t>
      </w:r>
      <w:r w:rsidR="00640631" w:rsidRPr="00BB6E3B">
        <w:rPr>
          <w:rFonts w:ascii="Arial" w:hAnsi="Arial" w:cs="Arial"/>
          <w:color w:val="0D0D0D" w:themeColor="text1" w:themeTint="F2"/>
          <w:sz w:val="22"/>
          <w:szCs w:val="22"/>
        </w:rPr>
        <w:t>srednjeročni načrt fiskalnih projekcij Vlade RS, ki</w:t>
      </w:r>
      <w:r w:rsidRPr="00BB6E3B">
        <w:rPr>
          <w:rFonts w:ascii="Arial" w:hAnsi="Arial" w:cs="Arial"/>
          <w:color w:val="0D0D0D" w:themeColor="text1" w:themeTint="F2"/>
          <w:sz w:val="22"/>
          <w:szCs w:val="22"/>
        </w:rPr>
        <w:t xml:space="preserve"> </w:t>
      </w:r>
      <w:r w:rsidR="00640631" w:rsidRPr="00BB6E3B">
        <w:rPr>
          <w:rFonts w:ascii="Arial" w:hAnsi="Arial" w:cs="Arial"/>
          <w:color w:val="0D0D0D" w:themeColor="text1" w:themeTint="F2"/>
          <w:sz w:val="22"/>
          <w:szCs w:val="22"/>
        </w:rPr>
        <w:t xml:space="preserve">ima za izhodišče </w:t>
      </w:r>
      <w:r w:rsidRPr="00BB6E3B">
        <w:rPr>
          <w:rFonts w:ascii="Arial" w:hAnsi="Arial" w:cs="Arial"/>
          <w:color w:val="0D0D0D" w:themeColor="text1" w:themeTint="F2"/>
          <w:sz w:val="22"/>
          <w:szCs w:val="22"/>
        </w:rPr>
        <w:t>Pomladans</w:t>
      </w:r>
      <w:r w:rsidR="00C3530F" w:rsidRPr="00BB6E3B">
        <w:rPr>
          <w:rFonts w:ascii="Arial" w:hAnsi="Arial" w:cs="Arial"/>
          <w:color w:val="0D0D0D" w:themeColor="text1" w:themeTint="F2"/>
          <w:sz w:val="22"/>
          <w:szCs w:val="22"/>
        </w:rPr>
        <w:t>k</w:t>
      </w:r>
      <w:r w:rsidR="00640631" w:rsidRPr="00BB6E3B">
        <w:rPr>
          <w:rFonts w:ascii="Arial" w:hAnsi="Arial" w:cs="Arial"/>
          <w:color w:val="0D0D0D" w:themeColor="text1" w:themeTint="F2"/>
          <w:sz w:val="22"/>
          <w:szCs w:val="22"/>
        </w:rPr>
        <w:t>o</w:t>
      </w:r>
      <w:r w:rsidR="00C3530F" w:rsidRPr="00BB6E3B">
        <w:rPr>
          <w:rFonts w:ascii="Arial" w:hAnsi="Arial" w:cs="Arial"/>
          <w:color w:val="0D0D0D" w:themeColor="text1" w:themeTint="F2"/>
          <w:sz w:val="22"/>
          <w:szCs w:val="22"/>
        </w:rPr>
        <w:t xml:space="preserve"> napoved gospodarskih gibanj </w:t>
      </w:r>
      <w:r w:rsidRPr="00BB6E3B">
        <w:rPr>
          <w:rFonts w:ascii="Arial" w:hAnsi="Arial" w:cs="Arial"/>
          <w:color w:val="0D0D0D" w:themeColor="text1" w:themeTint="F2"/>
          <w:sz w:val="22"/>
          <w:szCs w:val="22"/>
        </w:rPr>
        <w:t>201</w:t>
      </w:r>
      <w:r w:rsidR="00640631" w:rsidRPr="00BB6E3B">
        <w:rPr>
          <w:rFonts w:ascii="Arial" w:hAnsi="Arial" w:cs="Arial"/>
          <w:color w:val="0D0D0D" w:themeColor="text1" w:themeTint="F2"/>
          <w:sz w:val="22"/>
          <w:szCs w:val="22"/>
        </w:rPr>
        <w:t>9</w:t>
      </w:r>
      <w:r w:rsidR="007F156E" w:rsidRPr="00BB6E3B">
        <w:rPr>
          <w:rFonts w:ascii="Arial" w:hAnsi="Arial" w:cs="Arial"/>
          <w:color w:val="0D0D0D" w:themeColor="text1" w:themeTint="F2"/>
          <w:sz w:val="22"/>
          <w:szCs w:val="22"/>
        </w:rPr>
        <w:t xml:space="preserve"> (UMAR, marec 2019)</w:t>
      </w:r>
      <w:r w:rsidR="00B718F0" w:rsidRPr="00BB6E3B">
        <w:rPr>
          <w:rFonts w:ascii="Arial" w:hAnsi="Arial" w:cs="Arial"/>
          <w:color w:val="0D0D0D" w:themeColor="text1" w:themeTint="F2"/>
          <w:sz w:val="22"/>
          <w:szCs w:val="22"/>
        </w:rPr>
        <w:t>,</w:t>
      </w:r>
      <w:r w:rsidR="0079109F" w:rsidRPr="00BB6E3B">
        <w:rPr>
          <w:rFonts w:ascii="Arial" w:hAnsi="Arial" w:cs="Arial"/>
          <w:color w:val="0D0D0D" w:themeColor="text1" w:themeTint="F2"/>
          <w:sz w:val="22"/>
          <w:szCs w:val="22"/>
        </w:rPr>
        <w:t xml:space="preserve"> </w:t>
      </w:r>
      <w:r w:rsidR="00640631" w:rsidRPr="00BB6E3B">
        <w:rPr>
          <w:rFonts w:ascii="Arial" w:hAnsi="Arial" w:cs="Arial"/>
          <w:color w:val="0D0D0D" w:themeColor="text1" w:themeTint="F2"/>
          <w:sz w:val="22"/>
          <w:szCs w:val="22"/>
        </w:rPr>
        <w:t>oceno realizacije posameznih blagajn</w:t>
      </w:r>
      <w:r w:rsidR="00B718F0" w:rsidRPr="00BB6E3B">
        <w:rPr>
          <w:rFonts w:ascii="Arial" w:hAnsi="Arial" w:cs="Arial"/>
          <w:color w:val="0D0D0D" w:themeColor="text1" w:themeTint="F2"/>
          <w:sz w:val="22"/>
          <w:szCs w:val="22"/>
        </w:rPr>
        <w:t xml:space="preserve"> in </w:t>
      </w:r>
      <w:r w:rsidR="00640631" w:rsidRPr="00BB6E3B">
        <w:rPr>
          <w:rFonts w:ascii="Arial" w:hAnsi="Arial" w:cs="Arial"/>
          <w:color w:val="0D0D0D" w:themeColor="text1" w:themeTint="F2"/>
          <w:sz w:val="22"/>
          <w:szCs w:val="22"/>
        </w:rPr>
        <w:t xml:space="preserve">enot v sektorju država v tekočem letu kot tudi predvidene </w:t>
      </w:r>
      <w:r w:rsidR="006C2015" w:rsidRPr="00BB6E3B">
        <w:rPr>
          <w:rFonts w:ascii="Arial" w:hAnsi="Arial" w:cs="Arial"/>
          <w:color w:val="0D0D0D" w:themeColor="text1" w:themeTint="F2"/>
          <w:sz w:val="22"/>
          <w:szCs w:val="22"/>
        </w:rPr>
        <w:t xml:space="preserve">ukrepe, </w:t>
      </w:r>
      <w:r w:rsidR="00640631" w:rsidRPr="00BB6E3B">
        <w:rPr>
          <w:rFonts w:ascii="Arial" w:hAnsi="Arial" w:cs="Arial"/>
          <w:color w:val="0D0D0D" w:themeColor="text1" w:themeTint="F2"/>
          <w:sz w:val="22"/>
          <w:szCs w:val="22"/>
        </w:rPr>
        <w:t>ki se praviloma sprejemajo z zakoni, z namenom doseganja srednjeročnega cilja</w:t>
      </w:r>
      <w:r w:rsidR="007F156E" w:rsidRPr="00BB6E3B">
        <w:rPr>
          <w:rFonts w:ascii="Arial" w:hAnsi="Arial" w:cs="Arial"/>
          <w:color w:val="0D0D0D" w:themeColor="text1" w:themeTint="F2"/>
          <w:sz w:val="22"/>
          <w:szCs w:val="22"/>
        </w:rPr>
        <w:t xml:space="preserve"> javnih financ</w:t>
      </w:r>
      <w:r w:rsidR="00640631" w:rsidRPr="00BB6E3B">
        <w:rPr>
          <w:rFonts w:ascii="Arial" w:hAnsi="Arial" w:cs="Arial"/>
          <w:color w:val="0D0D0D" w:themeColor="text1" w:themeTint="F2"/>
          <w:sz w:val="22"/>
          <w:szCs w:val="22"/>
        </w:rPr>
        <w:t>.</w:t>
      </w:r>
    </w:p>
    <w:p w:rsidR="00D46325" w:rsidRPr="00BB6E3B" w:rsidRDefault="00D46325" w:rsidP="00847208">
      <w:pPr>
        <w:spacing w:after="0" w:line="276" w:lineRule="auto"/>
        <w:rPr>
          <w:rFonts w:cs="Arial"/>
          <w:color w:val="0D0D0D" w:themeColor="text1" w:themeTint="F2"/>
        </w:rPr>
      </w:pPr>
    </w:p>
    <w:p w:rsidR="00D46325" w:rsidRPr="00BB6E3B" w:rsidRDefault="00D46325" w:rsidP="00847208">
      <w:pPr>
        <w:spacing w:after="0" w:line="276" w:lineRule="auto"/>
        <w:rPr>
          <w:rFonts w:cs="Arial"/>
          <w:i/>
          <w:color w:val="0D0D0D" w:themeColor="text1" w:themeTint="F2"/>
        </w:rPr>
      </w:pPr>
      <w:r w:rsidRPr="00BB6E3B">
        <w:rPr>
          <w:rFonts w:cs="Arial"/>
          <w:i/>
          <w:color w:val="0D0D0D" w:themeColor="text1" w:themeTint="F2"/>
        </w:rPr>
        <w:t xml:space="preserve">Povezava na </w:t>
      </w:r>
      <w:r w:rsidR="00AA4D3D" w:rsidRPr="00BB6E3B">
        <w:rPr>
          <w:rFonts w:cs="Arial"/>
          <w:i/>
          <w:color w:val="0D0D0D" w:themeColor="text1" w:themeTint="F2"/>
        </w:rPr>
        <w:t>Pakt stabilnosti in rasti (SGP)</w:t>
      </w:r>
      <w:r w:rsidR="004514AC" w:rsidRPr="00BB6E3B">
        <w:rPr>
          <w:rFonts w:cs="Arial"/>
          <w:i/>
          <w:color w:val="0D0D0D" w:themeColor="text1" w:themeTint="F2"/>
        </w:rPr>
        <w:t xml:space="preserve"> in Zakon o fiskalnem pravilu</w:t>
      </w:r>
    </w:p>
    <w:p w:rsidR="007E711C" w:rsidRPr="00BB6E3B" w:rsidRDefault="007E711C" w:rsidP="00847208">
      <w:pPr>
        <w:spacing w:after="0" w:line="276" w:lineRule="auto"/>
        <w:rPr>
          <w:rFonts w:cs="Arial"/>
          <w:i/>
          <w:color w:val="0D0D0D" w:themeColor="text1" w:themeTint="F2"/>
        </w:rPr>
      </w:pPr>
    </w:p>
    <w:p w:rsidR="007F156E" w:rsidRPr="00BB6E3B" w:rsidRDefault="0079109F"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Program stabilnosti mora predstaviti večletni makroekonomski in fiskalni okvir, ključne fiskalne projekcije, njihove komponente kot tudi kvantificiranje javnofinančnih ciljev</w:t>
      </w:r>
      <w:r w:rsidR="00876A2D" w:rsidRPr="00BB6E3B">
        <w:rPr>
          <w:rFonts w:ascii="Arial" w:hAnsi="Arial" w:cs="Arial"/>
          <w:color w:val="0D0D0D" w:themeColor="text1" w:themeTint="F2"/>
          <w:sz w:val="22"/>
          <w:szCs w:val="22"/>
        </w:rPr>
        <w:t xml:space="preserve"> </w:t>
      </w:r>
      <w:r w:rsidR="00640631" w:rsidRPr="00BB6E3B">
        <w:rPr>
          <w:rFonts w:ascii="Arial" w:hAnsi="Arial" w:cs="Arial"/>
          <w:color w:val="0D0D0D" w:themeColor="text1" w:themeTint="F2"/>
          <w:sz w:val="22"/>
          <w:szCs w:val="22"/>
        </w:rPr>
        <w:t xml:space="preserve">skladno z zahtevami </w:t>
      </w:r>
      <w:r w:rsidR="009940AD" w:rsidRPr="00BB6E3B">
        <w:rPr>
          <w:rFonts w:ascii="Arial" w:hAnsi="Arial" w:cs="Arial"/>
          <w:color w:val="0D0D0D" w:themeColor="text1" w:themeTint="F2"/>
          <w:sz w:val="22"/>
          <w:szCs w:val="22"/>
        </w:rPr>
        <w:t>r</w:t>
      </w:r>
      <w:r w:rsidR="00640631" w:rsidRPr="00BB6E3B">
        <w:rPr>
          <w:rFonts w:ascii="Arial" w:hAnsi="Arial" w:cs="Arial"/>
          <w:color w:val="0D0D0D" w:themeColor="text1" w:themeTint="F2"/>
          <w:sz w:val="22"/>
          <w:szCs w:val="22"/>
        </w:rPr>
        <w:t>egulative Evropske komisije 1466/97</w:t>
      </w:r>
      <w:r w:rsidR="00B718F0" w:rsidRPr="00BB6E3B">
        <w:rPr>
          <w:rFonts w:ascii="Arial" w:hAnsi="Arial" w:cs="Arial"/>
          <w:color w:val="0D0D0D" w:themeColor="text1" w:themeTint="F2"/>
          <w:sz w:val="22"/>
          <w:szCs w:val="22"/>
        </w:rPr>
        <w:t xml:space="preserve"> (</w:t>
      </w:r>
      <w:r w:rsidR="00215550" w:rsidRPr="00BB6E3B">
        <w:rPr>
          <w:rFonts w:ascii="Arial" w:hAnsi="Arial" w:cs="Arial"/>
          <w:color w:val="0D0D0D" w:themeColor="text1" w:themeTint="F2"/>
          <w:sz w:val="22"/>
          <w:szCs w:val="22"/>
        </w:rPr>
        <w:t>v nadaljnjem besedilu</w:t>
      </w:r>
      <w:r w:rsidR="009940AD" w:rsidRPr="00BB6E3B">
        <w:rPr>
          <w:rFonts w:ascii="Arial" w:hAnsi="Arial" w:cs="Arial"/>
          <w:color w:val="0D0D0D" w:themeColor="text1" w:themeTint="F2"/>
          <w:sz w:val="22"/>
          <w:szCs w:val="22"/>
        </w:rPr>
        <w:t>:</w:t>
      </w:r>
      <w:r w:rsidR="00215550" w:rsidRPr="00BB6E3B">
        <w:rPr>
          <w:rFonts w:ascii="Arial" w:hAnsi="Arial" w:cs="Arial"/>
          <w:color w:val="0D0D0D" w:themeColor="text1" w:themeTint="F2"/>
          <w:sz w:val="22"/>
          <w:szCs w:val="22"/>
        </w:rPr>
        <w:t xml:space="preserve"> </w:t>
      </w:r>
      <w:r w:rsidR="003346B8" w:rsidRPr="00BB6E3B">
        <w:rPr>
          <w:rFonts w:ascii="Arial" w:hAnsi="Arial" w:cs="Arial"/>
          <w:color w:val="0D0D0D" w:themeColor="text1" w:themeTint="F2"/>
          <w:sz w:val="22"/>
          <w:szCs w:val="22"/>
        </w:rPr>
        <w:t>r</w:t>
      </w:r>
      <w:r w:rsidR="00B718F0" w:rsidRPr="00BB6E3B">
        <w:rPr>
          <w:rFonts w:ascii="Arial" w:hAnsi="Arial" w:cs="Arial"/>
          <w:color w:val="0D0D0D" w:themeColor="text1" w:themeTint="F2"/>
          <w:sz w:val="22"/>
          <w:szCs w:val="22"/>
        </w:rPr>
        <w:t>egulativa)</w:t>
      </w:r>
      <w:r w:rsidR="00640631" w:rsidRPr="00BB6E3B">
        <w:rPr>
          <w:rFonts w:ascii="Arial" w:hAnsi="Arial" w:cs="Arial"/>
          <w:color w:val="0D0D0D" w:themeColor="text1" w:themeTint="F2"/>
          <w:sz w:val="22"/>
          <w:szCs w:val="22"/>
        </w:rPr>
        <w:t xml:space="preserve"> in Kodeksom ravnanja Pakta stabilnosti in rasti. </w:t>
      </w:r>
      <w:r w:rsidR="00BB280E" w:rsidRPr="00BB6E3B">
        <w:rPr>
          <w:rFonts w:ascii="Arial" w:hAnsi="Arial" w:cs="Arial"/>
          <w:color w:val="0D0D0D" w:themeColor="text1" w:themeTint="F2"/>
          <w:sz w:val="22"/>
          <w:szCs w:val="22"/>
        </w:rPr>
        <w:t xml:space="preserve">Skladno z </w:t>
      </w:r>
      <w:r w:rsidR="001C7DB7" w:rsidRPr="00BB6E3B">
        <w:rPr>
          <w:rFonts w:ascii="Arial" w:hAnsi="Arial" w:cs="Arial"/>
          <w:color w:val="0D0D0D" w:themeColor="text1" w:themeTint="F2"/>
          <w:sz w:val="22"/>
          <w:szCs w:val="22"/>
        </w:rPr>
        <w:t xml:space="preserve">evropskim </w:t>
      </w:r>
      <w:r w:rsidR="00C3530F" w:rsidRPr="00BB6E3B">
        <w:rPr>
          <w:rFonts w:ascii="Arial" w:hAnsi="Arial" w:cs="Arial"/>
          <w:color w:val="0D0D0D" w:themeColor="text1" w:themeTint="F2"/>
          <w:sz w:val="22"/>
          <w:szCs w:val="22"/>
        </w:rPr>
        <w:t>semestrom</w:t>
      </w:r>
      <w:r w:rsidR="00111B5D" w:rsidRPr="00BB6E3B">
        <w:rPr>
          <w:rFonts w:ascii="Arial" w:hAnsi="Arial" w:cs="Arial"/>
          <w:color w:val="0D0D0D" w:themeColor="text1" w:themeTint="F2"/>
          <w:sz w:val="22"/>
          <w:szCs w:val="22"/>
        </w:rPr>
        <w:t xml:space="preserve"> </w:t>
      </w:r>
      <w:r w:rsidR="00BB280E" w:rsidRPr="00BB6E3B">
        <w:rPr>
          <w:rFonts w:ascii="Arial" w:hAnsi="Arial" w:cs="Arial"/>
          <w:color w:val="0D0D0D" w:themeColor="text1" w:themeTint="F2"/>
          <w:sz w:val="22"/>
          <w:szCs w:val="22"/>
        </w:rPr>
        <w:t xml:space="preserve">mora </w:t>
      </w:r>
      <w:r w:rsidR="007F156E" w:rsidRPr="00BB6E3B">
        <w:rPr>
          <w:rFonts w:ascii="Arial" w:hAnsi="Arial" w:cs="Arial"/>
          <w:color w:val="0D0D0D" w:themeColor="text1" w:themeTint="F2"/>
          <w:sz w:val="22"/>
          <w:szCs w:val="22"/>
        </w:rPr>
        <w:t xml:space="preserve">Republika Slovenija </w:t>
      </w:r>
      <w:r w:rsidR="00BB280E" w:rsidRPr="00BB6E3B">
        <w:rPr>
          <w:rFonts w:ascii="Arial" w:hAnsi="Arial" w:cs="Arial"/>
          <w:color w:val="0D0D0D" w:themeColor="text1" w:themeTint="F2"/>
          <w:sz w:val="22"/>
          <w:szCs w:val="22"/>
        </w:rPr>
        <w:t xml:space="preserve">oddati Program stabilnosti do konca aprila </w:t>
      </w:r>
      <w:r w:rsidR="007F156E" w:rsidRPr="00BB6E3B">
        <w:rPr>
          <w:rFonts w:ascii="Arial" w:hAnsi="Arial" w:cs="Arial"/>
          <w:color w:val="0D0D0D" w:themeColor="text1" w:themeTint="F2"/>
          <w:sz w:val="22"/>
          <w:szCs w:val="22"/>
        </w:rPr>
        <w:t>2019</w:t>
      </w:r>
      <w:r w:rsidR="00BB280E" w:rsidRPr="00BB6E3B">
        <w:rPr>
          <w:rFonts w:ascii="Arial" w:hAnsi="Arial" w:cs="Arial"/>
          <w:color w:val="0D0D0D" w:themeColor="text1" w:themeTint="F2"/>
          <w:sz w:val="22"/>
          <w:szCs w:val="22"/>
        </w:rPr>
        <w:t xml:space="preserve"> za prihodnja </w:t>
      </w:r>
      <w:r w:rsidR="00677586" w:rsidRPr="00BB6E3B">
        <w:rPr>
          <w:rFonts w:ascii="Arial" w:hAnsi="Arial" w:cs="Arial"/>
          <w:color w:val="0D0D0D" w:themeColor="text1" w:themeTint="F2"/>
          <w:sz w:val="22"/>
          <w:szCs w:val="22"/>
        </w:rPr>
        <w:t>tri</w:t>
      </w:r>
      <w:r w:rsidR="00BB280E" w:rsidRPr="00BB6E3B">
        <w:rPr>
          <w:rFonts w:ascii="Arial" w:hAnsi="Arial" w:cs="Arial"/>
          <w:color w:val="0D0D0D" w:themeColor="text1" w:themeTint="F2"/>
          <w:sz w:val="22"/>
          <w:szCs w:val="22"/>
        </w:rPr>
        <w:t xml:space="preserve"> leta, vključno z l</w:t>
      </w:r>
      <w:r w:rsidR="00F97A33" w:rsidRPr="00BB6E3B">
        <w:rPr>
          <w:rFonts w:ascii="Arial" w:hAnsi="Arial" w:cs="Arial"/>
          <w:color w:val="0D0D0D" w:themeColor="text1" w:themeTint="F2"/>
          <w:sz w:val="22"/>
          <w:szCs w:val="22"/>
        </w:rPr>
        <w:t>etom 202</w:t>
      </w:r>
      <w:r w:rsidR="00640631" w:rsidRPr="00BB6E3B">
        <w:rPr>
          <w:rFonts w:ascii="Arial" w:hAnsi="Arial" w:cs="Arial"/>
          <w:color w:val="0D0D0D" w:themeColor="text1" w:themeTint="F2"/>
          <w:sz w:val="22"/>
          <w:szCs w:val="22"/>
        </w:rPr>
        <w:t>2</w:t>
      </w:r>
      <w:r w:rsidR="00F97A33" w:rsidRPr="00BB6E3B">
        <w:rPr>
          <w:rFonts w:ascii="Arial" w:hAnsi="Arial" w:cs="Arial"/>
          <w:color w:val="0D0D0D" w:themeColor="text1" w:themeTint="F2"/>
          <w:sz w:val="22"/>
          <w:szCs w:val="22"/>
        </w:rPr>
        <w:t xml:space="preserve">. </w:t>
      </w:r>
      <w:r w:rsidR="007F156E" w:rsidRPr="00BB6E3B">
        <w:rPr>
          <w:rFonts w:ascii="Arial" w:hAnsi="Arial" w:cs="Arial"/>
          <w:color w:val="0D0D0D" w:themeColor="text1" w:themeTint="F2"/>
          <w:sz w:val="22"/>
          <w:szCs w:val="22"/>
        </w:rPr>
        <w:t xml:space="preserve">Evropska </w:t>
      </w:r>
      <w:r w:rsidR="003346B8" w:rsidRPr="00BB6E3B">
        <w:rPr>
          <w:rFonts w:ascii="Arial" w:hAnsi="Arial" w:cs="Arial"/>
          <w:color w:val="0D0D0D" w:themeColor="text1" w:themeTint="F2"/>
          <w:sz w:val="22"/>
          <w:szCs w:val="22"/>
        </w:rPr>
        <w:t>k</w:t>
      </w:r>
      <w:r w:rsidR="007F156E" w:rsidRPr="00BB6E3B">
        <w:rPr>
          <w:rFonts w:ascii="Arial" w:hAnsi="Arial" w:cs="Arial"/>
          <w:color w:val="0D0D0D" w:themeColor="text1" w:themeTint="F2"/>
          <w:sz w:val="22"/>
          <w:szCs w:val="22"/>
        </w:rPr>
        <w:t xml:space="preserve">omisija </w:t>
      </w:r>
      <w:r w:rsidR="007E711C" w:rsidRPr="00BB6E3B">
        <w:rPr>
          <w:rFonts w:ascii="Arial" w:hAnsi="Arial" w:cs="Arial"/>
          <w:color w:val="0D0D0D" w:themeColor="text1" w:themeTint="F2"/>
          <w:sz w:val="22"/>
          <w:szCs w:val="22"/>
        </w:rPr>
        <w:t>(v nadalj</w:t>
      </w:r>
      <w:r w:rsidR="003346B8" w:rsidRPr="00BB6E3B">
        <w:rPr>
          <w:rFonts w:ascii="Arial" w:hAnsi="Arial" w:cs="Arial"/>
          <w:color w:val="0D0D0D" w:themeColor="text1" w:themeTint="F2"/>
          <w:sz w:val="22"/>
          <w:szCs w:val="22"/>
        </w:rPr>
        <w:t>njem besedilu:</w:t>
      </w:r>
      <w:r w:rsidR="007E711C" w:rsidRPr="00BB6E3B">
        <w:rPr>
          <w:rFonts w:ascii="Arial" w:hAnsi="Arial" w:cs="Arial"/>
          <w:color w:val="0D0D0D" w:themeColor="text1" w:themeTint="F2"/>
          <w:sz w:val="22"/>
          <w:szCs w:val="22"/>
        </w:rPr>
        <w:t xml:space="preserve"> EK) </w:t>
      </w:r>
      <w:r w:rsidR="007F156E" w:rsidRPr="00BB6E3B">
        <w:rPr>
          <w:rFonts w:ascii="Arial" w:hAnsi="Arial" w:cs="Arial"/>
          <w:color w:val="0D0D0D" w:themeColor="text1" w:themeTint="F2"/>
          <w:sz w:val="22"/>
          <w:szCs w:val="22"/>
        </w:rPr>
        <w:t xml:space="preserve">nato </w:t>
      </w:r>
      <w:r w:rsidR="00F97A33" w:rsidRPr="00BB6E3B">
        <w:rPr>
          <w:rFonts w:ascii="Arial" w:hAnsi="Arial" w:cs="Arial"/>
          <w:color w:val="0D0D0D" w:themeColor="text1" w:themeTint="F2"/>
          <w:sz w:val="22"/>
          <w:szCs w:val="22"/>
        </w:rPr>
        <w:t>Program stabilnosti</w:t>
      </w:r>
      <w:r w:rsidR="007F156E" w:rsidRPr="00BB6E3B">
        <w:rPr>
          <w:rFonts w:ascii="Arial" w:hAnsi="Arial" w:cs="Arial"/>
          <w:color w:val="0D0D0D" w:themeColor="text1" w:themeTint="F2"/>
          <w:sz w:val="22"/>
          <w:szCs w:val="22"/>
        </w:rPr>
        <w:t xml:space="preserve"> </w:t>
      </w:r>
      <w:r w:rsidR="00F97A33" w:rsidRPr="00BB6E3B">
        <w:rPr>
          <w:rFonts w:ascii="Arial" w:hAnsi="Arial" w:cs="Arial"/>
          <w:color w:val="0D0D0D" w:themeColor="text1" w:themeTint="F2"/>
          <w:sz w:val="22"/>
          <w:szCs w:val="22"/>
        </w:rPr>
        <w:t xml:space="preserve">oceni, </w:t>
      </w:r>
      <w:r w:rsidR="00640631" w:rsidRPr="00BB6E3B">
        <w:rPr>
          <w:rFonts w:ascii="Arial" w:hAnsi="Arial" w:cs="Arial"/>
          <w:color w:val="0D0D0D" w:themeColor="text1" w:themeTint="F2"/>
          <w:sz w:val="22"/>
          <w:szCs w:val="22"/>
        </w:rPr>
        <w:t xml:space="preserve">tako da </w:t>
      </w:r>
      <w:r w:rsidR="00BB280E" w:rsidRPr="00BB6E3B">
        <w:rPr>
          <w:rFonts w:ascii="Arial" w:hAnsi="Arial" w:cs="Arial"/>
          <w:color w:val="0D0D0D" w:themeColor="text1" w:themeTint="F2"/>
          <w:sz w:val="22"/>
          <w:szCs w:val="22"/>
        </w:rPr>
        <w:t>presodi skladnost ciljev in vsebin</w:t>
      </w:r>
      <w:r w:rsidR="00AF3AA8" w:rsidRPr="00BB6E3B">
        <w:rPr>
          <w:rFonts w:ascii="Arial" w:hAnsi="Arial" w:cs="Arial"/>
          <w:color w:val="0D0D0D" w:themeColor="text1" w:themeTint="F2"/>
          <w:sz w:val="22"/>
          <w:szCs w:val="22"/>
        </w:rPr>
        <w:t>a</w:t>
      </w:r>
      <w:r w:rsidR="00BB280E" w:rsidRPr="00BB6E3B">
        <w:rPr>
          <w:rFonts w:ascii="Arial" w:hAnsi="Arial" w:cs="Arial"/>
          <w:color w:val="0D0D0D" w:themeColor="text1" w:themeTint="F2"/>
          <w:sz w:val="22"/>
          <w:szCs w:val="22"/>
        </w:rPr>
        <w:t xml:space="preserve"> z doseganjem prilagoditvene poti do srednjeročnega cilja</w:t>
      </w:r>
      <w:r w:rsidR="007F156E" w:rsidRPr="00BB6E3B">
        <w:rPr>
          <w:rFonts w:ascii="Arial" w:hAnsi="Arial" w:cs="Arial"/>
          <w:color w:val="0D0D0D" w:themeColor="text1" w:themeTint="F2"/>
          <w:sz w:val="22"/>
          <w:szCs w:val="22"/>
        </w:rPr>
        <w:t xml:space="preserve"> javnih financ</w:t>
      </w:r>
      <w:r w:rsidR="00BB280E" w:rsidRPr="00BB6E3B">
        <w:rPr>
          <w:rFonts w:ascii="Arial" w:hAnsi="Arial" w:cs="Arial"/>
          <w:color w:val="0D0D0D" w:themeColor="text1" w:themeTint="F2"/>
          <w:sz w:val="22"/>
          <w:szCs w:val="22"/>
        </w:rPr>
        <w:t xml:space="preserve"> (MTO) in</w:t>
      </w:r>
      <w:r w:rsidR="00677586" w:rsidRPr="00BB6E3B">
        <w:rPr>
          <w:rFonts w:ascii="Arial" w:hAnsi="Arial" w:cs="Arial"/>
          <w:color w:val="0D0D0D" w:themeColor="text1" w:themeTint="F2"/>
          <w:sz w:val="22"/>
          <w:szCs w:val="22"/>
        </w:rPr>
        <w:t>,</w:t>
      </w:r>
      <w:r w:rsidR="00BB280E" w:rsidRPr="00BB6E3B">
        <w:rPr>
          <w:rFonts w:ascii="Arial" w:hAnsi="Arial" w:cs="Arial"/>
          <w:color w:val="0D0D0D" w:themeColor="text1" w:themeTint="F2"/>
          <w:sz w:val="22"/>
          <w:szCs w:val="22"/>
        </w:rPr>
        <w:t xml:space="preserve"> če </w:t>
      </w:r>
      <w:r w:rsidR="005F24B9" w:rsidRPr="00BB6E3B">
        <w:rPr>
          <w:rFonts w:ascii="Arial" w:hAnsi="Arial" w:cs="Arial"/>
          <w:color w:val="0D0D0D" w:themeColor="text1" w:themeTint="F2"/>
          <w:sz w:val="22"/>
          <w:szCs w:val="22"/>
        </w:rPr>
        <w:t xml:space="preserve">je </w:t>
      </w:r>
      <w:r w:rsidR="00BB280E" w:rsidRPr="00BB6E3B">
        <w:rPr>
          <w:rFonts w:ascii="Arial" w:hAnsi="Arial" w:cs="Arial"/>
          <w:color w:val="0D0D0D" w:themeColor="text1" w:themeTint="F2"/>
          <w:sz w:val="22"/>
          <w:szCs w:val="22"/>
        </w:rPr>
        <w:t>potrebno, pozove državo članico k ukrepanju</w:t>
      </w:r>
      <w:r w:rsidR="00694F6B" w:rsidRPr="00BB6E3B">
        <w:rPr>
          <w:rFonts w:ascii="Arial" w:hAnsi="Arial" w:cs="Arial"/>
          <w:color w:val="0D0D0D" w:themeColor="text1" w:themeTint="F2"/>
          <w:sz w:val="22"/>
          <w:szCs w:val="22"/>
        </w:rPr>
        <w:t xml:space="preserve"> </w:t>
      </w:r>
      <w:r w:rsidR="00BB280E" w:rsidRPr="00BB6E3B">
        <w:rPr>
          <w:rFonts w:ascii="Arial" w:hAnsi="Arial" w:cs="Arial"/>
          <w:color w:val="0D0D0D" w:themeColor="text1" w:themeTint="F2"/>
          <w:sz w:val="22"/>
          <w:szCs w:val="22"/>
        </w:rPr>
        <w:t>oz</w:t>
      </w:r>
      <w:r w:rsidR="00677586" w:rsidRPr="00BB6E3B">
        <w:rPr>
          <w:rFonts w:ascii="Arial" w:hAnsi="Arial" w:cs="Arial"/>
          <w:color w:val="0D0D0D" w:themeColor="text1" w:themeTint="F2"/>
          <w:sz w:val="22"/>
          <w:szCs w:val="22"/>
        </w:rPr>
        <w:t>iroma</w:t>
      </w:r>
      <w:r w:rsidR="00694F6B" w:rsidRPr="00BB6E3B">
        <w:rPr>
          <w:rFonts w:ascii="Arial" w:hAnsi="Arial" w:cs="Arial"/>
          <w:color w:val="0D0D0D" w:themeColor="text1" w:themeTint="F2"/>
          <w:sz w:val="22"/>
          <w:szCs w:val="22"/>
        </w:rPr>
        <w:t xml:space="preserve"> </w:t>
      </w:r>
      <w:r w:rsidR="00BB280E" w:rsidRPr="00BB6E3B">
        <w:rPr>
          <w:rFonts w:ascii="Arial" w:hAnsi="Arial" w:cs="Arial"/>
          <w:color w:val="0D0D0D" w:themeColor="text1" w:themeTint="F2"/>
          <w:sz w:val="22"/>
          <w:szCs w:val="22"/>
        </w:rPr>
        <w:t>prilagodit</w:t>
      </w:r>
      <w:r w:rsidR="00694F6B" w:rsidRPr="00BB6E3B">
        <w:rPr>
          <w:rFonts w:ascii="Arial" w:hAnsi="Arial" w:cs="Arial"/>
          <w:color w:val="0D0D0D" w:themeColor="text1" w:themeTint="F2"/>
          <w:sz w:val="22"/>
          <w:szCs w:val="22"/>
        </w:rPr>
        <w:t>vi</w:t>
      </w:r>
      <w:r w:rsidR="00876A2D" w:rsidRPr="00BB6E3B">
        <w:rPr>
          <w:rFonts w:ascii="Arial" w:hAnsi="Arial" w:cs="Arial"/>
          <w:color w:val="0D0D0D" w:themeColor="text1" w:themeTint="F2"/>
          <w:sz w:val="22"/>
          <w:szCs w:val="22"/>
        </w:rPr>
        <w:t xml:space="preserve"> </w:t>
      </w:r>
      <w:r w:rsidR="007F156E" w:rsidRPr="00BB6E3B">
        <w:rPr>
          <w:rFonts w:ascii="Arial" w:hAnsi="Arial" w:cs="Arial"/>
          <w:color w:val="0D0D0D" w:themeColor="text1" w:themeTint="F2"/>
          <w:sz w:val="22"/>
          <w:szCs w:val="22"/>
        </w:rPr>
        <w:t>Programa stabilnosti</w:t>
      </w:r>
      <w:r w:rsidR="00694F6B" w:rsidRPr="00BB6E3B">
        <w:rPr>
          <w:rFonts w:ascii="Arial" w:hAnsi="Arial" w:cs="Arial"/>
          <w:color w:val="0D0D0D" w:themeColor="text1" w:themeTint="F2"/>
          <w:sz w:val="22"/>
          <w:szCs w:val="22"/>
        </w:rPr>
        <w:t xml:space="preserve">, </w:t>
      </w:r>
      <w:r w:rsidR="00F819FA" w:rsidRPr="00BB6E3B">
        <w:rPr>
          <w:rFonts w:ascii="Arial" w:hAnsi="Arial" w:cs="Arial"/>
          <w:color w:val="0D0D0D" w:themeColor="text1" w:themeTint="F2"/>
          <w:sz w:val="22"/>
          <w:szCs w:val="22"/>
        </w:rPr>
        <w:t>če niso doseženi</w:t>
      </w:r>
      <w:r w:rsidR="00640631" w:rsidRPr="00BB6E3B">
        <w:rPr>
          <w:rFonts w:ascii="Arial" w:hAnsi="Arial" w:cs="Arial"/>
          <w:color w:val="0D0D0D" w:themeColor="text1" w:themeTint="F2"/>
          <w:sz w:val="22"/>
          <w:szCs w:val="22"/>
        </w:rPr>
        <w:t xml:space="preserve"> minimalni zahtevani napori. </w:t>
      </w:r>
    </w:p>
    <w:p w:rsidR="007F156E" w:rsidRPr="00BB6E3B" w:rsidRDefault="007F156E" w:rsidP="00847208">
      <w:pPr>
        <w:pStyle w:val="Default"/>
        <w:spacing w:line="276" w:lineRule="auto"/>
        <w:jc w:val="both"/>
        <w:rPr>
          <w:rFonts w:ascii="Arial" w:hAnsi="Arial" w:cs="Arial"/>
          <w:color w:val="0D0D0D" w:themeColor="text1" w:themeTint="F2"/>
          <w:sz w:val="22"/>
          <w:szCs w:val="22"/>
        </w:rPr>
      </w:pPr>
    </w:p>
    <w:p w:rsidR="00F12CD5" w:rsidRPr="00BB6E3B" w:rsidRDefault="005F24B9"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Ker Pakt za stabilnost in rast temelji na cilju zdravih javnih financ kot sredstvu za zboljšanje pogojev za stabilnost cen ter močno in trajnostno rast, ki pospešuje ustvarjanje delovnih mest</w:t>
      </w:r>
      <w:r w:rsidR="00F819FA" w:rsidRPr="00BB6E3B">
        <w:rPr>
          <w:rFonts w:ascii="Arial" w:hAnsi="Arial" w:cs="Arial"/>
          <w:color w:val="0D0D0D" w:themeColor="text1" w:themeTint="F2"/>
          <w:sz w:val="22"/>
          <w:szCs w:val="22"/>
        </w:rPr>
        <w:t>,</w:t>
      </w:r>
      <w:r w:rsidR="00F12CD5" w:rsidRPr="00BB6E3B">
        <w:rPr>
          <w:rFonts w:ascii="Arial" w:hAnsi="Arial" w:cs="Arial"/>
          <w:color w:val="0D0D0D" w:themeColor="text1" w:themeTint="F2"/>
          <w:sz w:val="22"/>
          <w:szCs w:val="22"/>
        </w:rPr>
        <w:t xml:space="preserve"> si države članice prizadevajo</w:t>
      </w:r>
      <w:r w:rsidR="007F156E" w:rsidRPr="00BB6E3B">
        <w:rPr>
          <w:rFonts w:ascii="Arial" w:hAnsi="Arial" w:cs="Arial"/>
          <w:color w:val="0D0D0D" w:themeColor="text1" w:themeTint="F2"/>
          <w:sz w:val="22"/>
          <w:szCs w:val="22"/>
        </w:rPr>
        <w:t xml:space="preserve"> dosegati srednjeročni cilj oziroma</w:t>
      </w:r>
      <w:r w:rsidR="00F12CD5" w:rsidRPr="00BB6E3B">
        <w:rPr>
          <w:rFonts w:ascii="Arial" w:hAnsi="Arial" w:cs="Arial"/>
          <w:color w:val="0D0D0D" w:themeColor="text1" w:themeTint="F2"/>
          <w:sz w:val="22"/>
          <w:szCs w:val="22"/>
        </w:rPr>
        <w:t xml:space="preserve"> izogibati se</w:t>
      </w:r>
      <w:r w:rsidR="00876A2D" w:rsidRPr="00BB6E3B">
        <w:rPr>
          <w:rFonts w:ascii="Arial" w:hAnsi="Arial" w:cs="Arial"/>
          <w:color w:val="0D0D0D" w:themeColor="text1" w:themeTint="F2"/>
          <w:sz w:val="22"/>
          <w:szCs w:val="22"/>
        </w:rPr>
        <w:t xml:space="preserve"> </w:t>
      </w:r>
      <w:r w:rsidR="00F12CD5" w:rsidRPr="00BB6E3B">
        <w:rPr>
          <w:rFonts w:ascii="Arial" w:hAnsi="Arial" w:cs="Arial"/>
          <w:color w:val="0D0D0D" w:themeColor="text1" w:themeTint="F2"/>
          <w:sz w:val="22"/>
          <w:szCs w:val="22"/>
        </w:rPr>
        <w:t xml:space="preserve">čezmernemu javnofinančnemu primanjkljaju. </w:t>
      </w:r>
      <w:r w:rsidR="00594398" w:rsidRPr="00BB6E3B">
        <w:rPr>
          <w:rFonts w:ascii="Arial" w:hAnsi="Arial" w:cs="Arial"/>
          <w:color w:val="0D0D0D" w:themeColor="text1" w:themeTint="F2"/>
          <w:sz w:val="22"/>
          <w:szCs w:val="22"/>
        </w:rPr>
        <w:t>N</w:t>
      </w:r>
      <w:r w:rsidR="00F12CD5" w:rsidRPr="00BB6E3B">
        <w:rPr>
          <w:rFonts w:ascii="Arial" w:hAnsi="Arial" w:cs="Arial"/>
          <w:color w:val="0D0D0D" w:themeColor="text1" w:themeTint="F2"/>
          <w:sz w:val="22"/>
          <w:szCs w:val="22"/>
        </w:rPr>
        <w:t xml:space="preserve">amen je doseči okrepljen nadzor nad proračunskim stanjem ter nadzor in uskladitev gospodarskih politik še posebej glede na srednjeročni cilj, </w:t>
      </w:r>
      <w:r w:rsidR="00F819FA" w:rsidRPr="00BB6E3B">
        <w:rPr>
          <w:rFonts w:ascii="Arial" w:hAnsi="Arial" w:cs="Arial"/>
          <w:color w:val="0D0D0D" w:themeColor="text1" w:themeTint="F2"/>
          <w:sz w:val="22"/>
          <w:szCs w:val="22"/>
        </w:rPr>
        <w:t xml:space="preserve">tako da se skuša </w:t>
      </w:r>
      <w:r w:rsidR="00F12CD5" w:rsidRPr="00BB6E3B">
        <w:rPr>
          <w:rFonts w:ascii="Arial" w:hAnsi="Arial" w:cs="Arial"/>
          <w:color w:val="0D0D0D" w:themeColor="text1" w:themeTint="F2"/>
          <w:sz w:val="22"/>
          <w:szCs w:val="22"/>
        </w:rPr>
        <w:t>doseči čim bolj uravnoteženo proračunsko stanje ali proračunski presežek, za katerega so se obvezale vse države članice, ter za sprejetje ustreznih popravljalnih proračunskih ukrepov, ki so po njihovem mnenju potrebni za izpolnitev ciljev iz programov za stabilnost in konvergenco, vsakokrat ko obstajajo informacije o dejanskem ali pričakovanem odmiku od sre</w:t>
      </w:r>
      <w:r w:rsidR="00594398" w:rsidRPr="00BB6E3B">
        <w:rPr>
          <w:rFonts w:ascii="Arial" w:hAnsi="Arial" w:cs="Arial"/>
          <w:color w:val="0D0D0D" w:themeColor="text1" w:themeTint="F2"/>
          <w:sz w:val="22"/>
          <w:szCs w:val="22"/>
        </w:rPr>
        <w:t>dnjeročnega proračunskega cilja</w:t>
      </w:r>
      <w:r w:rsidR="003222B7" w:rsidRPr="00BB6E3B">
        <w:rPr>
          <w:rFonts w:ascii="Arial" w:hAnsi="Arial" w:cs="Arial"/>
          <w:color w:val="0D0D0D" w:themeColor="text1" w:themeTint="F2"/>
          <w:sz w:val="22"/>
          <w:szCs w:val="22"/>
        </w:rPr>
        <w:t xml:space="preserve"> (MTO)</w:t>
      </w:r>
      <w:r w:rsidR="00594398" w:rsidRPr="00BB6E3B">
        <w:rPr>
          <w:rFonts w:ascii="Arial" w:hAnsi="Arial" w:cs="Arial"/>
          <w:color w:val="0D0D0D" w:themeColor="text1" w:themeTint="F2"/>
          <w:sz w:val="22"/>
          <w:szCs w:val="22"/>
        </w:rPr>
        <w:t xml:space="preserve">. MTO je osrednji element preventivne roke SGP, skladno z </w:t>
      </w:r>
      <w:r w:rsidR="00677586" w:rsidRPr="00BB6E3B">
        <w:rPr>
          <w:rFonts w:ascii="Arial" w:hAnsi="Arial" w:cs="Arial"/>
          <w:color w:val="0D0D0D" w:themeColor="text1" w:themeTint="F2"/>
          <w:sz w:val="22"/>
          <w:szCs w:val="22"/>
        </w:rPr>
        <w:t>r</w:t>
      </w:r>
      <w:r w:rsidR="00594398" w:rsidRPr="00BB6E3B">
        <w:rPr>
          <w:rFonts w:ascii="Arial" w:hAnsi="Arial" w:cs="Arial"/>
          <w:color w:val="0D0D0D" w:themeColor="text1" w:themeTint="F2"/>
          <w:sz w:val="22"/>
          <w:szCs w:val="22"/>
        </w:rPr>
        <w:t>egulativo, ker omogoča</w:t>
      </w:r>
      <w:r w:rsidR="00F12CD5" w:rsidRPr="00BB6E3B">
        <w:rPr>
          <w:rFonts w:ascii="Arial" w:hAnsi="Arial" w:cs="Arial"/>
          <w:color w:val="0D0D0D" w:themeColor="text1" w:themeTint="F2"/>
          <w:sz w:val="22"/>
          <w:szCs w:val="22"/>
        </w:rPr>
        <w:t xml:space="preserve"> dose</w:t>
      </w:r>
      <w:r w:rsidR="00594398" w:rsidRPr="00BB6E3B">
        <w:rPr>
          <w:rFonts w:ascii="Arial" w:hAnsi="Arial" w:cs="Arial"/>
          <w:color w:val="0D0D0D" w:themeColor="text1" w:themeTint="F2"/>
          <w:sz w:val="22"/>
          <w:szCs w:val="22"/>
        </w:rPr>
        <w:t>ganje</w:t>
      </w:r>
      <w:r w:rsidR="00F12CD5" w:rsidRPr="00BB6E3B">
        <w:rPr>
          <w:rFonts w:ascii="Arial" w:hAnsi="Arial" w:cs="Arial"/>
          <w:color w:val="0D0D0D" w:themeColor="text1" w:themeTint="F2"/>
          <w:sz w:val="22"/>
          <w:szCs w:val="22"/>
        </w:rPr>
        <w:t xml:space="preserve"> čim bolj uravnotežen</w:t>
      </w:r>
      <w:r w:rsidR="00594398" w:rsidRPr="00BB6E3B">
        <w:rPr>
          <w:rFonts w:ascii="Arial" w:hAnsi="Arial" w:cs="Arial"/>
          <w:color w:val="0D0D0D" w:themeColor="text1" w:themeTint="F2"/>
          <w:sz w:val="22"/>
          <w:szCs w:val="22"/>
        </w:rPr>
        <w:t>ega</w:t>
      </w:r>
      <w:r w:rsidR="00F12CD5" w:rsidRPr="00BB6E3B">
        <w:rPr>
          <w:rFonts w:ascii="Arial" w:hAnsi="Arial" w:cs="Arial"/>
          <w:color w:val="0D0D0D" w:themeColor="text1" w:themeTint="F2"/>
          <w:sz w:val="22"/>
          <w:szCs w:val="22"/>
        </w:rPr>
        <w:t xml:space="preserve"> proračunsk</w:t>
      </w:r>
      <w:r w:rsidR="00594398" w:rsidRPr="00BB6E3B">
        <w:rPr>
          <w:rFonts w:ascii="Arial" w:hAnsi="Arial" w:cs="Arial"/>
          <w:color w:val="0D0D0D" w:themeColor="text1" w:themeTint="F2"/>
          <w:sz w:val="22"/>
          <w:szCs w:val="22"/>
        </w:rPr>
        <w:t>ega</w:t>
      </w:r>
      <w:r w:rsidR="00F12CD5" w:rsidRPr="00BB6E3B">
        <w:rPr>
          <w:rFonts w:ascii="Arial" w:hAnsi="Arial" w:cs="Arial"/>
          <w:color w:val="0D0D0D" w:themeColor="text1" w:themeTint="F2"/>
          <w:sz w:val="22"/>
          <w:szCs w:val="22"/>
        </w:rPr>
        <w:t xml:space="preserve"> stanj</w:t>
      </w:r>
      <w:r w:rsidR="00594398" w:rsidRPr="00BB6E3B">
        <w:rPr>
          <w:rFonts w:ascii="Arial" w:hAnsi="Arial" w:cs="Arial"/>
          <w:color w:val="0D0D0D" w:themeColor="text1" w:themeTint="F2"/>
          <w:sz w:val="22"/>
          <w:szCs w:val="22"/>
        </w:rPr>
        <w:t>a</w:t>
      </w:r>
      <w:r w:rsidR="00F12CD5" w:rsidRPr="00BB6E3B">
        <w:rPr>
          <w:rFonts w:ascii="Arial" w:hAnsi="Arial" w:cs="Arial"/>
          <w:color w:val="0D0D0D" w:themeColor="text1" w:themeTint="F2"/>
          <w:sz w:val="22"/>
          <w:szCs w:val="22"/>
        </w:rPr>
        <w:t xml:space="preserve"> ali proračunski presežek, </w:t>
      </w:r>
      <w:r w:rsidR="00594398" w:rsidRPr="00BB6E3B">
        <w:rPr>
          <w:rFonts w:ascii="Arial" w:hAnsi="Arial" w:cs="Arial"/>
          <w:color w:val="0D0D0D" w:themeColor="text1" w:themeTint="F2"/>
          <w:sz w:val="22"/>
          <w:szCs w:val="22"/>
        </w:rPr>
        <w:t xml:space="preserve">in s tem omogoča  obvladovanje </w:t>
      </w:r>
      <w:r w:rsidR="003222B7" w:rsidRPr="00BB6E3B">
        <w:rPr>
          <w:rFonts w:ascii="Arial" w:hAnsi="Arial" w:cs="Arial"/>
          <w:color w:val="0D0D0D" w:themeColor="text1" w:themeTint="F2"/>
          <w:sz w:val="22"/>
          <w:szCs w:val="22"/>
        </w:rPr>
        <w:t xml:space="preserve">običajnih </w:t>
      </w:r>
      <w:r w:rsidR="00F12CD5" w:rsidRPr="00BB6E3B">
        <w:rPr>
          <w:rFonts w:ascii="Arial" w:hAnsi="Arial" w:cs="Arial"/>
          <w:color w:val="0D0D0D" w:themeColor="text1" w:themeTint="F2"/>
          <w:sz w:val="22"/>
          <w:szCs w:val="22"/>
        </w:rPr>
        <w:t>konjunkturn</w:t>
      </w:r>
      <w:r w:rsidR="00594398" w:rsidRPr="00BB6E3B">
        <w:rPr>
          <w:rFonts w:ascii="Arial" w:hAnsi="Arial" w:cs="Arial"/>
          <w:color w:val="0D0D0D" w:themeColor="text1" w:themeTint="F2"/>
          <w:sz w:val="22"/>
          <w:szCs w:val="22"/>
        </w:rPr>
        <w:t>ih nihanj</w:t>
      </w:r>
      <w:r w:rsidR="00F12CD5" w:rsidRPr="00BB6E3B">
        <w:rPr>
          <w:rFonts w:ascii="Arial" w:hAnsi="Arial" w:cs="Arial"/>
          <w:color w:val="0D0D0D" w:themeColor="text1" w:themeTint="F2"/>
          <w:sz w:val="22"/>
          <w:szCs w:val="22"/>
        </w:rPr>
        <w:t xml:space="preserve"> in hkrati </w:t>
      </w:r>
      <w:r w:rsidR="003222B7" w:rsidRPr="00BB6E3B">
        <w:rPr>
          <w:rFonts w:ascii="Arial" w:hAnsi="Arial" w:cs="Arial"/>
          <w:color w:val="0D0D0D" w:themeColor="text1" w:themeTint="F2"/>
          <w:sz w:val="22"/>
          <w:szCs w:val="22"/>
        </w:rPr>
        <w:t xml:space="preserve"> drži</w:t>
      </w:r>
      <w:r w:rsidR="00F12CD5" w:rsidRPr="00BB6E3B">
        <w:rPr>
          <w:rFonts w:ascii="Arial" w:hAnsi="Arial" w:cs="Arial"/>
          <w:color w:val="0D0D0D" w:themeColor="text1" w:themeTint="F2"/>
          <w:sz w:val="22"/>
          <w:szCs w:val="22"/>
        </w:rPr>
        <w:t xml:space="preserve"> javno</w:t>
      </w:r>
      <w:r w:rsidRPr="00BB6E3B">
        <w:rPr>
          <w:rFonts w:ascii="Arial" w:hAnsi="Arial" w:cs="Arial"/>
          <w:color w:val="0D0D0D" w:themeColor="text1" w:themeTint="F2"/>
          <w:sz w:val="22"/>
          <w:szCs w:val="22"/>
        </w:rPr>
        <w:t>finančni primanjkljaj v mejah 3 %</w:t>
      </w:r>
      <w:r w:rsidR="003222B7" w:rsidRPr="00BB6E3B">
        <w:rPr>
          <w:rFonts w:ascii="Arial" w:hAnsi="Arial" w:cs="Arial"/>
          <w:color w:val="0D0D0D" w:themeColor="text1" w:themeTint="F2"/>
          <w:sz w:val="22"/>
          <w:szCs w:val="22"/>
        </w:rPr>
        <w:t xml:space="preserve"> </w:t>
      </w:r>
      <w:r w:rsidR="00594398" w:rsidRPr="00BB6E3B">
        <w:rPr>
          <w:rFonts w:ascii="Arial" w:hAnsi="Arial" w:cs="Arial"/>
          <w:color w:val="0D0D0D" w:themeColor="text1" w:themeTint="F2"/>
          <w:sz w:val="22"/>
          <w:szCs w:val="22"/>
        </w:rPr>
        <w:t>referenčne vrednosti</w:t>
      </w:r>
      <w:r w:rsidRPr="00BB6E3B">
        <w:rPr>
          <w:rFonts w:ascii="Arial" w:hAnsi="Arial" w:cs="Arial"/>
          <w:color w:val="0D0D0D" w:themeColor="text1" w:themeTint="F2"/>
          <w:sz w:val="22"/>
          <w:szCs w:val="22"/>
        </w:rPr>
        <w:t xml:space="preserve"> BDP</w:t>
      </w:r>
      <w:r w:rsidR="00594398" w:rsidRPr="00BB6E3B">
        <w:rPr>
          <w:rFonts w:ascii="Arial" w:hAnsi="Arial" w:cs="Arial"/>
          <w:color w:val="0D0D0D" w:themeColor="text1" w:themeTint="F2"/>
          <w:sz w:val="22"/>
          <w:szCs w:val="22"/>
        </w:rPr>
        <w:t xml:space="preserve">. Pri tem je jasno: </w:t>
      </w:r>
      <w:r w:rsidR="00677586" w:rsidRPr="00BB6E3B">
        <w:rPr>
          <w:rFonts w:ascii="Arial" w:hAnsi="Arial" w:cs="Arial"/>
          <w:color w:val="0D0D0D" w:themeColor="text1" w:themeTint="F2"/>
          <w:sz w:val="22"/>
          <w:szCs w:val="22"/>
        </w:rPr>
        <w:t>»</w:t>
      </w:r>
      <w:r w:rsidR="00F12CD5" w:rsidRPr="00BB6E3B">
        <w:rPr>
          <w:rFonts w:ascii="Arial" w:hAnsi="Arial" w:cs="Arial"/>
          <w:color w:val="0D0D0D" w:themeColor="text1" w:themeTint="F2"/>
          <w:sz w:val="22"/>
          <w:szCs w:val="22"/>
        </w:rPr>
        <w:t>Srednjeročni proračunski cilj je za vsako državo članico različen</w:t>
      </w:r>
      <w:r w:rsidR="00876A2D" w:rsidRPr="00BB6E3B">
        <w:rPr>
          <w:rFonts w:ascii="Arial" w:hAnsi="Arial" w:cs="Arial"/>
          <w:color w:val="0D0D0D" w:themeColor="text1" w:themeTint="F2"/>
          <w:sz w:val="22"/>
          <w:szCs w:val="22"/>
        </w:rPr>
        <w:t xml:space="preserve"> </w:t>
      </w:r>
      <w:r w:rsidR="003222B7" w:rsidRPr="00BB6E3B">
        <w:rPr>
          <w:rFonts w:ascii="Arial" w:hAnsi="Arial" w:cs="Arial"/>
          <w:color w:val="0D0D0D" w:themeColor="text1" w:themeTint="F2"/>
          <w:sz w:val="22"/>
          <w:szCs w:val="22"/>
        </w:rPr>
        <w:t xml:space="preserve">in </w:t>
      </w:r>
      <w:r w:rsidR="00F12CD5" w:rsidRPr="00BB6E3B">
        <w:rPr>
          <w:rFonts w:ascii="Arial" w:hAnsi="Arial" w:cs="Arial"/>
          <w:color w:val="0D0D0D" w:themeColor="text1" w:themeTint="F2"/>
          <w:sz w:val="22"/>
          <w:szCs w:val="22"/>
        </w:rPr>
        <w:t>lahko odstopa od zahteve po proračunskem stanju blizu ravnotežja ali v presežku, če je obenem poskrbljeno za va</w:t>
      </w:r>
      <w:r w:rsidR="00895DCC" w:rsidRPr="00BB6E3B">
        <w:rPr>
          <w:rFonts w:ascii="Arial" w:hAnsi="Arial" w:cs="Arial"/>
          <w:color w:val="0D0D0D" w:themeColor="text1" w:themeTint="F2"/>
          <w:sz w:val="22"/>
          <w:szCs w:val="22"/>
        </w:rPr>
        <w:t>rnostni razmik do razmerja 3 %</w:t>
      </w:r>
      <w:r w:rsidR="00F12CD5" w:rsidRPr="00BB6E3B">
        <w:rPr>
          <w:rFonts w:ascii="Arial" w:hAnsi="Arial" w:cs="Arial"/>
          <w:color w:val="0D0D0D" w:themeColor="text1" w:themeTint="F2"/>
          <w:sz w:val="22"/>
          <w:szCs w:val="22"/>
        </w:rPr>
        <w:t xml:space="preserve"> BDP. Srednjeročni proračunski cilji zagotovijo vzdržnost javnih financ ali hiter napredek pri doseganju vzdržnosti, obenem pa omogočijo proračunski manevrski prostor, zlasti ob upoštevanju potrebe po javnih naložbah.</w:t>
      </w:r>
      <w:r w:rsidR="00677586" w:rsidRPr="00BB6E3B">
        <w:rPr>
          <w:rFonts w:ascii="Arial" w:hAnsi="Arial" w:cs="Arial"/>
          <w:color w:val="0D0D0D" w:themeColor="text1" w:themeTint="F2"/>
          <w:sz w:val="22"/>
          <w:szCs w:val="22"/>
        </w:rPr>
        <w:t>«</w:t>
      </w:r>
      <w:r w:rsidR="00594398" w:rsidRPr="00BB6E3B">
        <w:rPr>
          <w:rFonts w:ascii="Arial" w:hAnsi="Arial" w:cs="Arial"/>
          <w:color w:val="0D0D0D" w:themeColor="text1" w:themeTint="F2"/>
          <w:sz w:val="22"/>
          <w:szCs w:val="22"/>
        </w:rPr>
        <w:t xml:space="preserve"> </w:t>
      </w:r>
      <w:r w:rsidR="00F12CD5" w:rsidRPr="00BB6E3B">
        <w:rPr>
          <w:rFonts w:ascii="Arial" w:hAnsi="Arial" w:cs="Arial"/>
          <w:color w:val="0D0D0D" w:themeColor="text1" w:themeTint="F2"/>
          <w:sz w:val="22"/>
          <w:szCs w:val="22"/>
        </w:rPr>
        <w:t xml:space="preserve">Ob upoštevanju teh dejavnikov so srednjeročni cilji, specifični za vsako državo članico, določeni v </w:t>
      </w:r>
      <w:r w:rsidR="00895DCC" w:rsidRPr="00BB6E3B">
        <w:rPr>
          <w:rFonts w:ascii="Arial" w:hAnsi="Arial" w:cs="Arial"/>
          <w:color w:val="0D0D0D" w:themeColor="text1" w:themeTint="F2"/>
          <w:sz w:val="22"/>
          <w:szCs w:val="22"/>
        </w:rPr>
        <w:t>razponu</w:t>
      </w:r>
      <w:r w:rsidR="00F12CD5" w:rsidRPr="00BB6E3B">
        <w:rPr>
          <w:rFonts w:ascii="Arial" w:hAnsi="Arial" w:cs="Arial"/>
          <w:color w:val="0D0D0D" w:themeColor="text1" w:themeTint="F2"/>
          <w:sz w:val="22"/>
          <w:szCs w:val="22"/>
        </w:rPr>
        <w:t xml:space="preserve"> med </w:t>
      </w:r>
      <w:r w:rsidR="001C284E" w:rsidRPr="00BB6E3B">
        <w:rPr>
          <w:rFonts w:ascii="Arial" w:hAnsi="Arial" w:cs="Arial"/>
          <w:color w:val="0D0D0D" w:themeColor="text1" w:themeTint="F2"/>
          <w:sz w:val="22"/>
          <w:szCs w:val="22"/>
        </w:rPr>
        <w:t>–</w:t>
      </w:r>
      <w:r w:rsidR="00F12CD5" w:rsidRPr="00BB6E3B">
        <w:rPr>
          <w:rFonts w:ascii="Arial" w:hAnsi="Arial" w:cs="Arial"/>
          <w:color w:val="0D0D0D" w:themeColor="text1" w:themeTint="F2"/>
          <w:sz w:val="22"/>
          <w:szCs w:val="22"/>
        </w:rPr>
        <w:t xml:space="preserve">1 % BDP in </w:t>
      </w:r>
      <w:r w:rsidR="00F12CD5" w:rsidRPr="00BB6E3B">
        <w:rPr>
          <w:rFonts w:ascii="Arial" w:hAnsi="Arial" w:cs="Arial"/>
          <w:color w:val="0D0D0D" w:themeColor="text1" w:themeTint="F2"/>
          <w:sz w:val="22"/>
          <w:szCs w:val="22"/>
        </w:rPr>
        <w:lastRenderedPageBreak/>
        <w:t xml:space="preserve">uravnoteženim ciklično prilagojenim proračunskim saldom ali ciklično prilagojenim proračunskim presežkom ob neupoštevanju enkratnih in začasnih ukrepov. Srednjeročni cilj </w:t>
      </w:r>
      <w:r w:rsidR="003222B7" w:rsidRPr="00BB6E3B">
        <w:rPr>
          <w:rFonts w:ascii="Arial" w:hAnsi="Arial" w:cs="Arial"/>
          <w:color w:val="0D0D0D" w:themeColor="text1" w:themeTint="F2"/>
          <w:sz w:val="22"/>
          <w:szCs w:val="22"/>
        </w:rPr>
        <w:t xml:space="preserve">javnih financ </w:t>
      </w:r>
      <w:r w:rsidR="00F12CD5" w:rsidRPr="00BB6E3B">
        <w:rPr>
          <w:rFonts w:ascii="Arial" w:hAnsi="Arial" w:cs="Arial"/>
          <w:color w:val="0D0D0D" w:themeColor="text1" w:themeTint="F2"/>
          <w:sz w:val="22"/>
          <w:szCs w:val="22"/>
        </w:rPr>
        <w:t>se pregleda vsaka tri leta</w:t>
      </w:r>
      <w:r w:rsidR="003222B7" w:rsidRPr="00BB6E3B">
        <w:rPr>
          <w:rFonts w:ascii="Arial" w:hAnsi="Arial" w:cs="Arial"/>
          <w:color w:val="0D0D0D" w:themeColor="text1" w:themeTint="F2"/>
          <w:sz w:val="22"/>
          <w:szCs w:val="22"/>
        </w:rPr>
        <w:t>, lahko pa tudi pogosteje</w:t>
      </w:r>
      <w:r w:rsidR="00F12CD5" w:rsidRPr="00BB6E3B">
        <w:rPr>
          <w:rFonts w:ascii="Arial" w:hAnsi="Arial" w:cs="Arial"/>
          <w:color w:val="0D0D0D" w:themeColor="text1" w:themeTint="F2"/>
          <w:sz w:val="22"/>
          <w:szCs w:val="22"/>
        </w:rPr>
        <w:t xml:space="preserve"> v primeru izvedbe strukturne reforme, ki bi močno vplivala na vzdržnost javnih financ.</w:t>
      </w:r>
      <w:r w:rsidR="00594398" w:rsidRPr="00BB6E3B">
        <w:rPr>
          <w:rFonts w:ascii="Arial" w:hAnsi="Arial" w:cs="Arial"/>
          <w:color w:val="0D0D0D" w:themeColor="text1" w:themeTint="F2"/>
          <w:sz w:val="22"/>
          <w:szCs w:val="22"/>
        </w:rPr>
        <w:t xml:space="preserve"> Regulativa nadalje navaja, da se MTO revidira vsak</w:t>
      </w:r>
      <w:r w:rsidR="00677586" w:rsidRPr="00BB6E3B">
        <w:rPr>
          <w:rFonts w:ascii="Arial" w:hAnsi="Arial" w:cs="Arial"/>
          <w:color w:val="0D0D0D" w:themeColor="text1" w:themeTint="F2"/>
          <w:sz w:val="22"/>
          <w:szCs w:val="22"/>
        </w:rPr>
        <w:t>a</w:t>
      </w:r>
      <w:r w:rsidR="00594398" w:rsidRPr="00BB6E3B">
        <w:rPr>
          <w:rFonts w:ascii="Arial" w:hAnsi="Arial" w:cs="Arial"/>
          <w:color w:val="0D0D0D" w:themeColor="text1" w:themeTint="F2"/>
          <w:sz w:val="22"/>
          <w:szCs w:val="22"/>
        </w:rPr>
        <w:t xml:space="preserve"> </w:t>
      </w:r>
      <w:r w:rsidR="00677586" w:rsidRPr="00BB6E3B">
        <w:rPr>
          <w:rFonts w:ascii="Arial" w:hAnsi="Arial" w:cs="Arial"/>
          <w:color w:val="0D0D0D" w:themeColor="text1" w:themeTint="F2"/>
          <w:sz w:val="22"/>
          <w:szCs w:val="22"/>
        </w:rPr>
        <w:t>tri</w:t>
      </w:r>
      <w:r w:rsidR="00594398" w:rsidRPr="00BB6E3B">
        <w:rPr>
          <w:rFonts w:ascii="Arial" w:hAnsi="Arial" w:cs="Arial"/>
          <w:color w:val="0D0D0D" w:themeColor="text1" w:themeTint="F2"/>
          <w:sz w:val="22"/>
          <w:szCs w:val="22"/>
        </w:rPr>
        <w:t xml:space="preserve"> leta po objavi Poročila o staranju</w:t>
      </w:r>
      <w:r w:rsidR="00677586" w:rsidRPr="00BB6E3B">
        <w:rPr>
          <w:rFonts w:ascii="Arial" w:hAnsi="Arial" w:cs="Arial"/>
          <w:color w:val="0D0D0D" w:themeColor="text1" w:themeTint="F2"/>
          <w:sz w:val="22"/>
          <w:szCs w:val="22"/>
        </w:rPr>
        <w:t>.</w:t>
      </w:r>
      <w:r w:rsidR="003222B7" w:rsidRPr="00BB6E3B">
        <w:rPr>
          <w:rStyle w:val="FootnoteReference"/>
          <w:rFonts w:ascii="Arial" w:hAnsi="Arial" w:cs="Arial"/>
          <w:color w:val="0D0D0D" w:themeColor="text1" w:themeTint="F2"/>
          <w:sz w:val="22"/>
          <w:szCs w:val="22"/>
        </w:rPr>
        <w:footnoteReference w:id="1"/>
      </w:r>
    </w:p>
    <w:p w:rsidR="00F12CD5" w:rsidRPr="00BB6E3B" w:rsidRDefault="00F12CD5" w:rsidP="00847208">
      <w:pPr>
        <w:pStyle w:val="Default"/>
        <w:spacing w:line="276" w:lineRule="auto"/>
        <w:jc w:val="both"/>
        <w:rPr>
          <w:rFonts w:ascii="Arial" w:hAnsi="Arial" w:cs="Arial"/>
          <w:color w:val="0D0D0D" w:themeColor="text1" w:themeTint="F2"/>
          <w:sz w:val="19"/>
          <w:szCs w:val="19"/>
        </w:rPr>
      </w:pPr>
    </w:p>
    <w:p w:rsidR="00FC55E8" w:rsidRPr="00BB6E3B" w:rsidRDefault="00077A6C"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 xml:space="preserve">Pregled </w:t>
      </w:r>
      <w:r w:rsidR="00876A2D" w:rsidRPr="00BB6E3B">
        <w:rPr>
          <w:rFonts w:ascii="Arial" w:hAnsi="Arial" w:cs="Arial"/>
          <w:color w:val="0D0D0D" w:themeColor="text1" w:themeTint="F2"/>
          <w:sz w:val="22"/>
          <w:szCs w:val="22"/>
        </w:rPr>
        <w:t xml:space="preserve">v letu 2019 </w:t>
      </w:r>
      <w:r w:rsidRPr="00BB6E3B">
        <w:rPr>
          <w:rFonts w:ascii="Arial" w:hAnsi="Arial" w:cs="Arial"/>
          <w:color w:val="0D0D0D" w:themeColor="text1" w:themeTint="F2"/>
          <w:sz w:val="22"/>
          <w:szCs w:val="22"/>
        </w:rPr>
        <w:t xml:space="preserve">je pokazal, da se je </w:t>
      </w:r>
      <w:r w:rsidR="00640631" w:rsidRPr="00BB6E3B">
        <w:rPr>
          <w:rFonts w:ascii="Arial" w:hAnsi="Arial" w:cs="Arial"/>
          <w:color w:val="0D0D0D" w:themeColor="text1" w:themeTint="F2"/>
          <w:sz w:val="22"/>
          <w:szCs w:val="22"/>
        </w:rPr>
        <w:t xml:space="preserve">Sloveniji v tem srednjeročnem obdobju </w:t>
      </w:r>
      <w:r w:rsidRPr="00BB6E3B">
        <w:rPr>
          <w:rFonts w:ascii="Arial" w:hAnsi="Arial" w:cs="Arial"/>
          <w:color w:val="0D0D0D" w:themeColor="text1" w:themeTint="F2"/>
          <w:sz w:val="22"/>
          <w:szCs w:val="22"/>
        </w:rPr>
        <w:t xml:space="preserve">minimalni MTO </w:t>
      </w:r>
      <w:r w:rsidR="00640631" w:rsidRPr="00BB6E3B">
        <w:rPr>
          <w:rFonts w:ascii="Arial" w:hAnsi="Arial" w:cs="Arial"/>
          <w:color w:val="0D0D0D" w:themeColor="text1" w:themeTint="F2"/>
          <w:sz w:val="22"/>
          <w:szCs w:val="22"/>
        </w:rPr>
        <w:t>sprem</w:t>
      </w:r>
      <w:r w:rsidRPr="00BB6E3B">
        <w:rPr>
          <w:rFonts w:ascii="Arial" w:hAnsi="Arial" w:cs="Arial"/>
          <w:color w:val="0D0D0D" w:themeColor="text1" w:themeTint="F2"/>
          <w:sz w:val="22"/>
          <w:szCs w:val="22"/>
        </w:rPr>
        <w:t>e</w:t>
      </w:r>
      <w:r w:rsidR="00640631" w:rsidRPr="00BB6E3B">
        <w:rPr>
          <w:rFonts w:ascii="Arial" w:hAnsi="Arial" w:cs="Arial"/>
          <w:color w:val="0D0D0D" w:themeColor="text1" w:themeTint="F2"/>
          <w:sz w:val="22"/>
          <w:szCs w:val="22"/>
        </w:rPr>
        <w:t>nil</w:t>
      </w:r>
      <w:r w:rsidRPr="00BB6E3B">
        <w:rPr>
          <w:rFonts w:ascii="Arial" w:hAnsi="Arial" w:cs="Arial"/>
          <w:color w:val="0D0D0D" w:themeColor="text1" w:themeTint="F2"/>
          <w:sz w:val="22"/>
          <w:szCs w:val="22"/>
        </w:rPr>
        <w:t>. Slovenija mora tako</w:t>
      </w:r>
      <w:r w:rsidR="00640631" w:rsidRPr="00BB6E3B">
        <w:rPr>
          <w:rFonts w:ascii="Arial" w:hAnsi="Arial" w:cs="Arial"/>
          <w:color w:val="0D0D0D" w:themeColor="text1" w:themeTint="F2"/>
          <w:sz w:val="22"/>
          <w:szCs w:val="22"/>
        </w:rPr>
        <w:t xml:space="preserve"> do leta 2022 doseči strukturni saldo sektorja država v višini </w:t>
      </w:r>
      <w:r w:rsidR="00937587" w:rsidRPr="00BB6E3B">
        <w:rPr>
          <w:rFonts w:ascii="Arial" w:hAnsi="Arial" w:cs="Arial"/>
          <w:color w:val="0D0D0D" w:themeColor="text1" w:themeTint="F2"/>
          <w:sz w:val="22"/>
          <w:szCs w:val="22"/>
        </w:rPr>
        <w:t xml:space="preserve">minus </w:t>
      </w:r>
      <w:r w:rsidR="00640631" w:rsidRPr="00BB6E3B">
        <w:rPr>
          <w:rFonts w:ascii="Arial" w:hAnsi="Arial" w:cs="Arial"/>
          <w:color w:val="0D0D0D" w:themeColor="text1" w:themeTint="F2"/>
          <w:sz w:val="22"/>
          <w:szCs w:val="22"/>
        </w:rPr>
        <w:t>0,25 % BDP in ne kot do</w:t>
      </w:r>
      <w:r w:rsidR="00A26BDC" w:rsidRPr="00BB6E3B">
        <w:rPr>
          <w:rFonts w:ascii="Arial" w:hAnsi="Arial" w:cs="Arial"/>
          <w:color w:val="0D0D0D" w:themeColor="text1" w:themeTint="F2"/>
          <w:sz w:val="22"/>
          <w:szCs w:val="22"/>
        </w:rPr>
        <w:t xml:space="preserve"> </w:t>
      </w:r>
      <w:r w:rsidR="00640631" w:rsidRPr="00BB6E3B">
        <w:rPr>
          <w:rFonts w:ascii="Arial" w:hAnsi="Arial" w:cs="Arial"/>
          <w:color w:val="0D0D0D" w:themeColor="text1" w:themeTint="F2"/>
          <w:sz w:val="22"/>
          <w:szCs w:val="22"/>
        </w:rPr>
        <w:t xml:space="preserve">sedaj </w:t>
      </w:r>
      <w:r w:rsidR="00937587" w:rsidRPr="00BB6E3B">
        <w:rPr>
          <w:rFonts w:ascii="Arial" w:hAnsi="Arial" w:cs="Arial"/>
          <w:color w:val="0D0D0D" w:themeColor="text1" w:themeTint="F2"/>
          <w:sz w:val="22"/>
          <w:szCs w:val="22"/>
        </w:rPr>
        <w:t xml:space="preserve">plus </w:t>
      </w:r>
      <w:r w:rsidR="00640631" w:rsidRPr="00BB6E3B">
        <w:rPr>
          <w:rFonts w:ascii="Arial" w:hAnsi="Arial" w:cs="Arial"/>
          <w:color w:val="0D0D0D" w:themeColor="text1" w:themeTint="F2"/>
          <w:sz w:val="22"/>
          <w:szCs w:val="22"/>
        </w:rPr>
        <w:t>0,25 % BDP. Pri t</w:t>
      </w:r>
      <w:r w:rsidR="004514AC" w:rsidRPr="00BB6E3B">
        <w:rPr>
          <w:rFonts w:ascii="Arial" w:hAnsi="Arial" w:cs="Arial"/>
          <w:color w:val="0D0D0D" w:themeColor="text1" w:themeTint="F2"/>
          <w:sz w:val="22"/>
          <w:szCs w:val="22"/>
        </w:rPr>
        <w:t>em moramo zagotoviti takšen splet</w:t>
      </w:r>
      <w:r w:rsidR="00640631" w:rsidRPr="00BB6E3B">
        <w:rPr>
          <w:rFonts w:ascii="Arial" w:hAnsi="Arial" w:cs="Arial"/>
          <w:color w:val="0D0D0D" w:themeColor="text1" w:themeTint="F2"/>
          <w:sz w:val="22"/>
          <w:szCs w:val="22"/>
        </w:rPr>
        <w:t xml:space="preserve"> ekono</w:t>
      </w:r>
      <w:r w:rsidR="00FC55E8" w:rsidRPr="00BB6E3B">
        <w:rPr>
          <w:rFonts w:ascii="Arial" w:hAnsi="Arial" w:cs="Arial"/>
          <w:color w:val="0D0D0D" w:themeColor="text1" w:themeTint="F2"/>
          <w:sz w:val="22"/>
          <w:szCs w:val="22"/>
        </w:rPr>
        <w:t xml:space="preserve">mskih </w:t>
      </w:r>
      <w:r w:rsidR="00A26BDC" w:rsidRPr="00BB6E3B">
        <w:rPr>
          <w:rFonts w:ascii="Arial" w:hAnsi="Arial" w:cs="Arial"/>
          <w:color w:val="0D0D0D" w:themeColor="text1" w:themeTint="F2"/>
          <w:sz w:val="22"/>
          <w:szCs w:val="22"/>
        </w:rPr>
        <w:t>politik</w:t>
      </w:r>
      <w:r w:rsidR="00FC55E8" w:rsidRPr="00BB6E3B">
        <w:rPr>
          <w:rFonts w:ascii="Arial" w:hAnsi="Arial" w:cs="Arial"/>
          <w:color w:val="0D0D0D" w:themeColor="text1" w:themeTint="F2"/>
          <w:sz w:val="22"/>
          <w:szCs w:val="22"/>
        </w:rPr>
        <w:t xml:space="preserve">, </w:t>
      </w:r>
      <w:r w:rsidRPr="00BB6E3B">
        <w:rPr>
          <w:rFonts w:ascii="Arial" w:hAnsi="Arial" w:cs="Arial"/>
          <w:color w:val="0D0D0D" w:themeColor="text1" w:themeTint="F2"/>
          <w:sz w:val="22"/>
          <w:szCs w:val="22"/>
        </w:rPr>
        <w:t xml:space="preserve">ki omogoča, </w:t>
      </w:r>
      <w:r w:rsidR="00FC55E8" w:rsidRPr="00BB6E3B">
        <w:rPr>
          <w:rFonts w:ascii="Arial" w:hAnsi="Arial" w:cs="Arial"/>
          <w:color w:val="0D0D0D" w:themeColor="text1" w:themeTint="F2"/>
          <w:sz w:val="22"/>
          <w:szCs w:val="22"/>
        </w:rPr>
        <w:t>da na tem srednjer</w:t>
      </w:r>
      <w:r w:rsidR="00640631" w:rsidRPr="00BB6E3B">
        <w:rPr>
          <w:rFonts w:ascii="Arial" w:hAnsi="Arial" w:cs="Arial"/>
          <w:color w:val="0D0D0D" w:themeColor="text1" w:themeTint="F2"/>
          <w:sz w:val="22"/>
          <w:szCs w:val="22"/>
        </w:rPr>
        <w:t xml:space="preserve">očnem cilju ostanemo in da ne ogrožamo gospodarske rasti. </w:t>
      </w:r>
      <w:r w:rsidR="004514AC" w:rsidRPr="00BB6E3B">
        <w:rPr>
          <w:rFonts w:ascii="Arial" w:hAnsi="Arial" w:cs="Arial"/>
          <w:color w:val="0D0D0D" w:themeColor="text1" w:themeTint="F2"/>
          <w:sz w:val="22"/>
          <w:szCs w:val="22"/>
        </w:rPr>
        <w:t>Za razliko od SGP pa fiskal</w:t>
      </w:r>
      <w:r w:rsidR="00FC55E8" w:rsidRPr="00BB6E3B">
        <w:rPr>
          <w:rFonts w:ascii="Arial" w:hAnsi="Arial" w:cs="Arial"/>
          <w:color w:val="0D0D0D" w:themeColor="text1" w:themeTint="F2"/>
          <w:sz w:val="22"/>
          <w:szCs w:val="22"/>
        </w:rPr>
        <w:t xml:space="preserve">no </w:t>
      </w:r>
      <w:r w:rsidR="004514AC" w:rsidRPr="00BB6E3B">
        <w:rPr>
          <w:rFonts w:ascii="Arial" w:hAnsi="Arial" w:cs="Arial"/>
          <w:color w:val="0D0D0D" w:themeColor="text1" w:themeTint="F2"/>
          <w:sz w:val="22"/>
          <w:szCs w:val="22"/>
        </w:rPr>
        <w:t>p</w:t>
      </w:r>
      <w:r w:rsidR="00FC55E8" w:rsidRPr="00BB6E3B">
        <w:rPr>
          <w:rFonts w:ascii="Arial" w:hAnsi="Arial" w:cs="Arial"/>
          <w:color w:val="0D0D0D" w:themeColor="text1" w:themeTint="F2"/>
          <w:sz w:val="22"/>
          <w:szCs w:val="22"/>
        </w:rPr>
        <w:t>r</w:t>
      </w:r>
      <w:r w:rsidR="004514AC" w:rsidRPr="00BB6E3B">
        <w:rPr>
          <w:rFonts w:ascii="Arial" w:hAnsi="Arial" w:cs="Arial"/>
          <w:color w:val="0D0D0D" w:themeColor="text1" w:themeTint="F2"/>
          <w:sz w:val="22"/>
          <w:szCs w:val="22"/>
        </w:rPr>
        <w:t>avilo</w:t>
      </w:r>
      <w:r w:rsidRPr="00BB6E3B">
        <w:rPr>
          <w:rFonts w:ascii="Arial" w:hAnsi="Arial" w:cs="Arial"/>
          <w:color w:val="0D0D0D" w:themeColor="text1" w:themeTint="F2"/>
          <w:sz w:val="22"/>
          <w:szCs w:val="22"/>
        </w:rPr>
        <w:t>, ki ga določ</w:t>
      </w:r>
      <w:r w:rsidR="002C157C" w:rsidRPr="00BB6E3B">
        <w:rPr>
          <w:rFonts w:ascii="Arial" w:hAnsi="Arial" w:cs="Arial"/>
          <w:color w:val="0D0D0D" w:themeColor="text1" w:themeTint="F2"/>
          <w:sz w:val="22"/>
          <w:szCs w:val="22"/>
        </w:rPr>
        <w:t>i</w:t>
      </w:r>
      <w:r w:rsidRPr="00BB6E3B">
        <w:rPr>
          <w:rFonts w:ascii="Arial" w:hAnsi="Arial" w:cs="Arial"/>
          <w:color w:val="0D0D0D" w:themeColor="text1" w:themeTint="F2"/>
          <w:sz w:val="22"/>
          <w:szCs w:val="22"/>
        </w:rPr>
        <w:t xml:space="preserve"> ZFisP</w:t>
      </w:r>
      <w:r w:rsidR="00A26BDC" w:rsidRPr="00BB6E3B">
        <w:rPr>
          <w:rFonts w:ascii="Arial" w:hAnsi="Arial" w:cs="Arial"/>
          <w:color w:val="0D0D0D" w:themeColor="text1" w:themeTint="F2"/>
          <w:sz w:val="22"/>
          <w:szCs w:val="22"/>
        </w:rPr>
        <w:t>,</w:t>
      </w:r>
      <w:r w:rsidR="004514AC" w:rsidRPr="00BB6E3B">
        <w:rPr>
          <w:rFonts w:ascii="Arial" w:hAnsi="Arial" w:cs="Arial"/>
          <w:color w:val="0D0D0D" w:themeColor="text1" w:themeTint="F2"/>
          <w:sz w:val="22"/>
          <w:szCs w:val="22"/>
        </w:rPr>
        <w:t xml:space="preserve"> ne pozna pojma </w:t>
      </w:r>
      <w:r w:rsidRPr="00BB6E3B">
        <w:rPr>
          <w:rFonts w:ascii="Arial" w:hAnsi="Arial" w:cs="Arial"/>
          <w:color w:val="0D0D0D" w:themeColor="text1" w:themeTint="F2"/>
          <w:sz w:val="22"/>
          <w:szCs w:val="22"/>
        </w:rPr>
        <w:t>»</w:t>
      </w:r>
      <w:r w:rsidR="004514AC" w:rsidRPr="00BB6E3B">
        <w:rPr>
          <w:rFonts w:ascii="Arial" w:hAnsi="Arial" w:cs="Arial"/>
          <w:color w:val="0D0D0D" w:themeColor="text1" w:themeTint="F2"/>
          <w:sz w:val="22"/>
          <w:szCs w:val="22"/>
        </w:rPr>
        <w:t>približevanja MTO</w:t>
      </w:r>
      <w:r w:rsidR="00FC55E8" w:rsidRPr="00BB6E3B">
        <w:rPr>
          <w:rFonts w:ascii="Arial" w:hAnsi="Arial" w:cs="Arial"/>
          <w:color w:val="0D0D0D" w:themeColor="text1" w:themeTint="F2"/>
          <w:sz w:val="22"/>
          <w:szCs w:val="22"/>
        </w:rPr>
        <w:t>«</w:t>
      </w:r>
      <w:r w:rsidR="00A250CC"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 </w:t>
      </w:r>
      <w:r w:rsidR="006464D2" w:rsidRPr="00BB6E3B">
        <w:rPr>
          <w:rFonts w:ascii="Arial" w:hAnsi="Arial" w:cs="Arial"/>
          <w:color w:val="0D0D0D" w:themeColor="text1" w:themeTint="F2"/>
          <w:sz w:val="22"/>
          <w:szCs w:val="22"/>
        </w:rPr>
        <w:t>tako da se ne ogrozi gospodarske</w:t>
      </w:r>
      <w:r w:rsidR="00FC55E8" w:rsidRPr="00BB6E3B">
        <w:rPr>
          <w:rFonts w:ascii="Arial" w:hAnsi="Arial" w:cs="Arial"/>
          <w:color w:val="0D0D0D" w:themeColor="text1" w:themeTint="F2"/>
          <w:sz w:val="22"/>
          <w:szCs w:val="22"/>
        </w:rPr>
        <w:t xml:space="preserve"> rast</w:t>
      </w:r>
      <w:r w:rsidR="006464D2" w:rsidRPr="00BB6E3B">
        <w:rPr>
          <w:rFonts w:ascii="Arial" w:hAnsi="Arial" w:cs="Arial"/>
          <w:color w:val="0D0D0D" w:themeColor="text1" w:themeTint="F2"/>
          <w:sz w:val="22"/>
          <w:szCs w:val="22"/>
        </w:rPr>
        <w:t>i</w:t>
      </w:r>
      <w:r w:rsidR="00FC55E8" w:rsidRPr="00BB6E3B">
        <w:rPr>
          <w:rFonts w:ascii="Arial" w:hAnsi="Arial" w:cs="Arial"/>
          <w:color w:val="0D0D0D" w:themeColor="text1" w:themeTint="F2"/>
          <w:sz w:val="22"/>
          <w:szCs w:val="22"/>
        </w:rPr>
        <w:t xml:space="preserve"> oz</w:t>
      </w:r>
      <w:r w:rsidR="00AF3AA8" w:rsidRPr="00BB6E3B">
        <w:rPr>
          <w:rFonts w:ascii="Arial" w:hAnsi="Arial" w:cs="Arial"/>
          <w:color w:val="0D0D0D" w:themeColor="text1" w:themeTint="F2"/>
          <w:sz w:val="22"/>
          <w:szCs w:val="22"/>
        </w:rPr>
        <w:t>iroma</w:t>
      </w:r>
      <w:r w:rsidR="00FC55E8" w:rsidRPr="00BB6E3B">
        <w:rPr>
          <w:rFonts w:ascii="Arial" w:hAnsi="Arial" w:cs="Arial"/>
          <w:color w:val="0D0D0D" w:themeColor="text1" w:themeTint="F2"/>
          <w:sz w:val="22"/>
          <w:szCs w:val="22"/>
        </w:rPr>
        <w:t xml:space="preserve"> da </w:t>
      </w:r>
      <w:r w:rsidRPr="00BB6E3B">
        <w:rPr>
          <w:rFonts w:ascii="Arial" w:hAnsi="Arial" w:cs="Arial"/>
          <w:color w:val="0D0D0D" w:themeColor="text1" w:themeTint="F2"/>
          <w:sz w:val="22"/>
          <w:szCs w:val="22"/>
        </w:rPr>
        <w:t>se</w:t>
      </w:r>
      <w:r w:rsidR="00876A2D"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 xml:space="preserve">lahko zaradi javnih izdatkov npr. v investicije </w:t>
      </w:r>
      <w:r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lahko tudi v povezavi z občinami, </w:t>
      </w:r>
      <w:r w:rsidR="008A72A7" w:rsidRPr="00BB6E3B">
        <w:rPr>
          <w:rFonts w:ascii="Arial" w:hAnsi="Arial" w:cs="Arial"/>
          <w:color w:val="0D0D0D" w:themeColor="text1" w:themeTint="F2"/>
          <w:sz w:val="22"/>
          <w:szCs w:val="22"/>
        </w:rPr>
        <w:t xml:space="preserve">sredstvi </w:t>
      </w:r>
      <w:r w:rsidR="00FC55E8" w:rsidRPr="00BB6E3B">
        <w:rPr>
          <w:rFonts w:ascii="Arial" w:hAnsi="Arial" w:cs="Arial"/>
          <w:color w:val="0D0D0D" w:themeColor="text1" w:themeTint="F2"/>
          <w:sz w:val="22"/>
          <w:szCs w:val="22"/>
        </w:rPr>
        <w:t>EU</w:t>
      </w:r>
      <w:r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 zaradi zagotavljanja pravic porabe </w:t>
      </w:r>
      <w:r w:rsidRPr="00BB6E3B">
        <w:rPr>
          <w:rFonts w:ascii="Arial" w:hAnsi="Arial" w:cs="Arial"/>
          <w:color w:val="0D0D0D" w:themeColor="text1" w:themeTint="F2"/>
          <w:sz w:val="22"/>
          <w:szCs w:val="22"/>
        </w:rPr>
        <w:t>preseže</w:t>
      </w:r>
      <w:r w:rsidR="00FC55E8" w:rsidRPr="00BB6E3B">
        <w:rPr>
          <w:rFonts w:ascii="Arial" w:hAnsi="Arial" w:cs="Arial"/>
          <w:color w:val="0D0D0D" w:themeColor="text1" w:themeTint="F2"/>
          <w:sz w:val="22"/>
          <w:szCs w:val="22"/>
        </w:rPr>
        <w:t xml:space="preserve"> zgornja meja</w:t>
      </w:r>
      <w:r w:rsidRPr="00BB6E3B">
        <w:rPr>
          <w:rFonts w:ascii="Arial" w:hAnsi="Arial" w:cs="Arial"/>
          <w:color w:val="0D0D0D" w:themeColor="text1" w:themeTint="F2"/>
          <w:sz w:val="22"/>
          <w:szCs w:val="22"/>
        </w:rPr>
        <w:t xml:space="preserve"> dovoljenih izdatkov, ki jo določa Ok</w:t>
      </w:r>
      <w:r w:rsidR="00876A2D" w:rsidRPr="00BB6E3B">
        <w:rPr>
          <w:rFonts w:ascii="Arial" w:hAnsi="Arial" w:cs="Arial"/>
          <w:color w:val="0D0D0D" w:themeColor="text1" w:themeTint="F2"/>
          <w:sz w:val="22"/>
          <w:szCs w:val="22"/>
        </w:rPr>
        <w:t>vi</w:t>
      </w:r>
      <w:r w:rsidRPr="00BB6E3B">
        <w:rPr>
          <w:rFonts w:ascii="Arial" w:hAnsi="Arial" w:cs="Arial"/>
          <w:color w:val="0D0D0D" w:themeColor="text1" w:themeTint="F2"/>
          <w:sz w:val="22"/>
          <w:szCs w:val="22"/>
        </w:rPr>
        <w:t>r</w:t>
      </w:r>
      <w:r w:rsidR="00FC55E8" w:rsidRPr="00BB6E3B">
        <w:rPr>
          <w:rFonts w:ascii="Arial" w:hAnsi="Arial" w:cs="Arial"/>
          <w:color w:val="0D0D0D" w:themeColor="text1" w:themeTint="F2"/>
          <w:sz w:val="22"/>
          <w:szCs w:val="22"/>
        </w:rPr>
        <w:t>. Še več</w:t>
      </w:r>
      <w:r w:rsidR="00876A2D"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 </w:t>
      </w:r>
      <w:r w:rsidR="004514AC" w:rsidRPr="00BB6E3B">
        <w:rPr>
          <w:rFonts w:ascii="Arial" w:hAnsi="Arial" w:cs="Arial"/>
          <w:color w:val="0D0D0D" w:themeColor="text1" w:themeTint="F2"/>
          <w:sz w:val="22"/>
          <w:szCs w:val="22"/>
        </w:rPr>
        <w:t>ne</w:t>
      </w:r>
      <w:r w:rsidR="002C157C" w:rsidRPr="00BB6E3B">
        <w:rPr>
          <w:rFonts w:ascii="Arial" w:hAnsi="Arial" w:cs="Arial"/>
          <w:color w:val="0D0D0D" w:themeColor="text1" w:themeTint="F2"/>
          <w:sz w:val="22"/>
          <w:szCs w:val="22"/>
        </w:rPr>
        <w:t xml:space="preserve"> </w:t>
      </w:r>
      <w:r w:rsidR="004514AC" w:rsidRPr="00BB6E3B">
        <w:rPr>
          <w:rFonts w:ascii="Arial" w:hAnsi="Arial" w:cs="Arial"/>
          <w:color w:val="0D0D0D" w:themeColor="text1" w:themeTint="F2"/>
          <w:sz w:val="22"/>
          <w:szCs w:val="22"/>
        </w:rPr>
        <w:t>glede na zahtevano ma</w:t>
      </w:r>
      <w:r w:rsidR="00332FA6" w:rsidRPr="00BB6E3B">
        <w:rPr>
          <w:rFonts w:ascii="Arial" w:hAnsi="Arial" w:cs="Arial"/>
          <w:color w:val="0D0D0D" w:themeColor="text1" w:themeTint="F2"/>
          <w:sz w:val="22"/>
          <w:szCs w:val="22"/>
        </w:rPr>
        <w:t>triko fisk</w:t>
      </w:r>
      <w:r w:rsidR="004514AC" w:rsidRPr="00BB6E3B">
        <w:rPr>
          <w:rFonts w:ascii="Arial" w:hAnsi="Arial" w:cs="Arial"/>
          <w:color w:val="0D0D0D" w:themeColor="text1" w:themeTint="F2"/>
          <w:sz w:val="22"/>
          <w:szCs w:val="22"/>
        </w:rPr>
        <w:t>a</w:t>
      </w:r>
      <w:r w:rsidR="00332FA6" w:rsidRPr="00BB6E3B">
        <w:rPr>
          <w:rFonts w:ascii="Arial" w:hAnsi="Arial" w:cs="Arial"/>
          <w:color w:val="0D0D0D" w:themeColor="text1" w:themeTint="F2"/>
          <w:sz w:val="22"/>
          <w:szCs w:val="22"/>
        </w:rPr>
        <w:t>l</w:t>
      </w:r>
      <w:r w:rsidR="004514AC" w:rsidRPr="00BB6E3B">
        <w:rPr>
          <w:rFonts w:ascii="Arial" w:hAnsi="Arial" w:cs="Arial"/>
          <w:color w:val="0D0D0D" w:themeColor="text1" w:themeTint="F2"/>
          <w:sz w:val="22"/>
          <w:szCs w:val="22"/>
        </w:rPr>
        <w:t>nih naporov (ki jo prejudicira izključno izračun</w:t>
      </w:r>
      <w:r w:rsidR="00FC55E8" w:rsidRPr="00BB6E3B">
        <w:rPr>
          <w:rFonts w:ascii="Arial" w:hAnsi="Arial" w:cs="Arial"/>
          <w:color w:val="0D0D0D" w:themeColor="text1" w:themeTint="F2"/>
          <w:sz w:val="22"/>
          <w:szCs w:val="22"/>
        </w:rPr>
        <w:t xml:space="preserve"> proizvodne vrzeli, ki se je v </w:t>
      </w:r>
      <w:r w:rsidR="004514AC" w:rsidRPr="00BB6E3B">
        <w:rPr>
          <w:rFonts w:ascii="Arial" w:hAnsi="Arial" w:cs="Arial"/>
          <w:color w:val="0D0D0D" w:themeColor="text1" w:themeTint="F2"/>
          <w:sz w:val="22"/>
          <w:szCs w:val="22"/>
        </w:rPr>
        <w:t>v</w:t>
      </w:r>
      <w:r w:rsidR="00FC55E8" w:rsidRPr="00BB6E3B">
        <w:rPr>
          <w:rFonts w:ascii="Arial" w:hAnsi="Arial" w:cs="Arial"/>
          <w:color w:val="0D0D0D" w:themeColor="text1" w:themeTint="F2"/>
          <w:sz w:val="22"/>
          <w:szCs w:val="22"/>
        </w:rPr>
        <w:t>s</w:t>
      </w:r>
      <w:r w:rsidR="004514AC" w:rsidRPr="00BB6E3B">
        <w:rPr>
          <w:rFonts w:ascii="Arial" w:hAnsi="Arial" w:cs="Arial"/>
          <w:color w:val="0D0D0D" w:themeColor="text1" w:themeTint="F2"/>
          <w:sz w:val="22"/>
          <w:szCs w:val="22"/>
        </w:rPr>
        <w:t>eh teoretičnih razpravah</w:t>
      </w:r>
      <w:r w:rsidR="006464D2" w:rsidRPr="00BB6E3B">
        <w:rPr>
          <w:rFonts w:ascii="Arial" w:hAnsi="Arial" w:cs="Arial"/>
          <w:color w:val="0D0D0D" w:themeColor="text1" w:themeTint="F2"/>
          <w:sz w:val="22"/>
          <w:szCs w:val="22"/>
        </w:rPr>
        <w:t xml:space="preserve"> in empiričnih izračunih</w:t>
      </w:r>
      <w:r w:rsidR="004514AC" w:rsidRPr="00BB6E3B">
        <w:rPr>
          <w:rFonts w:ascii="Arial" w:hAnsi="Arial" w:cs="Arial"/>
          <w:color w:val="0D0D0D" w:themeColor="text1" w:themeTint="F2"/>
          <w:sz w:val="22"/>
          <w:szCs w:val="22"/>
        </w:rPr>
        <w:t xml:space="preserve"> dokazal</w:t>
      </w:r>
      <w:r w:rsidR="00FC55E8" w:rsidRPr="00BB6E3B">
        <w:rPr>
          <w:rFonts w:ascii="Arial" w:hAnsi="Arial" w:cs="Arial"/>
          <w:color w:val="0D0D0D" w:themeColor="text1" w:themeTint="F2"/>
          <w:sz w:val="22"/>
          <w:szCs w:val="22"/>
        </w:rPr>
        <w:t>a kot zelo volatil</w:t>
      </w:r>
      <w:r w:rsidR="004514AC" w:rsidRPr="00BB6E3B">
        <w:rPr>
          <w:rFonts w:ascii="Arial" w:hAnsi="Arial" w:cs="Arial"/>
          <w:color w:val="0D0D0D" w:themeColor="text1" w:themeTint="F2"/>
          <w:sz w:val="22"/>
          <w:szCs w:val="22"/>
        </w:rPr>
        <w:t>n</w:t>
      </w:r>
      <w:r w:rsidR="00FC55E8" w:rsidRPr="00BB6E3B">
        <w:rPr>
          <w:rFonts w:ascii="Arial" w:hAnsi="Arial" w:cs="Arial"/>
          <w:color w:val="0D0D0D" w:themeColor="text1" w:themeTint="F2"/>
          <w:sz w:val="22"/>
          <w:szCs w:val="22"/>
        </w:rPr>
        <w:t>a</w:t>
      </w:r>
      <w:r w:rsidR="004514AC" w:rsidRPr="00BB6E3B">
        <w:rPr>
          <w:rFonts w:ascii="Arial" w:hAnsi="Arial" w:cs="Arial"/>
          <w:color w:val="0D0D0D" w:themeColor="text1" w:themeTint="F2"/>
          <w:sz w:val="22"/>
          <w:szCs w:val="22"/>
        </w:rPr>
        <w:t xml:space="preserve"> in neu</w:t>
      </w:r>
      <w:r w:rsidR="00FC55E8" w:rsidRPr="00BB6E3B">
        <w:rPr>
          <w:rFonts w:ascii="Arial" w:hAnsi="Arial" w:cs="Arial"/>
          <w:color w:val="0D0D0D" w:themeColor="text1" w:themeTint="F2"/>
          <w:sz w:val="22"/>
          <w:szCs w:val="22"/>
        </w:rPr>
        <w:t>s</w:t>
      </w:r>
      <w:r w:rsidR="004514AC" w:rsidRPr="00BB6E3B">
        <w:rPr>
          <w:rFonts w:ascii="Arial" w:hAnsi="Arial" w:cs="Arial"/>
          <w:color w:val="0D0D0D" w:themeColor="text1" w:themeTint="F2"/>
          <w:sz w:val="22"/>
          <w:szCs w:val="22"/>
        </w:rPr>
        <w:t>trezno merjen</w:t>
      </w:r>
      <w:r w:rsidR="00FC55E8" w:rsidRPr="00BB6E3B">
        <w:rPr>
          <w:rFonts w:ascii="Arial" w:hAnsi="Arial" w:cs="Arial"/>
          <w:color w:val="0D0D0D" w:themeColor="text1" w:themeTint="F2"/>
          <w:sz w:val="22"/>
          <w:szCs w:val="22"/>
        </w:rPr>
        <w:t>a</w:t>
      </w:r>
      <w:r w:rsidR="004514AC" w:rsidRPr="00BB6E3B">
        <w:rPr>
          <w:rFonts w:ascii="Arial" w:hAnsi="Arial" w:cs="Arial"/>
          <w:color w:val="0D0D0D" w:themeColor="text1" w:themeTint="F2"/>
          <w:sz w:val="22"/>
          <w:szCs w:val="22"/>
        </w:rPr>
        <w:t>),</w:t>
      </w:r>
      <w:r w:rsidR="006464D2" w:rsidRPr="00BB6E3B">
        <w:rPr>
          <w:rFonts w:ascii="Arial" w:hAnsi="Arial" w:cs="Arial"/>
          <w:color w:val="0D0D0D" w:themeColor="text1" w:themeTint="F2"/>
          <w:sz w:val="22"/>
          <w:szCs w:val="22"/>
        </w:rPr>
        <w:t xml:space="preserve"> razlaga</w:t>
      </w:r>
      <w:r w:rsidR="004514AC" w:rsidRPr="00BB6E3B">
        <w:rPr>
          <w:rFonts w:ascii="Arial" w:hAnsi="Arial" w:cs="Arial"/>
          <w:color w:val="0D0D0D" w:themeColor="text1" w:themeTint="F2"/>
          <w:sz w:val="22"/>
          <w:szCs w:val="22"/>
        </w:rPr>
        <w:t xml:space="preserve"> </w:t>
      </w:r>
      <w:r w:rsidR="00876A2D" w:rsidRPr="00BB6E3B">
        <w:rPr>
          <w:rFonts w:ascii="Arial" w:hAnsi="Arial" w:cs="Arial"/>
          <w:color w:val="0D0D0D" w:themeColor="text1" w:themeTint="F2"/>
          <w:sz w:val="22"/>
          <w:szCs w:val="22"/>
        </w:rPr>
        <w:t>fiskaln</w:t>
      </w:r>
      <w:r w:rsidR="00A26BDC" w:rsidRPr="00BB6E3B">
        <w:rPr>
          <w:rFonts w:ascii="Arial" w:hAnsi="Arial" w:cs="Arial"/>
          <w:color w:val="0D0D0D" w:themeColor="text1" w:themeTint="F2"/>
          <w:sz w:val="22"/>
          <w:szCs w:val="22"/>
        </w:rPr>
        <w:t>ega pravila z vidika časovne</w:t>
      </w:r>
      <w:r w:rsidR="00122B36" w:rsidRPr="00BB6E3B">
        <w:rPr>
          <w:rFonts w:ascii="Arial" w:hAnsi="Arial" w:cs="Arial"/>
          <w:color w:val="0D0D0D" w:themeColor="text1" w:themeTint="F2"/>
          <w:sz w:val="22"/>
          <w:szCs w:val="22"/>
        </w:rPr>
        <w:t>ga</w:t>
      </w:r>
      <w:r w:rsidR="00A26BDC" w:rsidRPr="00BB6E3B">
        <w:rPr>
          <w:rFonts w:ascii="Arial" w:hAnsi="Arial" w:cs="Arial"/>
          <w:color w:val="0D0D0D" w:themeColor="text1" w:themeTint="F2"/>
          <w:sz w:val="22"/>
          <w:szCs w:val="22"/>
        </w:rPr>
        <w:t xml:space="preserve"> približevanja MTO nikoli ni bila</w:t>
      </w:r>
      <w:r w:rsidR="00876A2D" w:rsidRPr="00BB6E3B">
        <w:rPr>
          <w:rFonts w:ascii="Arial" w:hAnsi="Arial" w:cs="Arial"/>
          <w:color w:val="0D0D0D" w:themeColor="text1" w:themeTint="F2"/>
          <w:sz w:val="22"/>
          <w:szCs w:val="22"/>
        </w:rPr>
        <w:t xml:space="preserve"> </w:t>
      </w:r>
      <w:r w:rsidR="00A26BDC" w:rsidRPr="00BB6E3B">
        <w:rPr>
          <w:rFonts w:ascii="Arial" w:hAnsi="Arial" w:cs="Arial"/>
          <w:color w:val="0D0D0D" w:themeColor="text1" w:themeTint="F2"/>
          <w:sz w:val="22"/>
          <w:szCs w:val="22"/>
        </w:rPr>
        <w:t>nedvoumna, predpostavlja se</w:t>
      </w:r>
      <w:r w:rsidR="00BD5C9F" w:rsidRPr="00BB6E3B">
        <w:rPr>
          <w:rFonts w:ascii="Arial" w:hAnsi="Arial" w:cs="Arial"/>
          <w:color w:val="0D0D0D" w:themeColor="text1" w:themeTint="F2"/>
          <w:sz w:val="22"/>
          <w:szCs w:val="22"/>
        </w:rPr>
        <w:t>,</w:t>
      </w:r>
      <w:r w:rsidR="004514AC" w:rsidRPr="00BB6E3B">
        <w:rPr>
          <w:rFonts w:ascii="Arial" w:hAnsi="Arial" w:cs="Arial"/>
          <w:color w:val="0D0D0D" w:themeColor="text1" w:themeTint="F2"/>
          <w:sz w:val="22"/>
          <w:szCs w:val="22"/>
        </w:rPr>
        <w:t xml:space="preserve"> d</w:t>
      </w:r>
      <w:r w:rsidR="00594398" w:rsidRPr="00BB6E3B">
        <w:rPr>
          <w:rFonts w:ascii="Arial" w:hAnsi="Arial" w:cs="Arial"/>
          <w:color w:val="0D0D0D" w:themeColor="text1" w:themeTint="F2"/>
          <w:sz w:val="22"/>
          <w:szCs w:val="22"/>
        </w:rPr>
        <w:t xml:space="preserve">a se že v </w:t>
      </w:r>
      <w:r w:rsidR="00F12CD5" w:rsidRPr="00BB6E3B">
        <w:rPr>
          <w:rFonts w:ascii="Arial" w:hAnsi="Arial" w:cs="Arial"/>
          <w:color w:val="0D0D0D" w:themeColor="text1" w:themeTint="F2"/>
          <w:sz w:val="22"/>
          <w:szCs w:val="22"/>
        </w:rPr>
        <w:t>l</w:t>
      </w:r>
      <w:r w:rsidR="00594398" w:rsidRPr="00BB6E3B">
        <w:rPr>
          <w:rFonts w:ascii="Arial" w:hAnsi="Arial" w:cs="Arial"/>
          <w:color w:val="0D0D0D" w:themeColor="text1" w:themeTint="F2"/>
          <w:sz w:val="22"/>
          <w:szCs w:val="22"/>
        </w:rPr>
        <w:t>e</w:t>
      </w:r>
      <w:r w:rsidR="00F12CD5" w:rsidRPr="00BB6E3B">
        <w:rPr>
          <w:rFonts w:ascii="Arial" w:hAnsi="Arial" w:cs="Arial"/>
          <w:color w:val="0D0D0D" w:themeColor="text1" w:themeTint="F2"/>
          <w:sz w:val="22"/>
          <w:szCs w:val="22"/>
        </w:rPr>
        <w:t xml:space="preserve">tu 2020 doseže </w:t>
      </w:r>
      <w:r w:rsidRPr="00BB6E3B">
        <w:rPr>
          <w:rFonts w:ascii="Arial" w:hAnsi="Arial" w:cs="Arial"/>
          <w:color w:val="0D0D0D" w:themeColor="text1" w:themeTint="F2"/>
          <w:sz w:val="22"/>
          <w:szCs w:val="22"/>
        </w:rPr>
        <w:t>izravnan strukturni saldo</w:t>
      </w:r>
      <w:r w:rsidR="00003B3F" w:rsidRPr="00BB6E3B">
        <w:rPr>
          <w:rFonts w:ascii="Arial" w:hAnsi="Arial" w:cs="Arial"/>
          <w:color w:val="0D0D0D" w:themeColor="text1" w:themeTint="F2"/>
          <w:sz w:val="22"/>
          <w:szCs w:val="22"/>
        </w:rPr>
        <w:t>.</w:t>
      </w:r>
      <w:r w:rsidR="00594398" w:rsidRPr="00BB6E3B">
        <w:rPr>
          <w:rFonts w:ascii="Arial" w:hAnsi="Arial" w:cs="Arial"/>
          <w:color w:val="0D0D0D" w:themeColor="text1" w:themeTint="F2"/>
          <w:sz w:val="22"/>
          <w:szCs w:val="22"/>
        </w:rPr>
        <w:t xml:space="preserve"> Prav tako d</w:t>
      </w:r>
      <w:r w:rsidR="00FC55E8" w:rsidRPr="00BB6E3B">
        <w:rPr>
          <w:rFonts w:ascii="Arial" w:hAnsi="Arial" w:cs="Arial"/>
          <w:color w:val="0D0D0D" w:themeColor="text1" w:themeTint="F2"/>
          <w:sz w:val="22"/>
          <w:szCs w:val="22"/>
        </w:rPr>
        <w:t xml:space="preserve">omače </w:t>
      </w:r>
      <w:r w:rsidR="00594398" w:rsidRPr="00BB6E3B">
        <w:rPr>
          <w:rFonts w:ascii="Arial" w:hAnsi="Arial" w:cs="Arial"/>
          <w:color w:val="0D0D0D" w:themeColor="text1" w:themeTint="F2"/>
          <w:sz w:val="22"/>
          <w:szCs w:val="22"/>
        </w:rPr>
        <w:t>p</w:t>
      </w:r>
      <w:r w:rsidR="00FC55E8" w:rsidRPr="00BB6E3B">
        <w:rPr>
          <w:rFonts w:ascii="Arial" w:hAnsi="Arial" w:cs="Arial"/>
          <w:color w:val="0D0D0D" w:themeColor="text1" w:themeTint="F2"/>
          <w:sz w:val="22"/>
          <w:szCs w:val="22"/>
        </w:rPr>
        <w:t>r</w:t>
      </w:r>
      <w:r w:rsidR="00594398" w:rsidRPr="00BB6E3B">
        <w:rPr>
          <w:rFonts w:ascii="Arial" w:hAnsi="Arial" w:cs="Arial"/>
          <w:color w:val="0D0D0D" w:themeColor="text1" w:themeTint="F2"/>
          <w:sz w:val="22"/>
          <w:szCs w:val="22"/>
        </w:rPr>
        <w:t xml:space="preserve">avilo </w:t>
      </w:r>
      <w:r w:rsidR="00FC55E8" w:rsidRPr="00BB6E3B">
        <w:rPr>
          <w:rFonts w:ascii="Arial" w:hAnsi="Arial" w:cs="Arial"/>
          <w:color w:val="0D0D0D" w:themeColor="text1" w:themeTint="F2"/>
          <w:sz w:val="22"/>
          <w:szCs w:val="22"/>
        </w:rPr>
        <w:t>ne</w:t>
      </w:r>
      <w:r w:rsidR="00594398" w:rsidRPr="00BB6E3B">
        <w:rPr>
          <w:rFonts w:ascii="Arial" w:hAnsi="Arial" w:cs="Arial"/>
          <w:color w:val="0D0D0D" w:themeColor="text1" w:themeTint="F2"/>
          <w:sz w:val="22"/>
          <w:szCs w:val="22"/>
        </w:rPr>
        <w:t xml:space="preserve"> definira </w:t>
      </w:r>
      <w:r w:rsidR="00BD5C9F" w:rsidRPr="00BB6E3B">
        <w:rPr>
          <w:rFonts w:ascii="Arial" w:hAnsi="Arial" w:cs="Arial"/>
          <w:color w:val="0D0D0D" w:themeColor="text1" w:themeTint="F2"/>
          <w:sz w:val="22"/>
          <w:szCs w:val="22"/>
        </w:rPr>
        <w:t xml:space="preserve">ustreznega </w:t>
      </w:r>
      <w:r w:rsidR="00FC55E8" w:rsidRPr="00BB6E3B">
        <w:rPr>
          <w:rFonts w:ascii="Arial" w:hAnsi="Arial" w:cs="Arial"/>
          <w:color w:val="0D0D0D" w:themeColor="text1" w:themeTint="F2"/>
          <w:sz w:val="22"/>
          <w:szCs w:val="22"/>
        </w:rPr>
        <w:t>letn</w:t>
      </w:r>
      <w:r w:rsidR="00BD5C9F" w:rsidRPr="00BB6E3B">
        <w:rPr>
          <w:rFonts w:ascii="Arial" w:hAnsi="Arial" w:cs="Arial"/>
          <w:color w:val="0D0D0D" w:themeColor="text1" w:themeTint="F2"/>
          <w:sz w:val="22"/>
          <w:szCs w:val="22"/>
        </w:rPr>
        <w:t>ega</w:t>
      </w:r>
      <w:r w:rsidR="00FC55E8" w:rsidRPr="00BB6E3B">
        <w:rPr>
          <w:rFonts w:ascii="Arial" w:hAnsi="Arial" w:cs="Arial"/>
          <w:color w:val="0D0D0D" w:themeColor="text1" w:themeTint="F2"/>
          <w:sz w:val="22"/>
          <w:szCs w:val="22"/>
        </w:rPr>
        <w:t xml:space="preserve"> </w:t>
      </w:r>
      <w:r w:rsidR="00594398" w:rsidRPr="00BB6E3B">
        <w:rPr>
          <w:rFonts w:ascii="Arial" w:hAnsi="Arial" w:cs="Arial"/>
          <w:color w:val="0D0D0D" w:themeColor="text1" w:themeTint="F2"/>
          <w:sz w:val="22"/>
          <w:szCs w:val="22"/>
        </w:rPr>
        <w:t>m</w:t>
      </w:r>
      <w:r w:rsidR="00FC55E8" w:rsidRPr="00BB6E3B">
        <w:rPr>
          <w:rFonts w:ascii="Arial" w:hAnsi="Arial" w:cs="Arial"/>
          <w:color w:val="0D0D0D" w:themeColor="text1" w:themeTint="F2"/>
          <w:sz w:val="22"/>
          <w:szCs w:val="22"/>
        </w:rPr>
        <w:t>e</w:t>
      </w:r>
      <w:r w:rsidR="00594398" w:rsidRPr="00BB6E3B">
        <w:rPr>
          <w:rFonts w:ascii="Arial" w:hAnsi="Arial" w:cs="Arial"/>
          <w:color w:val="0D0D0D" w:themeColor="text1" w:themeTint="F2"/>
          <w:sz w:val="22"/>
          <w:szCs w:val="22"/>
        </w:rPr>
        <w:t>rjenj</w:t>
      </w:r>
      <w:r w:rsidR="00BD5C9F" w:rsidRPr="00BB6E3B">
        <w:rPr>
          <w:rFonts w:ascii="Arial" w:hAnsi="Arial" w:cs="Arial"/>
          <w:color w:val="0D0D0D" w:themeColor="text1" w:themeTint="F2"/>
          <w:sz w:val="22"/>
          <w:szCs w:val="22"/>
        </w:rPr>
        <w:t>a</w:t>
      </w:r>
      <w:r w:rsidR="002C157C" w:rsidRPr="00BB6E3B">
        <w:rPr>
          <w:rFonts w:ascii="Arial" w:hAnsi="Arial" w:cs="Arial"/>
          <w:color w:val="0D0D0D" w:themeColor="text1" w:themeTint="F2"/>
          <w:sz w:val="22"/>
          <w:szCs w:val="22"/>
        </w:rPr>
        <w:t xml:space="preserve"> ustreznih fiskalnih naporov</w:t>
      </w:r>
      <w:r w:rsidR="00FC55E8" w:rsidRPr="00BB6E3B">
        <w:rPr>
          <w:rFonts w:ascii="Arial" w:hAnsi="Arial" w:cs="Arial"/>
          <w:color w:val="0D0D0D" w:themeColor="text1" w:themeTint="F2"/>
          <w:sz w:val="22"/>
          <w:szCs w:val="22"/>
        </w:rPr>
        <w:t xml:space="preserve"> </w:t>
      </w:r>
      <w:r w:rsidRPr="00BB6E3B">
        <w:rPr>
          <w:rFonts w:ascii="Arial" w:hAnsi="Arial" w:cs="Arial"/>
          <w:color w:val="0D0D0D" w:themeColor="text1" w:themeTint="F2"/>
          <w:sz w:val="22"/>
          <w:szCs w:val="22"/>
        </w:rPr>
        <w:t>oz</w:t>
      </w:r>
      <w:r w:rsidR="00122B36" w:rsidRPr="00BB6E3B">
        <w:rPr>
          <w:rFonts w:ascii="Arial" w:hAnsi="Arial" w:cs="Arial"/>
          <w:color w:val="0D0D0D" w:themeColor="text1" w:themeTint="F2"/>
          <w:sz w:val="22"/>
          <w:szCs w:val="22"/>
        </w:rPr>
        <w:t>iroma</w:t>
      </w:r>
      <w:r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prilagajanj</w:t>
      </w:r>
      <w:r w:rsidR="00BD5C9F" w:rsidRPr="00BB6E3B">
        <w:rPr>
          <w:rFonts w:ascii="Arial" w:hAnsi="Arial" w:cs="Arial"/>
          <w:color w:val="0D0D0D" w:themeColor="text1" w:themeTint="F2"/>
          <w:sz w:val="22"/>
          <w:szCs w:val="22"/>
        </w:rPr>
        <w:t>a</w:t>
      </w:r>
      <w:r w:rsidR="00594398" w:rsidRPr="00BB6E3B">
        <w:rPr>
          <w:rFonts w:ascii="Arial" w:hAnsi="Arial" w:cs="Arial"/>
          <w:color w:val="0D0D0D" w:themeColor="text1" w:themeTint="F2"/>
          <w:sz w:val="22"/>
          <w:szCs w:val="22"/>
        </w:rPr>
        <w:t xml:space="preserve"> poti za doseganje MTO</w:t>
      </w:r>
      <w:r w:rsidR="00FC55E8" w:rsidRPr="00BB6E3B">
        <w:rPr>
          <w:rFonts w:ascii="Arial" w:hAnsi="Arial" w:cs="Arial"/>
          <w:color w:val="0D0D0D" w:themeColor="text1" w:themeTint="F2"/>
          <w:sz w:val="22"/>
          <w:szCs w:val="22"/>
        </w:rPr>
        <w:t xml:space="preserve"> (t.</w:t>
      </w:r>
      <w:r w:rsidR="00122B36"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i. polovična smer zahtevnega fiskalnega napora)</w:t>
      </w:r>
      <w:r w:rsidR="00594398" w:rsidRPr="00BB6E3B">
        <w:rPr>
          <w:rFonts w:ascii="Arial" w:hAnsi="Arial" w:cs="Arial"/>
          <w:color w:val="0D0D0D" w:themeColor="text1" w:themeTint="F2"/>
          <w:sz w:val="22"/>
          <w:szCs w:val="22"/>
        </w:rPr>
        <w:t>, t</w:t>
      </w:r>
      <w:r w:rsidR="00FC55E8" w:rsidRPr="00BB6E3B">
        <w:rPr>
          <w:rFonts w:ascii="Arial" w:hAnsi="Arial" w:cs="Arial"/>
          <w:color w:val="0D0D0D" w:themeColor="text1" w:themeTint="F2"/>
          <w:sz w:val="22"/>
          <w:szCs w:val="22"/>
        </w:rPr>
        <w:t>e</w:t>
      </w:r>
      <w:r w:rsidR="00594398" w:rsidRPr="00BB6E3B">
        <w:rPr>
          <w:rFonts w:ascii="Arial" w:hAnsi="Arial" w:cs="Arial"/>
          <w:color w:val="0D0D0D" w:themeColor="text1" w:themeTint="F2"/>
          <w:sz w:val="22"/>
          <w:szCs w:val="22"/>
        </w:rPr>
        <w:t>mveč po</w:t>
      </w:r>
      <w:r w:rsidR="00FC55E8" w:rsidRPr="00BB6E3B">
        <w:rPr>
          <w:rFonts w:ascii="Arial" w:hAnsi="Arial" w:cs="Arial"/>
          <w:color w:val="0D0D0D" w:themeColor="text1" w:themeTint="F2"/>
          <w:sz w:val="22"/>
          <w:szCs w:val="22"/>
        </w:rPr>
        <w:t xml:space="preserve"> tolmačenju Fisk</w:t>
      </w:r>
      <w:r w:rsidR="00BD5C9F" w:rsidRPr="00BB6E3B">
        <w:rPr>
          <w:rFonts w:ascii="Arial" w:hAnsi="Arial" w:cs="Arial"/>
          <w:color w:val="0D0D0D" w:themeColor="text1" w:themeTint="F2"/>
          <w:sz w:val="22"/>
          <w:szCs w:val="22"/>
        </w:rPr>
        <w:t>a</w:t>
      </w:r>
      <w:r w:rsidR="00FC55E8" w:rsidRPr="00BB6E3B">
        <w:rPr>
          <w:rFonts w:ascii="Arial" w:hAnsi="Arial" w:cs="Arial"/>
          <w:color w:val="0D0D0D" w:themeColor="text1" w:themeTint="F2"/>
          <w:sz w:val="22"/>
          <w:szCs w:val="22"/>
        </w:rPr>
        <w:t>lnega sveta zah</w:t>
      </w:r>
      <w:r w:rsidR="00594398" w:rsidRPr="00BB6E3B">
        <w:rPr>
          <w:rFonts w:ascii="Arial" w:hAnsi="Arial" w:cs="Arial"/>
          <w:color w:val="0D0D0D" w:themeColor="text1" w:themeTint="F2"/>
          <w:sz w:val="22"/>
          <w:szCs w:val="22"/>
        </w:rPr>
        <w:t>teva</w:t>
      </w:r>
      <w:r w:rsidRPr="00BB6E3B">
        <w:rPr>
          <w:rFonts w:ascii="Arial" w:hAnsi="Arial" w:cs="Arial"/>
          <w:color w:val="0D0D0D" w:themeColor="text1" w:themeTint="F2"/>
          <w:sz w:val="22"/>
          <w:szCs w:val="22"/>
        </w:rPr>
        <w:t>,</w:t>
      </w:r>
      <w:r w:rsidR="00594398" w:rsidRPr="00BB6E3B">
        <w:rPr>
          <w:rFonts w:ascii="Arial" w:hAnsi="Arial" w:cs="Arial"/>
          <w:color w:val="0D0D0D" w:themeColor="text1" w:themeTint="F2"/>
          <w:sz w:val="22"/>
          <w:szCs w:val="22"/>
        </w:rPr>
        <w:t xml:space="preserve"> da se v vs</w:t>
      </w:r>
      <w:r w:rsidR="00FC55E8" w:rsidRPr="00BB6E3B">
        <w:rPr>
          <w:rFonts w:ascii="Arial" w:hAnsi="Arial" w:cs="Arial"/>
          <w:color w:val="0D0D0D" w:themeColor="text1" w:themeTint="F2"/>
          <w:sz w:val="22"/>
          <w:szCs w:val="22"/>
        </w:rPr>
        <w:t>akem pri</w:t>
      </w:r>
      <w:r w:rsidR="00594398" w:rsidRPr="00BB6E3B">
        <w:rPr>
          <w:rFonts w:ascii="Arial" w:hAnsi="Arial" w:cs="Arial"/>
          <w:color w:val="0D0D0D" w:themeColor="text1" w:themeTint="F2"/>
          <w:sz w:val="22"/>
          <w:szCs w:val="22"/>
        </w:rPr>
        <w:t>m</w:t>
      </w:r>
      <w:r w:rsidR="00FC55E8" w:rsidRPr="00BB6E3B">
        <w:rPr>
          <w:rFonts w:ascii="Arial" w:hAnsi="Arial" w:cs="Arial"/>
          <w:color w:val="0D0D0D" w:themeColor="text1" w:themeTint="F2"/>
          <w:sz w:val="22"/>
          <w:szCs w:val="22"/>
        </w:rPr>
        <w:t>e</w:t>
      </w:r>
      <w:r w:rsidR="00594398" w:rsidRPr="00BB6E3B">
        <w:rPr>
          <w:rFonts w:ascii="Arial" w:hAnsi="Arial" w:cs="Arial"/>
          <w:color w:val="0D0D0D" w:themeColor="text1" w:themeTint="F2"/>
          <w:sz w:val="22"/>
          <w:szCs w:val="22"/>
        </w:rPr>
        <w:t>ru ostane na MTO</w:t>
      </w:r>
      <w:r w:rsidR="002C157C" w:rsidRPr="00BB6E3B">
        <w:rPr>
          <w:rFonts w:ascii="Arial" w:hAnsi="Arial" w:cs="Arial"/>
          <w:color w:val="0D0D0D" w:themeColor="text1" w:themeTint="F2"/>
          <w:sz w:val="22"/>
          <w:szCs w:val="22"/>
        </w:rPr>
        <w:t xml:space="preserve"> in se ne smemo vrniti vanj v nekem »opredeljenem času« niti odstopati</w:t>
      </w:r>
      <w:r w:rsidR="00FC55E8" w:rsidRPr="00BB6E3B">
        <w:rPr>
          <w:rFonts w:ascii="Arial" w:hAnsi="Arial" w:cs="Arial"/>
          <w:color w:val="0D0D0D" w:themeColor="text1" w:themeTint="F2"/>
          <w:sz w:val="22"/>
          <w:szCs w:val="22"/>
        </w:rPr>
        <w:t xml:space="preserve"> ne</w:t>
      </w:r>
      <w:r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glede na re</w:t>
      </w:r>
      <w:r w:rsidR="00594398" w:rsidRPr="00BB6E3B">
        <w:rPr>
          <w:rFonts w:ascii="Arial" w:hAnsi="Arial" w:cs="Arial"/>
          <w:color w:val="0D0D0D" w:themeColor="text1" w:themeTint="F2"/>
          <w:sz w:val="22"/>
          <w:szCs w:val="22"/>
        </w:rPr>
        <w:t>a</w:t>
      </w:r>
      <w:r w:rsidR="00FC55E8" w:rsidRPr="00BB6E3B">
        <w:rPr>
          <w:rFonts w:ascii="Arial" w:hAnsi="Arial" w:cs="Arial"/>
          <w:color w:val="0D0D0D" w:themeColor="text1" w:themeTint="F2"/>
          <w:sz w:val="22"/>
          <w:szCs w:val="22"/>
        </w:rPr>
        <w:t>l</w:t>
      </w:r>
      <w:r w:rsidR="00594398" w:rsidRPr="00BB6E3B">
        <w:rPr>
          <w:rFonts w:ascii="Arial" w:hAnsi="Arial" w:cs="Arial"/>
          <w:color w:val="0D0D0D" w:themeColor="text1" w:themeTint="F2"/>
          <w:sz w:val="22"/>
          <w:szCs w:val="22"/>
        </w:rPr>
        <w:t>no stanje ekonomije (od</w:t>
      </w:r>
      <w:r w:rsidRPr="00BB6E3B">
        <w:rPr>
          <w:rFonts w:ascii="Arial" w:hAnsi="Arial" w:cs="Arial"/>
          <w:color w:val="0D0D0D" w:themeColor="text1" w:themeTint="F2"/>
          <w:sz w:val="22"/>
          <w:szCs w:val="22"/>
        </w:rPr>
        <w:t>s</w:t>
      </w:r>
      <w:r w:rsidR="00594398" w:rsidRPr="00BB6E3B">
        <w:rPr>
          <w:rFonts w:ascii="Arial" w:hAnsi="Arial" w:cs="Arial"/>
          <w:color w:val="0D0D0D" w:themeColor="text1" w:themeTint="F2"/>
          <w:sz w:val="22"/>
          <w:szCs w:val="22"/>
        </w:rPr>
        <w:t>topanja so možna l</w:t>
      </w:r>
      <w:r w:rsidR="00FC55E8" w:rsidRPr="00BB6E3B">
        <w:rPr>
          <w:rFonts w:ascii="Arial" w:hAnsi="Arial" w:cs="Arial"/>
          <w:color w:val="0D0D0D" w:themeColor="text1" w:themeTint="F2"/>
          <w:sz w:val="22"/>
          <w:szCs w:val="22"/>
        </w:rPr>
        <w:t>e</w:t>
      </w:r>
      <w:r w:rsidR="00594398" w:rsidRPr="00BB6E3B">
        <w:rPr>
          <w:rFonts w:ascii="Arial" w:hAnsi="Arial" w:cs="Arial"/>
          <w:color w:val="0D0D0D" w:themeColor="text1" w:themeTint="F2"/>
          <w:sz w:val="22"/>
          <w:szCs w:val="22"/>
        </w:rPr>
        <w:t xml:space="preserve"> v </w:t>
      </w:r>
      <w:r w:rsidR="00FC55E8" w:rsidRPr="00BB6E3B">
        <w:rPr>
          <w:rFonts w:ascii="Arial" w:hAnsi="Arial" w:cs="Arial"/>
          <w:color w:val="0D0D0D" w:themeColor="text1" w:themeTint="F2"/>
          <w:sz w:val="22"/>
          <w:szCs w:val="22"/>
        </w:rPr>
        <w:t xml:space="preserve">izjemnih okoliščinah in recesiji, </w:t>
      </w:r>
      <w:r w:rsidRPr="00BB6E3B">
        <w:rPr>
          <w:rFonts w:ascii="Arial" w:hAnsi="Arial" w:cs="Arial"/>
          <w:color w:val="0D0D0D" w:themeColor="text1" w:themeTint="F2"/>
          <w:sz w:val="22"/>
          <w:szCs w:val="22"/>
        </w:rPr>
        <w:t xml:space="preserve">če </w:t>
      </w:r>
      <w:r w:rsidR="006464D2" w:rsidRPr="00BB6E3B">
        <w:rPr>
          <w:rFonts w:ascii="Arial" w:hAnsi="Arial" w:cs="Arial"/>
          <w:color w:val="0D0D0D" w:themeColor="text1" w:themeTint="F2"/>
          <w:sz w:val="22"/>
          <w:szCs w:val="22"/>
        </w:rPr>
        <w:t>so</w:t>
      </w:r>
      <w:r w:rsidR="00594398" w:rsidRPr="00BB6E3B">
        <w:rPr>
          <w:rFonts w:ascii="Arial" w:hAnsi="Arial" w:cs="Arial"/>
          <w:color w:val="0D0D0D" w:themeColor="text1" w:themeTint="F2"/>
          <w:sz w:val="22"/>
          <w:szCs w:val="22"/>
        </w:rPr>
        <w:t xml:space="preserve"> zaznan</w:t>
      </w:r>
      <w:r w:rsidR="00FC55E8" w:rsidRPr="00BB6E3B">
        <w:rPr>
          <w:rFonts w:ascii="Arial" w:hAnsi="Arial" w:cs="Arial"/>
          <w:color w:val="0D0D0D" w:themeColor="text1" w:themeTint="F2"/>
          <w:sz w:val="22"/>
          <w:szCs w:val="22"/>
        </w:rPr>
        <w:t xml:space="preserve">a </w:t>
      </w:r>
      <w:r w:rsidR="001C7DB7" w:rsidRPr="00BB6E3B">
        <w:rPr>
          <w:rFonts w:ascii="Arial" w:hAnsi="Arial" w:cs="Arial"/>
          <w:color w:val="0D0D0D" w:themeColor="text1" w:themeTint="F2"/>
          <w:sz w:val="22"/>
          <w:szCs w:val="22"/>
        </w:rPr>
        <w:t>pravočasno</w:t>
      </w:r>
      <w:r w:rsidR="00FC55E8" w:rsidRPr="00BB6E3B">
        <w:rPr>
          <w:rFonts w:ascii="Arial" w:hAnsi="Arial" w:cs="Arial"/>
          <w:color w:val="0D0D0D" w:themeColor="text1" w:themeTint="F2"/>
          <w:sz w:val="22"/>
          <w:szCs w:val="22"/>
        </w:rPr>
        <w:t xml:space="preserve">, zaradi </w:t>
      </w:r>
      <w:r w:rsidR="001C7DB7" w:rsidRPr="00BB6E3B">
        <w:rPr>
          <w:rFonts w:ascii="Arial" w:hAnsi="Arial" w:cs="Arial"/>
          <w:color w:val="0D0D0D" w:themeColor="text1" w:themeTint="F2"/>
          <w:sz w:val="22"/>
          <w:szCs w:val="22"/>
        </w:rPr>
        <w:t xml:space="preserve">težav </w:t>
      </w:r>
      <w:r w:rsidR="00FC55E8" w:rsidRPr="00BB6E3B">
        <w:rPr>
          <w:rFonts w:ascii="Arial" w:hAnsi="Arial" w:cs="Arial"/>
          <w:color w:val="0D0D0D" w:themeColor="text1" w:themeTint="F2"/>
          <w:sz w:val="22"/>
          <w:szCs w:val="22"/>
        </w:rPr>
        <w:t>z merjenjem oz</w:t>
      </w:r>
      <w:r w:rsidR="001C7DB7" w:rsidRPr="00BB6E3B">
        <w:rPr>
          <w:rFonts w:ascii="Arial" w:hAnsi="Arial" w:cs="Arial"/>
          <w:color w:val="0D0D0D" w:themeColor="text1" w:themeTint="F2"/>
          <w:sz w:val="22"/>
          <w:szCs w:val="22"/>
        </w:rPr>
        <w:t>iroma</w:t>
      </w:r>
      <w:r w:rsidR="00FC55E8" w:rsidRPr="00BB6E3B">
        <w:rPr>
          <w:rFonts w:ascii="Arial" w:hAnsi="Arial" w:cs="Arial"/>
          <w:color w:val="0D0D0D" w:themeColor="text1" w:themeTint="F2"/>
          <w:sz w:val="22"/>
          <w:szCs w:val="22"/>
        </w:rPr>
        <w:t xml:space="preserve"> revidiranjem stopenj gospodarske rasti ex</w:t>
      </w:r>
      <w:r w:rsidR="00122B36"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post ali omenjene volatilnosti proizvodne vrzeli). Domače pravilo </w:t>
      </w:r>
      <w:r w:rsidR="00BD5C9F" w:rsidRPr="00BB6E3B">
        <w:rPr>
          <w:rFonts w:ascii="Arial" w:hAnsi="Arial" w:cs="Arial"/>
          <w:color w:val="0D0D0D" w:themeColor="text1" w:themeTint="F2"/>
          <w:sz w:val="22"/>
          <w:szCs w:val="22"/>
        </w:rPr>
        <w:t xml:space="preserve">torej </w:t>
      </w:r>
      <w:r w:rsidR="00FC55E8" w:rsidRPr="00BB6E3B">
        <w:rPr>
          <w:rFonts w:ascii="Arial" w:hAnsi="Arial" w:cs="Arial"/>
          <w:color w:val="0D0D0D" w:themeColor="text1" w:themeTint="F2"/>
          <w:sz w:val="22"/>
          <w:szCs w:val="22"/>
        </w:rPr>
        <w:t>ne pozna</w:t>
      </w:r>
      <w:r w:rsidR="00BD5C9F"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vmesne poti, kje</w:t>
      </w:r>
      <w:r w:rsidRPr="00BB6E3B">
        <w:rPr>
          <w:rFonts w:ascii="Arial" w:hAnsi="Arial" w:cs="Arial"/>
          <w:color w:val="0D0D0D" w:themeColor="text1" w:themeTint="F2"/>
          <w:sz w:val="22"/>
          <w:szCs w:val="22"/>
        </w:rPr>
        <w:t>r</w:t>
      </w:r>
      <w:r w:rsidR="00FC55E8" w:rsidRPr="00BB6E3B">
        <w:rPr>
          <w:rFonts w:ascii="Arial" w:hAnsi="Arial" w:cs="Arial"/>
          <w:color w:val="0D0D0D" w:themeColor="text1" w:themeTint="F2"/>
          <w:sz w:val="22"/>
          <w:szCs w:val="22"/>
        </w:rPr>
        <w:t xml:space="preserve"> bi uporabili strukturni saldo le kot referenco</w:t>
      </w:r>
      <w:r w:rsidR="00BD5C9F" w:rsidRPr="00BB6E3B">
        <w:rPr>
          <w:rFonts w:ascii="Arial" w:hAnsi="Arial" w:cs="Arial"/>
          <w:color w:val="0D0D0D" w:themeColor="text1" w:themeTint="F2"/>
          <w:sz w:val="22"/>
          <w:szCs w:val="22"/>
        </w:rPr>
        <w:t>. V</w:t>
      </w:r>
      <w:r w:rsidR="00FC55E8" w:rsidRPr="00BB6E3B">
        <w:rPr>
          <w:rFonts w:ascii="Arial" w:hAnsi="Arial" w:cs="Arial"/>
          <w:color w:val="0D0D0D" w:themeColor="text1" w:themeTint="F2"/>
          <w:sz w:val="22"/>
          <w:szCs w:val="22"/>
        </w:rPr>
        <w:t xml:space="preserve">ključno z analizo odhodkov po odbitku diskrecijskih ukrepov na strani prihodkov </w:t>
      </w:r>
      <w:r w:rsidR="00BD5C9F" w:rsidRPr="00BB6E3B">
        <w:rPr>
          <w:rFonts w:ascii="Arial" w:hAnsi="Arial" w:cs="Arial"/>
          <w:color w:val="0D0D0D" w:themeColor="text1" w:themeTint="F2"/>
          <w:sz w:val="22"/>
          <w:szCs w:val="22"/>
        </w:rPr>
        <w:t>n</w:t>
      </w:r>
      <w:r w:rsidR="00FC55E8" w:rsidRPr="00BB6E3B">
        <w:rPr>
          <w:rFonts w:ascii="Arial" w:hAnsi="Arial" w:cs="Arial"/>
          <w:color w:val="0D0D0D" w:themeColor="text1" w:themeTint="F2"/>
          <w:sz w:val="22"/>
          <w:szCs w:val="22"/>
        </w:rPr>
        <w:t xml:space="preserve">e moremo matematično </w:t>
      </w:r>
      <w:r w:rsidRPr="00BB6E3B">
        <w:rPr>
          <w:rFonts w:ascii="Arial" w:hAnsi="Arial" w:cs="Arial"/>
          <w:color w:val="0D0D0D" w:themeColor="text1" w:themeTint="F2"/>
          <w:sz w:val="22"/>
          <w:szCs w:val="22"/>
        </w:rPr>
        <w:t xml:space="preserve">ustrezno </w:t>
      </w:r>
      <w:r w:rsidR="00FC55E8" w:rsidRPr="00BB6E3B">
        <w:rPr>
          <w:rFonts w:ascii="Arial" w:hAnsi="Arial" w:cs="Arial"/>
          <w:color w:val="0D0D0D" w:themeColor="text1" w:themeTint="F2"/>
          <w:sz w:val="22"/>
          <w:szCs w:val="22"/>
        </w:rPr>
        <w:t xml:space="preserve">spremljati odklonov od srednjeročnega proračunskega cilja ali od ustrezne prilagoditvene poti za njegovo dosego, kot </w:t>
      </w:r>
      <w:r w:rsidR="00192031" w:rsidRPr="00BB6E3B">
        <w:rPr>
          <w:rFonts w:ascii="Arial" w:hAnsi="Arial" w:cs="Arial"/>
          <w:color w:val="0D0D0D" w:themeColor="text1" w:themeTint="F2"/>
          <w:sz w:val="22"/>
          <w:szCs w:val="22"/>
        </w:rPr>
        <w:t>to dopuščajo pravila</w:t>
      </w:r>
      <w:r w:rsidR="001C7DB7" w:rsidRPr="00BB6E3B">
        <w:rPr>
          <w:rFonts w:ascii="Arial" w:hAnsi="Arial" w:cs="Arial"/>
          <w:color w:val="0D0D0D" w:themeColor="text1" w:themeTint="F2"/>
          <w:sz w:val="22"/>
          <w:szCs w:val="22"/>
        </w:rPr>
        <w:t xml:space="preserve"> EU</w:t>
      </w:r>
      <w:r w:rsidR="00BD5C9F" w:rsidRPr="00BB6E3B">
        <w:rPr>
          <w:rFonts w:ascii="Arial" w:hAnsi="Arial" w:cs="Arial"/>
          <w:color w:val="0D0D0D" w:themeColor="text1" w:themeTint="F2"/>
          <w:sz w:val="22"/>
          <w:szCs w:val="22"/>
        </w:rPr>
        <w:t>.</w:t>
      </w:r>
      <w:r w:rsidR="00192031" w:rsidRPr="00BB6E3B">
        <w:rPr>
          <w:rFonts w:ascii="Arial" w:hAnsi="Arial" w:cs="Arial"/>
          <w:color w:val="0D0D0D" w:themeColor="text1" w:themeTint="F2"/>
          <w:sz w:val="22"/>
          <w:szCs w:val="22"/>
        </w:rPr>
        <w:t xml:space="preserve"> </w:t>
      </w:r>
      <w:r w:rsidR="00BD5C9F" w:rsidRPr="00BB6E3B">
        <w:rPr>
          <w:rFonts w:ascii="Arial" w:hAnsi="Arial" w:cs="Arial"/>
          <w:color w:val="0D0D0D" w:themeColor="text1" w:themeTint="F2"/>
          <w:sz w:val="22"/>
          <w:szCs w:val="22"/>
        </w:rPr>
        <w:t>N</w:t>
      </w:r>
      <w:r w:rsidR="00FC55E8" w:rsidRPr="00BB6E3B">
        <w:rPr>
          <w:rFonts w:ascii="Arial" w:hAnsi="Arial" w:cs="Arial"/>
          <w:color w:val="0D0D0D" w:themeColor="text1" w:themeTint="F2"/>
          <w:sz w:val="22"/>
          <w:szCs w:val="22"/>
        </w:rPr>
        <w:t>a</w:t>
      </w:r>
      <w:r w:rsidR="00192031"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primer »za državo članico, ki ni dosegla srednjeročnega cilja, se pri oceni spremembe strukturnega salda šteje, da je odklon znaten, če znaša najmanj 0,5 % BDP v posameznem letu ali najmanj 0,25 % BDP na povprečni letni ravni v dveh zaporednih letih</w:t>
      </w:r>
      <w:r w:rsidR="00BD5C9F" w:rsidRPr="00BB6E3B">
        <w:rPr>
          <w:rFonts w:ascii="Arial" w:hAnsi="Arial" w:cs="Arial"/>
          <w:color w:val="0D0D0D" w:themeColor="text1" w:themeTint="F2"/>
          <w:sz w:val="22"/>
          <w:szCs w:val="22"/>
        </w:rPr>
        <w:t>«</w:t>
      </w:r>
      <w:r w:rsidR="00FC55E8" w:rsidRPr="00BB6E3B">
        <w:rPr>
          <w:rFonts w:ascii="Arial" w:hAnsi="Arial" w:cs="Arial"/>
          <w:color w:val="0D0D0D" w:themeColor="text1" w:themeTint="F2"/>
          <w:sz w:val="22"/>
          <w:szCs w:val="22"/>
        </w:rPr>
        <w:t xml:space="preserve"> oz</w:t>
      </w:r>
      <w:r w:rsidR="001C7DB7" w:rsidRPr="00BB6E3B">
        <w:rPr>
          <w:rFonts w:ascii="Arial" w:hAnsi="Arial" w:cs="Arial"/>
          <w:color w:val="0D0D0D" w:themeColor="text1" w:themeTint="F2"/>
          <w:sz w:val="22"/>
          <w:szCs w:val="22"/>
        </w:rPr>
        <w:t>iroma</w:t>
      </w:r>
      <w:r w:rsidR="00FC55E8" w:rsidRPr="00BB6E3B">
        <w:rPr>
          <w:rFonts w:ascii="Arial" w:hAnsi="Arial" w:cs="Arial"/>
          <w:color w:val="0D0D0D" w:themeColor="text1" w:themeTint="F2"/>
          <w:sz w:val="22"/>
          <w:szCs w:val="22"/>
        </w:rPr>
        <w:t xml:space="preserve"> »</w:t>
      </w:r>
      <w:r w:rsidR="00192031" w:rsidRPr="00BB6E3B">
        <w:rPr>
          <w:rFonts w:ascii="Arial" w:hAnsi="Arial" w:cs="Arial"/>
          <w:color w:val="0D0D0D" w:themeColor="text1" w:themeTint="F2"/>
          <w:sz w:val="22"/>
          <w:szCs w:val="22"/>
        </w:rPr>
        <w:t xml:space="preserve">odklon </w:t>
      </w:r>
      <w:r w:rsidR="00FC55E8" w:rsidRPr="00BB6E3B">
        <w:rPr>
          <w:rFonts w:ascii="Arial" w:hAnsi="Arial" w:cs="Arial"/>
          <w:color w:val="0D0D0D" w:themeColor="text1" w:themeTint="F2"/>
          <w:sz w:val="22"/>
          <w:szCs w:val="22"/>
        </w:rPr>
        <w:t>pri gibanju odhodkov se ne šteje za znaten, če je zadevna država članica</w:t>
      </w:r>
      <w:r w:rsidR="002C157C" w:rsidRPr="00BB6E3B">
        <w:rPr>
          <w:rFonts w:ascii="Arial" w:hAnsi="Arial" w:cs="Arial"/>
          <w:color w:val="0D0D0D" w:themeColor="text1" w:themeTint="F2"/>
          <w:sz w:val="22"/>
          <w:szCs w:val="22"/>
        </w:rPr>
        <w:t xml:space="preserve"> </w:t>
      </w:r>
      <w:r w:rsidR="00FC55E8" w:rsidRPr="00BB6E3B">
        <w:rPr>
          <w:rFonts w:ascii="Arial" w:hAnsi="Arial" w:cs="Arial"/>
          <w:color w:val="0D0D0D" w:themeColor="text1" w:themeTint="F2"/>
          <w:sz w:val="22"/>
          <w:szCs w:val="22"/>
        </w:rPr>
        <w:t>presegla srednjeročni cilj, ob upoštevanju možnosti, da gre za znatne izredne prihodke, in če proračunski načrti, predstavljeni v programu za stabilnost, ne ogrožajo tega cilja v programskem obdobju.«</w:t>
      </w:r>
    </w:p>
    <w:p w:rsidR="00F12CD5" w:rsidRPr="00BB6E3B" w:rsidRDefault="00F12CD5" w:rsidP="00847208">
      <w:pPr>
        <w:pStyle w:val="CM4"/>
        <w:spacing w:before="60" w:after="60" w:line="276" w:lineRule="auto"/>
        <w:rPr>
          <w:rFonts w:ascii="Arial" w:hAnsi="Arial" w:cs="Arial"/>
          <w:bCs/>
          <w:color w:val="0D0D0D" w:themeColor="text1" w:themeTint="F2"/>
          <w:sz w:val="22"/>
          <w:szCs w:val="22"/>
          <w:lang w:val="sl-SI"/>
        </w:rPr>
      </w:pPr>
    </w:p>
    <w:p w:rsidR="00D46325" w:rsidRPr="00BB6E3B" w:rsidRDefault="00F12CD5"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Program stabilnost</w:t>
      </w:r>
      <w:r w:rsidR="00192031" w:rsidRPr="00BB6E3B">
        <w:rPr>
          <w:rFonts w:ascii="Arial" w:hAnsi="Arial" w:cs="Arial"/>
          <w:color w:val="0D0D0D" w:themeColor="text1" w:themeTint="F2"/>
          <w:sz w:val="22"/>
          <w:szCs w:val="22"/>
        </w:rPr>
        <w:t>i</w:t>
      </w:r>
      <w:r w:rsidRPr="00BB6E3B">
        <w:rPr>
          <w:rFonts w:ascii="Arial" w:hAnsi="Arial" w:cs="Arial"/>
          <w:color w:val="0D0D0D" w:themeColor="text1" w:themeTint="F2"/>
          <w:sz w:val="22"/>
          <w:szCs w:val="22"/>
        </w:rPr>
        <w:t xml:space="preserve"> temelji na najverjetnejšem makrofiskalnem scenariju ali na bolj previdnem scenariju. Makroekonomske in proračunske napovedi se primerjajo z najnovejšimi napovedmi Komisije in, če je primerno, </w:t>
      </w:r>
      <w:r w:rsidR="00192031" w:rsidRPr="00BB6E3B">
        <w:rPr>
          <w:rFonts w:ascii="Arial" w:hAnsi="Arial" w:cs="Arial"/>
          <w:color w:val="0D0D0D" w:themeColor="text1" w:themeTint="F2"/>
          <w:sz w:val="22"/>
          <w:szCs w:val="22"/>
        </w:rPr>
        <w:t xml:space="preserve">z </w:t>
      </w:r>
      <w:r w:rsidRPr="00BB6E3B">
        <w:rPr>
          <w:rFonts w:ascii="Arial" w:hAnsi="Arial" w:cs="Arial"/>
          <w:color w:val="0D0D0D" w:themeColor="text1" w:themeTint="F2"/>
          <w:sz w:val="22"/>
          <w:szCs w:val="22"/>
        </w:rPr>
        <w:t>napovedmi drugih neodvisnih organov</w:t>
      </w:r>
      <w:r w:rsidR="00FC55E8" w:rsidRPr="00BB6E3B">
        <w:rPr>
          <w:rFonts w:ascii="Arial" w:hAnsi="Arial" w:cs="Arial"/>
          <w:color w:val="0D0D0D" w:themeColor="text1" w:themeTint="F2"/>
          <w:sz w:val="22"/>
          <w:szCs w:val="22"/>
        </w:rPr>
        <w:t xml:space="preserve"> (napoved UMAR je vedno uporabljena pri projekcijah skladno z Z</w:t>
      </w:r>
      <w:r w:rsidR="00192031" w:rsidRPr="00BB6E3B">
        <w:rPr>
          <w:rFonts w:ascii="Arial" w:hAnsi="Arial" w:cs="Arial"/>
          <w:color w:val="0D0D0D" w:themeColor="text1" w:themeTint="F2"/>
          <w:sz w:val="22"/>
          <w:szCs w:val="22"/>
        </w:rPr>
        <w:t xml:space="preserve">akonom o javnih financah </w:t>
      </w:r>
      <w:r w:rsidR="001C284E" w:rsidRPr="00BB6E3B">
        <w:rPr>
          <w:rFonts w:ascii="Arial" w:hAnsi="Arial" w:cs="Arial"/>
          <w:color w:val="0D0D0D" w:themeColor="text1" w:themeTint="F2"/>
          <w:sz w:val="22"/>
          <w:szCs w:val="22"/>
        </w:rPr>
        <w:t>–</w:t>
      </w:r>
      <w:r w:rsidR="00192031" w:rsidRPr="00BB6E3B">
        <w:rPr>
          <w:rFonts w:ascii="Arial" w:hAnsi="Arial" w:cs="Arial"/>
          <w:color w:val="0D0D0D" w:themeColor="text1" w:themeTint="F2"/>
          <w:sz w:val="22"/>
          <w:szCs w:val="22"/>
        </w:rPr>
        <w:t xml:space="preserve"> Z</w:t>
      </w:r>
      <w:r w:rsidR="00FC55E8" w:rsidRPr="00BB6E3B">
        <w:rPr>
          <w:rFonts w:ascii="Arial" w:hAnsi="Arial" w:cs="Arial"/>
          <w:color w:val="0D0D0D" w:themeColor="text1" w:themeTint="F2"/>
          <w:sz w:val="22"/>
          <w:szCs w:val="22"/>
        </w:rPr>
        <w:t>JF)</w:t>
      </w:r>
      <w:r w:rsidR="00D90DEB" w:rsidRPr="00BB6E3B">
        <w:rPr>
          <w:rFonts w:ascii="Arial" w:hAnsi="Arial" w:cs="Arial"/>
          <w:color w:val="0D0D0D" w:themeColor="text1" w:themeTint="F2"/>
          <w:sz w:val="22"/>
          <w:szCs w:val="22"/>
        </w:rPr>
        <w:t>.</w:t>
      </w:r>
      <w:r w:rsidR="00192031" w:rsidRPr="00BB6E3B">
        <w:rPr>
          <w:rFonts w:ascii="Arial" w:hAnsi="Arial" w:cs="Arial"/>
          <w:color w:val="0D0D0D" w:themeColor="text1" w:themeTint="F2"/>
          <w:sz w:val="22"/>
          <w:szCs w:val="22"/>
        </w:rPr>
        <w:t xml:space="preserve"> </w:t>
      </w:r>
      <w:r w:rsidR="001D6125" w:rsidRPr="00BB6E3B">
        <w:rPr>
          <w:rFonts w:ascii="Arial" w:hAnsi="Arial" w:cs="Arial"/>
          <w:color w:val="0D0D0D" w:themeColor="text1" w:themeTint="F2"/>
          <w:sz w:val="22"/>
          <w:szCs w:val="22"/>
        </w:rPr>
        <w:t xml:space="preserve">Vsebini </w:t>
      </w:r>
      <w:r w:rsidR="00192031" w:rsidRPr="00BB6E3B">
        <w:rPr>
          <w:rFonts w:ascii="Arial" w:hAnsi="Arial" w:cs="Arial"/>
          <w:color w:val="0D0D0D" w:themeColor="text1" w:themeTint="F2"/>
          <w:sz w:val="22"/>
          <w:szCs w:val="22"/>
        </w:rPr>
        <w:t xml:space="preserve">Programa stabilnosti </w:t>
      </w:r>
      <w:r w:rsidR="001D6125" w:rsidRPr="00BB6E3B">
        <w:rPr>
          <w:rFonts w:ascii="Arial" w:hAnsi="Arial" w:cs="Arial"/>
          <w:color w:val="0D0D0D" w:themeColor="text1" w:themeTint="F2"/>
          <w:sz w:val="22"/>
          <w:szCs w:val="22"/>
        </w:rPr>
        <w:t xml:space="preserve">in </w:t>
      </w:r>
      <w:r w:rsidR="00192031" w:rsidRPr="00BB6E3B">
        <w:rPr>
          <w:rFonts w:ascii="Arial" w:hAnsi="Arial" w:cs="Arial"/>
          <w:color w:val="0D0D0D" w:themeColor="text1" w:themeTint="F2"/>
          <w:sz w:val="22"/>
          <w:szCs w:val="22"/>
        </w:rPr>
        <w:t xml:space="preserve">Nacionalnega reformnega programa </w:t>
      </w:r>
      <w:r w:rsidR="001D6125" w:rsidRPr="00BB6E3B">
        <w:rPr>
          <w:rFonts w:ascii="Arial" w:hAnsi="Arial" w:cs="Arial"/>
          <w:color w:val="0D0D0D" w:themeColor="text1" w:themeTint="F2"/>
          <w:sz w:val="22"/>
          <w:szCs w:val="22"/>
        </w:rPr>
        <w:t>se dopolnjujeta in prekrivata. P</w:t>
      </w:r>
      <w:r w:rsidR="00192031" w:rsidRPr="00BB6E3B">
        <w:rPr>
          <w:rFonts w:ascii="Arial" w:hAnsi="Arial" w:cs="Arial"/>
          <w:color w:val="0D0D0D" w:themeColor="text1" w:themeTint="F2"/>
          <w:sz w:val="22"/>
          <w:szCs w:val="22"/>
        </w:rPr>
        <w:t>rogram stabilnosti</w:t>
      </w:r>
      <w:r w:rsidR="001D6125" w:rsidRPr="00BB6E3B">
        <w:rPr>
          <w:rFonts w:ascii="Arial" w:hAnsi="Arial" w:cs="Arial"/>
          <w:color w:val="0D0D0D" w:themeColor="text1" w:themeTint="F2"/>
          <w:sz w:val="22"/>
          <w:szCs w:val="22"/>
        </w:rPr>
        <w:t xml:space="preserve"> se osredotoča na makroekonomski razvoj, fiskalno politiko in javne finance</w:t>
      </w:r>
      <w:r w:rsidR="00192031" w:rsidRPr="00BB6E3B">
        <w:rPr>
          <w:rFonts w:ascii="Arial" w:hAnsi="Arial" w:cs="Arial"/>
          <w:color w:val="0D0D0D" w:themeColor="text1" w:themeTint="F2"/>
          <w:sz w:val="22"/>
          <w:szCs w:val="22"/>
        </w:rPr>
        <w:t>,</w:t>
      </w:r>
      <w:r w:rsidR="008D4618" w:rsidRPr="00BB6E3B">
        <w:rPr>
          <w:rFonts w:ascii="Arial" w:hAnsi="Arial" w:cs="Arial"/>
          <w:color w:val="0D0D0D" w:themeColor="text1" w:themeTint="F2"/>
          <w:sz w:val="22"/>
          <w:szCs w:val="22"/>
        </w:rPr>
        <w:t xml:space="preserve"> </w:t>
      </w:r>
      <w:r w:rsidR="00192031" w:rsidRPr="00BB6E3B">
        <w:rPr>
          <w:rFonts w:ascii="Arial" w:hAnsi="Arial" w:cs="Arial"/>
          <w:color w:val="0D0D0D" w:themeColor="text1" w:themeTint="F2"/>
          <w:sz w:val="22"/>
          <w:szCs w:val="22"/>
        </w:rPr>
        <w:t xml:space="preserve">Nacionalni reformni program </w:t>
      </w:r>
      <w:r w:rsidR="001D6125" w:rsidRPr="00BB6E3B">
        <w:rPr>
          <w:rFonts w:ascii="Arial" w:hAnsi="Arial" w:cs="Arial"/>
          <w:color w:val="0D0D0D" w:themeColor="text1" w:themeTint="F2"/>
          <w:sz w:val="22"/>
          <w:szCs w:val="22"/>
        </w:rPr>
        <w:t xml:space="preserve">pa opisuje ukrepe, napovedane strukturne reforme znotraj </w:t>
      </w:r>
      <w:r w:rsidR="001C7DB7" w:rsidRPr="00BB6E3B">
        <w:rPr>
          <w:rFonts w:ascii="Arial" w:hAnsi="Arial" w:cs="Arial"/>
          <w:color w:val="0D0D0D" w:themeColor="text1" w:themeTint="F2"/>
          <w:sz w:val="22"/>
          <w:szCs w:val="22"/>
        </w:rPr>
        <w:t xml:space="preserve">evropskega </w:t>
      </w:r>
      <w:r w:rsidR="001D6125" w:rsidRPr="00BB6E3B">
        <w:rPr>
          <w:rFonts w:ascii="Arial" w:hAnsi="Arial" w:cs="Arial"/>
          <w:color w:val="0D0D0D" w:themeColor="text1" w:themeTint="F2"/>
          <w:sz w:val="22"/>
          <w:szCs w:val="22"/>
        </w:rPr>
        <w:t>semestra in doseganje ciljev EU2020.</w:t>
      </w:r>
    </w:p>
    <w:p w:rsidR="00F74606" w:rsidRPr="00BB6E3B" w:rsidRDefault="000F49FC" w:rsidP="00847208">
      <w:pPr>
        <w:spacing w:after="0" w:line="276" w:lineRule="auto"/>
        <w:rPr>
          <w:rFonts w:cs="Arial"/>
          <w:i/>
          <w:color w:val="0D0D0D" w:themeColor="text1" w:themeTint="F2"/>
        </w:rPr>
      </w:pPr>
      <w:r w:rsidRPr="00BB6E3B">
        <w:rPr>
          <w:rFonts w:cs="Arial"/>
          <w:i/>
          <w:color w:val="0D0D0D" w:themeColor="text1" w:themeTint="F2"/>
        </w:rPr>
        <w:lastRenderedPageBreak/>
        <w:t xml:space="preserve">Ekonomski </w:t>
      </w:r>
      <w:r w:rsidR="00D90DEB" w:rsidRPr="00BB6E3B">
        <w:rPr>
          <w:rFonts w:cs="Arial"/>
          <w:i/>
          <w:color w:val="0D0D0D" w:themeColor="text1" w:themeTint="F2"/>
        </w:rPr>
        <w:t xml:space="preserve"> </w:t>
      </w:r>
      <w:r w:rsidR="001D6125" w:rsidRPr="00BB6E3B">
        <w:rPr>
          <w:rFonts w:cs="Arial"/>
          <w:i/>
          <w:color w:val="0D0D0D" w:themeColor="text1" w:themeTint="F2"/>
        </w:rPr>
        <w:t>pregled</w:t>
      </w:r>
    </w:p>
    <w:p w:rsidR="00A26BDC" w:rsidRPr="00BB6E3B" w:rsidRDefault="00A26BDC" w:rsidP="00847208">
      <w:pPr>
        <w:spacing w:after="0" w:line="276" w:lineRule="auto"/>
        <w:rPr>
          <w:rFonts w:cs="Arial"/>
          <w:i/>
          <w:color w:val="0D0D0D" w:themeColor="text1" w:themeTint="F2"/>
        </w:rPr>
      </w:pPr>
    </w:p>
    <w:p w:rsidR="000F49FC" w:rsidRPr="00BB6E3B" w:rsidRDefault="000F49FC" w:rsidP="00847208">
      <w:pPr>
        <w:spacing w:before="20" w:after="4" w:line="276" w:lineRule="auto"/>
        <w:contextualSpacing/>
        <w:rPr>
          <w:rFonts w:cs="Arial"/>
          <w:color w:val="0D0D0D" w:themeColor="text1" w:themeTint="F2"/>
          <w:szCs w:val="20"/>
        </w:rPr>
      </w:pPr>
      <w:r w:rsidRPr="00BB6E3B">
        <w:rPr>
          <w:rFonts w:cs="Arial"/>
          <w:color w:val="0D0D0D" w:themeColor="text1" w:themeTint="F2"/>
        </w:rPr>
        <w:t>Statistični urad Republike Slovenije (</w:t>
      </w:r>
      <w:r w:rsidR="001366DB" w:rsidRPr="00BB6E3B">
        <w:rPr>
          <w:rFonts w:cs="Arial"/>
          <w:color w:val="0D0D0D" w:themeColor="text1" w:themeTint="F2"/>
        </w:rPr>
        <w:t>v nadaljnjem besedilu: SURS)  (19.</w:t>
      </w:r>
      <w:r w:rsidR="00A250CC" w:rsidRPr="00BB6E3B">
        <w:rPr>
          <w:rFonts w:cs="Arial"/>
          <w:color w:val="0D0D0D" w:themeColor="text1" w:themeTint="F2"/>
        </w:rPr>
        <w:t> </w:t>
      </w:r>
      <w:r w:rsidR="001366DB" w:rsidRPr="00BB6E3B">
        <w:rPr>
          <w:rFonts w:cs="Arial"/>
          <w:color w:val="0D0D0D" w:themeColor="text1" w:themeTint="F2"/>
        </w:rPr>
        <w:t>4</w:t>
      </w:r>
      <w:r w:rsidRPr="00BB6E3B">
        <w:rPr>
          <w:rFonts w:cs="Arial"/>
          <w:color w:val="0D0D0D" w:themeColor="text1" w:themeTint="F2"/>
        </w:rPr>
        <w:t>.</w:t>
      </w:r>
      <w:r w:rsidR="00A250CC" w:rsidRPr="00BB6E3B">
        <w:rPr>
          <w:rFonts w:cs="Arial"/>
          <w:color w:val="0D0D0D" w:themeColor="text1" w:themeTint="F2"/>
        </w:rPr>
        <w:t> </w:t>
      </w:r>
      <w:r w:rsidRPr="00BB6E3B">
        <w:rPr>
          <w:rFonts w:cs="Arial"/>
          <w:color w:val="0D0D0D" w:themeColor="text1" w:themeTint="F2"/>
        </w:rPr>
        <w:t xml:space="preserve">2019) za leto 2018 ugotavlja, da se ugodna javnofinančna gibanja nadaljujejo, saj je država ustvarila presežek v višini 0,7 % BDP in znižala dolg na 70,1 % BDP. </w:t>
      </w:r>
      <w:r w:rsidRPr="00BB6E3B">
        <w:rPr>
          <w:rFonts w:cs="Arial"/>
          <w:color w:val="0D0D0D" w:themeColor="text1" w:themeTint="F2"/>
          <w:szCs w:val="20"/>
          <w:lang w:eastAsia="sl-SI"/>
        </w:rPr>
        <w:t>Pomladanska napoved gospodarskih gibanj (v nadaljnjem besedilu: pomladanska napoved), ki jo je pripravil Urad za makroekonomske analize in razvoj v marcu 2019 za leto 2019 in prihodnji dve leti</w:t>
      </w:r>
      <w:r w:rsidR="00A250CC" w:rsidRPr="00BB6E3B">
        <w:rPr>
          <w:rFonts w:cs="Arial"/>
          <w:color w:val="0D0D0D" w:themeColor="text1" w:themeTint="F2"/>
          <w:szCs w:val="20"/>
          <w:lang w:eastAsia="sl-SI"/>
        </w:rPr>
        <w:t>,</w:t>
      </w:r>
      <w:r w:rsidRPr="00BB6E3B">
        <w:rPr>
          <w:rFonts w:cs="Arial"/>
          <w:color w:val="0D0D0D" w:themeColor="text1" w:themeTint="F2"/>
          <w:szCs w:val="20"/>
          <w:lang w:eastAsia="sl-SI"/>
        </w:rPr>
        <w:t xml:space="preserve"> predvideva nadaljevanje postopnega umirjanja gospodarske rasti. Iz pomladanske napovedi izhaja, da bo </w:t>
      </w:r>
      <w:r w:rsidRPr="00BB6E3B">
        <w:rPr>
          <w:rFonts w:cs="Arial"/>
          <w:color w:val="0D0D0D" w:themeColor="text1" w:themeTint="F2"/>
        </w:rPr>
        <w:t xml:space="preserve">ob umirjanju konjunkture v mednarodnem okolju realna rast bruto domačega proizvoda (BDP) v </w:t>
      </w:r>
      <w:r w:rsidR="008D4618" w:rsidRPr="00BB6E3B">
        <w:rPr>
          <w:rFonts w:cs="Arial"/>
          <w:color w:val="0D0D0D" w:themeColor="text1" w:themeTint="F2"/>
        </w:rPr>
        <w:t xml:space="preserve">letu </w:t>
      </w:r>
      <w:r w:rsidRPr="00BB6E3B">
        <w:rPr>
          <w:rFonts w:cs="Arial"/>
          <w:color w:val="0D0D0D" w:themeColor="text1" w:themeTint="F2"/>
        </w:rPr>
        <w:t xml:space="preserve">2019 3,4 %, v letu 2020 3,1 % in v letu 2021, 2,8 %. Pričakuje se nadaljevanje lani </w:t>
      </w:r>
      <w:r w:rsidR="00A250CC" w:rsidRPr="00BB6E3B">
        <w:rPr>
          <w:rFonts w:cs="Arial"/>
          <w:color w:val="0D0D0D" w:themeColor="text1" w:themeTint="F2"/>
        </w:rPr>
        <w:t>za</w:t>
      </w:r>
      <w:r w:rsidRPr="00BB6E3B">
        <w:rPr>
          <w:rFonts w:cs="Arial"/>
          <w:color w:val="0D0D0D" w:themeColor="text1" w:themeTint="F2"/>
        </w:rPr>
        <w:t xml:space="preserve">četega spreminjanja strukture gospodarske rasti v smeri večjega prispevka domače potrošnje in manjšega prispevka izvoza. Še vedno visoka rast investicij </w:t>
      </w:r>
      <w:r w:rsidR="002155CB" w:rsidRPr="00BB6E3B">
        <w:rPr>
          <w:rFonts w:cs="Arial"/>
          <w:color w:val="0D0D0D" w:themeColor="text1" w:themeTint="F2"/>
        </w:rPr>
        <w:t xml:space="preserve">pa </w:t>
      </w:r>
      <w:r w:rsidRPr="00BB6E3B">
        <w:rPr>
          <w:rFonts w:cs="Arial"/>
          <w:color w:val="0D0D0D" w:themeColor="text1" w:themeTint="F2"/>
        </w:rPr>
        <w:t>naj bi se nekoliko umirila.</w:t>
      </w:r>
      <w:r w:rsidR="002155CB" w:rsidRPr="00BB6E3B">
        <w:rPr>
          <w:rFonts w:cs="Arial"/>
          <w:color w:val="0D0D0D" w:themeColor="text1" w:themeTint="F2"/>
        </w:rPr>
        <w:t xml:space="preserve"> </w:t>
      </w:r>
      <w:r w:rsidRPr="00BB6E3B">
        <w:rPr>
          <w:rFonts w:cs="Arial"/>
          <w:color w:val="0D0D0D" w:themeColor="text1" w:themeTint="F2"/>
        </w:rPr>
        <w:t xml:space="preserve">Umirjanje gospodarske rasti naj bi bilo malo hitrejše, kot je bilo pričakovano v lanskih napovedih, predvsem zaradi manj ugodnih gibanj v mednarodnem okolju. </w:t>
      </w:r>
      <w:r w:rsidRPr="00BB6E3B">
        <w:rPr>
          <w:rFonts w:cs="Arial"/>
          <w:color w:val="0D0D0D" w:themeColor="text1" w:themeTint="F2"/>
          <w:szCs w:val="20"/>
        </w:rPr>
        <w:t xml:space="preserve">Zaposlenost naj bi se v obdobju napovedi še naprej povečevala, </w:t>
      </w:r>
      <w:r w:rsidR="002155CB" w:rsidRPr="00BB6E3B">
        <w:rPr>
          <w:rFonts w:cs="Arial"/>
          <w:color w:val="0D0D0D" w:themeColor="text1" w:themeTint="F2"/>
          <w:szCs w:val="20"/>
        </w:rPr>
        <w:t>r</w:t>
      </w:r>
      <w:r w:rsidRPr="00BB6E3B">
        <w:rPr>
          <w:rFonts w:cs="Arial"/>
          <w:color w:val="0D0D0D" w:themeColor="text1" w:themeTint="F2"/>
          <w:szCs w:val="20"/>
        </w:rPr>
        <w:t>ast plač naj bi se predvsem letos, nekoliko pa tudi v prihodnjih dveh letih</w:t>
      </w:r>
      <w:r w:rsidR="00A250CC" w:rsidRPr="00BB6E3B">
        <w:rPr>
          <w:rFonts w:cs="Arial"/>
          <w:color w:val="0D0D0D" w:themeColor="text1" w:themeTint="F2"/>
          <w:szCs w:val="20"/>
        </w:rPr>
        <w:t>,</w:t>
      </w:r>
      <w:r w:rsidRPr="00BB6E3B">
        <w:rPr>
          <w:rFonts w:cs="Arial"/>
          <w:color w:val="0D0D0D" w:themeColor="text1" w:themeTint="F2"/>
          <w:szCs w:val="20"/>
        </w:rPr>
        <w:t xml:space="preserve"> okrepila. </w:t>
      </w:r>
    </w:p>
    <w:p w:rsidR="000F49FC" w:rsidRPr="00BB6E3B" w:rsidRDefault="000F49FC" w:rsidP="000F49FC">
      <w:pPr>
        <w:spacing w:before="20" w:after="4" w:line="276" w:lineRule="auto"/>
        <w:contextualSpacing/>
        <w:rPr>
          <w:rFonts w:cs="Arial"/>
          <w:color w:val="0D0D0D" w:themeColor="text1" w:themeTint="F2"/>
          <w:szCs w:val="20"/>
        </w:rPr>
      </w:pPr>
    </w:p>
    <w:p w:rsidR="000F49FC" w:rsidRPr="00BB6E3B" w:rsidRDefault="000F49FC" w:rsidP="008B6B16">
      <w:pPr>
        <w:spacing w:after="120"/>
        <w:jc w:val="center"/>
        <w:rPr>
          <w:rFonts w:cs="Arial"/>
          <w:color w:val="0D0D0D" w:themeColor="text1" w:themeTint="F2"/>
          <w:highlight w:val="yellow"/>
        </w:rPr>
      </w:pPr>
      <w:r w:rsidRPr="00BB6E3B">
        <w:rPr>
          <w:rFonts w:cs="Arial"/>
          <w:color w:val="0D0D0D" w:themeColor="text1" w:themeTint="F2"/>
        </w:rPr>
        <w:t>Tabela 1: Ključne ekonomske in fiskalne spremenljivke</w:t>
      </w:r>
    </w:p>
    <w:tbl>
      <w:tblPr>
        <w:tblStyle w:val="LightShading-Accent1"/>
        <w:tblW w:w="0" w:type="auto"/>
        <w:jc w:val="center"/>
        <w:tblLook w:val="04A0" w:firstRow="1" w:lastRow="0" w:firstColumn="1" w:lastColumn="0" w:noHBand="0" w:noVBand="1"/>
      </w:tblPr>
      <w:tblGrid>
        <w:gridCol w:w="4464"/>
        <w:gridCol w:w="717"/>
        <w:gridCol w:w="717"/>
        <w:gridCol w:w="717"/>
        <w:gridCol w:w="717"/>
        <w:gridCol w:w="717"/>
        <w:gridCol w:w="717"/>
      </w:tblGrid>
      <w:tr w:rsidR="00365C5B" w:rsidRPr="00BB6E3B" w:rsidTr="00F2059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0F49FC" w:rsidP="002D08AF">
            <w:pPr>
              <w:spacing w:line="288" w:lineRule="atLeast"/>
              <w:jc w:val="right"/>
              <w:rPr>
                <w:rFonts w:cs="Arial"/>
                <w:b w:val="0"/>
                <w:bCs w:val="0"/>
                <w:color w:val="0D0D0D" w:themeColor="text1" w:themeTint="F2"/>
                <w:sz w:val="20"/>
                <w:szCs w:val="20"/>
              </w:rPr>
            </w:pPr>
            <w:r w:rsidRPr="00BB6E3B">
              <w:rPr>
                <w:rFonts w:cs="Arial"/>
                <w:b w:val="0"/>
                <w:bCs w:val="0"/>
                <w:color w:val="0D0D0D" w:themeColor="text1" w:themeTint="F2"/>
                <w:sz w:val="20"/>
                <w:szCs w:val="20"/>
              </w:rPr>
              <w:t> </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2017</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2018</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2019</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2020</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2021</w:t>
            </w:r>
          </w:p>
        </w:tc>
        <w:tc>
          <w:tcPr>
            <w:tcW w:w="0" w:type="auto"/>
            <w:hideMark/>
          </w:tcPr>
          <w:p w:rsidR="000F49FC" w:rsidRPr="00BB6E3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BB6E3B">
              <w:rPr>
                <w:rFonts w:cs="Arial"/>
                <w:b w:val="0"/>
                <w:bCs w:val="0"/>
                <w:color w:val="0D0D0D" w:themeColor="text1" w:themeTint="F2"/>
                <w:sz w:val="20"/>
                <w:szCs w:val="20"/>
              </w:rPr>
              <w:t>2022</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BB6E3B" w:rsidRDefault="000F49FC" w:rsidP="002D08AF">
            <w:pPr>
              <w:spacing w:line="288" w:lineRule="atLeast"/>
              <w:rPr>
                <w:rFonts w:cs="Arial"/>
                <w:b w:val="0"/>
                <w:bCs w:val="0"/>
                <w:i/>
                <w:iCs/>
                <w:color w:val="0D0D0D" w:themeColor="text1" w:themeTint="F2"/>
                <w:sz w:val="20"/>
                <w:szCs w:val="20"/>
              </w:rPr>
            </w:pPr>
            <w:r w:rsidRPr="00BB6E3B">
              <w:rPr>
                <w:rFonts w:cs="Arial"/>
                <w:b w:val="0"/>
                <w:bCs w:val="0"/>
                <w:i/>
                <w:iCs/>
                <w:color w:val="0D0D0D" w:themeColor="text1" w:themeTint="F2"/>
                <w:sz w:val="20"/>
                <w:szCs w:val="20"/>
              </w:rPr>
              <w:t>Ekonomska aktivnost</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192031"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 xml:space="preserve">rast </w:t>
            </w:r>
            <w:r w:rsidR="000F49FC" w:rsidRPr="00BB6E3B">
              <w:rPr>
                <w:rFonts w:cs="Arial"/>
                <w:b w:val="0"/>
                <w:color w:val="0D0D0D" w:themeColor="text1" w:themeTint="F2"/>
                <w:sz w:val="20"/>
                <w:szCs w:val="20"/>
              </w:rPr>
              <w:t>BDP (v %)</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4,9</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4,5</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3,4</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3,1</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2,8</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2,7</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BB6E3B" w:rsidRDefault="000F49FC" w:rsidP="002D08AF">
            <w:pPr>
              <w:spacing w:line="288" w:lineRule="atLeast"/>
              <w:rPr>
                <w:rFonts w:cs="Arial"/>
                <w:b w:val="0"/>
                <w:bCs w:val="0"/>
                <w:i/>
                <w:iCs/>
                <w:color w:val="0D0D0D" w:themeColor="text1" w:themeTint="F2"/>
                <w:sz w:val="20"/>
                <w:szCs w:val="20"/>
              </w:rPr>
            </w:pPr>
            <w:r w:rsidRPr="00BB6E3B">
              <w:rPr>
                <w:rFonts w:cs="Arial"/>
                <w:b w:val="0"/>
                <w:bCs w:val="0"/>
                <w:i/>
                <w:iCs/>
                <w:color w:val="0D0D0D" w:themeColor="text1" w:themeTint="F2"/>
                <w:sz w:val="20"/>
                <w:szCs w:val="20"/>
              </w:rPr>
              <w:t>Cene</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0F49FC"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BDP deflator</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101,6</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102,3</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102,7</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102,5</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102,6</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102,4</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192031" w:rsidP="00A250CC">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P</w:t>
            </w:r>
            <w:r w:rsidR="000F49FC" w:rsidRPr="00BB6E3B">
              <w:rPr>
                <w:rFonts w:cs="Arial"/>
                <w:b w:val="0"/>
                <w:color w:val="0D0D0D" w:themeColor="text1" w:themeTint="F2"/>
                <w:sz w:val="20"/>
                <w:szCs w:val="20"/>
              </w:rPr>
              <w:t>ovpr</w:t>
            </w:r>
            <w:r w:rsidR="00A250CC" w:rsidRPr="00BB6E3B">
              <w:rPr>
                <w:rFonts w:cs="Arial"/>
                <w:b w:val="0"/>
                <w:color w:val="0D0D0D" w:themeColor="text1" w:themeTint="F2"/>
                <w:sz w:val="20"/>
                <w:szCs w:val="20"/>
              </w:rPr>
              <w:t>ečna</w:t>
            </w:r>
            <w:r w:rsidR="000F49FC" w:rsidRPr="00BB6E3B">
              <w:rPr>
                <w:rFonts w:cs="Arial"/>
                <w:b w:val="0"/>
                <w:color w:val="0D0D0D" w:themeColor="text1" w:themeTint="F2"/>
                <w:sz w:val="20"/>
                <w:szCs w:val="20"/>
              </w:rPr>
              <w:t xml:space="preserve"> letna rast cen</w:t>
            </w:r>
            <w:r w:rsidRPr="00BB6E3B">
              <w:rPr>
                <w:rFonts w:cs="Arial"/>
                <w:b w:val="0"/>
                <w:color w:val="0D0D0D" w:themeColor="text1" w:themeTint="F2"/>
                <w:sz w:val="20"/>
                <w:szCs w:val="20"/>
              </w:rPr>
              <w:t xml:space="preserve"> (v</w:t>
            </w:r>
            <w:r w:rsidR="00A250CC" w:rsidRPr="00BB6E3B">
              <w:rPr>
                <w:rFonts w:cs="Arial"/>
                <w:b w:val="0"/>
                <w:color w:val="0D0D0D" w:themeColor="text1" w:themeTint="F2"/>
                <w:sz w:val="20"/>
                <w:szCs w:val="20"/>
              </w:rPr>
              <w:t> </w:t>
            </w:r>
            <w:r w:rsidRPr="00BB6E3B">
              <w:rPr>
                <w:rFonts w:cs="Arial"/>
                <w:b w:val="0"/>
                <w:color w:val="0D0D0D" w:themeColor="text1" w:themeTint="F2"/>
                <w:sz w:val="20"/>
                <w:szCs w:val="20"/>
              </w:rPr>
              <w:t>%)</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1,4</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1,7</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1,6</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1,9</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2,2</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2,2</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BB6E3B" w:rsidRDefault="000F49FC" w:rsidP="002D08AF">
            <w:pPr>
              <w:spacing w:line="288" w:lineRule="atLeast"/>
              <w:rPr>
                <w:rFonts w:cs="Arial"/>
                <w:b w:val="0"/>
                <w:bCs w:val="0"/>
                <w:i/>
                <w:iCs/>
                <w:color w:val="0D0D0D" w:themeColor="text1" w:themeTint="F2"/>
                <w:sz w:val="20"/>
                <w:szCs w:val="20"/>
              </w:rPr>
            </w:pPr>
            <w:r w:rsidRPr="00BB6E3B">
              <w:rPr>
                <w:rFonts w:cs="Arial"/>
                <w:b w:val="0"/>
                <w:bCs w:val="0"/>
                <w:i/>
                <w:iCs/>
                <w:color w:val="0D0D0D" w:themeColor="text1" w:themeTint="F2"/>
                <w:sz w:val="20"/>
                <w:szCs w:val="20"/>
              </w:rPr>
              <w:t>Trg dela</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0F49FC"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 xml:space="preserve">Zaposlenost po nacionalnih računih (v </w:t>
            </w:r>
            <w:r w:rsidR="00CA3C44" w:rsidRPr="00BB6E3B">
              <w:rPr>
                <w:rFonts w:cs="Arial"/>
                <w:b w:val="0"/>
                <w:color w:val="0D0D0D" w:themeColor="text1" w:themeTint="F2"/>
                <w:sz w:val="20"/>
                <w:szCs w:val="20"/>
              </w:rPr>
              <w:t>1</w:t>
            </w:r>
            <w:r w:rsidRPr="00BB6E3B">
              <w:rPr>
                <w:rFonts w:cs="Arial"/>
                <w:b w:val="0"/>
                <w:color w:val="0D0D0D" w:themeColor="text1" w:themeTint="F2"/>
                <w:sz w:val="20"/>
                <w:szCs w:val="20"/>
              </w:rPr>
              <w:t>000)</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98</w:t>
            </w:r>
            <w:r w:rsidR="00192031" w:rsidRPr="00BB6E3B">
              <w:rPr>
                <w:rFonts w:cs="Arial"/>
                <w:color w:val="0D0D0D" w:themeColor="text1" w:themeTint="F2"/>
                <w:sz w:val="20"/>
                <w:szCs w:val="20"/>
              </w:rPr>
              <w:t>9</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1.017</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1.03</w:t>
            </w:r>
            <w:r w:rsidR="00192031" w:rsidRPr="00BB6E3B">
              <w:rPr>
                <w:rFonts w:cs="Arial"/>
                <w:color w:val="0D0D0D" w:themeColor="text1" w:themeTint="F2"/>
                <w:sz w:val="20"/>
                <w:szCs w:val="20"/>
              </w:rPr>
              <w:t>8</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1.048</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1.05</w:t>
            </w:r>
            <w:r w:rsidR="00192031" w:rsidRPr="00BB6E3B">
              <w:rPr>
                <w:rFonts w:cs="Arial"/>
                <w:color w:val="0D0D0D" w:themeColor="text1" w:themeTint="F2"/>
                <w:sz w:val="20"/>
                <w:szCs w:val="20"/>
              </w:rPr>
              <w:t>5</w:t>
            </w:r>
          </w:p>
        </w:tc>
        <w:tc>
          <w:tcPr>
            <w:tcW w:w="0" w:type="auto"/>
            <w:hideMark/>
          </w:tcPr>
          <w:p w:rsidR="000F49FC" w:rsidRPr="00BB6E3B" w:rsidRDefault="00ED19D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1.059</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0F49FC"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 xml:space="preserve">Stopnja delovne aktivnosti </w:t>
            </w:r>
          </w:p>
          <w:p w:rsidR="000F49FC" w:rsidRPr="00BB6E3B" w:rsidRDefault="000F49FC"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(20</w:t>
            </w:r>
            <w:r w:rsidR="001C284E" w:rsidRPr="00BB6E3B">
              <w:rPr>
                <w:rFonts w:cs="Arial"/>
                <w:b w:val="0"/>
                <w:color w:val="0D0D0D" w:themeColor="text1" w:themeTint="F2"/>
                <w:sz w:val="20"/>
                <w:szCs w:val="20"/>
              </w:rPr>
              <w:t>–</w:t>
            </w:r>
            <w:r w:rsidRPr="00BB6E3B">
              <w:rPr>
                <w:rFonts w:cs="Arial"/>
                <w:b w:val="0"/>
                <w:color w:val="0D0D0D" w:themeColor="text1" w:themeTint="F2"/>
                <w:sz w:val="20"/>
                <w:szCs w:val="20"/>
              </w:rPr>
              <w:t>64 let, v %)</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73,4</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75,5</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76,9</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77,8</w:t>
            </w:r>
          </w:p>
        </w:tc>
        <w:tc>
          <w:tcPr>
            <w:tcW w:w="0" w:type="auto"/>
            <w:hideMark/>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78,6</w:t>
            </w:r>
          </w:p>
        </w:tc>
        <w:tc>
          <w:tcPr>
            <w:tcW w:w="0" w:type="auto"/>
            <w:hideMark/>
          </w:tcPr>
          <w:p w:rsidR="000F49FC" w:rsidRPr="00BB6E3B" w:rsidRDefault="00ED19D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79,3</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0F49FC"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Stopnja brezposelnosti po ADS (v %)</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6,6</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5,1</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4,3</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3,9</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3,7</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3,4</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BB6E3B" w:rsidRDefault="000F49FC" w:rsidP="002D08AF">
            <w:pPr>
              <w:spacing w:line="288" w:lineRule="atLeast"/>
              <w:rPr>
                <w:rFonts w:cs="Arial"/>
                <w:b w:val="0"/>
                <w:bCs w:val="0"/>
                <w:i/>
                <w:iCs/>
                <w:color w:val="0D0D0D" w:themeColor="text1" w:themeTint="F2"/>
                <w:sz w:val="20"/>
                <w:szCs w:val="20"/>
              </w:rPr>
            </w:pPr>
            <w:r w:rsidRPr="00BB6E3B">
              <w:rPr>
                <w:rFonts w:cs="Arial"/>
                <w:b w:val="0"/>
                <w:bCs w:val="0"/>
                <w:i/>
                <w:iCs/>
                <w:color w:val="0D0D0D" w:themeColor="text1" w:themeTint="F2"/>
                <w:sz w:val="20"/>
                <w:szCs w:val="20"/>
              </w:rPr>
              <w:t>Javne finance</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192031"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S</w:t>
            </w:r>
            <w:r w:rsidR="000F49FC" w:rsidRPr="00BB6E3B">
              <w:rPr>
                <w:rFonts w:cs="Arial"/>
                <w:b w:val="0"/>
                <w:color w:val="0D0D0D" w:themeColor="text1" w:themeTint="F2"/>
                <w:sz w:val="20"/>
                <w:szCs w:val="20"/>
              </w:rPr>
              <w:t>aldo sektorja država</w:t>
            </w:r>
            <w:r w:rsidRPr="00BB6E3B">
              <w:rPr>
                <w:rFonts w:cs="Arial"/>
                <w:b w:val="0"/>
                <w:color w:val="0D0D0D" w:themeColor="text1" w:themeTint="F2"/>
                <w:sz w:val="20"/>
                <w:szCs w:val="20"/>
              </w:rPr>
              <w:t xml:space="preserve"> (v % BDP)</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0,0</w:t>
            </w:r>
          </w:p>
        </w:tc>
        <w:tc>
          <w:tcPr>
            <w:tcW w:w="0" w:type="auto"/>
            <w:hideMark/>
          </w:tcPr>
          <w:p w:rsidR="000F49FC" w:rsidRPr="00BB6E3B" w:rsidRDefault="000F49FC" w:rsidP="00EB5A5D">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w:t>
            </w:r>
            <w:r w:rsidR="00B879D1" w:rsidRPr="00BB6E3B">
              <w:rPr>
                <w:rFonts w:cs="Arial"/>
                <w:color w:val="0D0D0D" w:themeColor="text1" w:themeTint="F2"/>
                <w:sz w:val="20"/>
                <w:szCs w:val="20"/>
              </w:rPr>
              <w:t>7</w:t>
            </w:r>
            <w:r w:rsidRPr="00BB6E3B">
              <w:rPr>
                <w:rFonts w:cs="Arial"/>
                <w:color w:val="0D0D0D" w:themeColor="text1" w:themeTint="F2"/>
                <w:sz w:val="20"/>
                <w:szCs w:val="20"/>
              </w:rPr>
              <w:t> </w:t>
            </w:r>
          </w:p>
        </w:tc>
        <w:tc>
          <w:tcPr>
            <w:tcW w:w="0" w:type="auto"/>
            <w:hideMark/>
          </w:tcPr>
          <w:p w:rsidR="000F49FC" w:rsidRPr="00BB6E3B" w:rsidRDefault="000F49FC" w:rsidP="00837E24">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w:t>
            </w:r>
            <w:r w:rsidR="00837E24" w:rsidRPr="00BB6E3B">
              <w:rPr>
                <w:rFonts w:cs="Arial"/>
                <w:color w:val="0D0D0D" w:themeColor="text1" w:themeTint="F2"/>
                <w:sz w:val="20"/>
                <w:szCs w:val="20"/>
              </w:rPr>
              <w:t>9</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1,0 </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1,1</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1,2 </w:t>
            </w:r>
          </w:p>
        </w:tc>
      </w:tr>
      <w:tr w:rsidR="00365C5B" w:rsidRPr="00BB6E3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192031" w:rsidP="002D08AF">
            <w:pPr>
              <w:spacing w:line="288" w:lineRule="atLeast"/>
              <w:rPr>
                <w:rFonts w:cs="Arial"/>
                <w:b w:val="0"/>
                <w:color w:val="0D0D0D" w:themeColor="text1" w:themeTint="F2"/>
                <w:sz w:val="20"/>
                <w:szCs w:val="20"/>
              </w:rPr>
            </w:pPr>
            <w:r w:rsidRPr="00BB6E3B">
              <w:rPr>
                <w:rFonts w:cs="Arial"/>
                <w:b w:val="0"/>
                <w:color w:val="0D0D0D" w:themeColor="text1" w:themeTint="F2"/>
                <w:sz w:val="20"/>
                <w:szCs w:val="20"/>
              </w:rPr>
              <w:t>S</w:t>
            </w:r>
            <w:r w:rsidR="000F49FC" w:rsidRPr="00BB6E3B">
              <w:rPr>
                <w:rFonts w:cs="Arial"/>
                <w:b w:val="0"/>
                <w:color w:val="0D0D0D" w:themeColor="text1" w:themeTint="F2"/>
                <w:sz w:val="20"/>
                <w:szCs w:val="20"/>
              </w:rPr>
              <w:t>trukturni saldo</w:t>
            </w:r>
            <w:r w:rsidRPr="00BB6E3B">
              <w:rPr>
                <w:rFonts w:cs="Arial"/>
                <w:b w:val="0"/>
                <w:color w:val="0D0D0D" w:themeColor="text1" w:themeTint="F2"/>
                <w:sz w:val="20"/>
                <w:szCs w:val="20"/>
              </w:rPr>
              <w:t xml:space="preserve"> (v % BDP)</w:t>
            </w:r>
          </w:p>
        </w:tc>
        <w:tc>
          <w:tcPr>
            <w:tcW w:w="0" w:type="auto"/>
          </w:tcPr>
          <w:p w:rsidR="000F49FC" w:rsidRPr="00BB6E3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0,2</w:t>
            </w:r>
          </w:p>
        </w:tc>
        <w:tc>
          <w:tcPr>
            <w:tcW w:w="0" w:type="auto"/>
          </w:tcPr>
          <w:p w:rsidR="000F49FC" w:rsidRPr="00BB6E3B" w:rsidRDefault="00EB5A5D"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w:t>
            </w:r>
            <w:r w:rsidR="00B879D1" w:rsidRPr="00BB6E3B">
              <w:rPr>
                <w:rFonts w:cs="Arial"/>
                <w:color w:val="0D0D0D" w:themeColor="text1" w:themeTint="F2"/>
                <w:sz w:val="20"/>
                <w:szCs w:val="20"/>
              </w:rPr>
              <w:t>0</w:t>
            </w:r>
          </w:p>
        </w:tc>
        <w:tc>
          <w:tcPr>
            <w:tcW w:w="0" w:type="auto"/>
          </w:tcPr>
          <w:p w:rsidR="000F49FC" w:rsidRPr="00BB6E3B" w:rsidRDefault="001C284E" w:rsidP="003B15B9">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5621E2" w:rsidRPr="00BB6E3B">
              <w:rPr>
                <w:rFonts w:cs="Arial"/>
                <w:color w:val="0D0D0D" w:themeColor="text1" w:themeTint="F2"/>
                <w:sz w:val="20"/>
                <w:szCs w:val="20"/>
              </w:rPr>
              <w:t>0,</w:t>
            </w:r>
            <w:r w:rsidR="003B15B9" w:rsidRPr="00BB6E3B">
              <w:rPr>
                <w:rFonts w:cs="Arial"/>
                <w:color w:val="0D0D0D" w:themeColor="text1" w:themeTint="F2"/>
                <w:sz w:val="20"/>
                <w:szCs w:val="20"/>
              </w:rPr>
              <w:t>1</w:t>
            </w:r>
          </w:p>
        </w:tc>
        <w:tc>
          <w:tcPr>
            <w:tcW w:w="0" w:type="auto"/>
          </w:tcPr>
          <w:p w:rsidR="000F49FC" w:rsidRPr="00BB6E3B" w:rsidRDefault="001C284E"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0F49FC" w:rsidRPr="00BB6E3B">
              <w:rPr>
                <w:rFonts w:cs="Arial"/>
                <w:color w:val="0D0D0D" w:themeColor="text1" w:themeTint="F2"/>
                <w:sz w:val="20"/>
                <w:szCs w:val="20"/>
              </w:rPr>
              <w:t>0,2</w:t>
            </w:r>
          </w:p>
        </w:tc>
        <w:tc>
          <w:tcPr>
            <w:tcW w:w="0" w:type="auto"/>
          </w:tcPr>
          <w:p w:rsidR="000F49FC" w:rsidRPr="00BB6E3B" w:rsidRDefault="001C284E"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0F49FC" w:rsidRPr="00BB6E3B">
              <w:rPr>
                <w:rFonts w:cs="Arial"/>
                <w:color w:val="0D0D0D" w:themeColor="text1" w:themeTint="F2"/>
                <w:sz w:val="20"/>
                <w:szCs w:val="20"/>
              </w:rPr>
              <w:t>0,1</w:t>
            </w:r>
          </w:p>
        </w:tc>
        <w:tc>
          <w:tcPr>
            <w:tcW w:w="0" w:type="auto"/>
          </w:tcPr>
          <w:p w:rsidR="000F49FC" w:rsidRPr="00BB6E3B" w:rsidRDefault="00EB5A5D"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0,1</w:t>
            </w:r>
          </w:p>
        </w:tc>
      </w:tr>
      <w:tr w:rsidR="00365C5B" w:rsidRPr="00BB6E3B" w:rsidTr="00F20590">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BB6E3B" w:rsidRDefault="00192031" w:rsidP="008A72A7">
            <w:pPr>
              <w:tabs>
                <w:tab w:val="right" w:pos="3825"/>
              </w:tabs>
              <w:spacing w:line="288" w:lineRule="atLeast"/>
              <w:rPr>
                <w:rFonts w:cs="Arial"/>
                <w:b w:val="0"/>
                <w:color w:val="0D0D0D" w:themeColor="text1" w:themeTint="F2"/>
                <w:sz w:val="20"/>
                <w:szCs w:val="20"/>
              </w:rPr>
            </w:pPr>
            <w:r w:rsidRPr="00BB6E3B">
              <w:rPr>
                <w:rFonts w:cs="Arial"/>
                <w:b w:val="0"/>
                <w:color w:val="0D0D0D" w:themeColor="text1" w:themeTint="F2"/>
                <w:sz w:val="20"/>
                <w:szCs w:val="20"/>
              </w:rPr>
              <w:t>D</w:t>
            </w:r>
            <w:r w:rsidR="000F49FC" w:rsidRPr="00BB6E3B">
              <w:rPr>
                <w:rFonts w:cs="Arial"/>
                <w:b w:val="0"/>
                <w:color w:val="0D0D0D" w:themeColor="text1" w:themeTint="F2"/>
                <w:sz w:val="20"/>
                <w:szCs w:val="20"/>
              </w:rPr>
              <w:t xml:space="preserve">olg </w:t>
            </w:r>
            <w:r w:rsidRPr="00BB6E3B">
              <w:rPr>
                <w:rFonts w:cs="Arial"/>
                <w:b w:val="0"/>
                <w:color w:val="0D0D0D" w:themeColor="text1" w:themeTint="F2"/>
                <w:sz w:val="20"/>
                <w:szCs w:val="20"/>
              </w:rPr>
              <w:t>sek</w:t>
            </w:r>
            <w:r w:rsidR="008A72A7" w:rsidRPr="00BB6E3B">
              <w:rPr>
                <w:rFonts w:cs="Arial"/>
                <w:b w:val="0"/>
                <w:color w:val="0D0D0D" w:themeColor="text1" w:themeTint="F2"/>
                <w:sz w:val="20"/>
                <w:szCs w:val="20"/>
              </w:rPr>
              <w:t>torja</w:t>
            </w:r>
            <w:r w:rsidRPr="00BB6E3B">
              <w:rPr>
                <w:rFonts w:cs="Arial"/>
                <w:b w:val="0"/>
                <w:color w:val="0D0D0D" w:themeColor="text1" w:themeTint="F2"/>
                <w:sz w:val="20"/>
                <w:szCs w:val="20"/>
              </w:rPr>
              <w:t xml:space="preserve"> država </w:t>
            </w:r>
            <w:r w:rsidR="000F49FC" w:rsidRPr="00BB6E3B">
              <w:rPr>
                <w:rFonts w:cs="Arial"/>
                <w:b w:val="0"/>
                <w:color w:val="0D0D0D" w:themeColor="text1" w:themeTint="F2"/>
                <w:sz w:val="20"/>
                <w:szCs w:val="20"/>
              </w:rPr>
              <w:t>(konec leta)</w:t>
            </w:r>
            <w:r w:rsidRPr="00BB6E3B">
              <w:rPr>
                <w:rFonts w:cs="Arial"/>
                <w:b w:val="0"/>
                <w:color w:val="0D0D0D" w:themeColor="text1" w:themeTint="F2"/>
                <w:sz w:val="20"/>
                <w:szCs w:val="20"/>
              </w:rPr>
              <w:t xml:space="preserve"> (v % BDP)</w:t>
            </w:r>
            <w:r w:rsidRPr="00BB6E3B">
              <w:rPr>
                <w:rFonts w:cs="Arial"/>
                <w:b w:val="0"/>
                <w:color w:val="0D0D0D" w:themeColor="text1" w:themeTint="F2"/>
                <w:sz w:val="20"/>
                <w:szCs w:val="20"/>
              </w:rPr>
              <w:tab/>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74,1</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70,1</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65,4</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61,3</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57,9</w:t>
            </w:r>
          </w:p>
        </w:tc>
        <w:tc>
          <w:tcPr>
            <w:tcW w:w="0" w:type="auto"/>
            <w:hideMark/>
          </w:tcPr>
          <w:p w:rsidR="000F49FC" w:rsidRPr="00BB6E3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54,7</w:t>
            </w:r>
          </w:p>
        </w:tc>
      </w:tr>
    </w:tbl>
    <w:p w:rsidR="000F49FC" w:rsidRPr="00BB6E3B" w:rsidRDefault="000F49FC" w:rsidP="008B6B16">
      <w:pPr>
        <w:spacing w:before="120" w:after="0"/>
        <w:jc w:val="center"/>
        <w:rPr>
          <w:rFonts w:cs="Arial"/>
          <w:color w:val="0D0D0D" w:themeColor="text1" w:themeTint="F2"/>
          <w:sz w:val="20"/>
          <w:szCs w:val="18"/>
        </w:rPr>
      </w:pPr>
      <w:r w:rsidRPr="00BB6E3B">
        <w:rPr>
          <w:rFonts w:cs="Arial"/>
          <w:color w:val="0D0D0D" w:themeColor="text1" w:themeTint="F2"/>
          <w:sz w:val="20"/>
          <w:szCs w:val="18"/>
        </w:rPr>
        <w:t xml:space="preserve">Vir: Umar, </w:t>
      </w:r>
      <w:r w:rsidR="005269BB" w:rsidRPr="00BB6E3B">
        <w:rPr>
          <w:rFonts w:cs="Arial"/>
          <w:color w:val="0D0D0D" w:themeColor="text1" w:themeTint="F2"/>
          <w:sz w:val="20"/>
          <w:szCs w:val="18"/>
        </w:rPr>
        <w:t xml:space="preserve">SURS, </w:t>
      </w:r>
      <w:r w:rsidRPr="00BB6E3B">
        <w:rPr>
          <w:rFonts w:cs="Arial"/>
          <w:color w:val="0D0D0D" w:themeColor="text1" w:themeTint="F2"/>
          <w:sz w:val="20"/>
          <w:szCs w:val="18"/>
        </w:rPr>
        <w:t>Ministrstvo za finance</w:t>
      </w:r>
    </w:p>
    <w:p w:rsidR="00370218" w:rsidRPr="00BB6E3B" w:rsidRDefault="00370218" w:rsidP="000F49FC">
      <w:pPr>
        <w:spacing w:after="0"/>
        <w:rPr>
          <w:rFonts w:cs="Arial"/>
          <w:color w:val="0D0D0D" w:themeColor="text1" w:themeTint="F2"/>
        </w:rPr>
      </w:pPr>
    </w:p>
    <w:p w:rsidR="000F49FC" w:rsidRPr="00BB6E3B" w:rsidRDefault="000F49FC" w:rsidP="00847208">
      <w:pPr>
        <w:pStyle w:val="odstavek1"/>
        <w:spacing w:before="0" w:line="276" w:lineRule="auto"/>
        <w:ind w:firstLine="0"/>
        <w:rPr>
          <w:color w:val="0D0D0D" w:themeColor="text1" w:themeTint="F2"/>
        </w:rPr>
      </w:pPr>
      <w:r w:rsidRPr="00BB6E3B">
        <w:rPr>
          <w:color w:val="0D0D0D" w:themeColor="text1" w:themeTint="F2"/>
        </w:rPr>
        <w:t>Vlada Republike Slovenije je že ob p</w:t>
      </w:r>
      <w:r w:rsidR="00192031" w:rsidRPr="00BB6E3B">
        <w:rPr>
          <w:color w:val="0D0D0D" w:themeColor="text1" w:themeTint="F2"/>
        </w:rPr>
        <w:t>r</w:t>
      </w:r>
      <w:r w:rsidRPr="00BB6E3B">
        <w:rPr>
          <w:color w:val="0D0D0D" w:themeColor="text1" w:themeTint="F2"/>
        </w:rPr>
        <w:t>ipravi rebalansa</w:t>
      </w:r>
      <w:r w:rsidR="00192031" w:rsidRPr="00BB6E3B">
        <w:rPr>
          <w:color w:val="0D0D0D" w:themeColor="text1" w:themeTint="F2"/>
        </w:rPr>
        <w:t xml:space="preserve"> državnega proračuna</w:t>
      </w:r>
      <w:r w:rsidR="00ED19DC" w:rsidRPr="00BB6E3B">
        <w:rPr>
          <w:color w:val="0D0D0D" w:themeColor="text1" w:themeTint="F2"/>
        </w:rPr>
        <w:t xml:space="preserve"> za</w:t>
      </w:r>
      <w:r w:rsidRPr="00BB6E3B">
        <w:rPr>
          <w:color w:val="0D0D0D" w:themeColor="text1" w:themeTint="F2"/>
        </w:rPr>
        <w:t xml:space="preserve"> 2019 vztrajala na poti, da bo strukturni saldo sektorja država po oceni Ministrstva za finance uravnotežen</w:t>
      </w:r>
      <w:r w:rsidR="00192031" w:rsidRPr="00BB6E3B">
        <w:rPr>
          <w:color w:val="0D0D0D" w:themeColor="text1" w:themeTint="F2"/>
        </w:rPr>
        <w:t xml:space="preserve"> do</w:t>
      </w:r>
      <w:r w:rsidRPr="00BB6E3B">
        <w:rPr>
          <w:color w:val="0D0D0D" w:themeColor="text1" w:themeTint="F2"/>
        </w:rPr>
        <w:t xml:space="preserve"> konca leta 2022</w:t>
      </w:r>
      <w:r w:rsidR="00192031" w:rsidRPr="00BB6E3B">
        <w:rPr>
          <w:color w:val="0D0D0D" w:themeColor="text1" w:themeTint="F2"/>
        </w:rPr>
        <w:t>, pri čemer</w:t>
      </w:r>
      <w:r w:rsidRPr="00BB6E3B">
        <w:rPr>
          <w:color w:val="0D0D0D" w:themeColor="text1" w:themeTint="F2"/>
        </w:rPr>
        <w:t xml:space="preserve"> dosežemo naš srednjeročni cilj (MTO) že v letu 2020. Vendar pa so predčasne volitve (</w:t>
      </w:r>
      <w:r w:rsidR="00225864" w:rsidRPr="00BB6E3B">
        <w:rPr>
          <w:color w:val="0D0D0D" w:themeColor="text1" w:themeTint="F2"/>
        </w:rPr>
        <w:t>junija</w:t>
      </w:r>
      <w:r w:rsidRPr="00BB6E3B">
        <w:rPr>
          <w:color w:val="0D0D0D" w:themeColor="text1" w:themeTint="F2"/>
        </w:rPr>
        <w:t xml:space="preserve"> 2018) omejile manevrski prostor vlade za leto 2019 in zato je bilo z vidika delovanja fiskalne politike ključno, da se </w:t>
      </w:r>
      <w:r w:rsidR="002301B1" w:rsidRPr="00BB6E3B">
        <w:rPr>
          <w:color w:val="0D0D0D" w:themeColor="text1" w:themeTint="F2"/>
        </w:rPr>
        <w:t xml:space="preserve">rebalans </w:t>
      </w:r>
      <w:r w:rsidRPr="00BB6E3B">
        <w:rPr>
          <w:color w:val="0D0D0D" w:themeColor="text1" w:themeTint="F2"/>
        </w:rPr>
        <w:t xml:space="preserve">sprejeme z </w:t>
      </w:r>
      <w:r w:rsidR="002301B1" w:rsidRPr="00BB6E3B">
        <w:rPr>
          <w:color w:val="0D0D0D" w:themeColor="text1" w:themeTint="F2"/>
        </w:rPr>
        <w:t xml:space="preserve">vsemi </w:t>
      </w:r>
      <w:r w:rsidRPr="00BB6E3B">
        <w:rPr>
          <w:color w:val="0D0D0D" w:themeColor="text1" w:themeTint="F2"/>
        </w:rPr>
        <w:t xml:space="preserve">že sproščenimi ukrepi v letu 2018 in da se </w:t>
      </w:r>
      <w:r w:rsidR="008A72A7" w:rsidRPr="00BB6E3B">
        <w:rPr>
          <w:color w:val="0D0D0D" w:themeColor="text1" w:themeTint="F2"/>
        </w:rPr>
        <w:t>v</w:t>
      </w:r>
      <w:r w:rsidRPr="00BB6E3B">
        <w:rPr>
          <w:color w:val="0D0D0D" w:themeColor="text1" w:themeTint="F2"/>
        </w:rPr>
        <w:t>lada posveti srednjeročnim izzivom.</w:t>
      </w:r>
      <w:r w:rsidR="002301B1" w:rsidRPr="00BB6E3B">
        <w:rPr>
          <w:color w:val="0D0D0D" w:themeColor="text1" w:themeTint="F2"/>
        </w:rPr>
        <w:t xml:space="preserve"> </w:t>
      </w:r>
      <w:r w:rsidRPr="00BB6E3B">
        <w:rPr>
          <w:color w:val="0D0D0D" w:themeColor="text1" w:themeTint="F2"/>
        </w:rPr>
        <w:t>Pri tem je treba poudariti, da pravilo dolga predstavlja osnovno vodilo pri snovanju ekonomskih politik, pri čemer si bo Slovenija prizadevala ohranjati pozitiven nominalen saldo sektorja država (in na srednji rok posledično skrb za dolgoročno vzdrž</w:t>
      </w:r>
      <w:r w:rsidR="00225864" w:rsidRPr="00BB6E3B">
        <w:rPr>
          <w:color w:val="0D0D0D" w:themeColor="text1" w:themeTint="F2"/>
        </w:rPr>
        <w:t>nost javnih financ). Č</w:t>
      </w:r>
      <w:r w:rsidRPr="00BB6E3B">
        <w:rPr>
          <w:color w:val="0D0D0D" w:themeColor="text1" w:themeTint="F2"/>
        </w:rPr>
        <w:t xml:space="preserve">e pravilo dolga ne bi predstavljalo osnovnega vodila pri snovanju ekonomskih politik, bi to pomenilo, da ni mogoče zagotavljati ustreznega spleta ekonomskih politik, prav tako ne ustrezne ravni gospodarske rasti. Slovenija je širšo strokovno javnost kot Evropsko komisijo že večkrat opozorila na neustreznost, po kateri </w:t>
      </w:r>
      <w:r w:rsidRPr="00BB6E3B">
        <w:rPr>
          <w:color w:val="0D0D0D" w:themeColor="text1" w:themeTint="F2"/>
        </w:rPr>
        <w:lastRenderedPageBreak/>
        <w:t xml:space="preserve">se sledi zgolj letnemu doseganju cilja (matematično preračunano), saj takšno ravnanje lahko povzroči nepopravljive posledice v gospodarstvu oziroma ogrozi gospodarsko rast v času stabilizacije ali ohlajanja cikla. </w:t>
      </w:r>
    </w:p>
    <w:p w:rsidR="000F49FC" w:rsidRPr="00BB6E3B" w:rsidRDefault="000F49FC" w:rsidP="00847208">
      <w:pPr>
        <w:pStyle w:val="odstavek1"/>
        <w:spacing w:before="0" w:line="276" w:lineRule="auto"/>
        <w:ind w:firstLine="0"/>
        <w:rPr>
          <w:color w:val="0D0D0D" w:themeColor="text1" w:themeTint="F2"/>
        </w:rPr>
      </w:pPr>
    </w:p>
    <w:p w:rsidR="00D90DEB" w:rsidRPr="00BB6E3B" w:rsidRDefault="00D90DEB"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Produktivnost in višja dodana vrednost na ravni, ki bi omogočila hitrejše dohitevanje razvitejših držav in dvig življenjskega standarda</w:t>
      </w:r>
      <w:r w:rsidR="00225864" w:rsidRPr="00BB6E3B">
        <w:rPr>
          <w:rFonts w:ascii="Arial" w:hAnsi="Arial" w:cs="Arial"/>
          <w:color w:val="0D0D0D" w:themeColor="text1" w:themeTint="F2"/>
          <w:sz w:val="22"/>
          <w:szCs w:val="22"/>
        </w:rPr>
        <w:t>, sta</w:t>
      </w:r>
      <w:r w:rsidRPr="00BB6E3B">
        <w:rPr>
          <w:rFonts w:ascii="Arial" w:hAnsi="Arial" w:cs="Arial"/>
          <w:color w:val="0D0D0D" w:themeColor="text1" w:themeTint="F2"/>
          <w:sz w:val="22"/>
          <w:szCs w:val="22"/>
        </w:rPr>
        <w:t xml:space="preserve"> </w:t>
      </w:r>
      <w:r w:rsidR="00225864" w:rsidRPr="00BB6E3B">
        <w:rPr>
          <w:rFonts w:ascii="Arial" w:hAnsi="Arial" w:cs="Arial"/>
          <w:color w:val="0D0D0D" w:themeColor="text1" w:themeTint="F2"/>
          <w:sz w:val="22"/>
          <w:szCs w:val="22"/>
        </w:rPr>
        <w:t>ključna</w:t>
      </w:r>
      <w:r w:rsidRPr="00BB6E3B">
        <w:rPr>
          <w:rFonts w:ascii="Arial" w:hAnsi="Arial" w:cs="Arial"/>
          <w:color w:val="0D0D0D" w:themeColor="text1" w:themeTint="F2"/>
          <w:sz w:val="22"/>
          <w:szCs w:val="22"/>
        </w:rPr>
        <w:t xml:space="preserve"> cilj</w:t>
      </w:r>
      <w:r w:rsidR="00225864" w:rsidRPr="00BB6E3B">
        <w:rPr>
          <w:rFonts w:ascii="Arial" w:hAnsi="Arial" w:cs="Arial"/>
          <w:color w:val="0D0D0D" w:themeColor="text1" w:themeTint="F2"/>
          <w:sz w:val="22"/>
          <w:szCs w:val="22"/>
        </w:rPr>
        <w:t>a</w:t>
      </w:r>
      <w:r w:rsidRPr="00BB6E3B">
        <w:rPr>
          <w:rFonts w:ascii="Arial" w:hAnsi="Arial" w:cs="Arial"/>
          <w:color w:val="0D0D0D" w:themeColor="text1" w:themeTint="F2"/>
          <w:sz w:val="22"/>
          <w:szCs w:val="22"/>
        </w:rPr>
        <w:t xml:space="preserve"> prihodnje ekonomske politike države.  Produktivnost je najpomembnejši faktor nadaljnje gospodarske rasti ob upoštevanju izzivov</w:t>
      </w:r>
      <w:r w:rsidR="00225864" w:rsidRPr="00BB6E3B">
        <w:rPr>
          <w:rFonts w:ascii="Arial" w:hAnsi="Arial" w:cs="Arial"/>
          <w:color w:val="0D0D0D" w:themeColor="text1" w:themeTint="F2"/>
          <w:sz w:val="22"/>
          <w:szCs w:val="22"/>
        </w:rPr>
        <w:t>,</w:t>
      </w:r>
      <w:r w:rsidRPr="00BB6E3B">
        <w:rPr>
          <w:rFonts w:ascii="Arial" w:hAnsi="Arial" w:cs="Arial"/>
          <w:color w:val="0D0D0D" w:themeColor="text1" w:themeTint="F2"/>
          <w:sz w:val="22"/>
          <w:szCs w:val="22"/>
        </w:rPr>
        <w:t xml:space="preserve"> povezanih z demografskimi in okoljskimi spremembami. Posledično to vpliva tudi na </w:t>
      </w:r>
      <w:r w:rsidR="008A72A7" w:rsidRPr="00BB6E3B">
        <w:rPr>
          <w:rFonts w:ascii="Arial" w:hAnsi="Arial" w:cs="Arial"/>
          <w:color w:val="0D0D0D" w:themeColor="text1" w:themeTint="F2"/>
          <w:sz w:val="22"/>
          <w:szCs w:val="22"/>
        </w:rPr>
        <w:t xml:space="preserve">kakovost </w:t>
      </w:r>
      <w:r w:rsidRPr="00BB6E3B">
        <w:rPr>
          <w:rFonts w:ascii="Arial" w:hAnsi="Arial" w:cs="Arial"/>
          <w:color w:val="0D0D0D" w:themeColor="text1" w:themeTint="F2"/>
          <w:sz w:val="22"/>
          <w:szCs w:val="22"/>
        </w:rPr>
        <w:t xml:space="preserve">in dolgoročno vzdržnost javnih financ ter na dolgoročno rast potencialnega BDP. V ta namen je </w:t>
      </w:r>
      <w:r w:rsidR="008A72A7" w:rsidRPr="00BB6E3B">
        <w:rPr>
          <w:rFonts w:ascii="Arial" w:hAnsi="Arial" w:cs="Arial"/>
          <w:color w:val="0D0D0D" w:themeColor="text1" w:themeTint="F2"/>
          <w:sz w:val="22"/>
          <w:szCs w:val="22"/>
        </w:rPr>
        <w:t xml:space="preserve">treba </w:t>
      </w:r>
      <w:r w:rsidRPr="00BB6E3B">
        <w:rPr>
          <w:rFonts w:ascii="Arial" w:hAnsi="Arial" w:cs="Arial"/>
          <w:color w:val="0D0D0D" w:themeColor="text1" w:themeTint="F2"/>
          <w:sz w:val="22"/>
          <w:szCs w:val="22"/>
        </w:rPr>
        <w:t>spodbujati strukturne dejavnike, ki so ključni za rast produktivnosti na kratek in dolgi rok. Ti so med drugim povezani s človeškimi viri, konkurenčnim, raziskovalnim  in inovacijskim okoljem ter splošno institucionalno učinkovitostjo. S predlaganimi davčnimi spremembami, ki temeljijo na prestrukturiranju davčnih bremen med dohodki iz dela in dohodki iz kapitala, se želi spodbujati večj</w:t>
      </w:r>
      <w:r w:rsidR="008A72A7" w:rsidRPr="00BB6E3B">
        <w:rPr>
          <w:rFonts w:ascii="Arial" w:hAnsi="Arial" w:cs="Arial"/>
          <w:color w:val="0D0D0D" w:themeColor="text1" w:themeTint="F2"/>
          <w:sz w:val="22"/>
          <w:szCs w:val="22"/>
        </w:rPr>
        <w:t>a</w:t>
      </w:r>
      <w:r w:rsidRPr="00BB6E3B">
        <w:rPr>
          <w:rFonts w:ascii="Arial" w:hAnsi="Arial" w:cs="Arial"/>
          <w:color w:val="0D0D0D" w:themeColor="text1" w:themeTint="F2"/>
          <w:sz w:val="22"/>
          <w:szCs w:val="22"/>
        </w:rPr>
        <w:t xml:space="preserve"> konkurenčnost v smislu manjše davčne obremenitve zaposlenih</w:t>
      </w:r>
      <w:r w:rsidR="008A72A7" w:rsidRPr="00BB6E3B">
        <w:rPr>
          <w:rFonts w:ascii="Arial" w:hAnsi="Arial" w:cs="Arial"/>
          <w:color w:val="0D0D0D" w:themeColor="text1" w:themeTint="F2"/>
          <w:sz w:val="22"/>
          <w:szCs w:val="22"/>
        </w:rPr>
        <w:t>,</w:t>
      </w:r>
      <w:r w:rsidRPr="00BB6E3B">
        <w:rPr>
          <w:rFonts w:ascii="Arial" w:hAnsi="Arial" w:cs="Arial"/>
          <w:color w:val="0D0D0D" w:themeColor="text1" w:themeTint="F2"/>
          <w:sz w:val="22"/>
          <w:szCs w:val="22"/>
        </w:rPr>
        <w:t xml:space="preserve"> kar pozitivno vpliva na vzdržno gospodarsko rast.</w:t>
      </w:r>
    </w:p>
    <w:p w:rsidR="00D90DEB" w:rsidRPr="00BB6E3B" w:rsidRDefault="00D90DEB" w:rsidP="00847208">
      <w:pPr>
        <w:pStyle w:val="Default"/>
        <w:spacing w:line="276" w:lineRule="auto"/>
        <w:jc w:val="both"/>
        <w:rPr>
          <w:rFonts w:ascii="Arial" w:hAnsi="Arial" w:cs="Arial"/>
          <w:color w:val="0D0D0D" w:themeColor="text1" w:themeTint="F2"/>
          <w:sz w:val="22"/>
          <w:szCs w:val="22"/>
        </w:rPr>
      </w:pPr>
    </w:p>
    <w:p w:rsidR="00D90DEB" w:rsidRPr="00BB6E3B" w:rsidRDefault="00D90DEB" w:rsidP="00847208">
      <w:pPr>
        <w:pStyle w:val="Default"/>
        <w:spacing w:line="276" w:lineRule="auto"/>
        <w:jc w:val="both"/>
        <w:rPr>
          <w:rFonts w:ascii="Arial" w:hAnsi="Arial" w:cs="Arial"/>
          <w:color w:val="0D0D0D" w:themeColor="text1" w:themeTint="F2"/>
          <w:sz w:val="22"/>
          <w:szCs w:val="22"/>
        </w:rPr>
      </w:pPr>
      <w:r w:rsidRPr="00BB6E3B">
        <w:rPr>
          <w:rFonts w:ascii="Arial" w:hAnsi="Arial" w:cs="Arial"/>
          <w:color w:val="0D0D0D" w:themeColor="text1" w:themeTint="F2"/>
          <w:sz w:val="22"/>
          <w:szCs w:val="22"/>
        </w:rPr>
        <w:t xml:space="preserve">Predlogi strukturnih sprememb na trgu dela </w:t>
      </w:r>
      <w:r w:rsidR="008A72A7" w:rsidRPr="00BB6E3B">
        <w:rPr>
          <w:rFonts w:ascii="Arial" w:hAnsi="Arial" w:cs="Arial"/>
          <w:color w:val="0D0D0D" w:themeColor="text1" w:themeTint="F2"/>
          <w:sz w:val="22"/>
          <w:szCs w:val="22"/>
        </w:rPr>
        <w:t xml:space="preserve">obravnavajo </w:t>
      </w:r>
      <w:r w:rsidRPr="00BB6E3B">
        <w:rPr>
          <w:rFonts w:ascii="Arial" w:hAnsi="Arial" w:cs="Arial"/>
          <w:color w:val="0D0D0D" w:themeColor="text1" w:themeTint="F2"/>
          <w:sz w:val="22"/>
          <w:szCs w:val="22"/>
        </w:rPr>
        <w:t>vprašanja človeških virov, demografije, vzdržnosti pokojninskega sistema in primernosti pokojnin. Pozitivno bodo vplivali na delovno aktivnost starejših, izboljšali socialno zaščito določenih ranljivih skupin in vplivali na hitrejšo aktivacijo ljudi. Predlogi sprememb pokojninskega sistema se bodo nanašali na dvig odmerne</w:t>
      </w:r>
      <w:r w:rsidR="00225864" w:rsidRPr="00BB6E3B">
        <w:rPr>
          <w:rFonts w:ascii="Arial" w:hAnsi="Arial" w:cs="Arial"/>
          <w:color w:val="0D0D0D" w:themeColor="text1" w:themeTint="F2"/>
          <w:sz w:val="22"/>
          <w:szCs w:val="22"/>
        </w:rPr>
        <w:t>ga</w:t>
      </w:r>
      <w:r w:rsidRPr="00BB6E3B">
        <w:rPr>
          <w:rFonts w:ascii="Arial" w:hAnsi="Arial" w:cs="Arial"/>
          <w:color w:val="0D0D0D" w:themeColor="text1" w:themeTint="F2"/>
          <w:sz w:val="22"/>
          <w:szCs w:val="22"/>
        </w:rPr>
        <w:t xml:space="preserve"> </w:t>
      </w:r>
      <w:r w:rsidR="00225864" w:rsidRPr="00BB6E3B">
        <w:rPr>
          <w:rFonts w:ascii="Arial" w:hAnsi="Arial" w:cs="Arial"/>
          <w:color w:val="0D0D0D" w:themeColor="text1" w:themeTint="F2"/>
          <w:sz w:val="22"/>
          <w:szCs w:val="22"/>
        </w:rPr>
        <w:t>odstotka</w:t>
      </w:r>
      <w:r w:rsidRPr="00BB6E3B">
        <w:rPr>
          <w:rFonts w:ascii="Arial" w:hAnsi="Arial" w:cs="Arial"/>
          <w:color w:val="0D0D0D" w:themeColor="text1" w:themeTint="F2"/>
          <w:sz w:val="22"/>
          <w:szCs w:val="22"/>
        </w:rPr>
        <w:t xml:space="preserve"> in s tem primernosti novih starostnih pokojnin, na poviševanje starosti ob upokojitvi ter postopno poviševanje starostne meje za upokojitev, na nadgradnjo sistema hkratnega prejemanja pokojnine in opravljanja dela ter na proučitev način</w:t>
      </w:r>
      <w:r w:rsidR="00FB6304" w:rsidRPr="00BB6E3B">
        <w:rPr>
          <w:rFonts w:ascii="Arial" w:hAnsi="Arial" w:cs="Arial"/>
          <w:color w:val="0D0D0D" w:themeColor="text1" w:themeTint="F2"/>
          <w:sz w:val="22"/>
          <w:szCs w:val="22"/>
        </w:rPr>
        <w:t>a</w:t>
      </w:r>
      <w:r w:rsidRPr="00BB6E3B">
        <w:rPr>
          <w:rFonts w:ascii="Arial" w:hAnsi="Arial" w:cs="Arial"/>
          <w:color w:val="0D0D0D" w:themeColor="text1" w:themeTint="F2"/>
          <w:sz w:val="22"/>
          <w:szCs w:val="22"/>
        </w:rPr>
        <w:t xml:space="preserve"> usklajevanja pokojnin.</w:t>
      </w:r>
      <w:r w:rsidR="00225864" w:rsidRPr="00BB6E3B">
        <w:rPr>
          <w:rFonts w:ascii="Arial" w:hAnsi="Arial" w:cs="Arial"/>
          <w:color w:val="0D0D0D" w:themeColor="text1" w:themeTint="F2"/>
          <w:sz w:val="22"/>
          <w:szCs w:val="22"/>
        </w:rPr>
        <w:t xml:space="preserve"> Na področju ureditve trga dela</w:t>
      </w:r>
      <w:r w:rsidRPr="00BB6E3B">
        <w:rPr>
          <w:rFonts w:ascii="Arial" w:hAnsi="Arial" w:cs="Arial"/>
          <w:color w:val="0D0D0D" w:themeColor="text1" w:themeTint="F2"/>
          <w:sz w:val="22"/>
          <w:szCs w:val="22"/>
        </w:rPr>
        <w:t xml:space="preserve"> bodo najpomembnejši ukrepi v smeri povečanja minimalnega nadomestila za primer brezposelnosti in znižanja obdobja najdaljšega prejemanja nadomestila. Hkrati se bodo nadaljevali ukrepi za učinkovitejšo aktivno politiko zapos</w:t>
      </w:r>
      <w:r w:rsidR="002D08AF" w:rsidRPr="00BB6E3B">
        <w:rPr>
          <w:rFonts w:ascii="Arial" w:hAnsi="Arial" w:cs="Arial"/>
          <w:color w:val="0D0D0D" w:themeColor="text1" w:themeTint="F2"/>
          <w:sz w:val="22"/>
          <w:szCs w:val="22"/>
        </w:rPr>
        <w:t>lovanja in socialno aktivacijo.</w:t>
      </w:r>
    </w:p>
    <w:p w:rsidR="00ED19DC" w:rsidRPr="00BB6E3B" w:rsidRDefault="00ED19DC" w:rsidP="00847208">
      <w:pPr>
        <w:pStyle w:val="Default"/>
        <w:spacing w:line="276" w:lineRule="auto"/>
        <w:jc w:val="both"/>
        <w:rPr>
          <w:rFonts w:ascii="Arial" w:hAnsi="Arial" w:cs="Arial"/>
          <w:color w:val="0D0D0D" w:themeColor="text1" w:themeTint="F2"/>
          <w:sz w:val="22"/>
          <w:szCs w:val="22"/>
        </w:rPr>
      </w:pPr>
    </w:p>
    <w:p w:rsidR="00ED19DC" w:rsidRPr="00BB6E3B" w:rsidRDefault="00ED19DC" w:rsidP="00ED19DC">
      <w:pPr>
        <w:pStyle w:val="odstavek1"/>
        <w:spacing w:before="0" w:line="276" w:lineRule="auto"/>
        <w:ind w:firstLine="0"/>
        <w:rPr>
          <w:color w:val="0D0D0D" w:themeColor="text1" w:themeTint="F2"/>
        </w:rPr>
      </w:pPr>
      <w:r w:rsidRPr="00BB6E3B">
        <w:rPr>
          <w:color w:val="0D0D0D" w:themeColor="text1" w:themeTint="F2"/>
        </w:rPr>
        <w:t>Pri tem ne sme biti dvoma, da trajnejše reforme in doseganje preteklih razvojnih zaostankov ne morejo biti del letnega cikla v povezavi s proračuni. Poudariti velja, da Slovenija od spreje</w:t>
      </w:r>
      <w:r w:rsidR="008A72A7" w:rsidRPr="00BB6E3B">
        <w:rPr>
          <w:color w:val="0D0D0D" w:themeColor="text1" w:themeTint="F2"/>
        </w:rPr>
        <w:t>tja</w:t>
      </w:r>
      <w:r w:rsidRPr="00BB6E3B">
        <w:rPr>
          <w:color w:val="0D0D0D" w:themeColor="text1" w:themeTint="F2"/>
        </w:rPr>
        <w:t xml:space="preserve"> Pakta rasti in stabilnosti (SGP) ter paketa evropskega ekonomskega upravljanja (šestorček + dvojček) ni bila upravičena niti do ene fleksibilne klavzule za odstop od MTO (ne strukturne ne investicijske), kar zopet kaže, da niso upoštevane specifike malih odprtih držav oziroma so roki za fiskalno konsolidacijo </w:t>
      </w:r>
      <w:r w:rsidR="00225864" w:rsidRPr="00BB6E3B">
        <w:rPr>
          <w:color w:val="0D0D0D" w:themeColor="text1" w:themeTint="F2"/>
        </w:rPr>
        <w:t>težko dosegljivi</w:t>
      </w:r>
      <w:r w:rsidRPr="00BB6E3B">
        <w:rPr>
          <w:color w:val="0D0D0D" w:themeColor="text1" w:themeTint="F2"/>
        </w:rPr>
        <w:t xml:space="preserve"> z vidika političnega cikla</w:t>
      </w:r>
      <w:r w:rsidR="00225864" w:rsidRPr="00BB6E3B">
        <w:rPr>
          <w:color w:val="0D0D0D" w:themeColor="text1" w:themeTint="F2"/>
        </w:rPr>
        <w:t xml:space="preserve">, </w:t>
      </w:r>
      <w:r w:rsidRPr="00BB6E3B">
        <w:rPr>
          <w:color w:val="0D0D0D" w:themeColor="text1" w:themeTint="F2"/>
        </w:rPr>
        <w:t>ki</w:t>
      </w:r>
      <w:r w:rsidR="00225864" w:rsidRPr="00BB6E3B">
        <w:rPr>
          <w:color w:val="0D0D0D" w:themeColor="text1" w:themeTint="F2"/>
        </w:rPr>
        <w:t xml:space="preserve"> v povprečju</w:t>
      </w:r>
      <w:r w:rsidRPr="00BB6E3B">
        <w:rPr>
          <w:color w:val="0D0D0D" w:themeColor="text1" w:themeTint="F2"/>
        </w:rPr>
        <w:t xml:space="preserve"> ne sovpada </w:t>
      </w:r>
      <w:r w:rsidR="00225864" w:rsidRPr="00BB6E3B">
        <w:rPr>
          <w:color w:val="0D0D0D" w:themeColor="text1" w:themeTint="F2"/>
        </w:rPr>
        <w:t>z ekonomskim ciklom</w:t>
      </w:r>
      <w:r w:rsidRPr="00BB6E3B">
        <w:rPr>
          <w:color w:val="0D0D0D" w:themeColor="text1" w:themeTint="F2"/>
        </w:rPr>
        <w:t xml:space="preserve">. </w:t>
      </w:r>
    </w:p>
    <w:p w:rsidR="00FD3464" w:rsidRPr="00BB6E3B" w:rsidRDefault="002E3C2D" w:rsidP="002E3C2D">
      <w:pPr>
        <w:pStyle w:val="Heading1"/>
        <w:rPr>
          <w:color w:val="0D0D0D" w:themeColor="text1" w:themeTint="F2"/>
        </w:rPr>
      </w:pPr>
      <w:bookmarkStart w:id="2" w:name="_Toc6923643"/>
      <w:r w:rsidRPr="00BB6E3B">
        <w:rPr>
          <w:color w:val="0D0D0D" w:themeColor="text1" w:themeTint="F2"/>
        </w:rPr>
        <w:t>MAKROEKONOMSKI PREGLED</w:t>
      </w:r>
      <w:bookmarkEnd w:id="2"/>
    </w:p>
    <w:p w:rsidR="00B42F3D" w:rsidRPr="00BB6E3B" w:rsidRDefault="00B42F3D" w:rsidP="00C3436D">
      <w:pPr>
        <w:rPr>
          <w:rFonts w:cs="Arial"/>
          <w:color w:val="0D0D0D" w:themeColor="text1" w:themeTint="F2"/>
        </w:rPr>
      </w:pPr>
    </w:p>
    <w:p w:rsidR="00FD3464" w:rsidRPr="00BB6E3B" w:rsidRDefault="00FD3464" w:rsidP="00553FED">
      <w:pPr>
        <w:pStyle w:val="Heading2"/>
        <w:numPr>
          <w:ilvl w:val="1"/>
          <w:numId w:val="3"/>
        </w:numPr>
        <w:rPr>
          <w:color w:val="0D0D0D" w:themeColor="text1" w:themeTint="F2"/>
        </w:rPr>
      </w:pPr>
      <w:bookmarkStart w:id="3" w:name="_Toc6923644"/>
      <w:r w:rsidRPr="00BB6E3B">
        <w:rPr>
          <w:color w:val="0D0D0D" w:themeColor="text1" w:themeTint="F2"/>
        </w:rPr>
        <w:t>Makroekonomsk</w:t>
      </w:r>
      <w:r w:rsidR="00DA6F28" w:rsidRPr="00BB6E3B">
        <w:rPr>
          <w:color w:val="0D0D0D" w:themeColor="text1" w:themeTint="F2"/>
        </w:rPr>
        <w:t>a gibanja</w:t>
      </w:r>
      <w:r w:rsidRPr="00BB6E3B">
        <w:rPr>
          <w:color w:val="0D0D0D" w:themeColor="text1" w:themeTint="F2"/>
        </w:rPr>
        <w:t xml:space="preserve"> 201</w:t>
      </w:r>
      <w:r w:rsidR="002E3C2D" w:rsidRPr="00BB6E3B">
        <w:rPr>
          <w:color w:val="0D0D0D" w:themeColor="text1" w:themeTint="F2"/>
        </w:rPr>
        <w:t>8</w:t>
      </w:r>
      <w:r w:rsidR="001C284E" w:rsidRPr="00BB6E3B">
        <w:rPr>
          <w:color w:val="0D0D0D" w:themeColor="text1" w:themeTint="F2"/>
        </w:rPr>
        <w:t>–</w:t>
      </w:r>
      <w:r w:rsidR="00231E7D" w:rsidRPr="00BB6E3B">
        <w:rPr>
          <w:color w:val="0D0D0D" w:themeColor="text1" w:themeTint="F2"/>
        </w:rPr>
        <w:t>2019</w:t>
      </w:r>
      <w:bookmarkEnd w:id="3"/>
    </w:p>
    <w:p w:rsidR="00FD3464" w:rsidRPr="00BB6E3B" w:rsidRDefault="00FD3464" w:rsidP="00FD3464">
      <w:pPr>
        <w:rPr>
          <w:rFonts w:cs="Arial"/>
          <w:color w:val="0D0D0D" w:themeColor="text1" w:themeTint="F2"/>
        </w:rPr>
      </w:pPr>
    </w:p>
    <w:p w:rsidR="002D08AF" w:rsidRPr="00BB6E3B" w:rsidRDefault="002D08AF" w:rsidP="00847208">
      <w:pPr>
        <w:shd w:val="clear" w:color="auto" w:fill="FFFFFF"/>
        <w:spacing w:after="0" w:line="276" w:lineRule="auto"/>
        <w:rPr>
          <w:rFonts w:cs="Arial"/>
          <w:color w:val="0D0D0D" w:themeColor="text1" w:themeTint="F2"/>
        </w:rPr>
      </w:pPr>
      <w:r w:rsidRPr="00BB6E3B">
        <w:rPr>
          <w:rFonts w:cs="Arial"/>
          <w:color w:val="0D0D0D" w:themeColor="text1" w:themeTint="F2"/>
        </w:rPr>
        <w:t>V letu 2018 se je v Sloveniji nadaljevala visoka 4,5</w:t>
      </w:r>
      <w:r w:rsidR="001C284E" w:rsidRPr="00BB6E3B">
        <w:rPr>
          <w:rFonts w:cs="Arial"/>
          <w:color w:val="0D0D0D" w:themeColor="text1" w:themeTint="F2"/>
        </w:rPr>
        <w:t>-</w:t>
      </w:r>
      <w:r w:rsidRPr="00BB6E3B">
        <w:rPr>
          <w:rFonts w:cs="Arial"/>
          <w:color w:val="0D0D0D" w:themeColor="text1" w:themeTint="F2"/>
        </w:rPr>
        <w:t>% realna gospodarska rast. Največji delež so prispevale bruto investicije v osnovna sredstva in povečanje domače potrošnje. Razmeroma visoka je bila državna potrošnja, rast zasebne potrošnje pa je kljub visoki rasti zaposlenosti in povečanju</w:t>
      </w:r>
      <w:r w:rsidR="00225864" w:rsidRPr="00BB6E3B">
        <w:rPr>
          <w:rFonts w:cs="Arial"/>
          <w:color w:val="0D0D0D" w:themeColor="text1" w:themeTint="F2"/>
        </w:rPr>
        <w:t xml:space="preserve"> plač ter socialnih transferjev</w:t>
      </w:r>
      <w:r w:rsidRPr="00BB6E3B">
        <w:rPr>
          <w:rFonts w:cs="Arial"/>
          <w:color w:val="0D0D0D" w:themeColor="text1" w:themeTint="F2"/>
        </w:rPr>
        <w:t xml:space="preserve"> ostala zmerna. Rast izvoza se je lani </w:t>
      </w:r>
      <w:r w:rsidR="008A72A7" w:rsidRPr="00BB6E3B">
        <w:rPr>
          <w:rFonts w:cs="Arial"/>
          <w:color w:val="0D0D0D" w:themeColor="text1" w:themeTint="F2"/>
        </w:rPr>
        <w:t>za</w:t>
      </w:r>
      <w:r w:rsidRPr="00BB6E3B">
        <w:rPr>
          <w:rFonts w:cs="Arial"/>
          <w:color w:val="0D0D0D" w:themeColor="text1" w:themeTint="F2"/>
        </w:rPr>
        <w:t xml:space="preserve">čela umirjati predvsem zaradi manjše rasti gospodarske aktivnosti v glavnih trgovinskih partnericah. </w:t>
      </w:r>
      <w:r w:rsidRPr="00BB6E3B">
        <w:rPr>
          <w:rFonts w:cs="Arial"/>
          <w:color w:val="0D0D0D" w:themeColor="text1" w:themeTint="F2"/>
        </w:rPr>
        <w:lastRenderedPageBreak/>
        <w:t>Posledično je bila v letu 2018 gospodarska rast 4,5 % in tako nižja kot v letu 2017 (4,9 %). Ob postopnem</w:t>
      </w:r>
      <w:r w:rsidR="002A2AC2" w:rsidRPr="00BB6E3B">
        <w:rPr>
          <w:rFonts w:cs="Arial"/>
          <w:color w:val="0D0D0D" w:themeColor="text1" w:themeTint="F2"/>
        </w:rPr>
        <w:t xml:space="preserve"> nadaljnjem</w:t>
      </w:r>
      <w:r w:rsidRPr="00BB6E3B">
        <w:rPr>
          <w:rFonts w:cs="Arial"/>
          <w:color w:val="0D0D0D" w:themeColor="text1" w:themeTint="F2"/>
        </w:rPr>
        <w:t xml:space="preserve"> umirjanju gospodarske rasti se v letu 2019 pričakuje 3,4 % gospodarska rast, ki sicer že od leta 2015 ostaja višja</w:t>
      </w:r>
      <w:r w:rsidR="001C284E" w:rsidRPr="00BB6E3B">
        <w:rPr>
          <w:rFonts w:cs="Arial"/>
          <w:color w:val="0D0D0D" w:themeColor="text1" w:themeTint="F2"/>
        </w:rPr>
        <w:t>,</w:t>
      </w:r>
      <w:r w:rsidRPr="00BB6E3B">
        <w:rPr>
          <w:rFonts w:cs="Arial"/>
          <w:color w:val="0D0D0D" w:themeColor="text1" w:themeTint="F2"/>
        </w:rPr>
        <w:t xml:space="preserve"> kot je povprečje rasti  EU in evr</w:t>
      </w:r>
      <w:r w:rsidR="008A72A7" w:rsidRPr="00BB6E3B">
        <w:rPr>
          <w:rFonts w:cs="Arial"/>
          <w:color w:val="0D0D0D" w:themeColor="text1" w:themeTint="F2"/>
        </w:rPr>
        <w:t xml:space="preserve">skega </w:t>
      </w:r>
      <w:r w:rsidRPr="00BB6E3B">
        <w:rPr>
          <w:rFonts w:cs="Arial"/>
          <w:color w:val="0D0D0D" w:themeColor="text1" w:themeTint="F2"/>
        </w:rPr>
        <w:t xml:space="preserve">območja. </w:t>
      </w:r>
    </w:p>
    <w:p w:rsidR="00847208" w:rsidRPr="00BB6E3B" w:rsidRDefault="00847208" w:rsidP="00847208">
      <w:pPr>
        <w:shd w:val="clear" w:color="auto" w:fill="FFFFFF"/>
        <w:spacing w:after="0" w:line="276" w:lineRule="auto"/>
        <w:rPr>
          <w:rFonts w:cs="Arial"/>
          <w:color w:val="0D0D0D" w:themeColor="text1" w:themeTint="F2"/>
        </w:rPr>
      </w:pPr>
    </w:p>
    <w:p w:rsidR="002D08AF" w:rsidRPr="00BB6E3B" w:rsidRDefault="002D08AF" w:rsidP="00FC409E">
      <w:pPr>
        <w:shd w:val="clear" w:color="auto" w:fill="FFFFFF"/>
        <w:spacing w:after="0" w:line="276" w:lineRule="auto"/>
        <w:rPr>
          <w:rFonts w:cs="Arial"/>
          <w:color w:val="0D0D0D" w:themeColor="text1" w:themeTint="F2"/>
        </w:rPr>
      </w:pPr>
      <w:r w:rsidRPr="00BB6E3B">
        <w:rPr>
          <w:rFonts w:cs="Arial"/>
          <w:color w:val="0D0D0D" w:themeColor="text1" w:themeTint="F2"/>
        </w:rPr>
        <w:t>Rast formalno delovno aktivnih je po znatnem povečanju v letu 2017 ostala visoka tudi v letu 2018 (3,2 %), število zaposlenih oseb pa je najvišje doslej (</w:t>
      </w:r>
      <w:r w:rsidR="00F3140B" w:rsidRPr="00BB6E3B">
        <w:rPr>
          <w:rFonts w:cs="Arial"/>
          <w:color w:val="0D0D0D" w:themeColor="text1" w:themeTint="F2"/>
        </w:rPr>
        <w:t xml:space="preserve">v 2018 je bilo </w:t>
      </w:r>
      <w:r w:rsidRPr="00BB6E3B">
        <w:rPr>
          <w:rFonts w:cs="Arial"/>
          <w:color w:val="0D0D0D" w:themeColor="text1" w:themeTint="F2"/>
        </w:rPr>
        <w:t>872.000</w:t>
      </w:r>
      <w:r w:rsidR="00F3140B" w:rsidRPr="00BB6E3B">
        <w:rPr>
          <w:rFonts w:cs="Arial"/>
          <w:color w:val="0D0D0D" w:themeColor="text1" w:themeTint="F2"/>
        </w:rPr>
        <w:t xml:space="preserve"> formalno delovno aktivnih</w:t>
      </w:r>
      <w:r w:rsidRPr="00BB6E3B">
        <w:rPr>
          <w:rFonts w:cs="Arial"/>
          <w:color w:val="0D0D0D" w:themeColor="text1" w:themeTint="F2"/>
        </w:rPr>
        <w:t xml:space="preserve">). K temu je pripomoglo zaposlovanje tujih državljanov </w:t>
      </w:r>
      <w:r w:rsidR="008A72A7" w:rsidRPr="00BB6E3B">
        <w:rPr>
          <w:rFonts w:cs="Arial"/>
          <w:color w:val="0D0D0D" w:themeColor="text1" w:themeTint="F2"/>
        </w:rPr>
        <w:t xml:space="preserve">in </w:t>
      </w:r>
      <w:r w:rsidRPr="00BB6E3B">
        <w:rPr>
          <w:rFonts w:cs="Arial"/>
          <w:color w:val="0D0D0D" w:themeColor="text1" w:themeTint="F2"/>
        </w:rPr>
        <w:t xml:space="preserve">vključevanje na trg dela tistih oseb, ki do </w:t>
      </w:r>
      <w:r w:rsidR="008A72A7" w:rsidRPr="00BB6E3B">
        <w:rPr>
          <w:rFonts w:cs="Arial"/>
          <w:color w:val="0D0D0D" w:themeColor="text1" w:themeTint="F2"/>
        </w:rPr>
        <w:t>z</w:t>
      </w:r>
      <w:r w:rsidRPr="00BB6E3B">
        <w:rPr>
          <w:rFonts w:cs="Arial"/>
          <w:color w:val="0D0D0D" w:themeColor="text1" w:themeTint="F2"/>
        </w:rPr>
        <w:t xml:space="preserve">daj niso aktivno iskale zaposlitve. Zmanjšanje števila registriranih brezposelnih se tako nadaljuje tudi v letu 2018 (8,2 %) in </w:t>
      </w:r>
      <w:r w:rsidR="00D82E18" w:rsidRPr="00BB6E3B">
        <w:rPr>
          <w:rFonts w:cs="Arial"/>
          <w:color w:val="0D0D0D" w:themeColor="text1" w:themeTint="F2"/>
        </w:rPr>
        <w:t xml:space="preserve">se pričakuje </w:t>
      </w:r>
      <w:r w:rsidRPr="00BB6E3B">
        <w:rPr>
          <w:rFonts w:cs="Arial"/>
          <w:color w:val="0D0D0D" w:themeColor="text1" w:themeTint="F2"/>
        </w:rPr>
        <w:t xml:space="preserve">v 2019 (7,6 %).Tudi stopnja anketne brezposelnosti bo v letu 2019 za 0,8 odstotne točke </w:t>
      </w:r>
      <w:r w:rsidR="00D82E18" w:rsidRPr="00BB6E3B">
        <w:rPr>
          <w:rFonts w:cs="Arial"/>
          <w:color w:val="0D0D0D" w:themeColor="text1" w:themeTint="F2"/>
        </w:rPr>
        <w:t>nižja</w:t>
      </w:r>
      <w:r w:rsidRPr="00BB6E3B">
        <w:rPr>
          <w:rFonts w:cs="Arial"/>
          <w:color w:val="0D0D0D" w:themeColor="text1" w:themeTint="F2"/>
        </w:rPr>
        <w:t xml:space="preserve"> kot v letu 2018, in sicer 4,3 %. Znižuje se tudi stopnja dolgoročne brezposelnosti, ki je najnižja po letu 2010, </w:t>
      </w:r>
      <w:r w:rsidR="00D82E18" w:rsidRPr="00BB6E3B">
        <w:rPr>
          <w:rFonts w:cs="Arial"/>
          <w:color w:val="0D0D0D" w:themeColor="text1" w:themeTint="F2"/>
        </w:rPr>
        <w:t>a</w:t>
      </w:r>
      <w:r w:rsidRPr="00BB6E3B">
        <w:rPr>
          <w:rFonts w:cs="Arial"/>
          <w:color w:val="0D0D0D" w:themeColor="text1" w:themeTint="F2"/>
        </w:rPr>
        <w:t xml:space="preserve"> še vedno višja od pre</w:t>
      </w:r>
      <w:r w:rsidR="008A72A7" w:rsidRPr="00BB6E3B">
        <w:rPr>
          <w:rFonts w:cs="Arial"/>
          <w:color w:val="0D0D0D" w:themeColor="text1" w:themeTint="F2"/>
        </w:rPr>
        <w:t>d</w:t>
      </w:r>
      <w:r w:rsidRPr="00BB6E3B">
        <w:rPr>
          <w:rFonts w:cs="Arial"/>
          <w:color w:val="0D0D0D" w:themeColor="text1" w:themeTint="F2"/>
        </w:rPr>
        <w:t>krizne ravni. Med dolgotrajno brezposelnimi je več kot t</w:t>
      </w:r>
      <w:r w:rsidR="00D82E18" w:rsidRPr="00BB6E3B">
        <w:rPr>
          <w:rFonts w:cs="Arial"/>
          <w:color w:val="0D0D0D" w:themeColor="text1" w:themeTint="F2"/>
        </w:rPr>
        <w:t>retjina starejših od</w:t>
      </w:r>
      <w:r w:rsidR="00365C5B" w:rsidRPr="00BB6E3B">
        <w:rPr>
          <w:rFonts w:cs="Arial"/>
          <w:color w:val="0D0D0D" w:themeColor="text1" w:themeTint="F2"/>
        </w:rPr>
        <w:t xml:space="preserve"> 50 let.</w:t>
      </w:r>
    </w:p>
    <w:p w:rsidR="00FC409E" w:rsidRPr="00BB6E3B" w:rsidRDefault="00FC409E" w:rsidP="00FC409E">
      <w:pPr>
        <w:shd w:val="clear" w:color="auto" w:fill="FFFFFF"/>
        <w:spacing w:after="0" w:line="276" w:lineRule="auto"/>
        <w:rPr>
          <w:rFonts w:cs="Arial"/>
          <w:color w:val="0D0D0D" w:themeColor="text1" w:themeTint="F2"/>
        </w:rPr>
      </w:pPr>
    </w:p>
    <w:p w:rsidR="002D08AF" w:rsidRPr="00BB6E3B" w:rsidRDefault="002D08AF"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1</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Gibanje rasti realnega BDP in stopnje dolgoročne brezposelnosti, 2005</w:t>
      </w:r>
      <w:r w:rsidR="001C284E" w:rsidRPr="00BB6E3B">
        <w:rPr>
          <w:rFonts w:ascii="Arial" w:hAnsi="Arial" w:cs="Arial"/>
          <w:color w:val="0D0D0D" w:themeColor="text1" w:themeTint="F2"/>
          <w:szCs w:val="22"/>
          <w:lang w:val="sl-SI"/>
        </w:rPr>
        <w:t>–</w:t>
      </w:r>
      <w:r w:rsidRPr="00BB6E3B">
        <w:rPr>
          <w:rFonts w:ascii="Arial" w:hAnsi="Arial" w:cs="Arial"/>
          <w:color w:val="0D0D0D" w:themeColor="text1" w:themeTint="F2"/>
          <w:szCs w:val="22"/>
          <w:lang w:val="sl-SI"/>
        </w:rPr>
        <w:t>2018</w:t>
      </w:r>
    </w:p>
    <w:p w:rsidR="002D08AF" w:rsidRPr="00BB6E3B" w:rsidRDefault="002D08AF" w:rsidP="00867F69">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cs="Arial"/>
          <w:noProof/>
          <w:color w:val="0D0D0D" w:themeColor="text1" w:themeTint="F2"/>
          <w:lang w:val="en-US"/>
        </w:rPr>
        <w:drawing>
          <wp:inline distT="0" distB="0" distL="0" distR="0" wp14:anchorId="4E814C34" wp14:editId="5155417A">
            <wp:extent cx="4511615" cy="2277374"/>
            <wp:effectExtent l="0" t="0" r="381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14850" cy="2279007"/>
                    </a:xfrm>
                    <a:prstGeom prst="rect">
                      <a:avLst/>
                    </a:prstGeom>
                  </pic:spPr>
                </pic:pic>
              </a:graphicData>
            </a:graphic>
          </wp:inline>
        </w:drawing>
      </w:r>
    </w:p>
    <w:p w:rsidR="002D08AF" w:rsidRPr="00BB6E3B" w:rsidRDefault="002D08AF" w:rsidP="00FC409E">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Eurostat, lastni preračuni</w:t>
      </w:r>
    </w:p>
    <w:p w:rsidR="00FC409E" w:rsidRPr="00BB6E3B" w:rsidRDefault="00FC409E" w:rsidP="00FC409E">
      <w:pPr>
        <w:shd w:val="clear" w:color="auto" w:fill="FFFFFF"/>
        <w:spacing w:after="0" w:line="276" w:lineRule="auto"/>
        <w:rPr>
          <w:rFonts w:cs="Arial"/>
          <w:color w:val="0D0D0D" w:themeColor="text1" w:themeTint="F2"/>
        </w:rPr>
      </w:pPr>
    </w:p>
    <w:p w:rsidR="002D08AF" w:rsidRPr="00BB6E3B" w:rsidRDefault="002D08AF" w:rsidP="00847208">
      <w:pPr>
        <w:shd w:val="clear" w:color="auto" w:fill="FFFFFF"/>
        <w:spacing w:line="276" w:lineRule="auto"/>
        <w:rPr>
          <w:rFonts w:cs="Arial"/>
          <w:color w:val="0D0D0D" w:themeColor="text1" w:themeTint="F2"/>
        </w:rPr>
      </w:pPr>
      <w:r w:rsidRPr="00BB6E3B">
        <w:rPr>
          <w:rFonts w:cs="Arial"/>
          <w:color w:val="0D0D0D" w:themeColor="text1" w:themeTint="F2"/>
        </w:rPr>
        <w:t>Stopnja delovne aktivnosti starejših (55</w:t>
      </w:r>
      <w:r w:rsidR="001C284E" w:rsidRPr="00BB6E3B">
        <w:rPr>
          <w:rFonts w:cs="Arial"/>
          <w:color w:val="0D0D0D" w:themeColor="text1" w:themeTint="F2"/>
        </w:rPr>
        <w:t>–</w:t>
      </w:r>
      <w:r w:rsidRPr="00BB6E3B">
        <w:rPr>
          <w:rFonts w:cs="Arial"/>
          <w:color w:val="0D0D0D" w:themeColor="text1" w:themeTint="F2"/>
        </w:rPr>
        <w:t>64 let) se opazno povečuje. Od prvega četrtletja 2015 do tretjega četr</w:t>
      </w:r>
      <w:r w:rsidR="00FB6304" w:rsidRPr="00BB6E3B">
        <w:rPr>
          <w:rFonts w:cs="Arial"/>
          <w:color w:val="0D0D0D" w:themeColor="text1" w:themeTint="F2"/>
        </w:rPr>
        <w:t>t</w:t>
      </w:r>
      <w:r w:rsidRPr="00BB6E3B">
        <w:rPr>
          <w:rFonts w:cs="Arial"/>
          <w:color w:val="0D0D0D" w:themeColor="text1" w:themeTint="F2"/>
        </w:rPr>
        <w:t>letja 2018 (zadnji razpoložljiv</w:t>
      </w:r>
      <w:r w:rsidR="002A2AC2" w:rsidRPr="00BB6E3B">
        <w:rPr>
          <w:rFonts w:cs="Arial"/>
          <w:color w:val="0D0D0D" w:themeColor="text1" w:themeTint="F2"/>
        </w:rPr>
        <w:t>i</w:t>
      </w:r>
      <w:r w:rsidRPr="00BB6E3B">
        <w:rPr>
          <w:rFonts w:cs="Arial"/>
          <w:color w:val="0D0D0D" w:themeColor="text1" w:themeTint="F2"/>
        </w:rPr>
        <w:t xml:space="preserve"> podatek) se je povečala za 12 odstotnih točk. Povečanje je predvsem posledica ugodnih gospodarskih gibanj, visoke stopnje zaposlenosti in zadnje pokojninske reforme iz leta 2013. Po reformi se je priliv novih upokojencev znatno znižal, povečuje se povprečna starost ob upokojitvi</w:t>
      </w:r>
      <w:r w:rsidR="002A2AC2" w:rsidRPr="00BB6E3B">
        <w:rPr>
          <w:rFonts w:cs="Arial"/>
          <w:color w:val="0D0D0D" w:themeColor="text1" w:themeTint="F2"/>
        </w:rPr>
        <w:t>,</w:t>
      </w:r>
      <w:r w:rsidRPr="00BB6E3B">
        <w:rPr>
          <w:rFonts w:cs="Arial"/>
          <w:color w:val="0D0D0D" w:themeColor="text1" w:themeTint="F2"/>
        </w:rPr>
        <w:t xml:space="preserve"> prav tako pa se povečuje dopolnjena pokojninska doba. Klub temu je stopnja zaposlenosti starejših (55</w:t>
      </w:r>
      <w:r w:rsidR="001C284E" w:rsidRPr="00BB6E3B">
        <w:rPr>
          <w:rFonts w:cs="Arial"/>
          <w:color w:val="0D0D0D" w:themeColor="text1" w:themeTint="F2"/>
        </w:rPr>
        <w:t>–</w:t>
      </w:r>
      <w:r w:rsidRPr="00BB6E3B">
        <w:rPr>
          <w:rFonts w:cs="Arial"/>
          <w:color w:val="0D0D0D" w:themeColor="text1" w:themeTint="F2"/>
        </w:rPr>
        <w:t>64 let) nižja od povprečja e</w:t>
      </w:r>
      <w:r w:rsidR="002A2AC2" w:rsidRPr="00BB6E3B">
        <w:rPr>
          <w:rFonts w:cs="Arial"/>
          <w:color w:val="0D0D0D" w:themeColor="text1" w:themeTint="F2"/>
        </w:rPr>
        <w:t>v</w:t>
      </w:r>
      <w:r w:rsidRPr="00BB6E3B">
        <w:rPr>
          <w:rFonts w:cs="Arial"/>
          <w:color w:val="0D0D0D" w:themeColor="text1" w:themeTint="F2"/>
        </w:rPr>
        <w:t>r</w:t>
      </w:r>
      <w:r w:rsidR="008A72A7" w:rsidRPr="00BB6E3B">
        <w:rPr>
          <w:rFonts w:cs="Arial"/>
          <w:color w:val="0D0D0D" w:themeColor="text1" w:themeTint="F2"/>
        </w:rPr>
        <w:t xml:space="preserve">skega </w:t>
      </w:r>
      <w:r w:rsidRPr="00BB6E3B">
        <w:rPr>
          <w:rFonts w:cs="Arial"/>
          <w:color w:val="0D0D0D" w:themeColor="text1" w:themeTint="F2"/>
        </w:rPr>
        <w:t>območja, zato so politike zaposlovanja in vseživljenjskega učenja osredotočene na starejše.</w:t>
      </w:r>
    </w:p>
    <w:p w:rsidR="002D08AF" w:rsidRPr="00BB6E3B" w:rsidRDefault="002D08AF" w:rsidP="002D08AF">
      <w:pPr>
        <w:pStyle w:val="Caption"/>
        <w:keepNext/>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lastRenderedPageBreak/>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2</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Stopnja zaposlenosti starih 55</w:t>
      </w:r>
      <w:r w:rsidR="001C284E" w:rsidRPr="00BB6E3B">
        <w:rPr>
          <w:rFonts w:ascii="Arial" w:hAnsi="Arial" w:cs="Arial"/>
          <w:color w:val="0D0D0D" w:themeColor="text1" w:themeTint="F2"/>
          <w:szCs w:val="22"/>
          <w:lang w:val="sl-SI"/>
        </w:rPr>
        <w:t>–</w:t>
      </w:r>
      <w:r w:rsidRPr="00BB6E3B">
        <w:rPr>
          <w:rFonts w:ascii="Arial" w:hAnsi="Arial" w:cs="Arial"/>
          <w:color w:val="0D0D0D" w:themeColor="text1" w:themeTint="F2"/>
          <w:szCs w:val="22"/>
          <w:lang w:val="sl-SI"/>
        </w:rPr>
        <w:t>64 let v Sloveniji in evr</w:t>
      </w:r>
      <w:r w:rsidR="008A72A7" w:rsidRPr="00BB6E3B">
        <w:rPr>
          <w:rFonts w:ascii="Arial" w:hAnsi="Arial" w:cs="Arial"/>
          <w:color w:val="0D0D0D" w:themeColor="text1" w:themeTint="F2"/>
          <w:szCs w:val="22"/>
          <w:lang w:val="sl-SI"/>
        </w:rPr>
        <w:t xml:space="preserve">skem </w:t>
      </w:r>
      <w:r w:rsidRPr="00BB6E3B">
        <w:rPr>
          <w:rFonts w:ascii="Arial" w:hAnsi="Arial" w:cs="Arial"/>
          <w:color w:val="0D0D0D" w:themeColor="text1" w:themeTint="F2"/>
          <w:szCs w:val="22"/>
          <w:lang w:val="sl-SI"/>
        </w:rPr>
        <w:t>območju</w:t>
      </w:r>
    </w:p>
    <w:p w:rsidR="002D08AF" w:rsidRPr="00BB6E3B" w:rsidRDefault="002D08AF" w:rsidP="008B6B16">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cs="Arial"/>
          <w:noProof/>
          <w:color w:val="0D0D0D" w:themeColor="text1" w:themeTint="F2"/>
          <w:lang w:val="en-US"/>
        </w:rPr>
        <w:drawing>
          <wp:inline distT="0" distB="0" distL="0" distR="0" wp14:anchorId="5647C027" wp14:editId="19A37E86">
            <wp:extent cx="3505200" cy="21145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D08AF" w:rsidRPr="00BB6E3B" w:rsidRDefault="002D08AF" w:rsidP="005269BB">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Eurostat</w:t>
      </w:r>
    </w:p>
    <w:p w:rsidR="005269BB" w:rsidRPr="00BB6E3B" w:rsidRDefault="005269BB" w:rsidP="00847208">
      <w:pPr>
        <w:spacing w:after="0" w:line="276" w:lineRule="auto"/>
        <w:rPr>
          <w:rFonts w:cs="Arial"/>
          <w:color w:val="0D0D0D" w:themeColor="text1" w:themeTint="F2"/>
        </w:rPr>
      </w:pPr>
    </w:p>
    <w:p w:rsidR="002C157C" w:rsidRPr="00BB6E3B" w:rsidRDefault="002D08AF" w:rsidP="00847208">
      <w:pPr>
        <w:spacing w:after="0" w:line="276" w:lineRule="auto"/>
        <w:rPr>
          <w:rFonts w:cs="Arial"/>
          <w:color w:val="0D0D0D" w:themeColor="text1" w:themeTint="F2"/>
        </w:rPr>
      </w:pPr>
      <w:r w:rsidRPr="00BB6E3B">
        <w:rPr>
          <w:rFonts w:cs="Arial"/>
          <w:color w:val="0D0D0D" w:themeColor="text1" w:themeTint="F2"/>
        </w:rPr>
        <w:t xml:space="preserve">Visoko gospodarsko rast v zadnjih letih poganja predvsem znatna rast zaposlovanja, za razliko od predkriznega obdobja, ko je </w:t>
      </w:r>
      <w:r w:rsidR="00C2684C" w:rsidRPr="00BB6E3B">
        <w:rPr>
          <w:rFonts w:cs="Arial"/>
          <w:color w:val="0D0D0D" w:themeColor="text1" w:themeTint="F2"/>
        </w:rPr>
        <w:t>h</w:t>
      </w:r>
      <w:r w:rsidRPr="00BB6E3B">
        <w:rPr>
          <w:rFonts w:cs="Arial"/>
          <w:color w:val="0D0D0D" w:themeColor="text1" w:themeTint="F2"/>
        </w:rPr>
        <w:t xml:space="preserve"> gospodarski rasti prispevala predvsem produktivnost dela. Gospodarska rast namreč že desetletja temelji na tehnoloških strukturah</w:t>
      </w:r>
      <w:r w:rsidR="00C2684C" w:rsidRPr="00BB6E3B">
        <w:rPr>
          <w:rFonts w:cs="Arial"/>
          <w:color w:val="0D0D0D" w:themeColor="text1" w:themeTint="F2"/>
        </w:rPr>
        <w:t>,</w:t>
      </w:r>
      <w:r w:rsidRPr="00BB6E3B">
        <w:rPr>
          <w:rFonts w:cs="Arial"/>
          <w:color w:val="0D0D0D" w:themeColor="text1" w:themeTint="F2"/>
        </w:rPr>
        <w:t xml:space="preserve"> osnovanih na srednjekvalificiranem delu, z omejeno možnostjo ustvarjanja </w:t>
      </w:r>
      <w:r w:rsidR="00C2684C" w:rsidRPr="00BB6E3B">
        <w:rPr>
          <w:rFonts w:cs="Arial"/>
          <w:color w:val="0D0D0D" w:themeColor="text1" w:themeTint="F2"/>
        </w:rPr>
        <w:t xml:space="preserve">višjega </w:t>
      </w:r>
      <w:r w:rsidRPr="00BB6E3B">
        <w:rPr>
          <w:rFonts w:cs="Arial"/>
          <w:color w:val="0D0D0D" w:themeColor="text1" w:themeTint="F2"/>
        </w:rPr>
        <w:t>BDP na zaposlenega. Ekonomska politika tako ne sme biti usmerjena izključno v podporo obstoječemu gospodarstvu</w:t>
      </w:r>
      <w:r w:rsidR="00C2684C" w:rsidRPr="00BB6E3B">
        <w:rPr>
          <w:rFonts w:cs="Arial"/>
          <w:color w:val="0D0D0D" w:themeColor="text1" w:themeTint="F2"/>
        </w:rPr>
        <w:t>,</w:t>
      </w:r>
      <w:r w:rsidRPr="00BB6E3B">
        <w:rPr>
          <w:rFonts w:cs="Arial"/>
          <w:color w:val="0D0D0D" w:themeColor="text1" w:themeTint="F2"/>
        </w:rPr>
        <w:t xml:space="preserve"> ampak mora imeti aktivnejšo vlogo pri njegovem prestrukturiranju k dejavnostim z višjo dodano vrednostjo (Banka Slovenije, 2018). Kljub izboljšanju rasti produktivnosti, predvsem zaradi izboljšane alokacije proizvodnih dejavnikov, povečanih prilivov tujih neposrednih investicij in manjše zadolženosti podjetij, ostaja raven produktivnosti še vedno nižja od povprečja </w:t>
      </w:r>
      <w:r w:rsidR="008A72A7" w:rsidRPr="00BB6E3B">
        <w:rPr>
          <w:rFonts w:cs="Arial"/>
          <w:color w:val="0D0D0D" w:themeColor="text1" w:themeTint="F2"/>
        </w:rPr>
        <w:t xml:space="preserve">držav </w:t>
      </w:r>
      <w:r w:rsidRPr="00BB6E3B">
        <w:rPr>
          <w:rFonts w:cs="Arial"/>
          <w:color w:val="0D0D0D" w:themeColor="text1" w:themeTint="F2"/>
        </w:rPr>
        <w:t>EU in držav evr</w:t>
      </w:r>
      <w:r w:rsidR="008A72A7" w:rsidRPr="00BB6E3B">
        <w:rPr>
          <w:rFonts w:cs="Arial"/>
          <w:color w:val="0D0D0D" w:themeColor="text1" w:themeTint="F2"/>
        </w:rPr>
        <w:t xml:space="preserve">skega </w:t>
      </w:r>
      <w:r w:rsidRPr="00BB6E3B">
        <w:rPr>
          <w:rFonts w:cs="Arial"/>
          <w:color w:val="0D0D0D" w:themeColor="text1" w:themeTint="F2"/>
        </w:rPr>
        <w:t>območja.</w:t>
      </w:r>
    </w:p>
    <w:p w:rsidR="005269BB" w:rsidRPr="00BB6E3B" w:rsidRDefault="005269BB" w:rsidP="00847208">
      <w:pPr>
        <w:spacing w:after="0" w:line="276" w:lineRule="auto"/>
        <w:rPr>
          <w:rFonts w:cs="Arial"/>
          <w:color w:val="0D0D0D" w:themeColor="text1" w:themeTint="F2"/>
        </w:rPr>
      </w:pPr>
    </w:p>
    <w:p w:rsidR="002D08AF" w:rsidRPr="00BB6E3B" w:rsidRDefault="002D08AF"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3</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xml:space="preserve">: Produktivnost v standardih kupne moči </w:t>
      </w:r>
    </w:p>
    <w:p w:rsidR="002D08AF" w:rsidRPr="00BB6E3B" w:rsidRDefault="002D08AF" w:rsidP="002D08AF">
      <w:pPr>
        <w:autoSpaceDE w:val="0"/>
        <w:autoSpaceDN w:val="0"/>
        <w:adjustRightInd w:val="0"/>
        <w:spacing w:after="120"/>
        <w:jc w:val="center"/>
        <w:rPr>
          <w:rFonts w:cs="Arial"/>
          <w:color w:val="0D0D0D" w:themeColor="text1" w:themeTint="F2"/>
        </w:rPr>
      </w:pPr>
      <w:r w:rsidRPr="00BB6E3B">
        <w:rPr>
          <w:rFonts w:cs="Arial"/>
          <w:noProof/>
          <w:color w:val="0D0D0D" w:themeColor="text1" w:themeTint="F2"/>
          <w:lang w:val="en-US"/>
        </w:rPr>
        <w:drawing>
          <wp:inline distT="0" distB="0" distL="0" distR="0" wp14:anchorId="37CFBEDC" wp14:editId="37D9DC1C">
            <wp:extent cx="3381375" cy="23241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D08AF" w:rsidRPr="00BB6E3B" w:rsidRDefault="002D08AF" w:rsidP="005269BB">
      <w:pPr>
        <w:shd w:val="clear" w:color="auto" w:fill="FFFFFF"/>
        <w:spacing w:after="0" w:line="270" w:lineRule="atLeast"/>
        <w:jc w:val="center"/>
        <w:rPr>
          <w:rFonts w:eastAsia="Times New Roman" w:cs="Arial"/>
          <w:color w:val="0D0D0D" w:themeColor="text1" w:themeTint="F2"/>
          <w:spacing w:val="5"/>
          <w:sz w:val="20"/>
          <w:szCs w:val="20"/>
          <w:lang w:eastAsia="sl-SI"/>
        </w:rPr>
      </w:pPr>
      <w:r w:rsidRPr="00BB6E3B">
        <w:rPr>
          <w:rFonts w:eastAsia="Times New Roman" w:cs="Arial"/>
          <w:color w:val="0D0D0D" w:themeColor="text1" w:themeTint="F2"/>
          <w:spacing w:val="5"/>
          <w:sz w:val="20"/>
          <w:szCs w:val="20"/>
          <w:lang w:eastAsia="sl-SI"/>
        </w:rPr>
        <w:t>Vir: Eurostat</w:t>
      </w:r>
    </w:p>
    <w:p w:rsidR="005269BB" w:rsidRPr="00BB6E3B" w:rsidRDefault="005269BB" w:rsidP="00847208">
      <w:pPr>
        <w:shd w:val="clear" w:color="auto" w:fill="FFFFFF"/>
        <w:spacing w:after="0" w:line="276" w:lineRule="auto"/>
        <w:rPr>
          <w:rFonts w:eastAsia="Times New Roman" w:cs="Arial"/>
          <w:color w:val="0D0D0D" w:themeColor="text1" w:themeTint="F2"/>
          <w:spacing w:val="5"/>
          <w:lang w:eastAsia="sl-SI"/>
        </w:rPr>
      </w:pPr>
    </w:p>
    <w:p w:rsidR="002D08AF" w:rsidRDefault="002D08AF" w:rsidP="00847208">
      <w:pPr>
        <w:shd w:val="clear" w:color="auto" w:fill="FFFFFF"/>
        <w:spacing w:after="0" w:line="276" w:lineRule="auto"/>
        <w:rPr>
          <w:rFonts w:eastAsia="Times New Roman" w:cs="Arial"/>
          <w:color w:val="0D0D0D" w:themeColor="text1" w:themeTint="F2"/>
          <w:spacing w:val="5"/>
          <w:lang w:eastAsia="sl-SI"/>
        </w:rPr>
      </w:pPr>
      <w:r w:rsidRPr="00BB6E3B">
        <w:rPr>
          <w:rFonts w:eastAsia="Times New Roman" w:cs="Arial"/>
          <w:color w:val="0D0D0D" w:themeColor="text1" w:themeTint="F2"/>
          <w:spacing w:val="5"/>
          <w:lang w:eastAsia="sl-SI"/>
        </w:rPr>
        <w:t xml:space="preserve">Rast plač se je po nekajletnih skromnih rasteh v letu 2018 </w:t>
      </w:r>
      <w:r w:rsidR="000B4753" w:rsidRPr="00BB6E3B">
        <w:rPr>
          <w:rFonts w:eastAsia="Times New Roman" w:cs="Arial"/>
          <w:color w:val="0D0D0D" w:themeColor="text1" w:themeTint="F2"/>
          <w:spacing w:val="5"/>
          <w:lang w:eastAsia="sl-SI"/>
        </w:rPr>
        <w:t>nominalno zvišala tako v zasebnem (4</w:t>
      </w:r>
      <w:r w:rsidRPr="00BB6E3B">
        <w:rPr>
          <w:rFonts w:eastAsia="Times New Roman" w:cs="Arial"/>
          <w:color w:val="0D0D0D" w:themeColor="text1" w:themeTint="F2"/>
          <w:spacing w:val="5"/>
          <w:lang w:eastAsia="sl-SI"/>
        </w:rPr>
        <w:t>,0 %) kot javnem sektorju (</w:t>
      </w:r>
      <w:r w:rsidR="000B4753" w:rsidRPr="00BB6E3B">
        <w:rPr>
          <w:rFonts w:eastAsia="Times New Roman" w:cs="Arial"/>
          <w:color w:val="0D0D0D" w:themeColor="text1" w:themeTint="F2"/>
          <w:spacing w:val="5"/>
          <w:lang w:eastAsia="sl-SI"/>
        </w:rPr>
        <w:t>3,0</w:t>
      </w:r>
      <w:r w:rsidRPr="00BB6E3B">
        <w:rPr>
          <w:rFonts w:eastAsia="Times New Roman" w:cs="Arial"/>
          <w:color w:val="0D0D0D" w:themeColor="text1" w:themeTint="F2"/>
          <w:spacing w:val="5"/>
          <w:lang w:eastAsia="sl-SI"/>
        </w:rPr>
        <w:t xml:space="preserve"> %). Rast v zasebnem sektorju je predvsem posledica ugodnih poslovnih rezultatov podjetij ter </w:t>
      </w:r>
      <w:r w:rsidR="00DA6F28" w:rsidRPr="00BB6E3B">
        <w:rPr>
          <w:rFonts w:eastAsia="Times New Roman" w:cs="Arial"/>
          <w:color w:val="0D0D0D" w:themeColor="text1" w:themeTint="F2"/>
          <w:spacing w:val="5"/>
          <w:lang w:eastAsia="sl-SI"/>
        </w:rPr>
        <w:t xml:space="preserve">pomanjkanja </w:t>
      </w:r>
      <w:r w:rsidRPr="00BB6E3B">
        <w:rPr>
          <w:rFonts w:eastAsia="Times New Roman" w:cs="Arial"/>
          <w:color w:val="0D0D0D" w:themeColor="text1" w:themeTint="F2"/>
          <w:spacing w:val="5"/>
          <w:lang w:eastAsia="sl-SI"/>
        </w:rPr>
        <w:t xml:space="preserve">ustrezno usposobljenih delavcev, v javnem sektorju pa </w:t>
      </w:r>
      <w:r w:rsidR="00DA6F28" w:rsidRPr="00BB6E3B">
        <w:rPr>
          <w:rFonts w:eastAsia="Times New Roman" w:cs="Arial"/>
          <w:color w:val="0D0D0D" w:themeColor="text1" w:themeTint="F2"/>
          <w:spacing w:val="5"/>
          <w:lang w:eastAsia="sl-SI"/>
        </w:rPr>
        <w:t xml:space="preserve">sprejetega dogovora </w:t>
      </w:r>
      <w:r w:rsidRPr="00BB6E3B">
        <w:rPr>
          <w:rFonts w:eastAsia="Times New Roman" w:cs="Arial"/>
          <w:color w:val="0D0D0D" w:themeColor="text1" w:themeTint="F2"/>
          <w:spacing w:val="5"/>
          <w:lang w:eastAsia="sl-SI"/>
        </w:rPr>
        <w:t xml:space="preserve">s sindikati in </w:t>
      </w:r>
      <w:r w:rsidR="00DA6F28" w:rsidRPr="00BB6E3B">
        <w:rPr>
          <w:rFonts w:eastAsia="Times New Roman" w:cs="Arial"/>
          <w:color w:val="0D0D0D" w:themeColor="text1" w:themeTint="F2"/>
          <w:spacing w:val="5"/>
          <w:lang w:eastAsia="sl-SI"/>
        </w:rPr>
        <w:t xml:space="preserve">visoke </w:t>
      </w:r>
      <w:r w:rsidRPr="00BB6E3B">
        <w:rPr>
          <w:rFonts w:eastAsia="Times New Roman" w:cs="Arial"/>
          <w:color w:val="0D0D0D" w:themeColor="text1" w:themeTint="F2"/>
          <w:spacing w:val="5"/>
          <w:lang w:eastAsia="sl-SI"/>
        </w:rPr>
        <w:t>rast</w:t>
      </w:r>
      <w:r w:rsidR="00DA6F28" w:rsidRPr="00BB6E3B">
        <w:rPr>
          <w:rFonts w:eastAsia="Times New Roman" w:cs="Arial"/>
          <w:color w:val="0D0D0D" w:themeColor="text1" w:themeTint="F2"/>
          <w:spacing w:val="5"/>
          <w:lang w:eastAsia="sl-SI"/>
        </w:rPr>
        <w:t>i</w:t>
      </w:r>
      <w:r w:rsidRPr="00BB6E3B">
        <w:rPr>
          <w:rFonts w:eastAsia="Times New Roman" w:cs="Arial"/>
          <w:color w:val="0D0D0D" w:themeColor="text1" w:themeTint="F2"/>
          <w:spacing w:val="5"/>
          <w:lang w:eastAsia="sl-SI"/>
        </w:rPr>
        <w:t xml:space="preserve"> plač v</w:t>
      </w:r>
      <w:r w:rsidR="000B4753" w:rsidRPr="00BB6E3B">
        <w:rPr>
          <w:rFonts w:eastAsia="Times New Roman" w:cs="Arial"/>
          <w:color w:val="0D0D0D" w:themeColor="text1" w:themeTint="F2"/>
          <w:spacing w:val="5"/>
          <w:lang w:eastAsia="sl-SI"/>
        </w:rPr>
        <w:t xml:space="preserve"> javnih </w:t>
      </w:r>
      <w:r w:rsidR="000B4753" w:rsidRPr="00BB6E3B">
        <w:rPr>
          <w:rFonts w:eastAsia="Times New Roman" w:cs="Arial"/>
          <w:color w:val="0D0D0D" w:themeColor="text1" w:themeTint="F2"/>
          <w:spacing w:val="5"/>
          <w:lang w:eastAsia="sl-SI"/>
        </w:rPr>
        <w:lastRenderedPageBreak/>
        <w:t>družbah. Kljub zvišanju</w:t>
      </w:r>
      <w:r w:rsidRPr="00BB6E3B">
        <w:rPr>
          <w:rFonts w:eastAsia="Times New Roman" w:cs="Arial"/>
          <w:color w:val="0D0D0D" w:themeColor="text1" w:themeTint="F2"/>
          <w:spacing w:val="5"/>
          <w:lang w:eastAsia="sl-SI"/>
        </w:rPr>
        <w:t xml:space="preserve"> skupna rast plač v letu 2018 ni presegla rasti produktivnosti. Rast plač se bo </w:t>
      </w:r>
      <w:r w:rsidR="00365C5B" w:rsidRPr="00BB6E3B">
        <w:rPr>
          <w:rFonts w:eastAsia="Times New Roman" w:cs="Arial"/>
          <w:color w:val="0D0D0D" w:themeColor="text1" w:themeTint="F2"/>
          <w:spacing w:val="5"/>
          <w:lang w:eastAsia="sl-SI"/>
        </w:rPr>
        <w:t xml:space="preserve">v letu 2019 </w:t>
      </w:r>
      <w:r w:rsidR="000B4753" w:rsidRPr="00BB6E3B">
        <w:rPr>
          <w:rFonts w:eastAsia="Times New Roman" w:cs="Arial"/>
          <w:color w:val="0D0D0D" w:themeColor="text1" w:themeTint="F2"/>
          <w:spacing w:val="5"/>
          <w:lang w:eastAsia="sl-SI"/>
        </w:rPr>
        <w:t>nadalje</w:t>
      </w:r>
      <w:r w:rsidR="00365C5B" w:rsidRPr="00BB6E3B">
        <w:rPr>
          <w:rFonts w:eastAsia="Times New Roman" w:cs="Arial"/>
          <w:color w:val="0D0D0D" w:themeColor="text1" w:themeTint="F2"/>
          <w:spacing w:val="5"/>
          <w:lang w:eastAsia="sl-SI"/>
        </w:rPr>
        <w:t xml:space="preserve"> okrepila</w:t>
      </w:r>
      <w:r w:rsidR="000D3F26">
        <w:rPr>
          <w:rFonts w:eastAsia="Times New Roman" w:cs="Arial"/>
          <w:color w:val="0D0D0D" w:themeColor="text1" w:themeTint="F2"/>
          <w:spacing w:val="5"/>
          <w:lang w:eastAsia="sl-SI"/>
        </w:rPr>
        <w:t xml:space="preserve"> </w:t>
      </w:r>
      <w:r w:rsidR="00937587" w:rsidRPr="00BB6E3B">
        <w:rPr>
          <w:rFonts w:eastAsia="Times New Roman" w:cs="Arial"/>
          <w:color w:val="0D0D0D" w:themeColor="text1" w:themeTint="F2"/>
          <w:spacing w:val="5"/>
          <w:lang w:eastAsia="sl-SI"/>
        </w:rPr>
        <w:t xml:space="preserve">(UMAR, </w:t>
      </w:r>
      <w:r w:rsidR="00416BDF" w:rsidRPr="00BB6E3B">
        <w:rPr>
          <w:rFonts w:eastAsia="Times New Roman" w:cs="Arial"/>
          <w:color w:val="0D0D0D" w:themeColor="text1" w:themeTint="F2"/>
          <w:spacing w:val="5"/>
          <w:lang w:eastAsia="sl-SI"/>
        </w:rPr>
        <w:t>pomladanska</w:t>
      </w:r>
      <w:r w:rsidR="00937587" w:rsidRPr="00BB6E3B">
        <w:rPr>
          <w:rFonts w:eastAsia="Times New Roman" w:cs="Arial"/>
          <w:color w:val="0D0D0D" w:themeColor="text1" w:themeTint="F2"/>
          <w:spacing w:val="5"/>
          <w:lang w:eastAsia="sl-SI"/>
        </w:rPr>
        <w:t xml:space="preserve"> napoved 2019)</w:t>
      </w:r>
      <w:r w:rsidR="00365C5B" w:rsidRPr="00BB6E3B">
        <w:rPr>
          <w:rFonts w:eastAsia="Times New Roman" w:cs="Arial"/>
          <w:color w:val="0D0D0D" w:themeColor="text1" w:themeTint="F2"/>
          <w:spacing w:val="5"/>
          <w:lang w:eastAsia="sl-SI"/>
        </w:rPr>
        <w:t>.</w:t>
      </w:r>
    </w:p>
    <w:p w:rsidR="004A477A" w:rsidRPr="00BB6E3B" w:rsidRDefault="004A477A" w:rsidP="00847208">
      <w:pPr>
        <w:shd w:val="clear" w:color="auto" w:fill="FFFFFF"/>
        <w:spacing w:after="0" w:line="276" w:lineRule="auto"/>
        <w:rPr>
          <w:rFonts w:eastAsia="Times New Roman" w:cs="Arial"/>
          <w:color w:val="0D0D0D" w:themeColor="text1" w:themeTint="F2"/>
          <w:spacing w:val="5"/>
          <w:lang w:eastAsia="sl-SI"/>
        </w:rPr>
      </w:pPr>
    </w:p>
    <w:p w:rsidR="002D08AF" w:rsidRPr="00BB6E3B" w:rsidRDefault="002D08AF" w:rsidP="005269BB">
      <w:pPr>
        <w:shd w:val="clear" w:color="auto" w:fill="FFFFFF"/>
        <w:spacing w:after="0" w:line="276" w:lineRule="auto"/>
        <w:rPr>
          <w:rFonts w:eastAsia="Times New Roman" w:cs="Arial"/>
          <w:color w:val="0D0D0D" w:themeColor="text1" w:themeTint="F2"/>
          <w:spacing w:val="5"/>
          <w:lang w:eastAsia="sl-SI"/>
        </w:rPr>
      </w:pPr>
      <w:r w:rsidRPr="00BB6E3B">
        <w:rPr>
          <w:rFonts w:eastAsia="Times New Roman" w:cs="Arial"/>
          <w:color w:val="0D0D0D" w:themeColor="text1" w:themeTint="F2"/>
          <w:spacing w:val="5"/>
          <w:lang w:eastAsia="sl-SI"/>
        </w:rPr>
        <w:t>Stopnja inflacije je bila v letu 2018 razmeroma nizka in je znašala 1,7 %, kar je sicer najvišja inflacija od leta 2013 (1,8 %). Glavni razlogi so višje rasti cen storitev in višje cene goriv. Inflacija bo v letu 2019 ostala zmerna (1,6 %) ob nekoliko višji rasti cen storitev in neenergetskega blaga ter ob predpostavljenih nižjih cenah nafte.</w:t>
      </w:r>
    </w:p>
    <w:p w:rsidR="005269BB" w:rsidRPr="00BB6E3B" w:rsidRDefault="005269BB" w:rsidP="005269BB">
      <w:pPr>
        <w:shd w:val="clear" w:color="auto" w:fill="FFFFFF"/>
        <w:spacing w:after="0" w:line="276" w:lineRule="auto"/>
        <w:rPr>
          <w:rFonts w:eastAsia="Times New Roman" w:cs="Arial"/>
          <w:color w:val="0D0D0D" w:themeColor="text1" w:themeTint="F2"/>
          <w:spacing w:val="5"/>
          <w:lang w:eastAsia="sl-SI"/>
        </w:rPr>
      </w:pPr>
    </w:p>
    <w:p w:rsidR="002D08AF" w:rsidRPr="00BB6E3B" w:rsidRDefault="002D08AF"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4</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Gibanje inflacije 2005 do 2018</w:t>
      </w:r>
    </w:p>
    <w:p w:rsidR="002D08AF" w:rsidRPr="00BB6E3B" w:rsidRDefault="002D08AF" w:rsidP="001D4DCB">
      <w:pPr>
        <w:spacing w:after="0"/>
        <w:rPr>
          <w:rFonts w:cs="Arial"/>
          <w:color w:val="0D0D0D" w:themeColor="text1" w:themeTint="F2"/>
        </w:rPr>
      </w:pPr>
      <w:r w:rsidRPr="00BB6E3B">
        <w:rPr>
          <w:rFonts w:cs="Arial"/>
          <w:noProof/>
          <w:color w:val="0D0D0D" w:themeColor="text1" w:themeTint="F2"/>
          <w:lang w:val="en-US"/>
        </w:rPr>
        <w:drawing>
          <wp:inline distT="0" distB="0" distL="0" distR="0" wp14:anchorId="48280634" wp14:editId="4282E4A3">
            <wp:extent cx="5760720" cy="239529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2395298"/>
                    </a:xfrm>
                    <a:prstGeom prst="rect">
                      <a:avLst/>
                    </a:prstGeom>
                  </pic:spPr>
                </pic:pic>
              </a:graphicData>
            </a:graphic>
          </wp:inline>
        </w:drawing>
      </w:r>
    </w:p>
    <w:p w:rsidR="002D08AF" w:rsidRPr="00BB6E3B" w:rsidRDefault="002D08AF" w:rsidP="005269BB">
      <w:pPr>
        <w:shd w:val="clear" w:color="auto" w:fill="FFFFFF"/>
        <w:spacing w:after="0" w:line="288" w:lineRule="auto"/>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Eurostat, lastni preračuni</w:t>
      </w:r>
    </w:p>
    <w:p w:rsidR="005269BB" w:rsidRPr="00BB6E3B" w:rsidRDefault="005269BB" w:rsidP="005269BB">
      <w:pPr>
        <w:shd w:val="clear" w:color="auto" w:fill="FFFFFF"/>
        <w:spacing w:after="0" w:line="276" w:lineRule="auto"/>
        <w:rPr>
          <w:rFonts w:eastAsia="Times New Roman" w:cs="Arial"/>
          <w:color w:val="0D0D0D" w:themeColor="text1" w:themeTint="F2"/>
          <w:spacing w:val="5"/>
          <w:lang w:eastAsia="sl-SI"/>
        </w:rPr>
      </w:pPr>
    </w:p>
    <w:p w:rsidR="002D08AF" w:rsidRPr="00BB6E3B" w:rsidRDefault="002D08AF" w:rsidP="005269BB">
      <w:pPr>
        <w:shd w:val="clear" w:color="auto" w:fill="FFFFFF"/>
        <w:spacing w:after="0" w:line="276" w:lineRule="auto"/>
        <w:rPr>
          <w:rFonts w:eastAsia="Times New Roman" w:cs="Arial"/>
          <w:bCs/>
          <w:color w:val="0D0D0D" w:themeColor="text1" w:themeTint="F2"/>
          <w:spacing w:val="5"/>
          <w:lang w:eastAsia="sl-SI"/>
        </w:rPr>
      </w:pPr>
      <w:r w:rsidRPr="00BB6E3B">
        <w:rPr>
          <w:rFonts w:eastAsia="Times New Roman" w:cs="Arial"/>
          <w:color w:val="0D0D0D" w:themeColor="text1" w:themeTint="F2"/>
          <w:spacing w:val="5"/>
          <w:lang w:eastAsia="sl-SI"/>
        </w:rPr>
        <w:t xml:space="preserve">Makroekonomski položaj je odvisen tudi od ocen kreditnih tveganj in kreditnega pribitka. </w:t>
      </w:r>
      <w:r w:rsidRPr="00BB6E3B">
        <w:rPr>
          <w:rFonts w:eastAsia="Times New Roman" w:cs="Arial"/>
          <w:bCs/>
          <w:color w:val="0D0D0D" w:themeColor="text1" w:themeTint="F2"/>
          <w:spacing w:val="5"/>
          <w:lang w:eastAsia="sl-SI"/>
        </w:rPr>
        <w:t xml:space="preserve">V drugem polletju 2011 se je z upadanjem gospodarske rasti v EU, slabšanjem stanja v bančnem sektorju in stagnacijo sistemskih ukrepov </w:t>
      </w:r>
      <w:r w:rsidR="008A72A7" w:rsidRPr="00BB6E3B">
        <w:rPr>
          <w:rFonts w:eastAsia="Times New Roman" w:cs="Arial"/>
          <w:bCs/>
          <w:color w:val="0D0D0D" w:themeColor="text1" w:themeTint="F2"/>
          <w:spacing w:val="5"/>
          <w:lang w:eastAsia="sl-SI"/>
        </w:rPr>
        <w:t>za</w:t>
      </w:r>
      <w:r w:rsidRPr="00BB6E3B">
        <w:rPr>
          <w:rFonts w:eastAsia="Times New Roman" w:cs="Arial"/>
          <w:bCs/>
          <w:color w:val="0D0D0D" w:themeColor="text1" w:themeTint="F2"/>
          <w:spacing w:val="5"/>
          <w:lang w:eastAsia="sl-SI"/>
        </w:rPr>
        <w:t xml:space="preserve">čela slabšati tudi ocena Republike Slovenije. Pozitivni trend sprememb bonitetnih ocen Republike Slovenije se je </w:t>
      </w:r>
      <w:r w:rsidR="008A72A7" w:rsidRPr="00BB6E3B">
        <w:rPr>
          <w:rFonts w:eastAsia="Times New Roman" w:cs="Arial"/>
          <w:bCs/>
          <w:color w:val="0D0D0D" w:themeColor="text1" w:themeTint="F2"/>
          <w:spacing w:val="5"/>
          <w:lang w:eastAsia="sl-SI"/>
        </w:rPr>
        <w:t>za</w:t>
      </w:r>
      <w:r w:rsidRPr="00BB6E3B">
        <w:rPr>
          <w:rFonts w:eastAsia="Times New Roman" w:cs="Arial"/>
          <w:bCs/>
          <w:color w:val="0D0D0D" w:themeColor="text1" w:themeTint="F2"/>
          <w:spacing w:val="5"/>
          <w:lang w:eastAsia="sl-SI"/>
        </w:rPr>
        <w:t xml:space="preserve">čel v </w:t>
      </w:r>
      <w:r w:rsidR="008A72A7" w:rsidRPr="00BB6E3B">
        <w:rPr>
          <w:rFonts w:eastAsia="Times New Roman" w:cs="Arial"/>
          <w:bCs/>
          <w:color w:val="0D0D0D" w:themeColor="text1" w:themeTint="F2"/>
          <w:spacing w:val="5"/>
          <w:lang w:eastAsia="sl-SI"/>
        </w:rPr>
        <w:t xml:space="preserve">letu </w:t>
      </w:r>
      <w:r w:rsidRPr="00BB6E3B">
        <w:rPr>
          <w:rFonts w:eastAsia="Times New Roman" w:cs="Arial"/>
          <w:bCs/>
          <w:color w:val="0D0D0D" w:themeColor="text1" w:themeTint="F2"/>
          <w:spacing w:val="5"/>
          <w:lang w:eastAsia="sl-SI"/>
        </w:rPr>
        <w:t>2015 in današnje vrednosti dosegel let</w:t>
      </w:r>
      <w:r w:rsidR="008A72A7" w:rsidRPr="00BB6E3B">
        <w:rPr>
          <w:rFonts w:eastAsia="Times New Roman" w:cs="Arial"/>
          <w:bCs/>
          <w:color w:val="0D0D0D" w:themeColor="text1" w:themeTint="F2"/>
          <w:spacing w:val="5"/>
          <w:lang w:eastAsia="sl-SI"/>
        </w:rPr>
        <w:t>a</w:t>
      </w:r>
      <w:r w:rsidRPr="00BB6E3B">
        <w:rPr>
          <w:rFonts w:eastAsia="Times New Roman" w:cs="Arial"/>
          <w:bCs/>
          <w:color w:val="0D0D0D" w:themeColor="text1" w:themeTint="F2"/>
          <w:spacing w:val="5"/>
          <w:lang w:eastAsia="sl-SI"/>
        </w:rPr>
        <w:t xml:space="preserve"> 2017, in sicer A+ (S&amp;P) s pozitivnimi obeti, A</w:t>
      </w:r>
      <w:r w:rsidR="001C284E" w:rsidRPr="00BB6E3B">
        <w:rPr>
          <w:rFonts w:eastAsia="Times New Roman" w:cs="Arial"/>
          <w:bCs/>
          <w:color w:val="0D0D0D" w:themeColor="text1" w:themeTint="F2"/>
          <w:spacing w:val="5"/>
          <w:lang w:eastAsia="sl-SI"/>
        </w:rPr>
        <w:t>–</w:t>
      </w:r>
      <w:r w:rsidRPr="00BB6E3B">
        <w:rPr>
          <w:rFonts w:eastAsia="Times New Roman" w:cs="Arial"/>
          <w:bCs/>
          <w:color w:val="0D0D0D" w:themeColor="text1" w:themeTint="F2"/>
          <w:spacing w:val="5"/>
          <w:lang w:eastAsia="sl-SI"/>
        </w:rPr>
        <w:t xml:space="preserve"> (Fitch) – stabilni obeti in Baa1 (Moody's) – stabilni obeti.</w:t>
      </w:r>
    </w:p>
    <w:p w:rsidR="005269BB" w:rsidRPr="00BB6E3B" w:rsidRDefault="005269BB" w:rsidP="005269BB">
      <w:pPr>
        <w:shd w:val="clear" w:color="auto" w:fill="FFFFFF"/>
        <w:spacing w:after="0" w:line="276" w:lineRule="auto"/>
        <w:rPr>
          <w:rFonts w:eastAsia="Times New Roman" w:cs="Arial"/>
          <w:color w:val="0D0D0D" w:themeColor="text1" w:themeTint="F2"/>
          <w:spacing w:val="5"/>
          <w:lang w:eastAsia="sl-SI"/>
        </w:rPr>
      </w:pPr>
    </w:p>
    <w:p w:rsidR="002D08AF" w:rsidRPr="00BB6E3B" w:rsidRDefault="002D08AF"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5</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xml:space="preserve">: Pregled kreditnih ocen Republike Slovenije </w:t>
      </w:r>
    </w:p>
    <w:p w:rsidR="002D08AF" w:rsidRPr="00BB6E3B" w:rsidRDefault="002D08AF" w:rsidP="003259EE">
      <w:pPr>
        <w:spacing w:after="0" w:line="276" w:lineRule="auto"/>
        <w:jc w:val="center"/>
        <w:rPr>
          <w:rFonts w:cs="Arial"/>
          <w:color w:val="0D0D0D" w:themeColor="text1" w:themeTint="F2"/>
          <w:sz w:val="20"/>
          <w:szCs w:val="24"/>
          <w:lang w:eastAsia="sl-SI"/>
        </w:rPr>
      </w:pPr>
      <w:r w:rsidRPr="00BB6E3B">
        <w:rPr>
          <w:rFonts w:cs="Arial"/>
          <w:noProof/>
          <w:color w:val="0D0D0D" w:themeColor="text1" w:themeTint="F2"/>
          <w:lang w:val="en-US"/>
        </w:rPr>
        <w:drawing>
          <wp:inline distT="0" distB="0" distL="0" distR="0" wp14:anchorId="0FF53DAC" wp14:editId="4E4B97F2">
            <wp:extent cx="5124450" cy="25398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123236" cy="2539285"/>
                    </a:xfrm>
                    <a:prstGeom prst="rect">
                      <a:avLst/>
                    </a:prstGeom>
                  </pic:spPr>
                </pic:pic>
              </a:graphicData>
            </a:graphic>
          </wp:inline>
        </w:drawing>
      </w:r>
    </w:p>
    <w:p w:rsidR="002D08AF" w:rsidRPr="00BB6E3B" w:rsidRDefault="002D08AF" w:rsidP="003259EE">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S&amp;P, Moody</w:t>
      </w:r>
      <w:r w:rsidR="008A72A7" w:rsidRPr="00BB6E3B">
        <w:rPr>
          <w:rFonts w:eastAsia="Times New Roman" w:cs="Arial"/>
          <w:color w:val="0D0D0D" w:themeColor="text1" w:themeTint="F2"/>
          <w:spacing w:val="5"/>
          <w:sz w:val="20"/>
          <w:szCs w:val="14"/>
          <w:lang w:eastAsia="sl-SI"/>
        </w:rPr>
        <w:t>'</w:t>
      </w:r>
      <w:r w:rsidRPr="00BB6E3B">
        <w:rPr>
          <w:rFonts w:eastAsia="Times New Roman" w:cs="Arial"/>
          <w:color w:val="0D0D0D" w:themeColor="text1" w:themeTint="F2"/>
          <w:spacing w:val="5"/>
          <w:sz w:val="20"/>
          <w:szCs w:val="14"/>
          <w:lang w:eastAsia="sl-SI"/>
        </w:rPr>
        <w:t>s and Fitch, 27.</w:t>
      </w:r>
      <w:r w:rsidR="008A72A7" w:rsidRPr="00BB6E3B">
        <w:rPr>
          <w:rFonts w:eastAsia="Times New Roman" w:cs="Arial"/>
          <w:color w:val="0D0D0D" w:themeColor="text1" w:themeTint="F2"/>
          <w:spacing w:val="5"/>
          <w:sz w:val="20"/>
          <w:szCs w:val="14"/>
          <w:lang w:eastAsia="sl-SI"/>
        </w:rPr>
        <w:t> </w:t>
      </w:r>
      <w:r w:rsidRPr="00BB6E3B">
        <w:rPr>
          <w:rFonts w:eastAsia="Times New Roman" w:cs="Arial"/>
          <w:color w:val="0D0D0D" w:themeColor="text1" w:themeTint="F2"/>
          <w:spacing w:val="5"/>
          <w:sz w:val="20"/>
          <w:szCs w:val="14"/>
          <w:lang w:eastAsia="sl-SI"/>
        </w:rPr>
        <w:t>3.</w:t>
      </w:r>
      <w:r w:rsidR="008A72A7" w:rsidRPr="00BB6E3B">
        <w:rPr>
          <w:rFonts w:eastAsia="Times New Roman" w:cs="Arial"/>
          <w:color w:val="0D0D0D" w:themeColor="text1" w:themeTint="F2"/>
          <w:spacing w:val="5"/>
          <w:sz w:val="20"/>
          <w:szCs w:val="14"/>
          <w:lang w:eastAsia="sl-SI"/>
        </w:rPr>
        <w:t> </w:t>
      </w:r>
      <w:r w:rsidRPr="00BB6E3B">
        <w:rPr>
          <w:rFonts w:eastAsia="Times New Roman" w:cs="Arial"/>
          <w:color w:val="0D0D0D" w:themeColor="text1" w:themeTint="F2"/>
          <w:spacing w:val="5"/>
          <w:sz w:val="20"/>
          <w:szCs w:val="14"/>
          <w:lang w:eastAsia="sl-SI"/>
        </w:rPr>
        <w:t>2019</w:t>
      </w:r>
    </w:p>
    <w:p w:rsidR="002D08AF" w:rsidRPr="00BB6E3B" w:rsidRDefault="002D08AF" w:rsidP="005269BB">
      <w:pPr>
        <w:shd w:val="clear" w:color="auto" w:fill="FFFFFF"/>
        <w:spacing w:after="0" w:line="276" w:lineRule="auto"/>
        <w:rPr>
          <w:rFonts w:eastAsia="Times New Roman" w:cs="Arial"/>
          <w:bCs/>
          <w:color w:val="0D0D0D" w:themeColor="text1" w:themeTint="F2"/>
          <w:spacing w:val="5"/>
          <w:lang w:eastAsia="sl-SI"/>
        </w:rPr>
      </w:pPr>
      <w:r w:rsidRPr="00BB6E3B">
        <w:rPr>
          <w:rFonts w:eastAsia="Times New Roman" w:cs="Arial"/>
          <w:bCs/>
          <w:color w:val="0D0D0D" w:themeColor="text1" w:themeTint="F2"/>
          <w:spacing w:val="5"/>
          <w:lang w:eastAsia="sl-SI"/>
        </w:rPr>
        <w:lastRenderedPageBreak/>
        <w:t>V letih 2007</w:t>
      </w:r>
      <w:r w:rsidR="001C284E" w:rsidRPr="00BB6E3B">
        <w:rPr>
          <w:rFonts w:eastAsia="Times New Roman" w:cs="Arial"/>
          <w:bCs/>
          <w:color w:val="0D0D0D" w:themeColor="text1" w:themeTint="F2"/>
          <w:spacing w:val="5"/>
          <w:lang w:eastAsia="sl-SI"/>
        </w:rPr>
        <w:t>–</w:t>
      </w:r>
      <w:r w:rsidRPr="00BB6E3B">
        <w:rPr>
          <w:rFonts w:eastAsia="Times New Roman" w:cs="Arial"/>
          <w:bCs/>
          <w:color w:val="0D0D0D" w:themeColor="text1" w:themeTint="F2"/>
          <w:spacing w:val="5"/>
          <w:lang w:eastAsia="sl-SI"/>
        </w:rPr>
        <w:t>2008 sta 10-letna zahtevana donosnost evrske obveznice Republike Slovenije in 10-letna zahtevana donosnost evrske obveznice Nemčije imeli podoben trend gibanja, z letom 2009 pa sta se donosa začela razhajati. V najbolj kriznem obdobju za Republiko Slovenijo (2012</w:t>
      </w:r>
      <w:r w:rsidR="001C284E" w:rsidRPr="00BB6E3B">
        <w:rPr>
          <w:rFonts w:eastAsia="Times New Roman" w:cs="Arial"/>
          <w:bCs/>
          <w:color w:val="0D0D0D" w:themeColor="text1" w:themeTint="F2"/>
          <w:spacing w:val="5"/>
          <w:lang w:eastAsia="sl-SI"/>
        </w:rPr>
        <w:t>–</w:t>
      </w:r>
      <w:r w:rsidRPr="00BB6E3B">
        <w:rPr>
          <w:rFonts w:eastAsia="Times New Roman" w:cs="Arial"/>
          <w:bCs/>
          <w:color w:val="0D0D0D" w:themeColor="text1" w:themeTint="F2"/>
          <w:spacing w:val="5"/>
          <w:lang w:eastAsia="sl-SI"/>
        </w:rPr>
        <w:t xml:space="preserve">2013) je pribitek nad referenčno 10-letno nemško obveznico (Bund) dosegel vrednosti nad 600 bt. </w:t>
      </w:r>
      <w:r w:rsidR="000B4753" w:rsidRPr="00BB6E3B">
        <w:rPr>
          <w:rFonts w:eastAsia="Times New Roman" w:cs="Arial"/>
          <w:bCs/>
          <w:color w:val="0D0D0D" w:themeColor="text1" w:themeTint="F2"/>
          <w:spacing w:val="5"/>
          <w:lang w:eastAsia="sl-SI"/>
        </w:rPr>
        <w:t>V</w:t>
      </w:r>
      <w:r w:rsidRPr="00BB6E3B">
        <w:rPr>
          <w:rFonts w:eastAsia="Times New Roman" w:cs="Arial"/>
          <w:bCs/>
          <w:color w:val="0D0D0D" w:themeColor="text1" w:themeTint="F2"/>
          <w:spacing w:val="5"/>
          <w:lang w:eastAsia="sl-SI"/>
        </w:rPr>
        <w:t xml:space="preserve"> 2014 se je </w:t>
      </w:r>
      <w:r w:rsidR="008A72A7" w:rsidRPr="00BB6E3B">
        <w:rPr>
          <w:rFonts w:eastAsia="Times New Roman" w:cs="Arial"/>
          <w:bCs/>
          <w:color w:val="0D0D0D" w:themeColor="text1" w:themeTint="F2"/>
          <w:spacing w:val="5"/>
          <w:lang w:eastAsia="sl-SI"/>
        </w:rPr>
        <w:t>za</w:t>
      </w:r>
      <w:r w:rsidRPr="00BB6E3B">
        <w:rPr>
          <w:rFonts w:eastAsia="Times New Roman" w:cs="Arial"/>
          <w:bCs/>
          <w:color w:val="0D0D0D" w:themeColor="text1" w:themeTint="F2"/>
          <w:spacing w:val="5"/>
          <w:lang w:eastAsia="sl-SI"/>
        </w:rPr>
        <w:t>čel izrazit trend upadanja pribitka</w:t>
      </w:r>
      <w:r w:rsidR="000B4753" w:rsidRPr="00BB6E3B">
        <w:rPr>
          <w:rFonts w:eastAsia="Times New Roman" w:cs="Arial"/>
          <w:bCs/>
          <w:color w:val="0D0D0D" w:themeColor="text1" w:themeTint="F2"/>
          <w:spacing w:val="5"/>
          <w:lang w:eastAsia="sl-SI"/>
        </w:rPr>
        <w:t>,</w:t>
      </w:r>
      <w:r w:rsidRPr="00BB6E3B">
        <w:rPr>
          <w:rFonts w:eastAsia="Times New Roman" w:cs="Arial"/>
          <w:bCs/>
          <w:color w:val="0D0D0D" w:themeColor="text1" w:themeTint="F2"/>
          <w:spacing w:val="5"/>
          <w:lang w:eastAsia="sl-SI"/>
        </w:rPr>
        <w:t xml:space="preserve"> </w:t>
      </w:r>
      <w:r w:rsidR="000B4753" w:rsidRPr="00BB6E3B">
        <w:rPr>
          <w:rFonts w:eastAsia="Times New Roman" w:cs="Arial"/>
          <w:bCs/>
          <w:color w:val="0D0D0D" w:themeColor="text1" w:themeTint="F2"/>
          <w:spacing w:val="5"/>
          <w:lang w:eastAsia="sl-SI"/>
        </w:rPr>
        <w:t>ki</w:t>
      </w:r>
      <w:r w:rsidRPr="00BB6E3B">
        <w:rPr>
          <w:rFonts w:eastAsia="Times New Roman" w:cs="Arial"/>
          <w:bCs/>
          <w:color w:val="0D0D0D" w:themeColor="text1" w:themeTint="F2"/>
          <w:spacing w:val="5"/>
          <w:lang w:eastAsia="sl-SI"/>
        </w:rPr>
        <w:t xml:space="preserve"> </w:t>
      </w:r>
      <w:r w:rsidR="00DA6F28" w:rsidRPr="00BB6E3B">
        <w:rPr>
          <w:rFonts w:eastAsia="Times New Roman" w:cs="Arial"/>
          <w:bCs/>
          <w:color w:val="0D0D0D" w:themeColor="text1" w:themeTint="F2"/>
          <w:spacing w:val="5"/>
          <w:lang w:eastAsia="sl-SI"/>
        </w:rPr>
        <w:t xml:space="preserve">je </w:t>
      </w:r>
      <w:r w:rsidRPr="00BB6E3B">
        <w:rPr>
          <w:rFonts w:eastAsia="Times New Roman" w:cs="Arial"/>
          <w:bCs/>
          <w:color w:val="0D0D0D" w:themeColor="text1" w:themeTint="F2"/>
          <w:spacing w:val="5"/>
          <w:lang w:eastAsia="sl-SI"/>
        </w:rPr>
        <w:t>na dan 25. 3. 2019 znaša</w:t>
      </w:r>
      <w:r w:rsidR="00DA6F28" w:rsidRPr="00BB6E3B">
        <w:rPr>
          <w:rFonts w:eastAsia="Times New Roman" w:cs="Arial"/>
          <w:bCs/>
          <w:color w:val="0D0D0D" w:themeColor="text1" w:themeTint="F2"/>
          <w:spacing w:val="5"/>
          <w:lang w:eastAsia="sl-SI"/>
        </w:rPr>
        <w:t>l</w:t>
      </w:r>
      <w:r w:rsidRPr="00BB6E3B">
        <w:rPr>
          <w:rFonts w:eastAsia="Times New Roman" w:cs="Arial"/>
          <w:bCs/>
          <w:color w:val="0D0D0D" w:themeColor="text1" w:themeTint="F2"/>
          <w:spacing w:val="5"/>
          <w:lang w:eastAsia="sl-SI"/>
        </w:rPr>
        <w:t xml:space="preserve"> 78,7 bt.</w:t>
      </w:r>
    </w:p>
    <w:p w:rsidR="005269BB" w:rsidRPr="00BB6E3B" w:rsidRDefault="005269BB" w:rsidP="005269BB">
      <w:pPr>
        <w:shd w:val="clear" w:color="auto" w:fill="FFFFFF"/>
        <w:spacing w:after="0" w:line="276" w:lineRule="auto"/>
        <w:rPr>
          <w:rFonts w:eastAsia="Times New Roman" w:cs="Arial"/>
          <w:bCs/>
          <w:color w:val="0D0D0D" w:themeColor="text1" w:themeTint="F2"/>
          <w:spacing w:val="5"/>
          <w:lang w:eastAsia="sl-SI"/>
        </w:rPr>
      </w:pPr>
    </w:p>
    <w:p w:rsidR="002D08AF" w:rsidRPr="00BB6E3B" w:rsidRDefault="002D08AF"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6</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Primerjava gibanja zahtevane donosnosti 10-letnih obveznic Republike Slovenije in Nemčije</w:t>
      </w:r>
    </w:p>
    <w:p w:rsidR="002D08AF" w:rsidRPr="00BB6E3B" w:rsidRDefault="002D08AF" w:rsidP="003259EE">
      <w:pPr>
        <w:spacing w:after="0"/>
        <w:jc w:val="center"/>
        <w:rPr>
          <w:rFonts w:cs="Arial"/>
          <w:color w:val="0D0D0D" w:themeColor="text1" w:themeTint="F2"/>
        </w:rPr>
      </w:pPr>
      <w:r w:rsidRPr="00BB6E3B">
        <w:rPr>
          <w:rFonts w:cs="Arial"/>
          <w:noProof/>
          <w:color w:val="0D0D0D" w:themeColor="text1" w:themeTint="F2"/>
          <w:lang w:val="en-US"/>
        </w:rPr>
        <w:drawing>
          <wp:inline distT="0" distB="0" distL="0" distR="0" wp14:anchorId="2C1EB58C" wp14:editId="31278165">
            <wp:extent cx="4460681" cy="2552369"/>
            <wp:effectExtent l="0" t="0" r="0" b="63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D08AF" w:rsidRPr="00BB6E3B" w:rsidRDefault="002D08AF" w:rsidP="003259EE">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Bloomberg, MF interpolacija (SLO), 27.</w:t>
      </w:r>
      <w:r w:rsidR="008A72A7" w:rsidRPr="00BB6E3B">
        <w:rPr>
          <w:rFonts w:eastAsia="Times New Roman" w:cs="Arial"/>
          <w:color w:val="0D0D0D" w:themeColor="text1" w:themeTint="F2"/>
          <w:spacing w:val="5"/>
          <w:sz w:val="20"/>
          <w:szCs w:val="14"/>
          <w:lang w:eastAsia="sl-SI"/>
        </w:rPr>
        <w:t> </w:t>
      </w:r>
      <w:r w:rsidRPr="00BB6E3B">
        <w:rPr>
          <w:rFonts w:eastAsia="Times New Roman" w:cs="Arial"/>
          <w:color w:val="0D0D0D" w:themeColor="text1" w:themeTint="F2"/>
          <w:spacing w:val="5"/>
          <w:sz w:val="20"/>
          <w:szCs w:val="14"/>
          <w:lang w:eastAsia="sl-SI"/>
        </w:rPr>
        <w:t>3.</w:t>
      </w:r>
      <w:r w:rsidR="008A72A7" w:rsidRPr="00BB6E3B">
        <w:rPr>
          <w:rFonts w:eastAsia="Times New Roman" w:cs="Arial"/>
          <w:color w:val="0D0D0D" w:themeColor="text1" w:themeTint="F2"/>
          <w:spacing w:val="5"/>
          <w:sz w:val="20"/>
          <w:szCs w:val="14"/>
          <w:lang w:eastAsia="sl-SI"/>
        </w:rPr>
        <w:t> </w:t>
      </w:r>
      <w:r w:rsidRPr="00BB6E3B">
        <w:rPr>
          <w:rFonts w:eastAsia="Times New Roman" w:cs="Arial"/>
          <w:color w:val="0D0D0D" w:themeColor="text1" w:themeTint="F2"/>
          <w:spacing w:val="5"/>
          <w:sz w:val="20"/>
          <w:szCs w:val="14"/>
          <w:lang w:eastAsia="sl-SI"/>
        </w:rPr>
        <w:t>2019</w:t>
      </w:r>
    </w:p>
    <w:p w:rsidR="001D4DCB" w:rsidRPr="00BB6E3B" w:rsidRDefault="001D4DCB" w:rsidP="005269BB">
      <w:pPr>
        <w:shd w:val="clear" w:color="auto" w:fill="FFFFFF"/>
        <w:spacing w:after="0" w:line="276" w:lineRule="auto"/>
        <w:rPr>
          <w:rFonts w:eastAsia="Times New Roman" w:cs="Arial"/>
          <w:bCs/>
          <w:color w:val="0D0D0D" w:themeColor="text1" w:themeTint="F2"/>
          <w:spacing w:val="5"/>
          <w:lang w:eastAsia="sl-SI"/>
        </w:rPr>
      </w:pPr>
    </w:p>
    <w:p w:rsidR="002D08AF" w:rsidRPr="00BB6E3B" w:rsidRDefault="00DA6F28" w:rsidP="002155CB">
      <w:pPr>
        <w:shd w:val="clear" w:color="auto" w:fill="FFFFFF"/>
        <w:spacing w:line="276" w:lineRule="auto"/>
        <w:rPr>
          <w:rFonts w:eastAsia="Times New Roman" w:cs="Arial"/>
          <w:bCs/>
          <w:color w:val="0D0D0D" w:themeColor="text1" w:themeTint="F2"/>
          <w:spacing w:val="5"/>
          <w:lang w:eastAsia="sl-SI"/>
        </w:rPr>
      </w:pPr>
      <w:r w:rsidRPr="00BB6E3B">
        <w:rPr>
          <w:rFonts w:eastAsia="Times New Roman" w:cs="Arial"/>
          <w:bCs/>
          <w:color w:val="0D0D0D" w:themeColor="text1" w:themeTint="F2"/>
          <w:spacing w:val="5"/>
          <w:lang w:eastAsia="sl-SI"/>
        </w:rPr>
        <w:t>Z</w:t>
      </w:r>
      <w:r w:rsidR="002D08AF" w:rsidRPr="00BB6E3B">
        <w:rPr>
          <w:rFonts w:eastAsia="Times New Roman" w:cs="Arial"/>
          <w:bCs/>
          <w:color w:val="0D0D0D" w:themeColor="text1" w:themeTint="F2"/>
          <w:spacing w:val="5"/>
          <w:lang w:eastAsia="sl-SI"/>
        </w:rPr>
        <w:t xml:space="preserve">ahtevana donosnost slovenske evrske 10-letne obveznice na sekundarnem trgu </w:t>
      </w:r>
      <w:r w:rsidRPr="00BB6E3B">
        <w:rPr>
          <w:rFonts w:eastAsia="Times New Roman" w:cs="Arial"/>
          <w:bCs/>
          <w:color w:val="0D0D0D" w:themeColor="text1" w:themeTint="F2"/>
          <w:spacing w:val="5"/>
          <w:lang w:eastAsia="sl-SI"/>
        </w:rPr>
        <w:t xml:space="preserve">je </w:t>
      </w:r>
      <w:r w:rsidR="002D08AF" w:rsidRPr="00BB6E3B">
        <w:rPr>
          <w:rFonts w:eastAsia="Times New Roman" w:cs="Arial"/>
          <w:bCs/>
          <w:color w:val="0D0D0D" w:themeColor="text1" w:themeTint="F2"/>
          <w:spacing w:val="5"/>
          <w:lang w:eastAsia="sl-SI"/>
        </w:rPr>
        <w:t xml:space="preserve">prvič v </w:t>
      </w:r>
      <w:r w:rsidR="008A72A7" w:rsidRPr="00BB6E3B">
        <w:rPr>
          <w:rFonts w:eastAsia="Times New Roman" w:cs="Arial"/>
          <w:bCs/>
          <w:color w:val="0D0D0D" w:themeColor="text1" w:themeTint="F2"/>
          <w:spacing w:val="5"/>
          <w:lang w:eastAsia="sl-SI"/>
        </w:rPr>
        <w:t xml:space="preserve">letu </w:t>
      </w:r>
      <w:r w:rsidR="002D08AF" w:rsidRPr="00BB6E3B">
        <w:rPr>
          <w:rFonts w:eastAsia="Times New Roman" w:cs="Arial"/>
          <w:bCs/>
          <w:color w:val="0D0D0D" w:themeColor="text1" w:themeTint="F2"/>
          <w:spacing w:val="5"/>
          <w:lang w:eastAsia="sl-SI"/>
        </w:rPr>
        <w:t>2012 presegla mejo 7 % in tedaj je kreditni pribitek v strukturi obrestne mere predstavljal 75 %, preostali del pa srednja obrestna zamenjava. V današnjih razmerah kreditni pribitek v strukturi zahtevane donosnosti predstavlja manjši del, tj. 35 % na dan 25.</w:t>
      </w:r>
      <w:r w:rsidR="008A72A7" w:rsidRPr="00BB6E3B">
        <w:rPr>
          <w:rFonts w:eastAsia="Times New Roman" w:cs="Arial"/>
          <w:bCs/>
          <w:color w:val="0D0D0D" w:themeColor="text1" w:themeTint="F2"/>
          <w:spacing w:val="5"/>
          <w:lang w:eastAsia="sl-SI"/>
        </w:rPr>
        <w:t> </w:t>
      </w:r>
      <w:r w:rsidR="002D08AF" w:rsidRPr="00BB6E3B">
        <w:rPr>
          <w:rFonts w:eastAsia="Times New Roman" w:cs="Arial"/>
          <w:bCs/>
          <w:color w:val="0D0D0D" w:themeColor="text1" w:themeTint="F2"/>
          <w:spacing w:val="5"/>
          <w:lang w:eastAsia="sl-SI"/>
        </w:rPr>
        <w:t>3.</w:t>
      </w:r>
      <w:r w:rsidR="008A72A7" w:rsidRPr="00BB6E3B">
        <w:rPr>
          <w:rFonts w:eastAsia="Times New Roman" w:cs="Arial"/>
          <w:bCs/>
          <w:color w:val="0D0D0D" w:themeColor="text1" w:themeTint="F2"/>
          <w:spacing w:val="5"/>
          <w:lang w:eastAsia="sl-SI"/>
        </w:rPr>
        <w:t> </w:t>
      </w:r>
      <w:r w:rsidR="002D08AF" w:rsidRPr="00BB6E3B">
        <w:rPr>
          <w:rFonts w:eastAsia="Times New Roman" w:cs="Arial"/>
          <w:bCs/>
          <w:color w:val="0D0D0D" w:themeColor="text1" w:themeTint="F2"/>
          <w:spacing w:val="5"/>
          <w:lang w:eastAsia="sl-SI"/>
        </w:rPr>
        <w:t>2019.</w:t>
      </w:r>
    </w:p>
    <w:p w:rsidR="002D08AF" w:rsidRPr="00BB6E3B" w:rsidRDefault="002D08AF" w:rsidP="005269BB">
      <w:pPr>
        <w:pStyle w:val="Caption"/>
        <w:keepNext/>
        <w:spacing w:after="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7</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Gibanje 10-letne zahtevane donosnosti evrske obveznice Republike Slovenije in njenega kreditnega pribitka nad 10-letno srednjo obrestno zamenjavo</w:t>
      </w:r>
    </w:p>
    <w:p w:rsidR="002D08AF" w:rsidRPr="00BB6E3B" w:rsidRDefault="002D08AF" w:rsidP="003259EE">
      <w:pPr>
        <w:spacing w:after="0"/>
        <w:jc w:val="center"/>
        <w:rPr>
          <w:rFonts w:cs="Arial"/>
          <w:bCs/>
          <w:color w:val="0D0D0D" w:themeColor="text1" w:themeTint="F2"/>
        </w:rPr>
      </w:pPr>
      <w:r w:rsidRPr="00BB6E3B">
        <w:rPr>
          <w:rFonts w:cs="Arial"/>
          <w:bCs/>
          <w:noProof/>
          <w:color w:val="0D0D0D" w:themeColor="text1" w:themeTint="F2"/>
          <w:lang w:val="en-US"/>
        </w:rPr>
        <w:drawing>
          <wp:inline distT="0" distB="0" distL="0" distR="0" wp14:anchorId="7526A472" wp14:editId="667FA019">
            <wp:extent cx="4436828" cy="2576222"/>
            <wp:effectExtent l="0" t="0" r="190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D08AF" w:rsidRPr="00BB6E3B" w:rsidRDefault="002D08AF" w:rsidP="003259EE">
      <w:pPr>
        <w:spacing w:after="0"/>
        <w:jc w:val="center"/>
        <w:rPr>
          <w:rFonts w:cs="Arial"/>
          <w:bCs/>
          <w:color w:val="0D0D0D" w:themeColor="text1" w:themeTint="F2"/>
          <w:sz w:val="20"/>
        </w:rPr>
      </w:pPr>
      <w:r w:rsidRPr="00BB6E3B">
        <w:rPr>
          <w:rFonts w:cs="Arial"/>
          <w:bCs/>
          <w:color w:val="0D0D0D" w:themeColor="text1" w:themeTint="F2"/>
          <w:sz w:val="20"/>
        </w:rPr>
        <w:t>Vir: Bloomberg, MF interpolacija (SLO), 27.</w:t>
      </w:r>
      <w:r w:rsidR="008A72A7" w:rsidRPr="00BB6E3B">
        <w:rPr>
          <w:rFonts w:cs="Arial"/>
          <w:bCs/>
          <w:color w:val="0D0D0D" w:themeColor="text1" w:themeTint="F2"/>
          <w:sz w:val="20"/>
        </w:rPr>
        <w:t> </w:t>
      </w:r>
      <w:r w:rsidRPr="00BB6E3B">
        <w:rPr>
          <w:rFonts w:cs="Arial"/>
          <w:bCs/>
          <w:color w:val="0D0D0D" w:themeColor="text1" w:themeTint="F2"/>
          <w:sz w:val="20"/>
        </w:rPr>
        <w:t>3.</w:t>
      </w:r>
      <w:r w:rsidR="008A72A7" w:rsidRPr="00BB6E3B">
        <w:rPr>
          <w:rFonts w:cs="Arial"/>
          <w:bCs/>
          <w:color w:val="0D0D0D" w:themeColor="text1" w:themeTint="F2"/>
          <w:sz w:val="20"/>
        </w:rPr>
        <w:t> </w:t>
      </w:r>
      <w:r w:rsidRPr="00BB6E3B">
        <w:rPr>
          <w:rFonts w:cs="Arial"/>
          <w:bCs/>
          <w:color w:val="0D0D0D" w:themeColor="text1" w:themeTint="F2"/>
          <w:sz w:val="20"/>
        </w:rPr>
        <w:t>2019</w:t>
      </w:r>
    </w:p>
    <w:p w:rsidR="00FD3464" w:rsidRPr="00BB6E3B" w:rsidRDefault="00FD3464" w:rsidP="00553FED">
      <w:pPr>
        <w:pStyle w:val="Heading2"/>
        <w:numPr>
          <w:ilvl w:val="1"/>
          <w:numId w:val="3"/>
        </w:numPr>
        <w:rPr>
          <w:color w:val="0D0D0D" w:themeColor="text1" w:themeTint="F2"/>
        </w:rPr>
      </w:pPr>
      <w:bookmarkStart w:id="4" w:name="_Toc6923645"/>
      <w:r w:rsidRPr="00BB6E3B">
        <w:rPr>
          <w:color w:val="0D0D0D" w:themeColor="text1" w:themeTint="F2"/>
        </w:rPr>
        <w:lastRenderedPageBreak/>
        <w:t>Srednjeročna napoved 20</w:t>
      </w:r>
      <w:r w:rsidR="002E3C2D" w:rsidRPr="00BB6E3B">
        <w:rPr>
          <w:color w:val="0D0D0D" w:themeColor="text1" w:themeTint="F2"/>
        </w:rPr>
        <w:t>20</w:t>
      </w:r>
      <w:r w:rsidR="001C284E" w:rsidRPr="00BB6E3B">
        <w:rPr>
          <w:color w:val="0D0D0D" w:themeColor="text1" w:themeTint="F2"/>
        </w:rPr>
        <w:t>–</w:t>
      </w:r>
      <w:r w:rsidRPr="00BB6E3B">
        <w:rPr>
          <w:color w:val="0D0D0D" w:themeColor="text1" w:themeTint="F2"/>
        </w:rPr>
        <w:t>20</w:t>
      </w:r>
      <w:r w:rsidR="002E3C2D" w:rsidRPr="00BB6E3B">
        <w:rPr>
          <w:color w:val="0D0D0D" w:themeColor="text1" w:themeTint="F2"/>
        </w:rPr>
        <w:t>22</w:t>
      </w:r>
      <w:bookmarkEnd w:id="4"/>
    </w:p>
    <w:p w:rsidR="004115F8" w:rsidRDefault="004115F8" w:rsidP="002155CB">
      <w:pPr>
        <w:pStyle w:val="besedilo"/>
        <w:rPr>
          <w:color w:val="0D0D0D" w:themeColor="text1" w:themeTint="F2"/>
          <w:lang w:eastAsia="sl-SI"/>
        </w:rPr>
      </w:pPr>
    </w:p>
    <w:p w:rsidR="004115F8" w:rsidRDefault="004115F8" w:rsidP="004115F8">
      <w:pPr>
        <w:pStyle w:val="besedilo"/>
        <w:rPr>
          <w:color w:val="0D0D0D" w:themeColor="text1" w:themeTint="F2"/>
          <w:lang w:eastAsia="sl-SI"/>
        </w:rPr>
      </w:pPr>
      <w:r w:rsidRPr="00825319">
        <w:rPr>
          <w:color w:val="0D0D0D" w:themeColor="text1" w:themeTint="F2"/>
          <w:lang w:eastAsia="sl-SI"/>
        </w:rPr>
        <w:t xml:space="preserve">Glede na makroekonomske napovedi UMAR-ja se v srednjeročnem obdobju do leta 2022 predvideva nadaljevanje postopnega umirjanja gospodarske rasti, ki bo še vedno ostajala višja od rasti v evrskem območju. Ob umirjanju konjunkture v mednarodnem okolju se v letu 2020 pričakuje realna rast BDP 3,1 %, v letih 2021 in 2022 pa 2,8 % in 2,7 %. </w:t>
      </w:r>
    </w:p>
    <w:p w:rsidR="00847208" w:rsidRPr="00BB6E3B" w:rsidRDefault="00847208" w:rsidP="00EB745F">
      <w:pPr>
        <w:pStyle w:val="besedilo"/>
        <w:rPr>
          <w:color w:val="0D0D0D" w:themeColor="text1" w:themeTint="F2"/>
          <w:lang w:eastAsia="sl-SI"/>
        </w:rPr>
      </w:pPr>
    </w:p>
    <w:p w:rsidR="00847208" w:rsidRPr="00BB6E3B" w:rsidRDefault="00847208" w:rsidP="005269BB">
      <w:pPr>
        <w:pStyle w:val="Caption"/>
        <w:keepNext/>
        <w:spacing w:before="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8</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Realna rast BDP v Sloveniji in evr</w:t>
      </w:r>
      <w:r w:rsidR="008A72A7" w:rsidRPr="00BB6E3B">
        <w:rPr>
          <w:rFonts w:ascii="Arial" w:hAnsi="Arial" w:cs="Arial"/>
          <w:color w:val="0D0D0D" w:themeColor="text1" w:themeTint="F2"/>
          <w:szCs w:val="22"/>
          <w:lang w:val="sl-SI"/>
        </w:rPr>
        <w:t xml:space="preserve">skem </w:t>
      </w:r>
      <w:r w:rsidRPr="00BB6E3B">
        <w:rPr>
          <w:rFonts w:ascii="Arial" w:hAnsi="Arial" w:cs="Arial"/>
          <w:color w:val="0D0D0D" w:themeColor="text1" w:themeTint="F2"/>
          <w:szCs w:val="22"/>
          <w:lang w:val="sl-SI"/>
        </w:rPr>
        <w:t>območju ter napoved rasti do leta 2020</w:t>
      </w:r>
    </w:p>
    <w:p w:rsidR="00847208" w:rsidRPr="00BB6E3B" w:rsidRDefault="000B4753" w:rsidP="001D4DCB">
      <w:pPr>
        <w:spacing w:after="0"/>
        <w:jc w:val="center"/>
        <w:rPr>
          <w:rFonts w:eastAsia="Times New Roman" w:cs="Arial"/>
          <w:color w:val="0D0D0D" w:themeColor="text1" w:themeTint="F2"/>
          <w:spacing w:val="5"/>
          <w:sz w:val="20"/>
          <w:szCs w:val="14"/>
          <w:lang w:eastAsia="sl-SI"/>
        </w:rPr>
      </w:pPr>
      <w:r w:rsidRPr="00BB6E3B">
        <w:rPr>
          <w:noProof/>
          <w:color w:val="0D0D0D" w:themeColor="text1" w:themeTint="F2"/>
          <w:lang w:val="en-US"/>
        </w:rPr>
        <w:drawing>
          <wp:inline distT="0" distB="0" distL="0" distR="0" wp14:anchorId="500AD4FA" wp14:editId="4A995EC6">
            <wp:extent cx="4686300" cy="2543175"/>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47208" w:rsidRPr="00BB6E3B" w:rsidRDefault="00847208" w:rsidP="001D4DCB">
      <w:pPr>
        <w:spacing w:after="0"/>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Eurostat, UMAR</w:t>
      </w:r>
      <w:r w:rsidR="008A72A7" w:rsidRPr="00BB6E3B">
        <w:rPr>
          <w:rFonts w:eastAsia="Times New Roman" w:cs="Arial"/>
          <w:color w:val="0D0D0D" w:themeColor="text1" w:themeTint="F2"/>
          <w:spacing w:val="5"/>
          <w:sz w:val="20"/>
          <w:szCs w:val="14"/>
          <w:lang w:eastAsia="sl-SI"/>
        </w:rPr>
        <w:t>,</w:t>
      </w:r>
      <w:r w:rsidRPr="00BB6E3B">
        <w:rPr>
          <w:rFonts w:eastAsia="Times New Roman" w:cs="Arial"/>
          <w:color w:val="0D0D0D" w:themeColor="text1" w:themeTint="F2"/>
          <w:spacing w:val="5"/>
          <w:sz w:val="20"/>
          <w:szCs w:val="14"/>
          <w:lang w:eastAsia="sl-SI"/>
        </w:rPr>
        <w:t xml:space="preserve"> pomladanska napoved 2019, European Economic forecast, 2019</w:t>
      </w:r>
    </w:p>
    <w:p w:rsidR="004115F8" w:rsidRPr="00BB6E3B" w:rsidRDefault="004115F8" w:rsidP="004115F8">
      <w:pPr>
        <w:spacing w:after="120"/>
        <w:rPr>
          <w:rFonts w:eastAsia="Times New Roman" w:cs="Arial"/>
          <w:color w:val="0D0D0D" w:themeColor="text1" w:themeTint="F2"/>
          <w:spacing w:val="5"/>
          <w:szCs w:val="14"/>
          <w:lang w:eastAsia="sl-SI"/>
        </w:rPr>
      </w:pPr>
    </w:p>
    <w:tbl>
      <w:tblPr>
        <w:tblStyle w:val="TableGrid"/>
        <w:tblW w:w="0" w:type="auto"/>
        <w:tblLook w:val="04A0" w:firstRow="1" w:lastRow="0" w:firstColumn="1" w:lastColumn="0" w:noHBand="0" w:noVBand="1"/>
      </w:tblPr>
      <w:tblGrid>
        <w:gridCol w:w="9438"/>
      </w:tblGrid>
      <w:tr w:rsidR="00E868BE" w:rsidTr="00825319">
        <w:tc>
          <w:tcPr>
            <w:tcW w:w="9438" w:type="dxa"/>
          </w:tcPr>
          <w:p w:rsidR="00E868BE" w:rsidRPr="00BB6E3B" w:rsidRDefault="00E868BE" w:rsidP="00BB6E3B">
            <w:pPr>
              <w:pStyle w:val="besedilo"/>
              <w:shd w:val="clear" w:color="auto" w:fill="FFFFFF" w:themeFill="background1"/>
              <w:rPr>
                <w:b/>
                <w:color w:val="0D0D0D" w:themeColor="text1" w:themeTint="F2"/>
                <w:lang w:val="sl-SI" w:eastAsia="sl-SI"/>
              </w:rPr>
            </w:pPr>
            <w:r w:rsidRPr="00BB6E3B">
              <w:rPr>
                <w:b/>
                <w:color w:val="0D0D0D" w:themeColor="text1" w:themeTint="F2"/>
                <w:lang w:val="sl-SI" w:eastAsia="sl-SI"/>
              </w:rPr>
              <w:t>Tveganja in pomladanska napoved UMAR</w:t>
            </w:r>
          </w:p>
          <w:p w:rsidR="00E868BE" w:rsidRPr="00C3436D" w:rsidRDefault="00E868BE" w:rsidP="00BB6E3B">
            <w:pPr>
              <w:pStyle w:val="besedilo"/>
              <w:shd w:val="clear" w:color="auto" w:fill="FFFFFF" w:themeFill="background1"/>
              <w:rPr>
                <w:color w:val="0D0D0D" w:themeColor="text1" w:themeTint="F2"/>
                <w:lang w:val="sl-SI" w:eastAsia="sl-SI"/>
              </w:rPr>
            </w:pPr>
          </w:p>
          <w:p w:rsidR="00E868BE" w:rsidRDefault="00E868BE" w:rsidP="00BB6E3B">
            <w:pPr>
              <w:pStyle w:val="besedilo"/>
              <w:shd w:val="clear" w:color="auto" w:fill="FFFFFF" w:themeFill="background1"/>
              <w:rPr>
                <w:color w:val="0D0D0D" w:themeColor="text1" w:themeTint="F2"/>
                <w:lang w:eastAsia="sl-SI"/>
              </w:rPr>
            </w:pPr>
            <w:r w:rsidRPr="00BB6E3B">
              <w:rPr>
                <w:color w:val="0D0D0D" w:themeColor="text1" w:themeTint="F2"/>
                <w:lang w:val="sl-SI" w:eastAsia="sl-SI"/>
              </w:rPr>
              <w:t xml:space="preserve">Med tveganji za uresničitev pomladanske napovedi, zaradi katerih lahko gospodarska rast lahko </w:t>
            </w:r>
            <w:r w:rsidRPr="00C3436D">
              <w:rPr>
                <w:color w:val="0D0D0D" w:themeColor="text1" w:themeTint="F2"/>
                <w:lang w:val="sl-SI" w:eastAsia="sl-SI"/>
              </w:rPr>
              <w:t xml:space="preserve">odstopa od napovedi v osrednjem scenariju, prevladujejo negativna tveganja v </w:t>
            </w:r>
            <w:r w:rsidRPr="00BB6E3B">
              <w:rPr>
                <w:color w:val="0D0D0D" w:themeColor="text1" w:themeTint="F2"/>
                <w:lang w:val="sl-SI" w:eastAsia="sl-SI"/>
              </w:rPr>
              <w:t>mednarodnem okolju. V razmerah precejšnjih negotovosti so tveganja nižje gospodarske rasti povezana s tveganji v globalnem in evrskem gospodarskem prostoru, ki so se v preteklih mesecih nekoliko okrepila. Med globalnimi tveganji gre predvsem za: i) možnost krepitve protekcionističnih ukrepov ZDA in povračilne ukrepe njenih trgovinskih partneric</w:t>
            </w:r>
            <w:r w:rsidRPr="00C3436D">
              <w:rPr>
                <w:color w:val="0D0D0D" w:themeColor="text1" w:themeTint="F2"/>
                <w:vertAlign w:val="superscript"/>
                <w:lang w:val="sl-SI" w:eastAsia="sl-SI"/>
              </w:rPr>
              <w:footnoteReference w:id="2"/>
            </w:r>
            <w:r w:rsidRPr="00C3436D">
              <w:rPr>
                <w:color w:val="0D0D0D" w:themeColor="text1" w:themeTint="F2"/>
                <w:lang w:val="sl-SI" w:eastAsia="sl-SI"/>
              </w:rPr>
              <w:t>, ii) hitrejše umirjanje gospodarske rasti na Kitajskem od napovedi mednarodnih institucij in iii) hitrejše zaostrovanje globalnih po</w:t>
            </w:r>
            <w:r w:rsidRPr="00BB6E3B">
              <w:rPr>
                <w:color w:val="0D0D0D" w:themeColor="text1" w:themeTint="F2"/>
                <w:lang w:val="sl-SI" w:eastAsia="sl-SI"/>
              </w:rPr>
              <w:t>gojev financiranja od pričakovanj. V evropskem prostoru pa so tveganja povezana z negotovostjo glede časa in načina izstopa Združenega kraljestva iz EU ter njunih prihodnjih gospodarskih odnosov (tveganje t. i. neurejenega oz. trdega brexita)</w:t>
            </w:r>
            <w:r w:rsidRPr="00C3436D">
              <w:rPr>
                <w:color w:val="0D0D0D" w:themeColor="text1" w:themeTint="F2"/>
                <w:vertAlign w:val="superscript"/>
                <w:lang w:val="sl-SI" w:eastAsia="sl-SI"/>
              </w:rPr>
              <w:footnoteReference w:id="3"/>
            </w:r>
            <w:r w:rsidRPr="00C3436D">
              <w:rPr>
                <w:color w:val="0D0D0D" w:themeColor="text1" w:themeTint="F2"/>
                <w:lang w:val="sl-SI" w:eastAsia="sl-SI"/>
              </w:rPr>
              <w:t>, ekonomskimi</w:t>
            </w:r>
            <w:r w:rsidRPr="00BB6E3B">
              <w:rPr>
                <w:color w:val="0D0D0D" w:themeColor="text1" w:themeTint="F2"/>
                <w:lang w:val="sl-SI" w:eastAsia="sl-SI"/>
              </w:rPr>
              <w:t xml:space="preserve"> politikami nekaterih držav (npr. Italije), predvsem na srednji rok pa tudi s političnimi spremembami.</w:t>
            </w:r>
            <w:r w:rsidRPr="00C3436D">
              <w:rPr>
                <w:color w:val="0D0D0D" w:themeColor="text1" w:themeTint="F2"/>
                <w:vertAlign w:val="superscript"/>
                <w:lang w:val="sl-SI" w:eastAsia="sl-SI"/>
              </w:rPr>
              <w:footnoteReference w:id="4"/>
            </w:r>
            <w:r w:rsidRPr="00C3436D">
              <w:rPr>
                <w:color w:val="0D0D0D" w:themeColor="text1" w:themeTint="F2"/>
                <w:lang w:val="sl-SI" w:eastAsia="sl-SI"/>
              </w:rPr>
              <w:t xml:space="preserve"> Dejavniki v domačem okolju so na krajši rok pretežno pozitivni in bi </w:t>
            </w:r>
            <w:r w:rsidRPr="00C3436D">
              <w:rPr>
                <w:color w:val="0D0D0D" w:themeColor="text1" w:themeTint="F2"/>
                <w:lang w:val="sl-SI" w:eastAsia="sl-SI"/>
              </w:rPr>
              <w:lastRenderedPageBreak/>
              <w:t xml:space="preserve">lahko vplivali na nekoliko višjo gospodarsko rast kot v osrednjem scenariju zaradi </w:t>
            </w:r>
            <w:r w:rsidRPr="00BB6E3B">
              <w:rPr>
                <w:color w:val="0D0D0D" w:themeColor="text1" w:themeTint="F2"/>
                <w:lang w:val="sl-SI" w:eastAsia="sl-SI"/>
              </w:rPr>
              <w:t>novih, v času napovedi še nesprejetih ukrepov ekonomske politike, ki bi vplivali predvsem na višjo zasebno potrošnjo, rast pa bi bila lahko višja tudi v primeru višjih državnih investicij.</w:t>
            </w:r>
          </w:p>
        </w:tc>
      </w:tr>
    </w:tbl>
    <w:p w:rsidR="00E868BE" w:rsidRDefault="00E868BE" w:rsidP="00847208">
      <w:pPr>
        <w:pStyle w:val="besedilo"/>
        <w:rPr>
          <w:color w:val="0D0D0D" w:themeColor="text1" w:themeTint="F2"/>
          <w:lang w:eastAsia="sl-SI"/>
        </w:rPr>
      </w:pPr>
      <w:r w:rsidRPr="00C3436D">
        <w:rPr>
          <w:color w:val="0D0D0D" w:themeColor="text1" w:themeTint="F2"/>
          <w:lang w:eastAsia="sl-SI"/>
        </w:rPr>
        <w:lastRenderedPageBreak/>
        <w:t xml:space="preserve"> </w:t>
      </w:r>
    </w:p>
    <w:p w:rsidR="004065F2" w:rsidRPr="00BB6E3B" w:rsidRDefault="004065F2" w:rsidP="00847208">
      <w:pPr>
        <w:pStyle w:val="besedilo"/>
        <w:rPr>
          <w:color w:val="0D0D0D" w:themeColor="text1" w:themeTint="F2"/>
          <w:lang w:eastAsia="sl-SI"/>
        </w:rPr>
      </w:pPr>
      <w:r w:rsidRPr="00BB6E3B">
        <w:rPr>
          <w:color w:val="0D0D0D" w:themeColor="text1" w:themeTint="F2"/>
          <w:lang w:eastAsia="sl-SI"/>
        </w:rPr>
        <w:t xml:space="preserve">V letu 2018 </w:t>
      </w:r>
      <w:r w:rsidR="008A72A7" w:rsidRPr="00BB6E3B">
        <w:rPr>
          <w:color w:val="0D0D0D" w:themeColor="text1" w:themeTint="F2"/>
          <w:lang w:eastAsia="sl-SI"/>
        </w:rPr>
        <w:t>za</w:t>
      </w:r>
      <w:r w:rsidRPr="00BB6E3B">
        <w:rPr>
          <w:color w:val="0D0D0D" w:themeColor="text1" w:themeTint="F2"/>
          <w:lang w:eastAsia="sl-SI"/>
        </w:rPr>
        <w:t>četo spreminjanje strukture gospodarske rasti v smeri večjega prispevka domače potrošnje in manjšega prispevka izvoza se bo nadaljevalo tudi v prihodnjih letih. Rast izvoza se bo še naprej umirjala predvsem zaradi upočasnitve gospodarske rasti v trgovinskih partnericah</w:t>
      </w:r>
      <w:r w:rsidR="00730279" w:rsidRPr="00BB6E3B">
        <w:rPr>
          <w:color w:val="0D0D0D" w:themeColor="text1" w:themeTint="F2"/>
          <w:lang w:eastAsia="sl-SI"/>
        </w:rPr>
        <w:t xml:space="preserve"> Slovenije</w:t>
      </w:r>
      <w:r w:rsidRPr="00BB6E3B">
        <w:rPr>
          <w:color w:val="0D0D0D" w:themeColor="text1" w:themeTint="F2"/>
          <w:lang w:eastAsia="sl-SI"/>
        </w:rPr>
        <w:t>. Rast zasebne potrošnje se bo letos nekoliko pospešila ob nadaljevanju ugodnih razmer na trgu dela, nato pa se bo ob nižji rasti zaposlenosti postopno umirjala. Še vedno visoka rast investicij se bo tudi nekoliko umirila, predvsem v segmentu investicij v stroje in opremo pod vplivom upočasnitve rasti tujega povpraševanja. Nadaljevala pa se bo visoka rast gradbenih investicij, povezana tudi s povečanjem črpanja evropskih sredstev. Ker bo umirjanje rasti uvoza ob razmeroma robustni domači potrošnji malo manj izrazito, bo prispevek menjave s tujino k rasti BDP rahlo negativen. Umirjanje gospodarske rasti bo malo hitrejše, kot je bilo pričakovano v lanskih napovedih, predvsem zaradi manj ugodnih gibanj v mednarodnem okolju.</w:t>
      </w:r>
    </w:p>
    <w:p w:rsidR="002D08AF" w:rsidRPr="00BB6E3B" w:rsidRDefault="002D08AF" w:rsidP="002D08AF">
      <w:pPr>
        <w:pStyle w:val="Caption"/>
        <w:keepNext/>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9</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Prispevki k rasti BDP</w:t>
      </w:r>
    </w:p>
    <w:p w:rsidR="00E73A07" w:rsidRPr="00BB6E3B" w:rsidRDefault="00E73A07" w:rsidP="00847208">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noProof/>
          <w:color w:val="0D0D0D" w:themeColor="text1" w:themeTint="F2"/>
          <w:lang w:val="en-US"/>
        </w:rPr>
        <w:drawing>
          <wp:inline distT="0" distB="0" distL="0" distR="0" wp14:anchorId="2C521E59" wp14:editId="6562F9D9">
            <wp:extent cx="4876800" cy="27432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BB6E3B">
        <w:rPr>
          <w:rFonts w:eastAsia="Times New Roman" w:cs="Arial"/>
          <w:color w:val="0D0D0D" w:themeColor="text1" w:themeTint="F2"/>
          <w:spacing w:val="5"/>
          <w:sz w:val="20"/>
          <w:szCs w:val="14"/>
          <w:lang w:eastAsia="sl-SI"/>
        </w:rPr>
        <w:t xml:space="preserve"> </w:t>
      </w:r>
    </w:p>
    <w:p w:rsidR="002D08AF" w:rsidRPr="00BB6E3B" w:rsidRDefault="002D08AF" w:rsidP="00847208">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UMAR</w:t>
      </w:r>
      <w:r w:rsidR="008A72A7" w:rsidRPr="00BB6E3B">
        <w:rPr>
          <w:rFonts w:eastAsia="Times New Roman" w:cs="Arial"/>
          <w:color w:val="0D0D0D" w:themeColor="text1" w:themeTint="F2"/>
          <w:spacing w:val="5"/>
          <w:sz w:val="20"/>
          <w:szCs w:val="14"/>
          <w:lang w:eastAsia="sl-SI"/>
        </w:rPr>
        <w:t>,</w:t>
      </w:r>
      <w:r w:rsidRPr="00BB6E3B">
        <w:rPr>
          <w:rFonts w:eastAsia="Times New Roman" w:cs="Arial"/>
          <w:color w:val="0D0D0D" w:themeColor="text1" w:themeTint="F2"/>
          <w:spacing w:val="5"/>
          <w:sz w:val="20"/>
          <w:szCs w:val="14"/>
          <w:lang w:eastAsia="sl-SI"/>
        </w:rPr>
        <w:t xml:space="preserve"> pomladanska napoved 2019</w:t>
      </w:r>
    </w:p>
    <w:p w:rsidR="00E868BE" w:rsidRDefault="00E868BE" w:rsidP="00847208">
      <w:pPr>
        <w:pStyle w:val="besedilo"/>
        <w:rPr>
          <w:color w:val="0D0D0D" w:themeColor="text1" w:themeTint="F2"/>
          <w:lang w:eastAsia="sl-SI"/>
        </w:rPr>
      </w:pPr>
    </w:p>
    <w:p w:rsidR="002D08AF" w:rsidRPr="00BB6E3B" w:rsidRDefault="002D08AF" w:rsidP="00847208">
      <w:pPr>
        <w:pStyle w:val="besedilo"/>
        <w:rPr>
          <w:color w:val="0D0D0D" w:themeColor="text1" w:themeTint="F2"/>
          <w:lang w:eastAsia="sl-SI"/>
        </w:rPr>
      </w:pPr>
      <w:r w:rsidRPr="00BB6E3B">
        <w:rPr>
          <w:color w:val="0D0D0D" w:themeColor="text1" w:themeTint="F2"/>
          <w:lang w:eastAsia="sl-SI"/>
        </w:rPr>
        <w:t>Postopna krepitev cenovnih pritiskov bo vplivala na inflacijo, ki se bo v prihodnjih dveh letih zmerno povišala (okrog 2 %). V prihodnjih letih pričakujemo opazn</w:t>
      </w:r>
      <w:r w:rsidR="008A72A7" w:rsidRPr="00BB6E3B">
        <w:rPr>
          <w:color w:val="0D0D0D" w:themeColor="text1" w:themeTint="F2"/>
          <w:lang w:eastAsia="sl-SI"/>
        </w:rPr>
        <w:t>ejš</w:t>
      </w:r>
      <w:r w:rsidRPr="00BB6E3B">
        <w:rPr>
          <w:color w:val="0D0D0D" w:themeColor="text1" w:themeTint="F2"/>
          <w:lang w:eastAsia="sl-SI"/>
        </w:rPr>
        <w:t>o krepitev rasti cen v segmentu storitev</w:t>
      </w:r>
      <w:r w:rsidR="006C5BCC" w:rsidRPr="00BB6E3B">
        <w:rPr>
          <w:color w:val="0D0D0D" w:themeColor="text1" w:themeTint="F2"/>
          <w:lang w:eastAsia="sl-SI"/>
        </w:rPr>
        <w:t>,</w:t>
      </w:r>
      <w:r w:rsidRPr="00BB6E3B">
        <w:rPr>
          <w:color w:val="0D0D0D" w:themeColor="text1" w:themeTint="F2"/>
          <w:lang w:eastAsia="sl-SI"/>
        </w:rPr>
        <w:t xml:space="preserve"> pa </w:t>
      </w:r>
      <w:r w:rsidR="00365C5B" w:rsidRPr="00BB6E3B">
        <w:rPr>
          <w:color w:val="0D0D0D" w:themeColor="text1" w:themeTint="F2"/>
          <w:lang w:eastAsia="sl-SI"/>
        </w:rPr>
        <w:t xml:space="preserve">tudi pri neenergetskem blagu. </w:t>
      </w:r>
      <w:r w:rsidRPr="00BB6E3B">
        <w:rPr>
          <w:color w:val="0D0D0D" w:themeColor="text1" w:themeTint="F2"/>
          <w:lang w:eastAsia="sl-SI"/>
        </w:rPr>
        <w:t>V letu 2018 se je povečala razlika med nominalno in realno rastjo BDP, za katero se pričakuje, da se bo ohranjala tudi v srednjeročnem obdobju do leta 2022.</w:t>
      </w:r>
    </w:p>
    <w:p w:rsidR="00F26558" w:rsidRPr="00BB6E3B" w:rsidRDefault="00F26558" w:rsidP="00847208">
      <w:pPr>
        <w:pStyle w:val="besedilo"/>
        <w:rPr>
          <w:color w:val="0D0D0D" w:themeColor="text1" w:themeTint="F2"/>
          <w:lang w:eastAsia="sl-SI"/>
        </w:rPr>
      </w:pPr>
    </w:p>
    <w:p w:rsidR="002D08AF" w:rsidRPr="00BB6E3B" w:rsidRDefault="002D08AF" w:rsidP="005269BB">
      <w:pPr>
        <w:pStyle w:val="Caption"/>
        <w:keepNext/>
        <w:spacing w:before="0" w:after="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lastRenderedPageBreak/>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10</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Realna in nominalna rast BDP</w:t>
      </w:r>
    </w:p>
    <w:p w:rsidR="002D08AF" w:rsidRPr="00BB6E3B" w:rsidRDefault="002D08AF" w:rsidP="00847208">
      <w:pPr>
        <w:shd w:val="clear" w:color="auto" w:fill="FFFFFF"/>
        <w:spacing w:after="0" w:line="270" w:lineRule="atLeast"/>
        <w:jc w:val="center"/>
        <w:rPr>
          <w:rFonts w:eastAsia="Times New Roman" w:cs="Arial"/>
          <w:color w:val="0D0D0D" w:themeColor="text1" w:themeTint="F2"/>
          <w:spacing w:val="5"/>
          <w:szCs w:val="14"/>
          <w:lang w:eastAsia="sl-SI"/>
        </w:rPr>
      </w:pPr>
      <w:r w:rsidRPr="00BB6E3B">
        <w:rPr>
          <w:rFonts w:cs="Arial"/>
          <w:noProof/>
          <w:color w:val="0D0D0D" w:themeColor="text1" w:themeTint="F2"/>
          <w:lang w:val="en-US"/>
        </w:rPr>
        <w:drawing>
          <wp:inline distT="0" distB="0" distL="0" distR="0" wp14:anchorId="142E2B52" wp14:editId="4A409F69">
            <wp:extent cx="4779034" cy="2769079"/>
            <wp:effectExtent l="0" t="0" r="254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D08AF" w:rsidRPr="00BB6E3B" w:rsidRDefault="002D08AF" w:rsidP="005269BB">
      <w:pPr>
        <w:shd w:val="clear" w:color="auto" w:fill="FFFFFF"/>
        <w:spacing w:after="0" w:line="276" w:lineRule="auto"/>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Vir: UMAR</w:t>
      </w:r>
      <w:r w:rsidR="008A72A7" w:rsidRPr="00BB6E3B">
        <w:rPr>
          <w:rFonts w:eastAsia="Times New Roman" w:cs="Arial"/>
          <w:color w:val="0D0D0D" w:themeColor="text1" w:themeTint="F2"/>
          <w:spacing w:val="5"/>
          <w:sz w:val="20"/>
          <w:szCs w:val="14"/>
          <w:lang w:eastAsia="sl-SI"/>
        </w:rPr>
        <w:t>,</w:t>
      </w:r>
      <w:r w:rsidRPr="00BB6E3B">
        <w:rPr>
          <w:rFonts w:eastAsia="Times New Roman" w:cs="Arial"/>
          <w:color w:val="0D0D0D" w:themeColor="text1" w:themeTint="F2"/>
          <w:spacing w:val="5"/>
          <w:sz w:val="20"/>
          <w:szCs w:val="14"/>
          <w:lang w:eastAsia="sl-SI"/>
        </w:rPr>
        <w:t xml:space="preserve"> pomladanska napoved 2019</w:t>
      </w:r>
    </w:p>
    <w:p w:rsidR="005269BB" w:rsidRPr="00BB6E3B" w:rsidRDefault="005269BB" w:rsidP="00847208">
      <w:pPr>
        <w:pStyle w:val="besedilo"/>
        <w:rPr>
          <w:color w:val="0D0D0D" w:themeColor="text1" w:themeTint="F2"/>
          <w:lang w:eastAsia="sl-SI"/>
        </w:rPr>
      </w:pPr>
    </w:p>
    <w:p w:rsidR="002D08AF" w:rsidRPr="00BB6E3B" w:rsidRDefault="002D08AF" w:rsidP="00847208">
      <w:pPr>
        <w:pStyle w:val="besedilo"/>
        <w:rPr>
          <w:color w:val="0D0D0D" w:themeColor="text1" w:themeTint="F2"/>
          <w:lang w:eastAsia="sl-SI"/>
        </w:rPr>
      </w:pPr>
      <w:r w:rsidRPr="00BB6E3B">
        <w:rPr>
          <w:color w:val="0D0D0D" w:themeColor="text1" w:themeTint="F2"/>
          <w:lang w:eastAsia="sl-SI"/>
        </w:rPr>
        <w:t>Zaposlenost se bo v srednjeročnem obdobju 2020</w:t>
      </w:r>
      <w:r w:rsidR="001C284E" w:rsidRPr="00BB6E3B">
        <w:rPr>
          <w:color w:val="0D0D0D" w:themeColor="text1" w:themeTint="F2"/>
          <w:lang w:eastAsia="sl-SI"/>
        </w:rPr>
        <w:t>–</w:t>
      </w:r>
      <w:r w:rsidRPr="00BB6E3B">
        <w:rPr>
          <w:color w:val="0D0D0D" w:themeColor="text1" w:themeTint="F2"/>
          <w:lang w:eastAsia="sl-SI"/>
        </w:rPr>
        <w:t xml:space="preserve">2022 še naprej povečevala, vendar vse počasneje ob upadanju števila delovno sposobnih, nižji brezposelnosti in bolj umirjeni rasti gospodarske aktivnosti. Vpliv demografskih gibanj na zmanjševanje ponudbe delovne sile bosta nekoliko blažila predvidena postopna krepitev neto migracijskih prilivov in naraščanje stopnje participacije na trgu dela. </w:t>
      </w:r>
    </w:p>
    <w:p w:rsidR="00370218" w:rsidRPr="00BB6E3B" w:rsidRDefault="00370218" w:rsidP="00847208">
      <w:pPr>
        <w:pStyle w:val="besedilo"/>
        <w:rPr>
          <w:color w:val="0D0D0D" w:themeColor="text1" w:themeTint="F2"/>
          <w:lang w:eastAsia="sl-SI"/>
        </w:rPr>
      </w:pPr>
    </w:p>
    <w:p w:rsidR="002D08AF" w:rsidRPr="00BB6E3B" w:rsidRDefault="002D08AF" w:rsidP="00847208">
      <w:pPr>
        <w:pStyle w:val="besedilo"/>
        <w:rPr>
          <w:color w:val="0D0D0D" w:themeColor="text1" w:themeTint="F2"/>
          <w:lang w:eastAsia="sl-SI"/>
        </w:rPr>
      </w:pPr>
      <w:r w:rsidRPr="00BB6E3B">
        <w:rPr>
          <w:color w:val="0D0D0D" w:themeColor="text1" w:themeTint="F2"/>
          <w:lang w:eastAsia="sl-SI"/>
        </w:rPr>
        <w:t>Število brezposelnih se bo tudi v prihodnjih letih zmanjševalo, a počasneje kot v preteklem obdobju. Na to bo vplivala, poleg nekoliko manjše rasti zaposlenosti, vse nižja brezposelnost, ki bo pod dolgoročno oziroma ravnovesno ravnjo, kar nakazuje vedno bolj omejeno ponudbo na trgu dela.</w:t>
      </w:r>
    </w:p>
    <w:p w:rsidR="002D08AF" w:rsidRPr="00BB6E3B" w:rsidRDefault="002D08AF" w:rsidP="002D08AF">
      <w:pPr>
        <w:pStyle w:val="Caption"/>
        <w:keepNext/>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11</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Delovno aktivni in brezposelni</w:t>
      </w:r>
    </w:p>
    <w:p w:rsidR="002D08AF" w:rsidRPr="00BB6E3B" w:rsidRDefault="002D08AF" w:rsidP="005D54DA">
      <w:pPr>
        <w:spacing w:after="0"/>
        <w:jc w:val="center"/>
        <w:rPr>
          <w:rFonts w:cs="Arial"/>
          <w:color w:val="0D0D0D" w:themeColor="text1" w:themeTint="F2"/>
        </w:rPr>
      </w:pPr>
      <w:r w:rsidRPr="00BB6E3B">
        <w:rPr>
          <w:rFonts w:cs="Arial"/>
          <w:noProof/>
          <w:color w:val="0D0D0D" w:themeColor="text1" w:themeTint="F2"/>
          <w:lang w:val="en-US"/>
        </w:rPr>
        <w:drawing>
          <wp:inline distT="0" distB="0" distL="0" distR="0" wp14:anchorId="0240F98B" wp14:editId="11B20C43">
            <wp:extent cx="5715000" cy="28194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D08AF" w:rsidRPr="00BB6E3B" w:rsidRDefault="002D08AF" w:rsidP="005D54DA">
      <w:pPr>
        <w:shd w:val="clear" w:color="auto" w:fill="FFFFFF"/>
        <w:spacing w:after="0" w:line="270" w:lineRule="atLeast"/>
        <w:jc w:val="center"/>
        <w:rPr>
          <w:rFonts w:eastAsia="Times New Roman" w:cs="Arial"/>
          <w:color w:val="0D0D0D" w:themeColor="text1" w:themeTint="F2"/>
          <w:spacing w:val="5"/>
          <w:sz w:val="20"/>
          <w:szCs w:val="20"/>
          <w:lang w:eastAsia="sl-SI"/>
        </w:rPr>
      </w:pPr>
      <w:r w:rsidRPr="00BB6E3B">
        <w:rPr>
          <w:rFonts w:eastAsia="Times New Roman" w:cs="Arial"/>
          <w:color w:val="0D0D0D" w:themeColor="text1" w:themeTint="F2"/>
          <w:spacing w:val="5"/>
          <w:sz w:val="20"/>
          <w:szCs w:val="20"/>
          <w:lang w:eastAsia="sl-SI"/>
        </w:rPr>
        <w:t>Vir: UMAR</w:t>
      </w:r>
      <w:r w:rsidR="008A72A7" w:rsidRPr="00BB6E3B">
        <w:rPr>
          <w:rFonts w:eastAsia="Times New Roman" w:cs="Arial"/>
          <w:color w:val="0D0D0D" w:themeColor="text1" w:themeTint="F2"/>
          <w:spacing w:val="5"/>
          <w:sz w:val="20"/>
          <w:szCs w:val="20"/>
          <w:lang w:eastAsia="sl-SI"/>
        </w:rPr>
        <w:t>,</w:t>
      </w:r>
      <w:r w:rsidRPr="00BB6E3B">
        <w:rPr>
          <w:rFonts w:eastAsia="Times New Roman" w:cs="Arial"/>
          <w:color w:val="0D0D0D" w:themeColor="text1" w:themeTint="F2"/>
          <w:spacing w:val="5"/>
          <w:sz w:val="20"/>
          <w:szCs w:val="20"/>
          <w:lang w:eastAsia="sl-SI"/>
        </w:rPr>
        <w:t xml:space="preserve"> pomladanska napoved 2019</w:t>
      </w:r>
    </w:p>
    <w:p w:rsidR="005D54DA" w:rsidRPr="00BB6E3B" w:rsidRDefault="005D54DA" w:rsidP="00847208">
      <w:pPr>
        <w:pStyle w:val="besedilo"/>
        <w:rPr>
          <w:color w:val="0D0D0D" w:themeColor="text1" w:themeTint="F2"/>
          <w:lang w:eastAsia="sl-SI"/>
        </w:rPr>
      </w:pPr>
    </w:p>
    <w:p w:rsidR="002D08AF" w:rsidRPr="00BB6E3B" w:rsidRDefault="002D08AF" w:rsidP="00847208">
      <w:pPr>
        <w:pStyle w:val="besedilo"/>
        <w:rPr>
          <w:color w:val="0D0D0D" w:themeColor="text1" w:themeTint="F2"/>
          <w:lang w:eastAsia="sl-SI"/>
        </w:rPr>
      </w:pPr>
      <w:r w:rsidRPr="00BB6E3B">
        <w:rPr>
          <w:color w:val="0D0D0D" w:themeColor="text1" w:themeTint="F2"/>
          <w:lang w:eastAsia="sl-SI"/>
        </w:rPr>
        <w:lastRenderedPageBreak/>
        <w:t>Čeprav raven produktivnosti močno zaostaja za povprečjem držav evr</w:t>
      </w:r>
      <w:r w:rsidR="008A72A7" w:rsidRPr="00BB6E3B">
        <w:rPr>
          <w:color w:val="0D0D0D" w:themeColor="text1" w:themeTint="F2"/>
          <w:lang w:eastAsia="sl-SI"/>
        </w:rPr>
        <w:t xml:space="preserve">skega </w:t>
      </w:r>
      <w:r w:rsidRPr="00BB6E3B">
        <w:rPr>
          <w:color w:val="0D0D0D" w:themeColor="text1" w:themeTint="F2"/>
          <w:lang w:eastAsia="sl-SI"/>
        </w:rPr>
        <w:t xml:space="preserve">območja, se v srednjeročnem obdobju pričakuje njena višja rast v primerjavi z rastjo produktivnosti </w:t>
      </w:r>
      <w:r w:rsidR="006C5BCC" w:rsidRPr="00BB6E3B">
        <w:rPr>
          <w:color w:val="0D0D0D" w:themeColor="text1" w:themeTint="F2"/>
          <w:lang w:eastAsia="sl-SI"/>
        </w:rPr>
        <w:t>e</w:t>
      </w:r>
      <w:r w:rsidRPr="00BB6E3B">
        <w:rPr>
          <w:color w:val="0D0D0D" w:themeColor="text1" w:themeTint="F2"/>
          <w:lang w:eastAsia="sl-SI"/>
        </w:rPr>
        <w:t>vr</w:t>
      </w:r>
      <w:r w:rsidR="008A72A7" w:rsidRPr="00BB6E3B">
        <w:rPr>
          <w:color w:val="0D0D0D" w:themeColor="text1" w:themeTint="F2"/>
          <w:lang w:eastAsia="sl-SI"/>
        </w:rPr>
        <w:t xml:space="preserve">skega </w:t>
      </w:r>
      <w:r w:rsidRPr="00BB6E3B">
        <w:rPr>
          <w:color w:val="0D0D0D" w:themeColor="text1" w:themeTint="F2"/>
          <w:lang w:eastAsia="sl-SI"/>
        </w:rPr>
        <w:t>območja.</w:t>
      </w:r>
      <w:r w:rsidRPr="00BB6E3B">
        <w:rPr>
          <w:color w:val="0D0D0D" w:themeColor="text1" w:themeTint="F2"/>
          <w:sz w:val="20"/>
          <w:lang w:eastAsia="sl-SI"/>
        </w:rPr>
        <w:t xml:space="preserve"> </w:t>
      </w:r>
      <w:r w:rsidRPr="00BB6E3B">
        <w:rPr>
          <w:color w:val="0D0D0D" w:themeColor="text1" w:themeTint="F2"/>
          <w:lang w:eastAsia="sl-SI"/>
        </w:rPr>
        <w:t>Rast plač se bo v prihodnjih dveh letih okrepila (okrog 5</w:t>
      </w:r>
      <w:r w:rsidR="006C5BCC" w:rsidRPr="00BB6E3B">
        <w:rPr>
          <w:color w:val="0D0D0D" w:themeColor="text1" w:themeTint="F2"/>
          <w:lang w:eastAsia="sl-SI"/>
        </w:rPr>
        <w:t xml:space="preserve"> </w:t>
      </w:r>
      <w:r w:rsidRPr="00BB6E3B">
        <w:rPr>
          <w:color w:val="0D0D0D" w:themeColor="text1" w:themeTint="F2"/>
          <w:lang w:eastAsia="sl-SI"/>
        </w:rPr>
        <w:t>%), nanjo pa bodo poleg omejitev pri ponudbi dela vplivali tudi dogovori s sindikati javnega sektorja in zakonodajne spremembe. Posledično skupna nominalna rast plač ne bo več zaostajala za rastjo produktivnosti kot v obdobju po krizi.</w:t>
      </w:r>
    </w:p>
    <w:p w:rsidR="005D54DA" w:rsidRPr="00BB6E3B" w:rsidRDefault="005D54DA" w:rsidP="00847208">
      <w:pPr>
        <w:pStyle w:val="besedilo"/>
        <w:rPr>
          <w:color w:val="0D0D0D" w:themeColor="text1" w:themeTint="F2"/>
          <w:lang w:eastAsia="sl-SI"/>
        </w:rPr>
      </w:pPr>
    </w:p>
    <w:p w:rsidR="002D08AF" w:rsidRPr="00BB6E3B" w:rsidRDefault="002D08AF" w:rsidP="005D54DA">
      <w:pPr>
        <w:pStyle w:val="Caption"/>
        <w:keepNext/>
        <w:spacing w:before="0" w:after="0"/>
        <w:jc w:val="center"/>
        <w:rPr>
          <w:rFonts w:ascii="Arial" w:hAnsi="Arial" w:cs="Arial"/>
          <w:b/>
          <w:color w:val="0D0D0D" w:themeColor="text1" w:themeTint="F2"/>
          <w:szCs w:val="22"/>
          <w:lang w:val="sl-SI"/>
        </w:rPr>
      </w:pPr>
      <w:r w:rsidRPr="00BB6E3B">
        <w:rPr>
          <w:rFonts w:ascii="Arial" w:hAnsi="Arial" w:cs="Arial"/>
          <w:color w:val="0D0D0D" w:themeColor="text1" w:themeTint="F2"/>
          <w:szCs w:val="22"/>
          <w:lang w:val="sl-SI"/>
        </w:rPr>
        <w:t xml:space="preserve">Slika </w:t>
      </w:r>
      <w:r w:rsidRPr="00BB6E3B">
        <w:rPr>
          <w:rFonts w:ascii="Arial" w:hAnsi="Arial" w:cs="Arial"/>
          <w:b/>
          <w:color w:val="0D0D0D" w:themeColor="text1" w:themeTint="F2"/>
          <w:szCs w:val="22"/>
          <w:lang w:val="sl-SI"/>
        </w:rPr>
        <w:fldChar w:fldCharType="begin"/>
      </w:r>
      <w:r w:rsidRPr="00BB6E3B">
        <w:rPr>
          <w:rFonts w:ascii="Arial" w:hAnsi="Arial" w:cs="Arial"/>
          <w:color w:val="0D0D0D" w:themeColor="text1" w:themeTint="F2"/>
          <w:szCs w:val="22"/>
          <w:lang w:val="sl-SI"/>
        </w:rPr>
        <w:instrText xml:space="preserve"> SEQ Slika \* ARABIC </w:instrText>
      </w:r>
      <w:r w:rsidRPr="00BB6E3B">
        <w:rPr>
          <w:rFonts w:ascii="Arial" w:hAnsi="Arial" w:cs="Arial"/>
          <w:b/>
          <w:color w:val="0D0D0D" w:themeColor="text1" w:themeTint="F2"/>
          <w:szCs w:val="22"/>
          <w:lang w:val="sl-SI"/>
        </w:rPr>
        <w:fldChar w:fldCharType="separate"/>
      </w:r>
      <w:r w:rsidR="000D3F26">
        <w:rPr>
          <w:rFonts w:ascii="Arial" w:hAnsi="Arial" w:cs="Arial"/>
          <w:noProof/>
          <w:color w:val="0D0D0D" w:themeColor="text1" w:themeTint="F2"/>
          <w:szCs w:val="22"/>
          <w:lang w:val="sl-SI"/>
        </w:rPr>
        <w:t>12</w:t>
      </w:r>
      <w:r w:rsidRPr="00BB6E3B">
        <w:rPr>
          <w:rFonts w:ascii="Arial" w:hAnsi="Arial" w:cs="Arial"/>
          <w:b/>
          <w:color w:val="0D0D0D" w:themeColor="text1" w:themeTint="F2"/>
          <w:szCs w:val="22"/>
          <w:lang w:val="sl-SI"/>
        </w:rPr>
        <w:fldChar w:fldCharType="end"/>
      </w:r>
      <w:r w:rsidRPr="00BB6E3B">
        <w:rPr>
          <w:rFonts w:ascii="Arial" w:hAnsi="Arial" w:cs="Arial"/>
          <w:color w:val="0D0D0D" w:themeColor="text1" w:themeTint="F2"/>
          <w:szCs w:val="22"/>
          <w:lang w:val="sl-SI"/>
        </w:rPr>
        <w:t>: Nominalna rast produktivnosti, Slovenija in e</w:t>
      </w:r>
      <w:r w:rsidR="006C5BCC" w:rsidRPr="00BB6E3B">
        <w:rPr>
          <w:rFonts w:ascii="Arial" w:hAnsi="Arial" w:cs="Arial"/>
          <w:color w:val="0D0D0D" w:themeColor="text1" w:themeTint="F2"/>
          <w:szCs w:val="22"/>
          <w:lang w:val="sl-SI"/>
        </w:rPr>
        <w:t>v</w:t>
      </w:r>
      <w:r w:rsidRPr="00BB6E3B">
        <w:rPr>
          <w:rFonts w:ascii="Arial" w:hAnsi="Arial" w:cs="Arial"/>
          <w:color w:val="0D0D0D" w:themeColor="text1" w:themeTint="F2"/>
          <w:szCs w:val="22"/>
          <w:lang w:val="sl-SI"/>
        </w:rPr>
        <w:t>r</w:t>
      </w:r>
      <w:r w:rsidR="008A72A7" w:rsidRPr="00BB6E3B">
        <w:rPr>
          <w:rFonts w:ascii="Arial" w:hAnsi="Arial" w:cs="Arial"/>
          <w:color w:val="0D0D0D" w:themeColor="text1" w:themeTint="F2"/>
          <w:szCs w:val="22"/>
          <w:lang w:val="sl-SI"/>
        </w:rPr>
        <w:t xml:space="preserve">sko </w:t>
      </w:r>
      <w:r w:rsidRPr="00BB6E3B">
        <w:rPr>
          <w:rFonts w:ascii="Arial" w:hAnsi="Arial" w:cs="Arial"/>
          <w:color w:val="0D0D0D" w:themeColor="text1" w:themeTint="F2"/>
          <w:szCs w:val="22"/>
          <w:lang w:val="sl-SI"/>
        </w:rPr>
        <w:t>območje</w:t>
      </w:r>
    </w:p>
    <w:p w:rsidR="002D08AF" w:rsidRPr="00BB6E3B" w:rsidRDefault="002D08AF" w:rsidP="005D54DA">
      <w:pPr>
        <w:autoSpaceDE w:val="0"/>
        <w:autoSpaceDN w:val="0"/>
        <w:adjustRightInd w:val="0"/>
        <w:spacing w:after="0"/>
        <w:jc w:val="center"/>
        <w:rPr>
          <w:rFonts w:cs="Arial"/>
          <w:color w:val="0D0D0D" w:themeColor="text1" w:themeTint="F2"/>
        </w:rPr>
      </w:pPr>
      <w:r w:rsidRPr="00BB6E3B">
        <w:rPr>
          <w:rFonts w:cs="Arial"/>
          <w:noProof/>
          <w:color w:val="0D0D0D" w:themeColor="text1" w:themeTint="F2"/>
          <w:lang w:val="en-US"/>
        </w:rPr>
        <w:drawing>
          <wp:inline distT="0" distB="0" distL="0" distR="0" wp14:anchorId="535260E8" wp14:editId="1A5C852B">
            <wp:extent cx="3638550" cy="238125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D08AF" w:rsidRPr="00BB6E3B" w:rsidRDefault="002D08AF" w:rsidP="005D54DA">
      <w:pPr>
        <w:shd w:val="clear" w:color="auto" w:fill="FFFFFF"/>
        <w:spacing w:after="0" w:line="270" w:lineRule="atLeast"/>
        <w:jc w:val="center"/>
        <w:rPr>
          <w:rFonts w:eastAsia="Times New Roman" w:cs="Arial"/>
          <w:color w:val="0D0D0D" w:themeColor="text1" w:themeTint="F2"/>
          <w:spacing w:val="5"/>
          <w:sz w:val="20"/>
          <w:szCs w:val="20"/>
          <w:lang w:eastAsia="sl-SI"/>
        </w:rPr>
      </w:pPr>
      <w:r w:rsidRPr="00BB6E3B">
        <w:rPr>
          <w:rFonts w:eastAsia="Times New Roman" w:cs="Arial"/>
          <w:color w:val="0D0D0D" w:themeColor="text1" w:themeTint="F2"/>
          <w:spacing w:val="5"/>
          <w:sz w:val="20"/>
          <w:szCs w:val="20"/>
          <w:lang w:eastAsia="sl-SI"/>
        </w:rPr>
        <w:t>Vir: Umar, pomladanska napoved 2019, Ameco databas</w:t>
      </w:r>
      <w:r w:rsidR="00370218" w:rsidRPr="00BB6E3B">
        <w:rPr>
          <w:rFonts w:eastAsia="Times New Roman" w:cs="Arial"/>
          <w:color w:val="0D0D0D" w:themeColor="text1" w:themeTint="F2"/>
          <w:spacing w:val="5"/>
          <w:sz w:val="20"/>
          <w:szCs w:val="20"/>
          <w:lang w:eastAsia="sl-SI"/>
        </w:rPr>
        <w:t>e, Eurostat</w:t>
      </w:r>
    </w:p>
    <w:p w:rsidR="002D08AF" w:rsidRPr="00BB6E3B" w:rsidRDefault="002D08AF" w:rsidP="00C3436D">
      <w:pPr>
        <w:rPr>
          <w:rFonts w:cs="Arial"/>
          <w:color w:val="0D0D0D" w:themeColor="text1" w:themeTint="F2"/>
          <w:sz w:val="18"/>
          <w:szCs w:val="18"/>
        </w:rPr>
      </w:pPr>
    </w:p>
    <w:p w:rsidR="00545319" w:rsidRPr="00BB6E3B" w:rsidRDefault="00171C15" w:rsidP="00553FED">
      <w:pPr>
        <w:pStyle w:val="Heading2"/>
        <w:numPr>
          <w:ilvl w:val="1"/>
          <w:numId w:val="3"/>
        </w:numPr>
        <w:rPr>
          <w:color w:val="0D0D0D" w:themeColor="text1" w:themeTint="F2"/>
        </w:rPr>
      </w:pPr>
      <w:bookmarkStart w:id="5" w:name="_Toc6923646"/>
      <w:r w:rsidRPr="00BB6E3B">
        <w:rPr>
          <w:color w:val="0D0D0D" w:themeColor="text1" w:themeTint="F2"/>
        </w:rPr>
        <w:t>Položaj</w:t>
      </w:r>
      <w:r w:rsidR="00847991" w:rsidRPr="00BB6E3B">
        <w:rPr>
          <w:color w:val="0D0D0D" w:themeColor="text1" w:themeTint="F2"/>
        </w:rPr>
        <w:t xml:space="preserve"> v ciklu</w:t>
      </w:r>
      <w:bookmarkEnd w:id="5"/>
    </w:p>
    <w:p w:rsidR="00354A10" w:rsidRPr="00BB6E3B" w:rsidRDefault="00354A10" w:rsidP="003E51BF">
      <w:pPr>
        <w:autoSpaceDE w:val="0"/>
        <w:autoSpaceDN w:val="0"/>
        <w:adjustRightInd w:val="0"/>
        <w:spacing w:after="0"/>
        <w:rPr>
          <w:rFonts w:cs="Arial"/>
          <w:color w:val="0D0D0D" w:themeColor="text1" w:themeTint="F2"/>
          <w:sz w:val="23"/>
          <w:szCs w:val="23"/>
          <w:highlight w:val="green"/>
        </w:rPr>
      </w:pPr>
    </w:p>
    <w:p w:rsidR="00A3139A" w:rsidRDefault="002D08AF" w:rsidP="00847208">
      <w:pPr>
        <w:pStyle w:val="besedilo"/>
        <w:rPr>
          <w:color w:val="0D0D0D" w:themeColor="text1" w:themeTint="F2"/>
        </w:rPr>
      </w:pPr>
      <w:r w:rsidRPr="00BB6E3B">
        <w:rPr>
          <w:color w:val="0D0D0D" w:themeColor="text1" w:themeTint="F2"/>
        </w:rPr>
        <w:t>Ocena proizvodne vrzeli</w:t>
      </w:r>
      <w:r w:rsidRPr="00BB6E3B">
        <w:rPr>
          <w:rStyle w:val="FootnoteReference"/>
          <w:bCs w:val="0"/>
          <w:color w:val="0D0D0D" w:themeColor="text1" w:themeTint="F2"/>
        </w:rPr>
        <w:footnoteReference w:id="5"/>
      </w:r>
      <w:r w:rsidRPr="00BB6E3B">
        <w:rPr>
          <w:color w:val="0D0D0D" w:themeColor="text1" w:themeTint="F2"/>
        </w:rPr>
        <w:t xml:space="preserve"> se uporablja za določitev </w:t>
      </w:r>
      <w:r w:rsidR="00171C15" w:rsidRPr="00BB6E3B">
        <w:rPr>
          <w:color w:val="0D0D0D" w:themeColor="text1" w:themeTint="F2"/>
        </w:rPr>
        <w:t>položaja</w:t>
      </w:r>
      <w:r w:rsidRPr="00BB6E3B">
        <w:rPr>
          <w:color w:val="0D0D0D" w:themeColor="text1" w:themeTint="F2"/>
        </w:rPr>
        <w:t xml:space="preserve"> gospodarstva v gospodarskem ciklu in je osnova za vodenje fiskalne politike. Skupaj z deležem dolga sektorja država v % BDP in kazalnikom srednjeročne fiskalne vzdržnosti namreč določa velikost potrebnega </w:t>
      </w:r>
      <w:r w:rsidR="00171C15" w:rsidRPr="00BB6E3B">
        <w:rPr>
          <w:color w:val="0D0D0D" w:themeColor="text1" w:themeTint="F2"/>
        </w:rPr>
        <w:t>prilagajanja</w:t>
      </w:r>
      <w:r w:rsidRPr="00BB6E3B">
        <w:rPr>
          <w:color w:val="0D0D0D" w:themeColor="text1" w:themeTint="F2"/>
        </w:rPr>
        <w:t xml:space="preserve"> strukturnega </w:t>
      </w:r>
      <w:r w:rsidR="00171C15" w:rsidRPr="00BB6E3B">
        <w:rPr>
          <w:color w:val="0D0D0D" w:themeColor="text1" w:themeTint="F2"/>
        </w:rPr>
        <w:t>salda</w:t>
      </w:r>
      <w:r w:rsidRPr="00BB6E3B">
        <w:rPr>
          <w:color w:val="0D0D0D" w:themeColor="text1" w:themeTint="F2"/>
        </w:rPr>
        <w:t xml:space="preserve">. </w:t>
      </w:r>
      <w:r w:rsidR="00C46639" w:rsidRPr="00C46639">
        <w:rPr>
          <w:color w:val="0D0D0D" w:themeColor="text1" w:themeTint="F2"/>
        </w:rPr>
        <w:t>Kot navaja</w:t>
      </w:r>
      <w:r w:rsidR="00C46639">
        <w:rPr>
          <w:color w:val="0D0D0D" w:themeColor="text1" w:themeTint="F2"/>
        </w:rPr>
        <w:t xml:space="preserve"> že</w:t>
      </w:r>
      <w:r w:rsidR="00C46639" w:rsidRPr="00C46639">
        <w:rPr>
          <w:color w:val="0D0D0D" w:themeColor="text1" w:themeTint="F2"/>
        </w:rPr>
        <w:t> ECB (20</w:t>
      </w:r>
      <w:r w:rsidR="00C46639">
        <w:rPr>
          <w:color w:val="0D0D0D" w:themeColor="text1" w:themeTint="F2"/>
        </w:rPr>
        <w:t>0</w:t>
      </w:r>
      <w:r w:rsidR="00C46639" w:rsidRPr="00C46639">
        <w:rPr>
          <w:color w:val="0D0D0D" w:themeColor="text1" w:themeTint="F2"/>
        </w:rPr>
        <w:t>5)</w:t>
      </w:r>
      <w:r w:rsidR="00823FA9">
        <w:rPr>
          <w:rStyle w:val="FootnoteReference"/>
          <w:color w:val="0D0D0D" w:themeColor="text1" w:themeTint="F2"/>
        </w:rPr>
        <w:footnoteReference w:id="6"/>
      </w:r>
      <w:r w:rsidR="00C46639" w:rsidRPr="00C46639">
        <w:rPr>
          <w:color w:val="0D0D0D" w:themeColor="text1" w:themeTint="F2"/>
        </w:rPr>
        <w:t>, imajo ocene proizvodne vrzeli lahko pomembno vlogo pri modeliranju in napovedovanju (vse dokler se pri tem upošteva stopnja negotovosti), pri tem pa poudarja tudi, da ocenam proizvodne vrzeli ne bi smeli dajati prevelikega poudarka pri ekonomski in politični analizi. Nasprotno, namesto osredotočanja na en kazalnik, bi morala ocena položaja gospodarstva v realnem časa temeljiti na širokem nizu kazalnikov</w:t>
      </w:r>
      <w:r w:rsidR="00C46639">
        <w:rPr>
          <w:color w:val="0D0D0D" w:themeColor="text1" w:themeTint="F2"/>
        </w:rPr>
        <w:t>.</w:t>
      </w:r>
    </w:p>
    <w:p w:rsidR="00A3139A" w:rsidRDefault="00A3139A" w:rsidP="00847208">
      <w:pPr>
        <w:pStyle w:val="besedilo"/>
        <w:rPr>
          <w:color w:val="0D0D0D" w:themeColor="text1" w:themeTint="F2"/>
        </w:rPr>
      </w:pPr>
    </w:p>
    <w:p w:rsidR="002D08AF" w:rsidRDefault="003873E7" w:rsidP="00847208">
      <w:pPr>
        <w:pStyle w:val="besedilo"/>
        <w:rPr>
          <w:color w:val="0D0D0D" w:themeColor="text1" w:themeTint="F2"/>
        </w:rPr>
      </w:pPr>
      <w:r w:rsidRPr="003873E7">
        <w:rPr>
          <w:color w:val="0D0D0D" w:themeColor="text1" w:themeTint="F2"/>
        </w:rPr>
        <w:t>Ciklična pozicija slovenskega gospodarstva</w:t>
      </w:r>
      <w:r w:rsidR="002E49CB">
        <w:rPr>
          <w:color w:val="0D0D0D" w:themeColor="text1" w:themeTint="F2"/>
        </w:rPr>
        <w:t xml:space="preserve"> namreč</w:t>
      </w:r>
      <w:r w:rsidRPr="003873E7">
        <w:rPr>
          <w:color w:val="0D0D0D" w:themeColor="text1" w:themeTint="F2"/>
        </w:rPr>
        <w:t xml:space="preserve"> po oceni vlade ni tako ugodna</w:t>
      </w:r>
      <w:r w:rsidR="00EE1E5E">
        <w:rPr>
          <w:color w:val="0D0D0D" w:themeColor="text1" w:themeTint="F2"/>
        </w:rPr>
        <w:t>, kot kaže ocenjena vrednost proizvodne vrzeli.</w:t>
      </w:r>
      <w:r w:rsidR="002E49CB">
        <w:rPr>
          <w:color w:val="0D0D0D" w:themeColor="text1" w:themeTint="F2"/>
        </w:rPr>
        <w:t xml:space="preserve"> </w:t>
      </w:r>
      <w:r w:rsidR="00BD5DE6">
        <w:rPr>
          <w:color w:val="0D0D0D" w:themeColor="text1" w:themeTint="F2"/>
        </w:rPr>
        <w:t>I</w:t>
      </w:r>
      <w:r w:rsidRPr="003873E7">
        <w:rPr>
          <w:color w:val="0D0D0D" w:themeColor="text1" w:themeTint="F2"/>
        </w:rPr>
        <w:t xml:space="preserve">mamo </w:t>
      </w:r>
      <w:r>
        <w:rPr>
          <w:color w:val="0D0D0D" w:themeColor="text1" w:themeTint="F2"/>
        </w:rPr>
        <w:t xml:space="preserve">sicer </w:t>
      </w:r>
      <w:r w:rsidRPr="003873E7">
        <w:rPr>
          <w:color w:val="0D0D0D" w:themeColor="text1" w:themeTint="F2"/>
        </w:rPr>
        <w:t xml:space="preserve">presežek </w:t>
      </w:r>
      <w:r w:rsidR="00BD5DE6">
        <w:rPr>
          <w:color w:val="0D0D0D" w:themeColor="text1" w:themeTint="F2"/>
        </w:rPr>
        <w:t>v tekočem delu plačilne bilance</w:t>
      </w:r>
      <w:r w:rsidR="002E49CB">
        <w:rPr>
          <w:color w:val="0D0D0D" w:themeColor="text1" w:themeTint="F2"/>
        </w:rPr>
        <w:t xml:space="preserve"> ter</w:t>
      </w:r>
      <w:r w:rsidR="00BD5DE6">
        <w:rPr>
          <w:color w:val="0D0D0D" w:themeColor="text1" w:themeTint="F2"/>
        </w:rPr>
        <w:t xml:space="preserve"> </w:t>
      </w:r>
      <w:r w:rsidR="008054DF">
        <w:rPr>
          <w:color w:val="0D0D0D" w:themeColor="text1" w:themeTint="F2"/>
        </w:rPr>
        <w:t xml:space="preserve">nizko </w:t>
      </w:r>
      <w:r w:rsidRPr="003873E7">
        <w:rPr>
          <w:color w:val="0D0D0D" w:themeColor="text1" w:themeTint="F2"/>
        </w:rPr>
        <w:t>brezposelnost</w:t>
      </w:r>
      <w:r w:rsidR="00A3139A">
        <w:rPr>
          <w:color w:val="0D0D0D" w:themeColor="text1" w:themeTint="F2"/>
        </w:rPr>
        <w:t>,</w:t>
      </w:r>
      <w:r w:rsidRPr="003873E7">
        <w:rPr>
          <w:color w:val="0D0D0D" w:themeColor="text1" w:themeTint="F2"/>
        </w:rPr>
        <w:t xml:space="preserve"> </w:t>
      </w:r>
      <w:r w:rsidR="00A3139A">
        <w:rPr>
          <w:color w:val="0D0D0D" w:themeColor="text1" w:themeTint="F2"/>
        </w:rPr>
        <w:t>k</w:t>
      </w:r>
      <w:r w:rsidR="00BD5DE6">
        <w:rPr>
          <w:color w:val="0D0D0D" w:themeColor="text1" w:themeTint="F2"/>
        </w:rPr>
        <w:t xml:space="preserve">ljub temu </w:t>
      </w:r>
      <w:r w:rsidR="002E49CB">
        <w:rPr>
          <w:color w:val="0D0D0D" w:themeColor="text1" w:themeTint="F2"/>
        </w:rPr>
        <w:t xml:space="preserve">pa </w:t>
      </w:r>
      <w:r w:rsidR="00BD5DE6">
        <w:rPr>
          <w:color w:val="0D0D0D" w:themeColor="text1" w:themeTint="F2"/>
        </w:rPr>
        <w:t>s</w:t>
      </w:r>
      <w:r w:rsidRPr="003873E7">
        <w:rPr>
          <w:color w:val="0D0D0D" w:themeColor="text1" w:themeTint="F2"/>
        </w:rPr>
        <w:t>topnja investici</w:t>
      </w:r>
      <w:r w:rsidR="00BD5DE6">
        <w:rPr>
          <w:color w:val="0D0D0D" w:themeColor="text1" w:themeTint="F2"/>
        </w:rPr>
        <w:t xml:space="preserve">j, industrijska proizvodnja, </w:t>
      </w:r>
      <w:r w:rsidRPr="003873E7">
        <w:rPr>
          <w:color w:val="0D0D0D" w:themeColor="text1" w:themeTint="F2"/>
        </w:rPr>
        <w:t>pa tudi stopnj</w:t>
      </w:r>
      <w:r w:rsidR="00A3139A">
        <w:rPr>
          <w:color w:val="0D0D0D" w:themeColor="text1" w:themeTint="F2"/>
        </w:rPr>
        <w:t>a</w:t>
      </w:r>
      <w:r w:rsidRPr="003873E7">
        <w:rPr>
          <w:color w:val="0D0D0D" w:themeColor="text1" w:themeTint="F2"/>
        </w:rPr>
        <w:t xml:space="preserve"> rasti</w:t>
      </w:r>
      <w:r w:rsidR="00BD5DE6">
        <w:rPr>
          <w:color w:val="0D0D0D" w:themeColor="text1" w:themeTint="F2"/>
        </w:rPr>
        <w:t xml:space="preserve"> BDP </w:t>
      </w:r>
      <w:r w:rsidR="002E49CB">
        <w:rPr>
          <w:color w:val="0D0D0D" w:themeColor="text1" w:themeTint="F2"/>
        </w:rPr>
        <w:t>ni</w:t>
      </w:r>
      <w:r w:rsidR="00BD5DE6">
        <w:rPr>
          <w:color w:val="0D0D0D" w:themeColor="text1" w:themeTint="F2"/>
        </w:rPr>
        <w:t xml:space="preserve"> </w:t>
      </w:r>
      <w:r w:rsidR="008054DF">
        <w:rPr>
          <w:color w:val="0D0D0D" w:themeColor="text1" w:themeTint="F2"/>
        </w:rPr>
        <w:t xml:space="preserve">še </w:t>
      </w:r>
      <w:r w:rsidR="00BD5DE6">
        <w:rPr>
          <w:color w:val="0D0D0D" w:themeColor="text1" w:themeTint="F2"/>
        </w:rPr>
        <w:t xml:space="preserve">na ravneh izpred krize. </w:t>
      </w:r>
      <w:r w:rsidR="002D08AF" w:rsidRPr="00A3139A">
        <w:rPr>
          <w:color w:val="0D0D0D" w:themeColor="text1" w:themeTint="F2"/>
        </w:rPr>
        <w:t>Vendar pri izračunu proizvodne vrzeli obstajajo večje negotovosti, posledično je negotova tudi ocena, kje v gospodarskem ciklu se nahaja posamezna država, kar ugotavlja</w:t>
      </w:r>
      <w:r w:rsidR="00171C15" w:rsidRPr="00A3139A">
        <w:rPr>
          <w:color w:val="0D0D0D" w:themeColor="text1" w:themeTint="F2"/>
        </w:rPr>
        <w:t>ta</w:t>
      </w:r>
      <w:r w:rsidR="002D08AF" w:rsidRPr="00A3139A">
        <w:rPr>
          <w:color w:val="0D0D0D" w:themeColor="text1" w:themeTint="F2"/>
        </w:rPr>
        <w:t xml:space="preserve"> tudi Evropska komisija</w:t>
      </w:r>
      <w:r w:rsidR="002D08AF" w:rsidRPr="00A3139A">
        <w:rPr>
          <w:rStyle w:val="FootnoteReference"/>
          <w:bCs w:val="0"/>
          <w:color w:val="0D0D0D" w:themeColor="text1" w:themeTint="F2"/>
        </w:rPr>
        <w:footnoteReference w:id="7"/>
      </w:r>
      <w:r w:rsidR="002D08AF" w:rsidRPr="00A3139A">
        <w:rPr>
          <w:color w:val="0D0D0D" w:themeColor="text1" w:themeTint="F2"/>
        </w:rPr>
        <w:t xml:space="preserve"> in Evropska centralna banka</w:t>
      </w:r>
      <w:r w:rsidR="008A72A7" w:rsidRPr="00A3139A">
        <w:rPr>
          <w:color w:val="0D0D0D" w:themeColor="text1" w:themeTint="F2"/>
        </w:rPr>
        <w:t>.</w:t>
      </w:r>
      <w:r w:rsidR="002D08AF" w:rsidRPr="00A3139A">
        <w:rPr>
          <w:rStyle w:val="FootnoteReference"/>
          <w:bCs w:val="0"/>
          <w:color w:val="0D0D0D" w:themeColor="text1" w:themeTint="F2"/>
        </w:rPr>
        <w:footnoteReference w:id="8"/>
      </w:r>
      <w:r w:rsidR="002D08AF" w:rsidRPr="00A3139A">
        <w:rPr>
          <w:color w:val="0D0D0D" w:themeColor="text1" w:themeTint="F2"/>
        </w:rPr>
        <w:t xml:space="preserve"> Razlike v izračunih bistveno vplivajo na zahtevan fiskalni napor. Pri postavljanju numeričnih ciljev je pomembno upoštevanje variabilnost</w:t>
      </w:r>
      <w:r w:rsidR="00B41BD5" w:rsidRPr="00A3139A">
        <w:rPr>
          <w:color w:val="0D0D0D" w:themeColor="text1" w:themeTint="F2"/>
        </w:rPr>
        <w:t>i</w:t>
      </w:r>
      <w:r w:rsidR="002D08AF" w:rsidRPr="00A3139A">
        <w:rPr>
          <w:color w:val="0D0D0D" w:themeColor="text1" w:themeTint="F2"/>
        </w:rPr>
        <w:t xml:space="preserve"> med ocenjenimi in dejanskimi</w:t>
      </w:r>
      <w:r w:rsidR="00171C15" w:rsidRPr="00A3139A">
        <w:rPr>
          <w:color w:val="0D0D0D" w:themeColor="text1" w:themeTint="F2"/>
        </w:rPr>
        <w:t xml:space="preserve"> vrednostmi</w:t>
      </w:r>
      <w:r w:rsidR="002D08AF" w:rsidRPr="00A3139A">
        <w:rPr>
          <w:color w:val="0D0D0D" w:themeColor="text1" w:themeTint="F2"/>
        </w:rPr>
        <w:t xml:space="preserve">. </w:t>
      </w:r>
      <w:r w:rsidR="002D08AF" w:rsidRPr="00A3139A">
        <w:rPr>
          <w:color w:val="0D0D0D" w:themeColor="text1" w:themeTint="F2"/>
        </w:rPr>
        <w:lastRenderedPageBreak/>
        <w:t>Predhodne ocene proizvodne vrzeli in ocene, ki temeljijo na dejanskih podatkih, se bistveno razlikujejo.</w:t>
      </w:r>
    </w:p>
    <w:p w:rsidR="00823FA9" w:rsidRPr="00A3139A" w:rsidRDefault="00823FA9" w:rsidP="00847208">
      <w:pPr>
        <w:pStyle w:val="besedilo"/>
        <w:rPr>
          <w:color w:val="0D0D0D" w:themeColor="text1" w:themeTint="F2"/>
        </w:rPr>
      </w:pPr>
    </w:p>
    <w:p w:rsidR="002D08AF" w:rsidRPr="00BB6E3B" w:rsidRDefault="002D08AF" w:rsidP="00847208">
      <w:pPr>
        <w:pStyle w:val="besedilo"/>
        <w:rPr>
          <w:color w:val="0D0D0D" w:themeColor="text1" w:themeTint="F2"/>
        </w:rPr>
      </w:pPr>
      <w:r w:rsidRPr="00BB6E3B">
        <w:rPr>
          <w:color w:val="0D0D0D" w:themeColor="text1" w:themeTint="F2"/>
        </w:rPr>
        <w:t xml:space="preserve">K negotovosti ocene proizvodne vrzeli poleg metode izračuna v določeni meri vplivajo tudi </w:t>
      </w:r>
      <w:r w:rsidR="005C36C0" w:rsidRPr="00BB6E3B">
        <w:rPr>
          <w:color w:val="0D0D0D" w:themeColor="text1" w:themeTint="F2"/>
        </w:rPr>
        <w:t xml:space="preserve">(1) </w:t>
      </w:r>
      <w:r w:rsidRPr="00BB6E3B">
        <w:rPr>
          <w:color w:val="0D0D0D" w:themeColor="text1" w:themeTint="F2"/>
        </w:rPr>
        <w:t>način izračuna potencialnega proizvoda</w:t>
      </w:r>
      <w:r w:rsidR="005C36C0" w:rsidRPr="00BB6E3B">
        <w:rPr>
          <w:color w:val="0D0D0D" w:themeColor="text1" w:themeTint="F2"/>
        </w:rPr>
        <w:t xml:space="preserve">, (2) </w:t>
      </w:r>
      <w:r w:rsidRPr="00BB6E3B">
        <w:rPr>
          <w:color w:val="0D0D0D" w:themeColor="text1" w:themeTint="F2"/>
        </w:rPr>
        <w:t xml:space="preserve">spremembe ocenjene pretekle rasti </w:t>
      </w:r>
      <w:r w:rsidR="005C36C0" w:rsidRPr="00BB6E3B">
        <w:rPr>
          <w:color w:val="0D0D0D" w:themeColor="text1" w:themeTint="F2"/>
        </w:rPr>
        <w:t>in (3)</w:t>
      </w:r>
      <w:r w:rsidRPr="00BB6E3B">
        <w:rPr>
          <w:color w:val="0D0D0D" w:themeColor="text1" w:themeTint="F2"/>
        </w:rPr>
        <w:t xml:space="preserve"> napovedi BDP ter </w:t>
      </w:r>
      <w:r w:rsidR="008A72A7" w:rsidRPr="00BB6E3B">
        <w:rPr>
          <w:color w:val="0D0D0D" w:themeColor="text1" w:themeTint="F2"/>
        </w:rPr>
        <w:t xml:space="preserve">drugih </w:t>
      </w:r>
      <w:r w:rsidRPr="00BB6E3B">
        <w:rPr>
          <w:color w:val="0D0D0D" w:themeColor="text1" w:themeTint="F2"/>
        </w:rPr>
        <w:t xml:space="preserve">makroekonomskih podatkov in kazalnikov, ki se uporabljajo za ocene proizvodne vrzeli v obdobju napovedi gospodarskih gibanj. Zato obstajajo večje razlike v ocenah proizvodne vrzeli, ki jih pripravljajo različne institucije, poleg tega pa se zadnje ocene posamezne institucije pogosto precej razlikujejo od njenih preteklih ocen. </w:t>
      </w:r>
    </w:p>
    <w:p w:rsidR="002D08AF" w:rsidRPr="00BB6E3B" w:rsidRDefault="002D08AF" w:rsidP="002D08AF">
      <w:pPr>
        <w:pStyle w:val="Default"/>
        <w:jc w:val="both"/>
        <w:rPr>
          <w:rFonts w:ascii="Arial" w:hAnsi="Arial" w:cs="Arial"/>
          <w:bCs/>
          <w:color w:val="0D0D0D" w:themeColor="text1" w:themeTint="F2"/>
          <w:sz w:val="22"/>
          <w:szCs w:val="22"/>
        </w:rPr>
      </w:pPr>
    </w:p>
    <w:p w:rsidR="002D08AF" w:rsidRPr="00BB6E3B" w:rsidRDefault="002D08AF" w:rsidP="00710D16">
      <w:pPr>
        <w:spacing w:after="0"/>
        <w:jc w:val="center"/>
        <w:rPr>
          <w:rFonts w:cs="Arial"/>
          <w:color w:val="0D0D0D" w:themeColor="text1" w:themeTint="F2"/>
        </w:rPr>
      </w:pPr>
      <w:r w:rsidRPr="00BB6E3B">
        <w:rPr>
          <w:rFonts w:cs="Arial"/>
          <w:color w:val="0D0D0D" w:themeColor="text1" w:themeTint="F2"/>
        </w:rPr>
        <w:t xml:space="preserve">Tabela </w:t>
      </w:r>
      <w:r w:rsidR="00710D16" w:rsidRPr="00BB6E3B">
        <w:rPr>
          <w:rFonts w:cs="Arial"/>
          <w:color w:val="0D0D0D" w:themeColor="text1" w:themeTint="F2"/>
        </w:rPr>
        <w:t>2</w:t>
      </w:r>
      <w:r w:rsidRPr="00BB6E3B">
        <w:rPr>
          <w:rFonts w:cs="Arial"/>
          <w:color w:val="0D0D0D" w:themeColor="text1" w:themeTint="F2"/>
        </w:rPr>
        <w:t>: Zadnje razpoložljive ocene</w:t>
      </w:r>
      <w:r w:rsidRPr="00BB6E3B">
        <w:rPr>
          <w:rFonts w:cs="Arial"/>
          <w:color w:val="0D0D0D" w:themeColor="text1" w:themeTint="F2"/>
          <w:vertAlign w:val="superscript"/>
        </w:rPr>
        <w:footnoteReference w:id="9"/>
      </w:r>
      <w:r w:rsidRPr="00BB6E3B">
        <w:rPr>
          <w:rFonts w:cs="Arial"/>
          <w:color w:val="0D0D0D" w:themeColor="text1" w:themeTint="F2"/>
        </w:rPr>
        <w:t xml:space="preserve"> proizvodne vrzeli Slovenije</w:t>
      </w:r>
    </w:p>
    <w:p w:rsidR="002D08AF" w:rsidRPr="00BB6E3B" w:rsidRDefault="002D08AF" w:rsidP="00710D16">
      <w:pPr>
        <w:spacing w:after="0"/>
        <w:jc w:val="center"/>
        <w:rPr>
          <w:rFonts w:cs="Arial"/>
          <w:i/>
          <w:color w:val="0D0D0D" w:themeColor="text1" w:themeTint="F2"/>
        </w:rPr>
      </w:pPr>
    </w:p>
    <w:tbl>
      <w:tblPr>
        <w:tblStyle w:val="LightShading-Accent1"/>
        <w:tblW w:w="8540" w:type="dxa"/>
        <w:jc w:val="center"/>
        <w:tblLook w:val="04A0" w:firstRow="1" w:lastRow="0" w:firstColumn="1" w:lastColumn="0" w:noHBand="0" w:noVBand="1"/>
      </w:tblPr>
      <w:tblGrid>
        <w:gridCol w:w="1313"/>
        <w:gridCol w:w="1415"/>
        <w:gridCol w:w="1276"/>
        <w:gridCol w:w="1418"/>
        <w:gridCol w:w="1616"/>
        <w:gridCol w:w="1502"/>
      </w:tblGrid>
      <w:tr w:rsidR="002D08AF" w:rsidRPr="00BB6E3B" w:rsidTr="002D08AF">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BB6E3B" w:rsidRDefault="002D08AF" w:rsidP="002D08AF">
            <w:pPr>
              <w:jc w:val="center"/>
              <w:rPr>
                <w:rFonts w:cs="Arial"/>
                <w:b w:val="0"/>
                <w:i/>
                <w:color w:val="0D0D0D" w:themeColor="text1" w:themeTint="F2"/>
                <w:sz w:val="20"/>
                <w:szCs w:val="20"/>
              </w:rPr>
            </w:pPr>
          </w:p>
        </w:tc>
        <w:tc>
          <w:tcPr>
            <w:tcW w:w="1415" w:type="dxa"/>
            <w:hideMark/>
          </w:tcPr>
          <w:p w:rsidR="002D08AF" w:rsidRPr="00BB6E3B" w:rsidRDefault="002D08AF" w:rsidP="00730279">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BB6E3B">
              <w:rPr>
                <w:rFonts w:cs="Arial"/>
                <w:b w:val="0"/>
                <w:color w:val="0D0D0D" w:themeColor="text1" w:themeTint="F2"/>
                <w:sz w:val="20"/>
                <w:szCs w:val="20"/>
              </w:rPr>
              <w:t>MF              (</w:t>
            </w:r>
            <w:r w:rsidR="00730279" w:rsidRPr="00BB6E3B">
              <w:rPr>
                <w:rFonts w:cs="Arial"/>
                <w:b w:val="0"/>
                <w:color w:val="0D0D0D" w:themeColor="text1" w:themeTint="F2"/>
                <w:sz w:val="20"/>
                <w:szCs w:val="20"/>
              </w:rPr>
              <w:t xml:space="preserve">PN </w:t>
            </w:r>
            <w:r w:rsidRPr="00BB6E3B">
              <w:rPr>
                <w:rFonts w:cs="Arial"/>
                <w:b w:val="0"/>
                <w:color w:val="0D0D0D" w:themeColor="text1" w:themeTint="F2"/>
                <w:sz w:val="20"/>
                <w:szCs w:val="20"/>
              </w:rPr>
              <w:t>2019)</w:t>
            </w:r>
          </w:p>
        </w:tc>
        <w:tc>
          <w:tcPr>
            <w:tcW w:w="1276" w:type="dxa"/>
            <w:hideMark/>
          </w:tcPr>
          <w:p w:rsidR="002D08AF" w:rsidRPr="00BB6E3B" w:rsidRDefault="002D08AF" w:rsidP="00730279">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BB6E3B">
              <w:rPr>
                <w:rFonts w:cs="Arial"/>
                <w:b w:val="0"/>
                <w:color w:val="0D0D0D" w:themeColor="text1" w:themeTint="F2"/>
                <w:sz w:val="20"/>
                <w:szCs w:val="20"/>
              </w:rPr>
              <w:t>UMAR       (</w:t>
            </w:r>
            <w:r w:rsidR="00730279" w:rsidRPr="00BB6E3B">
              <w:rPr>
                <w:rFonts w:cs="Arial"/>
                <w:b w:val="0"/>
                <w:color w:val="0D0D0D" w:themeColor="text1" w:themeTint="F2"/>
                <w:sz w:val="20"/>
                <w:szCs w:val="20"/>
              </w:rPr>
              <w:t xml:space="preserve">PN </w:t>
            </w:r>
            <w:r w:rsidRPr="00BB6E3B">
              <w:rPr>
                <w:rFonts w:cs="Arial"/>
                <w:b w:val="0"/>
                <w:color w:val="0D0D0D" w:themeColor="text1" w:themeTint="F2"/>
                <w:sz w:val="20"/>
                <w:szCs w:val="20"/>
              </w:rPr>
              <w:t>2019)</w:t>
            </w:r>
          </w:p>
        </w:tc>
        <w:tc>
          <w:tcPr>
            <w:tcW w:w="1418" w:type="dxa"/>
            <w:hideMark/>
          </w:tcPr>
          <w:p w:rsidR="002D08AF" w:rsidRPr="00BB6E3B"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BB6E3B">
              <w:rPr>
                <w:rFonts w:cs="Arial"/>
                <w:b w:val="0"/>
                <w:color w:val="0D0D0D" w:themeColor="text1" w:themeTint="F2"/>
                <w:sz w:val="20"/>
                <w:szCs w:val="20"/>
              </w:rPr>
              <w:t>EK               (JN 2018)</w:t>
            </w:r>
          </w:p>
        </w:tc>
        <w:tc>
          <w:tcPr>
            <w:tcW w:w="1616" w:type="dxa"/>
            <w:hideMark/>
          </w:tcPr>
          <w:p w:rsidR="002D08AF" w:rsidRPr="00BB6E3B"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BB6E3B">
              <w:rPr>
                <w:rFonts w:cs="Arial"/>
                <w:b w:val="0"/>
                <w:color w:val="0D0D0D" w:themeColor="text1" w:themeTint="F2"/>
                <w:sz w:val="20"/>
                <w:szCs w:val="20"/>
              </w:rPr>
              <w:t>OECD (november 2018)</w:t>
            </w:r>
          </w:p>
        </w:tc>
        <w:tc>
          <w:tcPr>
            <w:tcW w:w="1502" w:type="dxa"/>
            <w:hideMark/>
          </w:tcPr>
          <w:p w:rsidR="002D08AF" w:rsidRPr="00BB6E3B"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BB6E3B">
              <w:rPr>
                <w:rFonts w:cs="Arial"/>
                <w:b w:val="0"/>
                <w:color w:val="0D0D0D" w:themeColor="text1" w:themeTint="F2"/>
                <w:sz w:val="20"/>
                <w:szCs w:val="20"/>
              </w:rPr>
              <w:t>IMF     (februar 2019)</w:t>
            </w:r>
          </w:p>
        </w:tc>
      </w:tr>
      <w:tr w:rsidR="002D08AF" w:rsidRPr="00BB6E3B" w:rsidTr="002D08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BB6E3B" w:rsidRDefault="002D08AF" w:rsidP="00710D16">
            <w:pPr>
              <w:jc w:val="center"/>
              <w:rPr>
                <w:rFonts w:cs="Arial"/>
                <w:b w:val="0"/>
                <w:color w:val="0D0D0D" w:themeColor="text1" w:themeTint="F2"/>
                <w:sz w:val="20"/>
                <w:szCs w:val="20"/>
              </w:rPr>
            </w:pPr>
            <w:r w:rsidRPr="00BB6E3B">
              <w:rPr>
                <w:rFonts w:cs="Arial"/>
                <w:b w:val="0"/>
                <w:color w:val="0D0D0D" w:themeColor="text1" w:themeTint="F2"/>
                <w:sz w:val="20"/>
                <w:szCs w:val="20"/>
              </w:rPr>
              <w:t>2017</w:t>
            </w:r>
          </w:p>
        </w:tc>
        <w:tc>
          <w:tcPr>
            <w:tcW w:w="1415" w:type="dxa"/>
            <w:noWrap/>
            <w:hideMark/>
          </w:tcPr>
          <w:p w:rsidR="002D08AF" w:rsidRPr="00BB6E3B" w:rsidRDefault="001C284E"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2D08AF" w:rsidRPr="00BB6E3B">
              <w:rPr>
                <w:rFonts w:cs="Arial"/>
                <w:color w:val="0D0D0D" w:themeColor="text1" w:themeTint="F2"/>
                <w:sz w:val="20"/>
                <w:szCs w:val="20"/>
              </w:rPr>
              <w:t>0,1</w:t>
            </w:r>
          </w:p>
        </w:tc>
        <w:tc>
          <w:tcPr>
            <w:tcW w:w="1276"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0,0</w:t>
            </w:r>
          </w:p>
        </w:tc>
        <w:tc>
          <w:tcPr>
            <w:tcW w:w="1418"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1,1</w:t>
            </w:r>
          </w:p>
        </w:tc>
        <w:tc>
          <w:tcPr>
            <w:tcW w:w="1616" w:type="dxa"/>
            <w:noWrap/>
            <w:hideMark/>
          </w:tcPr>
          <w:p w:rsidR="002D08AF" w:rsidRPr="00BB6E3B" w:rsidRDefault="001C284E"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2D08AF" w:rsidRPr="00BB6E3B">
              <w:rPr>
                <w:rFonts w:cs="Arial"/>
                <w:color w:val="0D0D0D" w:themeColor="text1" w:themeTint="F2"/>
                <w:sz w:val="20"/>
                <w:szCs w:val="20"/>
              </w:rPr>
              <w:t>1,3</w:t>
            </w:r>
          </w:p>
        </w:tc>
        <w:tc>
          <w:tcPr>
            <w:tcW w:w="1502" w:type="dxa"/>
            <w:noWrap/>
            <w:hideMark/>
          </w:tcPr>
          <w:p w:rsidR="002D08AF" w:rsidRPr="00BB6E3B" w:rsidRDefault="001C284E"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w:t>
            </w:r>
            <w:r w:rsidR="002D08AF" w:rsidRPr="00BB6E3B">
              <w:rPr>
                <w:rFonts w:cs="Arial"/>
                <w:color w:val="0D0D0D" w:themeColor="text1" w:themeTint="F2"/>
                <w:sz w:val="20"/>
                <w:szCs w:val="20"/>
              </w:rPr>
              <w:t>0,5</w:t>
            </w:r>
          </w:p>
        </w:tc>
      </w:tr>
      <w:tr w:rsidR="002D08AF" w:rsidRPr="00BB6E3B" w:rsidTr="002D08AF">
        <w:trPr>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BB6E3B" w:rsidRDefault="002D08AF" w:rsidP="00710D16">
            <w:pPr>
              <w:jc w:val="center"/>
              <w:rPr>
                <w:rFonts w:cs="Arial"/>
                <w:b w:val="0"/>
                <w:color w:val="0D0D0D" w:themeColor="text1" w:themeTint="F2"/>
                <w:sz w:val="20"/>
                <w:szCs w:val="20"/>
              </w:rPr>
            </w:pPr>
            <w:r w:rsidRPr="00BB6E3B">
              <w:rPr>
                <w:rFonts w:cs="Arial"/>
                <w:b w:val="0"/>
                <w:color w:val="0D0D0D" w:themeColor="text1" w:themeTint="F2"/>
                <w:sz w:val="20"/>
                <w:szCs w:val="20"/>
              </w:rPr>
              <w:t>2018</w:t>
            </w:r>
          </w:p>
        </w:tc>
        <w:tc>
          <w:tcPr>
            <w:tcW w:w="1415"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1,7</w:t>
            </w:r>
          </w:p>
        </w:tc>
        <w:tc>
          <w:tcPr>
            <w:tcW w:w="1276"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2,1</w:t>
            </w:r>
          </w:p>
        </w:tc>
        <w:tc>
          <w:tcPr>
            <w:tcW w:w="1418"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2,7</w:t>
            </w:r>
          </w:p>
        </w:tc>
        <w:tc>
          <w:tcPr>
            <w:tcW w:w="1616"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0,9</w:t>
            </w:r>
          </w:p>
        </w:tc>
        <w:tc>
          <w:tcPr>
            <w:tcW w:w="1502"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1,2</w:t>
            </w:r>
          </w:p>
        </w:tc>
      </w:tr>
      <w:tr w:rsidR="002D08AF" w:rsidRPr="00BB6E3B" w:rsidTr="002D08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BB6E3B" w:rsidRDefault="002D08AF" w:rsidP="00710D16">
            <w:pPr>
              <w:jc w:val="center"/>
              <w:rPr>
                <w:rFonts w:cs="Arial"/>
                <w:b w:val="0"/>
                <w:color w:val="0D0D0D" w:themeColor="text1" w:themeTint="F2"/>
                <w:sz w:val="20"/>
                <w:szCs w:val="20"/>
              </w:rPr>
            </w:pPr>
            <w:r w:rsidRPr="00BB6E3B">
              <w:rPr>
                <w:rFonts w:cs="Arial"/>
                <w:b w:val="0"/>
                <w:color w:val="0D0D0D" w:themeColor="text1" w:themeTint="F2"/>
                <w:sz w:val="20"/>
                <w:szCs w:val="20"/>
              </w:rPr>
              <w:t>2019</w:t>
            </w:r>
          </w:p>
        </w:tc>
        <w:tc>
          <w:tcPr>
            <w:tcW w:w="1415"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2,4</w:t>
            </w:r>
          </w:p>
        </w:tc>
        <w:tc>
          <w:tcPr>
            <w:tcW w:w="1276"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2,9</w:t>
            </w:r>
          </w:p>
        </w:tc>
        <w:tc>
          <w:tcPr>
            <w:tcW w:w="1418"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3,0</w:t>
            </w:r>
          </w:p>
        </w:tc>
        <w:tc>
          <w:tcPr>
            <w:tcW w:w="1616"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2,2</w:t>
            </w:r>
          </w:p>
        </w:tc>
        <w:tc>
          <w:tcPr>
            <w:tcW w:w="1502" w:type="dxa"/>
            <w:noWrap/>
            <w:hideMark/>
          </w:tcPr>
          <w:p w:rsidR="002D08AF" w:rsidRPr="00BB6E3B"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1,8</w:t>
            </w:r>
          </w:p>
        </w:tc>
      </w:tr>
      <w:tr w:rsidR="002D08AF" w:rsidRPr="00BB6E3B" w:rsidTr="002D08AF">
        <w:trPr>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BB6E3B" w:rsidRDefault="002D08AF" w:rsidP="00710D16">
            <w:pPr>
              <w:jc w:val="center"/>
              <w:rPr>
                <w:rFonts w:cs="Arial"/>
                <w:b w:val="0"/>
                <w:color w:val="0D0D0D" w:themeColor="text1" w:themeTint="F2"/>
                <w:sz w:val="20"/>
                <w:szCs w:val="20"/>
              </w:rPr>
            </w:pPr>
            <w:r w:rsidRPr="00BB6E3B">
              <w:rPr>
                <w:rFonts w:cs="Arial"/>
                <w:b w:val="0"/>
                <w:color w:val="0D0D0D" w:themeColor="text1" w:themeTint="F2"/>
                <w:sz w:val="20"/>
                <w:szCs w:val="20"/>
              </w:rPr>
              <w:t>2020</w:t>
            </w:r>
          </w:p>
        </w:tc>
        <w:tc>
          <w:tcPr>
            <w:tcW w:w="1415"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2,6</w:t>
            </w:r>
          </w:p>
        </w:tc>
        <w:tc>
          <w:tcPr>
            <w:tcW w:w="1276"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3,1</w:t>
            </w:r>
          </w:p>
        </w:tc>
        <w:tc>
          <w:tcPr>
            <w:tcW w:w="1418"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2,5</w:t>
            </w:r>
          </w:p>
        </w:tc>
        <w:tc>
          <w:tcPr>
            <w:tcW w:w="1616"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2,4</w:t>
            </w:r>
          </w:p>
        </w:tc>
        <w:tc>
          <w:tcPr>
            <w:tcW w:w="1502" w:type="dxa"/>
            <w:noWrap/>
            <w:hideMark/>
          </w:tcPr>
          <w:p w:rsidR="002D08AF" w:rsidRPr="00BB6E3B"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BB6E3B">
              <w:rPr>
                <w:rFonts w:cs="Arial"/>
                <w:color w:val="0D0D0D" w:themeColor="text1" w:themeTint="F2"/>
                <w:sz w:val="20"/>
                <w:szCs w:val="20"/>
              </w:rPr>
              <w:t>1,9</w:t>
            </w:r>
          </w:p>
        </w:tc>
      </w:tr>
    </w:tbl>
    <w:p w:rsidR="002D08AF" w:rsidRPr="00BB6E3B" w:rsidRDefault="002D08AF" w:rsidP="00847208">
      <w:pPr>
        <w:pStyle w:val="Default"/>
        <w:spacing w:line="276" w:lineRule="auto"/>
        <w:rPr>
          <w:rFonts w:ascii="Arial" w:hAnsi="Arial" w:cs="Arial"/>
          <w:color w:val="0D0D0D" w:themeColor="text1" w:themeTint="F2"/>
          <w:szCs w:val="22"/>
        </w:rPr>
      </w:pPr>
    </w:p>
    <w:p w:rsidR="002D08AF" w:rsidRPr="00BB6E3B" w:rsidRDefault="002D08AF" w:rsidP="00847208">
      <w:pPr>
        <w:spacing w:line="276" w:lineRule="auto"/>
        <w:rPr>
          <w:rFonts w:cs="Arial"/>
          <w:color w:val="0D0D0D" w:themeColor="text1" w:themeTint="F2"/>
        </w:rPr>
      </w:pPr>
      <w:r w:rsidRPr="00BB6E3B">
        <w:rPr>
          <w:rFonts w:cs="Arial"/>
          <w:color w:val="0D0D0D" w:themeColor="text1" w:themeTint="F2"/>
        </w:rPr>
        <w:t xml:space="preserve">Ocene so še posebej negotove za Slovenijo, </w:t>
      </w:r>
      <w:r w:rsidR="005C36C0" w:rsidRPr="00BB6E3B">
        <w:rPr>
          <w:rFonts w:cs="Arial"/>
          <w:color w:val="0D0D0D" w:themeColor="text1" w:themeTint="F2"/>
        </w:rPr>
        <w:t>ki</w:t>
      </w:r>
      <w:r w:rsidRPr="00BB6E3B">
        <w:rPr>
          <w:rFonts w:cs="Arial"/>
          <w:color w:val="0D0D0D" w:themeColor="text1" w:themeTint="F2"/>
        </w:rPr>
        <w:t xml:space="preserve"> je </w:t>
      </w:r>
      <w:r w:rsidR="005C36C0" w:rsidRPr="00BB6E3B">
        <w:rPr>
          <w:rFonts w:cs="Arial"/>
          <w:color w:val="0D0D0D" w:themeColor="text1" w:themeTint="F2"/>
        </w:rPr>
        <w:t xml:space="preserve">zato </w:t>
      </w:r>
      <w:r w:rsidRPr="00BB6E3B">
        <w:rPr>
          <w:rFonts w:cs="Arial"/>
          <w:color w:val="0D0D0D" w:themeColor="text1" w:themeTint="F2"/>
        </w:rPr>
        <w:t>leta</w:t>
      </w:r>
      <w:r w:rsidR="00730279" w:rsidRPr="00BB6E3B">
        <w:rPr>
          <w:rFonts w:cs="Arial"/>
          <w:color w:val="0D0D0D" w:themeColor="text1" w:themeTint="F2"/>
        </w:rPr>
        <w:t xml:space="preserve"> 2017</w:t>
      </w:r>
      <w:r w:rsidRPr="00BB6E3B">
        <w:rPr>
          <w:rFonts w:cs="Arial"/>
          <w:color w:val="0D0D0D" w:themeColor="text1" w:themeTint="F2"/>
        </w:rPr>
        <w:t xml:space="preserve"> vložila vlogo za upoštevanje specifičnosti (»country specific case«) pri izračunu proizvodnje vrzeli po veljavni </w:t>
      </w:r>
      <w:r w:rsidR="008A72A7" w:rsidRPr="00BB6E3B">
        <w:rPr>
          <w:rFonts w:cs="Arial"/>
          <w:color w:val="0D0D0D" w:themeColor="text1" w:themeTint="F2"/>
        </w:rPr>
        <w:t>»</w:t>
      </w:r>
      <w:r w:rsidRPr="00BB6E3B">
        <w:rPr>
          <w:rFonts w:cs="Arial"/>
          <w:color w:val="0D0D0D" w:themeColor="text1" w:themeTint="F2"/>
        </w:rPr>
        <w:t xml:space="preserve">skupaj dogovorjeni </w:t>
      </w:r>
      <w:r w:rsidR="008A72A7" w:rsidRPr="00BB6E3B">
        <w:rPr>
          <w:rFonts w:cs="Arial"/>
          <w:color w:val="0D0D0D" w:themeColor="text1" w:themeTint="F2"/>
        </w:rPr>
        <w:t xml:space="preserve">metodologiji </w:t>
      </w:r>
      <w:r w:rsidRPr="00BB6E3B">
        <w:rPr>
          <w:rFonts w:cs="Arial"/>
          <w:color w:val="0D0D0D" w:themeColor="text1" w:themeTint="F2"/>
        </w:rPr>
        <w:t>EU</w:t>
      </w:r>
      <w:r w:rsidR="008A72A7" w:rsidRPr="00BB6E3B">
        <w:rPr>
          <w:rFonts w:cs="Arial"/>
          <w:color w:val="0D0D0D" w:themeColor="text1" w:themeTint="F2"/>
        </w:rPr>
        <w:t>«</w:t>
      </w:r>
      <w:r w:rsidRPr="00BB6E3B">
        <w:rPr>
          <w:rFonts w:cs="Arial"/>
          <w:color w:val="0D0D0D" w:themeColor="text1" w:themeTint="F2"/>
        </w:rPr>
        <w:t xml:space="preserve">. Na </w:t>
      </w:r>
      <w:r w:rsidR="008A72A7" w:rsidRPr="00BB6E3B">
        <w:rPr>
          <w:rFonts w:cs="Arial"/>
          <w:color w:val="0D0D0D" w:themeColor="text1" w:themeTint="F2"/>
        </w:rPr>
        <w:t xml:space="preserve">podlagi </w:t>
      </w:r>
      <w:r w:rsidRPr="00BB6E3B">
        <w:rPr>
          <w:rFonts w:cs="Arial"/>
          <w:color w:val="0D0D0D" w:themeColor="text1" w:themeTint="F2"/>
        </w:rPr>
        <w:t xml:space="preserve">teh prizadevanj ocena proizvodne vrzeli za Slovenijo bolje </w:t>
      </w:r>
      <w:r w:rsidR="008A72A7" w:rsidRPr="00BB6E3B">
        <w:rPr>
          <w:rFonts w:cs="Arial"/>
          <w:color w:val="0D0D0D" w:themeColor="text1" w:themeTint="F2"/>
        </w:rPr>
        <w:t>iz</w:t>
      </w:r>
      <w:r w:rsidRPr="00BB6E3B">
        <w:rPr>
          <w:rFonts w:cs="Arial"/>
          <w:color w:val="0D0D0D" w:themeColor="text1" w:themeTint="F2"/>
        </w:rPr>
        <w:t>raža položaj gospodarstva v gospodarskem ciklu, kljub temu pa ocenjujemo, da še ostaja prostor za nadaljnje izboljšave ocene. Izboljšanje bi se lahko doseglo prek boljše ocene sidra za NAWRU, zlasti za nove države članice EU, za katere ocene še vedno niso zadovoljive.</w:t>
      </w:r>
    </w:p>
    <w:p w:rsidR="002D08AF" w:rsidRDefault="002D08AF" w:rsidP="00847208">
      <w:pPr>
        <w:spacing w:after="0" w:line="276" w:lineRule="auto"/>
        <w:rPr>
          <w:rFonts w:cs="Arial"/>
          <w:color w:val="0D0D0D" w:themeColor="text1" w:themeTint="F2"/>
        </w:rPr>
      </w:pPr>
      <w:r w:rsidRPr="00BB6E3B">
        <w:rPr>
          <w:rFonts w:cs="Arial"/>
          <w:color w:val="0D0D0D" w:themeColor="text1" w:themeTint="F2"/>
        </w:rPr>
        <w:t>Ocene Ministrstva za finance</w:t>
      </w:r>
      <w:r w:rsidR="005C36C0" w:rsidRPr="00BB6E3B">
        <w:rPr>
          <w:rFonts w:cs="Arial"/>
          <w:color w:val="0D0D0D" w:themeColor="text1" w:themeTint="F2"/>
        </w:rPr>
        <w:t>,</w:t>
      </w:r>
      <w:r w:rsidRPr="00BB6E3B">
        <w:rPr>
          <w:rFonts w:cs="Arial"/>
          <w:color w:val="0D0D0D" w:themeColor="text1" w:themeTint="F2"/>
        </w:rPr>
        <w:t xml:space="preserve"> pripravljene na podlagi UMAR-jeve Pomladanske napovedi gospodarskih gibanj 2019</w:t>
      </w:r>
      <w:r w:rsidR="008A72A7" w:rsidRPr="00BB6E3B">
        <w:rPr>
          <w:rFonts w:cs="Arial"/>
          <w:color w:val="0D0D0D" w:themeColor="text1" w:themeTint="F2"/>
        </w:rPr>
        <w:t>,</w:t>
      </w:r>
      <w:r w:rsidRPr="00BB6E3B">
        <w:rPr>
          <w:rFonts w:cs="Arial"/>
          <w:color w:val="0D0D0D" w:themeColor="text1" w:themeTint="F2"/>
        </w:rPr>
        <w:t xml:space="preserve"> kažejo, da naj bi se rast potencialnega BDP v letih 2019 in 2020 rahlo okrepila (v letu 2019 za 0,1 o.</w:t>
      </w:r>
      <w:r w:rsidR="008A72A7" w:rsidRPr="00BB6E3B">
        <w:rPr>
          <w:rFonts w:cs="Arial"/>
          <w:color w:val="0D0D0D" w:themeColor="text1" w:themeTint="F2"/>
        </w:rPr>
        <w:t> </w:t>
      </w:r>
      <w:r w:rsidRPr="00BB6E3B">
        <w:rPr>
          <w:rFonts w:cs="Arial"/>
          <w:color w:val="0D0D0D" w:themeColor="text1" w:themeTint="F2"/>
        </w:rPr>
        <w:t>t. na 2,7 %, v letu 2020 pa za 0,2 o.</w:t>
      </w:r>
      <w:r w:rsidR="008A72A7" w:rsidRPr="00BB6E3B">
        <w:rPr>
          <w:rFonts w:cs="Arial"/>
          <w:color w:val="0D0D0D" w:themeColor="text1" w:themeTint="F2"/>
        </w:rPr>
        <w:t> </w:t>
      </w:r>
      <w:r w:rsidRPr="00BB6E3B">
        <w:rPr>
          <w:rFonts w:cs="Arial"/>
          <w:color w:val="0D0D0D" w:themeColor="text1" w:themeTint="F2"/>
        </w:rPr>
        <w:t>t. na 2,9 %). Rast je predvsem posledica visoke rasti prispevka kapitala, z relativno visokim in stabilnim prispevkom skupne faktorske produktivnosti in v letu 2020 tudi z rastjo prispevka dela.</w:t>
      </w:r>
    </w:p>
    <w:p w:rsidR="00C3436D" w:rsidRDefault="00C3436D" w:rsidP="00847208">
      <w:pPr>
        <w:spacing w:after="0" w:line="276" w:lineRule="auto"/>
        <w:rPr>
          <w:rFonts w:cs="Arial"/>
          <w:color w:val="0D0D0D" w:themeColor="text1" w:themeTint="F2"/>
        </w:rPr>
      </w:pPr>
    </w:p>
    <w:p w:rsidR="00C3436D" w:rsidRPr="00BB6E3B" w:rsidRDefault="00C3436D" w:rsidP="00C3436D">
      <w:pPr>
        <w:spacing w:line="276" w:lineRule="auto"/>
        <w:rPr>
          <w:rFonts w:cs="Arial"/>
          <w:bCs/>
          <w:color w:val="0D0D0D" w:themeColor="text1" w:themeTint="F2"/>
        </w:rPr>
      </w:pPr>
      <w:r w:rsidRPr="00BB6E3B">
        <w:rPr>
          <w:rFonts w:cs="Arial"/>
          <w:bCs/>
          <w:color w:val="0D0D0D" w:themeColor="text1" w:themeTint="F2"/>
        </w:rPr>
        <w:t xml:space="preserve">Po zadnji oceni bo leta 2019 proizvodna vrzel znašala 2,4 % potencialnega BDP. </w:t>
      </w:r>
      <w:r w:rsidRPr="00BB6E3B">
        <w:rPr>
          <w:rFonts w:cs="Arial"/>
          <w:color w:val="0D0D0D" w:themeColor="text1" w:themeTint="F2"/>
        </w:rPr>
        <w:t>V</w:t>
      </w:r>
      <w:r w:rsidRPr="00BB6E3B">
        <w:rPr>
          <w:rFonts w:cs="Arial"/>
          <w:bCs/>
          <w:color w:val="0D0D0D" w:themeColor="text1" w:themeTint="F2"/>
        </w:rPr>
        <w:t>rh gospodarskega cikla naj bi Slovenija dosegla leta 2020, ko naj bi proizvodna vrzel dosegla 2,6  % potencialnega</w:t>
      </w:r>
      <w:r w:rsidRPr="00BB6E3B">
        <w:rPr>
          <w:rFonts w:cs="Arial"/>
          <w:color w:val="0D0D0D" w:themeColor="text1" w:themeTint="F2"/>
        </w:rPr>
        <w:t xml:space="preserve"> BDP</w:t>
      </w:r>
      <w:r w:rsidRPr="00BB6E3B">
        <w:rPr>
          <w:rFonts w:cs="Arial"/>
          <w:bCs/>
          <w:color w:val="0D0D0D" w:themeColor="text1" w:themeTint="F2"/>
        </w:rPr>
        <w:t>,  v pozitivnem delu gospodarskega cikla pa naj bi Slovenija ostala še vsaj do leta 2022, za katero so na voljo zadnje napovedi UMAR-ja.</w:t>
      </w:r>
    </w:p>
    <w:p w:rsidR="00C3436D" w:rsidRPr="00BB6E3B" w:rsidRDefault="00C3436D" w:rsidP="00847208">
      <w:pPr>
        <w:spacing w:after="0" w:line="276" w:lineRule="auto"/>
        <w:rPr>
          <w:rFonts w:cs="Arial"/>
          <w:color w:val="0D0D0D" w:themeColor="text1" w:themeTint="F2"/>
        </w:rPr>
      </w:pPr>
    </w:p>
    <w:p w:rsidR="00847208" w:rsidRDefault="00847208" w:rsidP="00847208">
      <w:pPr>
        <w:spacing w:after="0" w:line="276" w:lineRule="auto"/>
        <w:rPr>
          <w:rFonts w:cs="Arial"/>
          <w:color w:val="0D0D0D" w:themeColor="text1" w:themeTint="F2"/>
        </w:rPr>
      </w:pPr>
    </w:p>
    <w:p w:rsidR="00C3436D" w:rsidRDefault="00C3436D" w:rsidP="00847208">
      <w:pPr>
        <w:spacing w:after="0" w:line="276" w:lineRule="auto"/>
        <w:rPr>
          <w:rFonts w:cs="Arial"/>
          <w:color w:val="0D0D0D" w:themeColor="text1" w:themeTint="F2"/>
        </w:rPr>
      </w:pPr>
    </w:p>
    <w:p w:rsidR="00C3436D" w:rsidRPr="00BB6E3B" w:rsidRDefault="00C3436D" w:rsidP="00847208">
      <w:pPr>
        <w:spacing w:after="0" w:line="276" w:lineRule="auto"/>
        <w:rPr>
          <w:rFonts w:cs="Arial"/>
          <w:color w:val="0D0D0D" w:themeColor="text1" w:themeTint="F2"/>
        </w:rPr>
      </w:pPr>
    </w:p>
    <w:p w:rsidR="002D08AF" w:rsidRPr="00BB6E3B" w:rsidRDefault="002D08AF" w:rsidP="002D08AF">
      <w:pPr>
        <w:pStyle w:val="Default"/>
        <w:jc w:val="center"/>
        <w:rPr>
          <w:rFonts w:ascii="Arial" w:hAnsi="Arial" w:cs="Arial"/>
          <w:bCs/>
          <w:color w:val="0D0D0D" w:themeColor="text1" w:themeTint="F2"/>
          <w:sz w:val="22"/>
          <w:szCs w:val="22"/>
        </w:rPr>
      </w:pPr>
      <w:r w:rsidRPr="00BB6E3B">
        <w:rPr>
          <w:rFonts w:ascii="Arial" w:hAnsi="Arial" w:cs="Arial"/>
          <w:bCs/>
          <w:color w:val="0D0D0D" w:themeColor="text1" w:themeTint="F2"/>
          <w:sz w:val="22"/>
          <w:szCs w:val="22"/>
        </w:rPr>
        <w:lastRenderedPageBreak/>
        <w:t xml:space="preserve">Slika </w:t>
      </w:r>
      <w:r w:rsidR="00B41BD5" w:rsidRPr="00BB6E3B">
        <w:rPr>
          <w:rFonts w:ascii="Arial" w:hAnsi="Arial" w:cs="Arial"/>
          <w:bCs/>
          <w:color w:val="0D0D0D" w:themeColor="text1" w:themeTint="F2"/>
          <w:sz w:val="22"/>
          <w:szCs w:val="22"/>
        </w:rPr>
        <w:t>13</w:t>
      </w:r>
      <w:r w:rsidRPr="00BB6E3B">
        <w:rPr>
          <w:rFonts w:ascii="Arial" w:hAnsi="Arial" w:cs="Arial"/>
          <w:bCs/>
          <w:color w:val="0D0D0D" w:themeColor="text1" w:themeTint="F2"/>
          <w:sz w:val="22"/>
          <w:szCs w:val="22"/>
        </w:rPr>
        <w:t>: Prispevek k rasti potencialnega BDP</w:t>
      </w:r>
    </w:p>
    <w:p w:rsidR="002D08AF" w:rsidRPr="00BB6E3B" w:rsidRDefault="002D08AF" w:rsidP="005551BB">
      <w:pPr>
        <w:spacing w:after="0"/>
        <w:jc w:val="center"/>
        <w:rPr>
          <w:rFonts w:cs="Arial"/>
          <w:color w:val="0D0D0D" w:themeColor="text1" w:themeTint="F2"/>
        </w:rPr>
      </w:pPr>
      <w:r w:rsidRPr="00BB6E3B">
        <w:rPr>
          <w:rFonts w:cs="Arial"/>
          <w:noProof/>
          <w:color w:val="0D0D0D" w:themeColor="text1" w:themeTint="F2"/>
          <w:lang w:val="en-US"/>
        </w:rPr>
        <w:drawing>
          <wp:inline distT="0" distB="0" distL="0" distR="0" wp14:anchorId="6F63A7A6" wp14:editId="5D237374">
            <wp:extent cx="5734050" cy="2686050"/>
            <wp:effectExtent l="0" t="0" r="0" b="0"/>
            <wp:docPr id="8"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D08AF" w:rsidRPr="00BB6E3B" w:rsidRDefault="002D08AF" w:rsidP="005269BB">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 xml:space="preserve">Vir: SURS, UMAR </w:t>
      </w:r>
      <w:r w:rsidR="008A72A7" w:rsidRPr="00BB6E3B">
        <w:rPr>
          <w:rFonts w:eastAsia="Times New Roman" w:cs="Arial"/>
          <w:color w:val="0D0D0D" w:themeColor="text1" w:themeTint="F2"/>
          <w:spacing w:val="5"/>
          <w:sz w:val="20"/>
          <w:szCs w:val="14"/>
          <w:lang w:eastAsia="sl-SI"/>
        </w:rPr>
        <w:t xml:space="preserve">– </w:t>
      </w:r>
      <w:r w:rsidRPr="00BB6E3B">
        <w:rPr>
          <w:rFonts w:eastAsia="Times New Roman" w:cs="Arial"/>
          <w:color w:val="0D0D0D" w:themeColor="text1" w:themeTint="F2"/>
          <w:spacing w:val="5"/>
          <w:sz w:val="20"/>
          <w:szCs w:val="14"/>
          <w:lang w:eastAsia="sl-SI"/>
        </w:rPr>
        <w:t xml:space="preserve">napoved, MF lastni </w:t>
      </w:r>
      <w:r w:rsidR="00A26BDC" w:rsidRPr="00BB6E3B">
        <w:rPr>
          <w:rFonts w:eastAsia="Times New Roman" w:cs="Arial"/>
          <w:color w:val="0D0D0D" w:themeColor="text1" w:themeTint="F2"/>
          <w:spacing w:val="5"/>
          <w:sz w:val="20"/>
          <w:szCs w:val="14"/>
          <w:lang w:eastAsia="sl-SI"/>
        </w:rPr>
        <w:t>izračuni</w:t>
      </w:r>
    </w:p>
    <w:p w:rsidR="005269BB" w:rsidRPr="00BB6E3B" w:rsidRDefault="005269BB" w:rsidP="005269BB">
      <w:pPr>
        <w:spacing w:after="0" w:line="276" w:lineRule="auto"/>
        <w:rPr>
          <w:rFonts w:cs="Arial"/>
          <w:bCs/>
          <w:color w:val="0D0D0D" w:themeColor="text1" w:themeTint="F2"/>
        </w:rPr>
      </w:pPr>
    </w:p>
    <w:p w:rsidR="002D08AF" w:rsidRDefault="002D08AF" w:rsidP="00C3436D">
      <w:pPr>
        <w:spacing w:after="0" w:line="276" w:lineRule="auto"/>
        <w:rPr>
          <w:rFonts w:cs="Arial"/>
          <w:color w:val="0D0D0D" w:themeColor="text1" w:themeTint="F2"/>
        </w:rPr>
      </w:pPr>
      <w:r w:rsidRPr="00BB6E3B">
        <w:rPr>
          <w:rFonts w:cs="Arial"/>
          <w:color w:val="0D0D0D" w:themeColor="text1" w:themeTint="F2"/>
        </w:rPr>
        <w:t xml:space="preserve">Slovenija ima izrazitejše gospodarske cikle kot celotno </w:t>
      </w:r>
      <w:r w:rsidR="005C36C0" w:rsidRPr="00BB6E3B">
        <w:rPr>
          <w:rFonts w:cs="Arial"/>
          <w:color w:val="0D0D0D" w:themeColor="text1" w:themeTint="F2"/>
        </w:rPr>
        <w:t>evr</w:t>
      </w:r>
      <w:r w:rsidR="008A72A7" w:rsidRPr="00BB6E3B">
        <w:rPr>
          <w:rFonts w:cs="Arial"/>
          <w:color w:val="0D0D0D" w:themeColor="text1" w:themeTint="F2"/>
        </w:rPr>
        <w:t xml:space="preserve">sko </w:t>
      </w:r>
      <w:r w:rsidR="005C36C0" w:rsidRPr="00BB6E3B">
        <w:rPr>
          <w:rFonts w:cs="Arial"/>
          <w:color w:val="0D0D0D" w:themeColor="text1" w:themeTint="F2"/>
        </w:rPr>
        <w:t xml:space="preserve">območje (glej sliko </w:t>
      </w:r>
      <w:r w:rsidRPr="00BB6E3B">
        <w:rPr>
          <w:rFonts w:cs="Arial"/>
          <w:color w:val="0D0D0D" w:themeColor="text1" w:themeTint="F2"/>
        </w:rPr>
        <w:t>1</w:t>
      </w:r>
      <w:r w:rsidR="00B41BD5" w:rsidRPr="00BB6E3B">
        <w:rPr>
          <w:rFonts w:cs="Arial"/>
          <w:color w:val="0D0D0D" w:themeColor="text1" w:themeTint="F2"/>
        </w:rPr>
        <w:t>4</w:t>
      </w:r>
      <w:r w:rsidRPr="00BB6E3B">
        <w:rPr>
          <w:rFonts w:cs="Arial"/>
          <w:color w:val="0D0D0D" w:themeColor="text1" w:themeTint="F2"/>
        </w:rPr>
        <w:t>), kar je posledica majhnega odprtega gospodarstva in ni</w:t>
      </w:r>
      <w:r w:rsidR="005C36C0" w:rsidRPr="00BB6E3B">
        <w:rPr>
          <w:rFonts w:cs="Arial"/>
          <w:color w:val="0D0D0D" w:themeColor="text1" w:themeTint="F2"/>
        </w:rPr>
        <w:t>žjega BDP na prebivalca. M</w:t>
      </w:r>
      <w:r w:rsidRPr="00BB6E3B">
        <w:rPr>
          <w:rFonts w:cs="Arial"/>
          <w:color w:val="0D0D0D" w:themeColor="text1" w:themeTint="F2"/>
        </w:rPr>
        <w:t xml:space="preserve">edtem </w:t>
      </w:r>
      <w:r w:rsidR="005C36C0" w:rsidRPr="00BB6E3B">
        <w:rPr>
          <w:rFonts w:cs="Arial"/>
          <w:color w:val="0D0D0D" w:themeColor="text1" w:themeTint="F2"/>
        </w:rPr>
        <w:t xml:space="preserve">ko </w:t>
      </w:r>
      <w:r w:rsidRPr="00BB6E3B">
        <w:rPr>
          <w:rFonts w:cs="Arial"/>
          <w:color w:val="0D0D0D" w:themeColor="text1" w:themeTint="F2"/>
        </w:rPr>
        <w:t>je bila po Jesenski napovedi EK 2018 v obdobju 2004</w:t>
      </w:r>
      <w:r w:rsidR="001C284E" w:rsidRPr="00BB6E3B">
        <w:rPr>
          <w:rFonts w:cs="Arial"/>
          <w:color w:val="0D0D0D" w:themeColor="text1" w:themeTint="F2"/>
        </w:rPr>
        <w:t>–</w:t>
      </w:r>
      <w:r w:rsidRPr="00BB6E3B">
        <w:rPr>
          <w:rFonts w:cs="Arial"/>
          <w:color w:val="0D0D0D" w:themeColor="text1" w:themeTint="F2"/>
        </w:rPr>
        <w:t xml:space="preserve">2022 proizvodna vrzel za </w:t>
      </w:r>
      <w:r w:rsidR="005C36C0" w:rsidRPr="00BB6E3B">
        <w:rPr>
          <w:rFonts w:cs="Arial"/>
          <w:color w:val="0D0D0D" w:themeColor="text1" w:themeTint="F2"/>
        </w:rPr>
        <w:t>evr</w:t>
      </w:r>
      <w:r w:rsidR="008A72A7" w:rsidRPr="00BB6E3B">
        <w:rPr>
          <w:rFonts w:cs="Arial"/>
          <w:color w:val="0D0D0D" w:themeColor="text1" w:themeTint="F2"/>
        </w:rPr>
        <w:t xml:space="preserve">sko </w:t>
      </w:r>
      <w:r w:rsidRPr="00BB6E3B">
        <w:rPr>
          <w:rFonts w:cs="Arial"/>
          <w:color w:val="0D0D0D" w:themeColor="text1" w:themeTint="F2"/>
        </w:rPr>
        <w:t xml:space="preserve">območje ocenjena v razponu med </w:t>
      </w:r>
      <w:r w:rsidR="001C284E" w:rsidRPr="00BB6E3B">
        <w:rPr>
          <w:rFonts w:cs="Arial"/>
          <w:color w:val="0D0D0D" w:themeColor="text1" w:themeTint="F2"/>
        </w:rPr>
        <w:t>–</w:t>
      </w:r>
      <w:r w:rsidRPr="00BB6E3B">
        <w:rPr>
          <w:rFonts w:cs="Arial"/>
          <w:color w:val="0D0D0D" w:themeColor="text1" w:themeTint="F2"/>
        </w:rPr>
        <w:t xml:space="preserve">3,4 % do 2,7 % potencialnega BDP, je bil v Sloveniji ta razpon več kot </w:t>
      </w:r>
      <w:r w:rsidR="008A72A7" w:rsidRPr="00BB6E3B">
        <w:rPr>
          <w:rFonts w:cs="Arial"/>
          <w:color w:val="0D0D0D" w:themeColor="text1" w:themeTint="F2"/>
        </w:rPr>
        <w:t>enkrat</w:t>
      </w:r>
      <w:r w:rsidRPr="00BB6E3B">
        <w:rPr>
          <w:rFonts w:cs="Arial"/>
          <w:color w:val="0D0D0D" w:themeColor="text1" w:themeTint="F2"/>
        </w:rPr>
        <w:t xml:space="preserve"> večji (znašal je od </w:t>
      </w:r>
      <w:r w:rsidR="001C284E" w:rsidRPr="00BB6E3B">
        <w:rPr>
          <w:rFonts w:cs="Arial"/>
          <w:color w:val="0D0D0D" w:themeColor="text1" w:themeTint="F2"/>
        </w:rPr>
        <w:t>–</w:t>
      </w:r>
      <w:r w:rsidRPr="00BB6E3B">
        <w:rPr>
          <w:rFonts w:cs="Arial"/>
          <w:color w:val="0D0D0D" w:themeColor="text1" w:themeTint="F2"/>
        </w:rPr>
        <w:t>6,5 % do 7 % potencialnega BDP).</w:t>
      </w:r>
    </w:p>
    <w:p w:rsidR="00C3436D" w:rsidRPr="00BB6E3B" w:rsidRDefault="00C3436D" w:rsidP="00C3436D">
      <w:pPr>
        <w:spacing w:after="0" w:line="276" w:lineRule="auto"/>
        <w:rPr>
          <w:rFonts w:cs="Arial"/>
          <w:bCs/>
          <w:i/>
          <w:color w:val="0D0D0D" w:themeColor="text1" w:themeTint="F2"/>
        </w:rPr>
      </w:pPr>
    </w:p>
    <w:p w:rsidR="002D08AF" w:rsidRPr="00BB6E3B" w:rsidRDefault="002D08AF" w:rsidP="002D08AF">
      <w:pPr>
        <w:pStyle w:val="Default"/>
        <w:jc w:val="center"/>
        <w:rPr>
          <w:rFonts w:ascii="Arial" w:hAnsi="Arial" w:cs="Arial"/>
          <w:bCs/>
          <w:color w:val="0D0D0D" w:themeColor="text1" w:themeTint="F2"/>
          <w:sz w:val="22"/>
          <w:szCs w:val="22"/>
        </w:rPr>
      </w:pPr>
      <w:r w:rsidRPr="00BB6E3B">
        <w:rPr>
          <w:rFonts w:ascii="Arial" w:hAnsi="Arial" w:cs="Arial"/>
          <w:bCs/>
          <w:color w:val="0D0D0D" w:themeColor="text1" w:themeTint="F2"/>
          <w:sz w:val="22"/>
          <w:szCs w:val="22"/>
        </w:rPr>
        <w:t xml:space="preserve">Slika </w:t>
      </w:r>
      <w:r w:rsidR="00B41BD5" w:rsidRPr="00BB6E3B">
        <w:rPr>
          <w:rFonts w:ascii="Arial" w:hAnsi="Arial" w:cs="Arial"/>
          <w:bCs/>
          <w:color w:val="0D0D0D" w:themeColor="text1" w:themeTint="F2"/>
          <w:sz w:val="22"/>
          <w:szCs w:val="22"/>
        </w:rPr>
        <w:t>14</w:t>
      </w:r>
      <w:r w:rsidRPr="00BB6E3B">
        <w:rPr>
          <w:rFonts w:ascii="Arial" w:hAnsi="Arial" w:cs="Arial"/>
          <w:bCs/>
          <w:color w:val="0D0D0D" w:themeColor="text1" w:themeTint="F2"/>
          <w:sz w:val="22"/>
          <w:szCs w:val="22"/>
        </w:rPr>
        <w:t>: Proizvodna vrzel</w:t>
      </w:r>
      <w:r w:rsidR="00730279" w:rsidRPr="00BB6E3B">
        <w:rPr>
          <w:rFonts w:ascii="Arial" w:hAnsi="Arial" w:cs="Arial"/>
          <w:bCs/>
          <w:color w:val="0D0D0D" w:themeColor="text1" w:themeTint="F2"/>
          <w:sz w:val="22"/>
          <w:szCs w:val="22"/>
        </w:rPr>
        <w:t xml:space="preserve"> (</w:t>
      </w:r>
      <w:r w:rsidRPr="00BB6E3B">
        <w:rPr>
          <w:rFonts w:ascii="Arial" w:hAnsi="Arial" w:cs="Arial"/>
          <w:bCs/>
          <w:color w:val="0D0D0D" w:themeColor="text1" w:themeTint="F2"/>
          <w:sz w:val="22"/>
          <w:szCs w:val="22"/>
        </w:rPr>
        <w:t xml:space="preserve">EK </w:t>
      </w:r>
      <w:r w:rsidR="008A72A7" w:rsidRPr="00BB6E3B">
        <w:rPr>
          <w:rFonts w:ascii="Arial" w:hAnsi="Arial" w:cs="Arial"/>
          <w:bCs/>
          <w:color w:val="0D0D0D" w:themeColor="text1" w:themeTint="F2"/>
          <w:sz w:val="22"/>
          <w:szCs w:val="22"/>
        </w:rPr>
        <w:t xml:space="preserve">– </w:t>
      </w:r>
      <w:r w:rsidRPr="00BB6E3B">
        <w:rPr>
          <w:rFonts w:ascii="Arial" w:hAnsi="Arial" w:cs="Arial"/>
          <w:bCs/>
          <w:color w:val="0D0D0D" w:themeColor="text1" w:themeTint="F2"/>
          <w:sz w:val="22"/>
          <w:szCs w:val="22"/>
        </w:rPr>
        <w:t>jesenska napoved 2018</w:t>
      </w:r>
      <w:r w:rsidR="00730279" w:rsidRPr="00BB6E3B">
        <w:rPr>
          <w:rFonts w:ascii="Arial" w:hAnsi="Arial" w:cs="Arial"/>
          <w:bCs/>
          <w:color w:val="0D0D0D" w:themeColor="text1" w:themeTint="F2"/>
          <w:sz w:val="22"/>
          <w:szCs w:val="22"/>
        </w:rPr>
        <w:t>)</w:t>
      </w:r>
    </w:p>
    <w:p w:rsidR="002D08AF" w:rsidRPr="00BB6E3B" w:rsidRDefault="00847208" w:rsidP="005269BB">
      <w:pPr>
        <w:spacing w:after="0"/>
        <w:jc w:val="center"/>
        <w:rPr>
          <w:rFonts w:cs="Arial"/>
          <w:color w:val="0D0D0D" w:themeColor="text1" w:themeTint="F2"/>
        </w:rPr>
      </w:pPr>
      <w:r w:rsidRPr="00BB6E3B">
        <w:rPr>
          <w:rFonts w:cs="Arial"/>
          <w:noProof/>
          <w:color w:val="0D0D0D" w:themeColor="text1" w:themeTint="F2"/>
          <w:lang w:val="en-US"/>
        </w:rPr>
        <w:drawing>
          <wp:inline distT="0" distB="0" distL="0" distR="0" wp14:anchorId="17560692" wp14:editId="5A46D073">
            <wp:extent cx="5257800" cy="2886075"/>
            <wp:effectExtent l="0" t="0" r="0" b="0"/>
            <wp:docPr id="11"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D08AF" w:rsidRPr="00BB6E3B" w:rsidRDefault="002D08AF" w:rsidP="00847208">
      <w:pPr>
        <w:shd w:val="clear" w:color="auto" w:fill="FFFFFF"/>
        <w:spacing w:after="0" w:line="270" w:lineRule="atLeast"/>
        <w:jc w:val="center"/>
        <w:rPr>
          <w:rFonts w:eastAsia="Times New Roman" w:cs="Arial"/>
          <w:color w:val="0D0D0D" w:themeColor="text1" w:themeTint="F2"/>
          <w:spacing w:val="5"/>
          <w:sz w:val="20"/>
          <w:szCs w:val="14"/>
          <w:lang w:eastAsia="sl-SI"/>
        </w:rPr>
      </w:pPr>
      <w:r w:rsidRPr="00BB6E3B">
        <w:rPr>
          <w:rFonts w:eastAsia="Times New Roman" w:cs="Arial"/>
          <w:color w:val="0D0D0D" w:themeColor="text1" w:themeTint="F2"/>
          <w:spacing w:val="5"/>
          <w:sz w:val="20"/>
          <w:szCs w:val="14"/>
          <w:lang w:eastAsia="sl-SI"/>
        </w:rPr>
        <w:t xml:space="preserve">Vir: EK, lastni izračuni MF na </w:t>
      </w:r>
      <w:r w:rsidR="008A72A7" w:rsidRPr="00BB6E3B">
        <w:rPr>
          <w:rFonts w:eastAsia="Times New Roman" w:cs="Arial"/>
          <w:color w:val="0D0D0D" w:themeColor="text1" w:themeTint="F2"/>
          <w:spacing w:val="5"/>
          <w:sz w:val="20"/>
          <w:szCs w:val="14"/>
          <w:lang w:eastAsia="sl-SI"/>
        </w:rPr>
        <w:t xml:space="preserve">podlagi </w:t>
      </w:r>
      <w:r w:rsidRPr="00BB6E3B">
        <w:rPr>
          <w:rFonts w:eastAsia="Times New Roman" w:cs="Arial"/>
          <w:color w:val="0D0D0D" w:themeColor="text1" w:themeTint="F2"/>
          <w:spacing w:val="5"/>
          <w:sz w:val="20"/>
          <w:szCs w:val="14"/>
          <w:lang w:eastAsia="sl-SI"/>
        </w:rPr>
        <w:t xml:space="preserve">podatkov za države članice </w:t>
      </w:r>
    </w:p>
    <w:p w:rsidR="00847208" w:rsidRPr="00BB6E3B" w:rsidRDefault="00847208" w:rsidP="00C3436D">
      <w:pPr>
        <w:spacing w:after="0" w:line="276" w:lineRule="auto"/>
        <w:rPr>
          <w:rFonts w:cs="Arial"/>
          <w:color w:val="0D0D0D" w:themeColor="text1" w:themeTint="F2"/>
        </w:rPr>
      </w:pPr>
    </w:p>
    <w:p w:rsidR="002D08AF" w:rsidRPr="00BB6E3B" w:rsidRDefault="002D08AF" w:rsidP="00847208">
      <w:pPr>
        <w:spacing w:line="276" w:lineRule="auto"/>
        <w:rPr>
          <w:rFonts w:cs="Arial"/>
          <w:color w:val="0D0D0D" w:themeColor="text1" w:themeTint="F2"/>
        </w:rPr>
      </w:pPr>
      <w:r w:rsidRPr="00BB6E3B">
        <w:rPr>
          <w:rFonts w:cs="Arial"/>
          <w:color w:val="0D0D0D" w:themeColor="text1" w:themeTint="F2"/>
        </w:rPr>
        <w:t>Glede vodenja fiskalne politike skladno z zavezami</w:t>
      </w:r>
      <w:r w:rsidR="008A72A7" w:rsidRPr="00BB6E3B">
        <w:rPr>
          <w:rFonts w:cs="Arial"/>
          <w:color w:val="0D0D0D" w:themeColor="text1" w:themeTint="F2"/>
        </w:rPr>
        <w:t xml:space="preserve"> EU</w:t>
      </w:r>
      <w:r w:rsidRPr="00BB6E3B">
        <w:rPr>
          <w:rFonts w:cs="Arial"/>
          <w:color w:val="0D0D0D" w:themeColor="text1" w:themeTint="F2"/>
        </w:rPr>
        <w:t xml:space="preserve"> in navedene negotovosti izračuna proizvodne vrzeli ima </w:t>
      </w:r>
      <w:r w:rsidR="00730279" w:rsidRPr="00BB6E3B">
        <w:rPr>
          <w:rFonts w:cs="Arial"/>
          <w:color w:val="0D0D0D" w:themeColor="text1" w:themeTint="F2"/>
        </w:rPr>
        <w:t xml:space="preserve">Slovenija </w:t>
      </w:r>
      <w:r w:rsidRPr="00BB6E3B">
        <w:rPr>
          <w:rFonts w:cs="Arial"/>
          <w:color w:val="0D0D0D" w:themeColor="text1" w:themeTint="F2"/>
        </w:rPr>
        <w:t xml:space="preserve">pomisleke glede ustreznosti </w:t>
      </w:r>
      <w:r w:rsidR="008A72A7" w:rsidRPr="00BB6E3B">
        <w:rPr>
          <w:rFonts w:cs="Arial"/>
          <w:color w:val="0D0D0D" w:themeColor="text1" w:themeTint="F2"/>
        </w:rPr>
        <w:t xml:space="preserve">matrike </w:t>
      </w:r>
      <w:r w:rsidRPr="00BB6E3B">
        <w:rPr>
          <w:rFonts w:cs="Arial"/>
          <w:color w:val="0D0D0D" w:themeColor="text1" w:themeTint="F2"/>
        </w:rPr>
        <w:t xml:space="preserve">EU, ki določa potrebno letno fiskalno prilagajanje glede na </w:t>
      </w:r>
      <w:r w:rsidR="004979CB" w:rsidRPr="00BB6E3B">
        <w:rPr>
          <w:rFonts w:cs="Arial"/>
          <w:color w:val="0D0D0D" w:themeColor="text1" w:themeTint="F2"/>
        </w:rPr>
        <w:t>položaj</w:t>
      </w:r>
      <w:r w:rsidRPr="00BB6E3B">
        <w:rPr>
          <w:rFonts w:cs="Arial"/>
          <w:color w:val="0D0D0D" w:themeColor="text1" w:themeTint="F2"/>
        </w:rPr>
        <w:t xml:space="preserve"> gospodarstva v gospodarskem ciklu. Še posebej glede potrebnega letnega fiskalnega prilagajanja v času, ko ekonomije preidejo </w:t>
      </w:r>
      <w:r w:rsidR="008A72A7" w:rsidRPr="00BB6E3B">
        <w:rPr>
          <w:rFonts w:cs="Arial"/>
          <w:color w:val="0D0D0D" w:themeColor="text1" w:themeTint="F2"/>
        </w:rPr>
        <w:t xml:space="preserve">s </w:t>
      </w:r>
      <w:r w:rsidR="004979CB" w:rsidRPr="00BB6E3B">
        <w:rPr>
          <w:rFonts w:cs="Arial"/>
          <w:color w:val="0D0D0D" w:themeColor="text1" w:themeTint="F2"/>
        </w:rPr>
        <w:t>področja</w:t>
      </w:r>
      <w:r w:rsidRPr="00BB6E3B">
        <w:rPr>
          <w:rFonts w:cs="Arial"/>
          <w:color w:val="0D0D0D" w:themeColor="text1" w:themeTint="F2"/>
        </w:rPr>
        <w:t xml:space="preserve"> negativne v pozitivno proizvodno vrzel in presežejo 1,5</w:t>
      </w:r>
      <w:r w:rsidR="008A72A7" w:rsidRPr="00BB6E3B">
        <w:rPr>
          <w:rFonts w:cs="Arial"/>
          <w:color w:val="0D0D0D" w:themeColor="text1" w:themeTint="F2"/>
        </w:rPr>
        <w:t>-</w:t>
      </w:r>
      <w:r w:rsidR="004979CB" w:rsidRPr="00BB6E3B">
        <w:rPr>
          <w:rFonts w:cs="Arial"/>
          <w:color w:val="0D0D0D" w:themeColor="text1" w:themeTint="F2"/>
        </w:rPr>
        <w:t xml:space="preserve">% </w:t>
      </w:r>
      <w:r w:rsidRPr="00BB6E3B">
        <w:rPr>
          <w:rFonts w:cs="Arial"/>
          <w:color w:val="0D0D0D" w:themeColor="text1" w:themeTint="F2"/>
        </w:rPr>
        <w:t>prag</w:t>
      </w:r>
      <w:r w:rsidR="004979CB" w:rsidRPr="00BB6E3B">
        <w:rPr>
          <w:rFonts w:cs="Arial"/>
          <w:color w:val="0D0D0D" w:themeColor="text1" w:themeTint="F2"/>
        </w:rPr>
        <w:t xml:space="preserve"> nadpotencialne rasti BDP</w:t>
      </w:r>
      <w:r w:rsidRPr="00BB6E3B">
        <w:rPr>
          <w:rFonts w:cs="Arial"/>
          <w:color w:val="0D0D0D" w:themeColor="text1" w:themeTint="F2"/>
        </w:rPr>
        <w:t>.</w:t>
      </w:r>
    </w:p>
    <w:p w:rsidR="005E3CCC" w:rsidRPr="00BB6E3B" w:rsidRDefault="004979CB" w:rsidP="00847208">
      <w:pPr>
        <w:spacing w:line="276" w:lineRule="auto"/>
        <w:rPr>
          <w:rFonts w:cs="Arial"/>
          <w:color w:val="0D0D0D" w:themeColor="text1" w:themeTint="F2"/>
        </w:rPr>
      </w:pPr>
      <w:r w:rsidRPr="00BB6E3B">
        <w:rPr>
          <w:rFonts w:cs="Arial"/>
          <w:color w:val="0D0D0D" w:themeColor="text1" w:themeTint="F2"/>
        </w:rPr>
        <w:lastRenderedPageBreak/>
        <w:t>V</w:t>
      </w:r>
      <w:r w:rsidR="002D08AF" w:rsidRPr="00BB6E3B">
        <w:rPr>
          <w:rFonts w:cs="Arial"/>
          <w:color w:val="0D0D0D" w:themeColor="text1" w:themeTint="F2"/>
        </w:rPr>
        <w:t xml:space="preserve">elika in nenadna izboljšanja proizvodne vrzeli so </w:t>
      </w:r>
      <w:r w:rsidRPr="00BB6E3B">
        <w:rPr>
          <w:rFonts w:cs="Arial"/>
          <w:color w:val="0D0D0D" w:themeColor="text1" w:themeTint="F2"/>
        </w:rPr>
        <w:t xml:space="preserve">namreč </w:t>
      </w:r>
      <w:r w:rsidR="002D08AF" w:rsidRPr="00BB6E3B">
        <w:rPr>
          <w:rFonts w:cs="Arial"/>
          <w:color w:val="0D0D0D" w:themeColor="text1" w:themeTint="F2"/>
        </w:rPr>
        <w:t>pogosta v času po dolgotrajnem obdobju nizke gospodarske rasti ali recesije, kar ne pomeni nujno pregrevanja gospodarstva, ampak le prilagoditev povpraševanja z nizkih ravni.</w:t>
      </w:r>
      <w:r w:rsidRPr="00BB6E3B">
        <w:rPr>
          <w:rFonts w:cs="Arial"/>
          <w:color w:val="0D0D0D" w:themeColor="text1" w:themeTint="F2"/>
        </w:rPr>
        <w:t xml:space="preserve"> U</w:t>
      </w:r>
      <w:r w:rsidR="002D08AF" w:rsidRPr="00BB6E3B">
        <w:rPr>
          <w:rFonts w:cs="Arial"/>
          <w:color w:val="0D0D0D" w:themeColor="text1" w:themeTint="F2"/>
        </w:rPr>
        <w:t>smeritve fiskalne politike morajo biti vzdržne, načrtovane znotraj večletnega okvira, brez nenadnih prilagoditev zaradi velikih nihanj ocen proizvodne vrzeli. Poleg tega se te ne sme</w:t>
      </w:r>
      <w:r w:rsidR="008A72A7" w:rsidRPr="00BB6E3B">
        <w:rPr>
          <w:rFonts w:cs="Arial"/>
          <w:color w:val="0D0D0D" w:themeColor="text1" w:themeTint="F2"/>
        </w:rPr>
        <w:t>jo</w:t>
      </w:r>
      <w:r w:rsidR="002D08AF" w:rsidRPr="00BB6E3B">
        <w:rPr>
          <w:rFonts w:cs="Arial"/>
          <w:color w:val="0D0D0D" w:themeColor="text1" w:themeTint="F2"/>
        </w:rPr>
        <w:t xml:space="preserve"> rahljati, ko gospodarstvo preide v »dobre« gospodarske razmere. </w:t>
      </w:r>
    </w:p>
    <w:p w:rsidR="00F275F3" w:rsidRPr="00BB6E3B" w:rsidRDefault="00F275F3" w:rsidP="00F07F5D">
      <w:pPr>
        <w:pStyle w:val="Heading1"/>
        <w:rPr>
          <w:color w:val="0D0D0D" w:themeColor="text1" w:themeTint="F2"/>
        </w:rPr>
      </w:pPr>
      <w:bookmarkStart w:id="6" w:name="_Toc6923647"/>
      <w:r w:rsidRPr="00BB6E3B">
        <w:rPr>
          <w:color w:val="0D0D0D" w:themeColor="text1" w:themeTint="F2"/>
        </w:rPr>
        <w:t>EKONOMSK</w:t>
      </w:r>
      <w:r w:rsidR="002E3C2D" w:rsidRPr="00BB6E3B">
        <w:rPr>
          <w:color w:val="0D0D0D" w:themeColor="text1" w:themeTint="F2"/>
        </w:rPr>
        <w:t>A IN FISKALNA</w:t>
      </w:r>
      <w:r w:rsidRPr="00BB6E3B">
        <w:rPr>
          <w:color w:val="0D0D0D" w:themeColor="text1" w:themeTint="F2"/>
        </w:rPr>
        <w:t xml:space="preserve"> POLITIK</w:t>
      </w:r>
      <w:r w:rsidR="002E3C2D" w:rsidRPr="00BB6E3B">
        <w:rPr>
          <w:color w:val="0D0D0D" w:themeColor="text1" w:themeTint="F2"/>
        </w:rPr>
        <w:t>A</w:t>
      </w:r>
      <w:bookmarkEnd w:id="6"/>
      <w:r w:rsidR="00037859" w:rsidRPr="00BB6E3B">
        <w:rPr>
          <w:color w:val="0D0D0D" w:themeColor="text1" w:themeTint="F2"/>
        </w:rPr>
        <w:t xml:space="preserve"> </w:t>
      </w:r>
    </w:p>
    <w:p w:rsidR="007120DE" w:rsidRPr="00BB6E3B" w:rsidRDefault="007120DE" w:rsidP="00B23785">
      <w:pPr>
        <w:rPr>
          <w:rFonts w:cs="Arial"/>
          <w:color w:val="0D0D0D" w:themeColor="text1" w:themeTint="F2"/>
        </w:rPr>
      </w:pPr>
    </w:p>
    <w:p w:rsidR="007120DE" w:rsidRPr="00BB6E3B" w:rsidRDefault="007120DE" w:rsidP="00847208">
      <w:pPr>
        <w:spacing w:after="0" w:line="276" w:lineRule="auto"/>
        <w:rPr>
          <w:rFonts w:cs="Arial"/>
          <w:color w:val="0D0D0D" w:themeColor="text1" w:themeTint="F2"/>
          <w:szCs w:val="20"/>
        </w:rPr>
      </w:pPr>
      <w:r w:rsidRPr="00BB6E3B">
        <w:rPr>
          <w:rFonts w:cs="Arial"/>
          <w:color w:val="0D0D0D" w:themeColor="text1" w:themeTint="F2"/>
          <w:szCs w:val="20"/>
        </w:rPr>
        <w:t xml:space="preserve">Vlada RS je nastopila mandat 13. </w:t>
      </w:r>
      <w:r w:rsidR="00B41BD5" w:rsidRPr="00BB6E3B">
        <w:rPr>
          <w:rFonts w:cs="Arial"/>
          <w:color w:val="0D0D0D" w:themeColor="text1" w:themeTint="F2"/>
          <w:szCs w:val="20"/>
        </w:rPr>
        <w:t>septembra</w:t>
      </w:r>
      <w:r w:rsidRPr="00BB6E3B">
        <w:rPr>
          <w:rFonts w:cs="Arial"/>
          <w:color w:val="0D0D0D" w:themeColor="text1" w:themeTint="F2"/>
          <w:szCs w:val="20"/>
        </w:rPr>
        <w:t xml:space="preserve"> 2018, zato </w:t>
      </w:r>
      <w:r w:rsidR="004979CB" w:rsidRPr="00BB6E3B">
        <w:rPr>
          <w:rFonts w:cs="Arial"/>
          <w:color w:val="0D0D0D" w:themeColor="text1" w:themeTint="F2"/>
          <w:szCs w:val="20"/>
        </w:rPr>
        <w:t>od marca 2018 (odstop predsednika vlade)</w:t>
      </w:r>
      <w:r w:rsidRPr="00BB6E3B">
        <w:rPr>
          <w:rFonts w:cs="Arial"/>
          <w:color w:val="0D0D0D" w:themeColor="text1" w:themeTint="F2"/>
          <w:szCs w:val="20"/>
        </w:rPr>
        <w:t xml:space="preserve"> ni bilo </w:t>
      </w:r>
      <w:r w:rsidR="008A72A7" w:rsidRPr="00BB6E3B">
        <w:rPr>
          <w:rFonts w:cs="Arial"/>
          <w:color w:val="0D0D0D" w:themeColor="text1" w:themeTint="F2"/>
          <w:szCs w:val="20"/>
        </w:rPr>
        <w:t xml:space="preserve">mogoče </w:t>
      </w:r>
      <w:r w:rsidRPr="00BB6E3B">
        <w:rPr>
          <w:rFonts w:cs="Arial"/>
          <w:color w:val="0D0D0D" w:themeColor="text1" w:themeTint="F2"/>
          <w:szCs w:val="20"/>
        </w:rPr>
        <w:t xml:space="preserve">sprejeti politik in ukrepov, ki bi že vplivali na </w:t>
      </w:r>
      <w:r w:rsidR="00B41BD5" w:rsidRPr="00BB6E3B">
        <w:rPr>
          <w:rFonts w:cs="Arial"/>
          <w:color w:val="0D0D0D" w:themeColor="text1" w:themeTint="F2"/>
          <w:szCs w:val="20"/>
        </w:rPr>
        <w:t xml:space="preserve">državni </w:t>
      </w:r>
      <w:r w:rsidRPr="00BB6E3B">
        <w:rPr>
          <w:rFonts w:cs="Arial"/>
          <w:color w:val="0D0D0D" w:themeColor="text1" w:themeTint="F2"/>
          <w:szCs w:val="20"/>
        </w:rPr>
        <w:t xml:space="preserve">proračun 2019, na blagajne javnega financiranja in na sektor država. Praktično je </w:t>
      </w:r>
      <w:r w:rsidR="00131C0D" w:rsidRPr="00BB6E3B">
        <w:rPr>
          <w:rFonts w:cs="Arial"/>
          <w:color w:val="0D0D0D" w:themeColor="text1" w:themeTint="F2"/>
          <w:szCs w:val="20"/>
        </w:rPr>
        <w:t xml:space="preserve">bilo </w:t>
      </w:r>
      <w:r w:rsidRPr="00BB6E3B">
        <w:rPr>
          <w:rFonts w:cs="Arial"/>
          <w:color w:val="0D0D0D" w:themeColor="text1" w:themeTint="F2"/>
          <w:szCs w:val="20"/>
        </w:rPr>
        <w:t xml:space="preserve">celo </w:t>
      </w:r>
      <w:r w:rsidR="00B41BD5" w:rsidRPr="00BB6E3B">
        <w:rPr>
          <w:rFonts w:cs="Arial"/>
          <w:color w:val="0D0D0D" w:themeColor="text1" w:themeTint="F2"/>
          <w:szCs w:val="20"/>
        </w:rPr>
        <w:t xml:space="preserve">leto </w:t>
      </w:r>
      <w:r w:rsidRPr="00BB6E3B">
        <w:rPr>
          <w:rFonts w:cs="Arial"/>
          <w:color w:val="0D0D0D" w:themeColor="text1" w:themeTint="F2"/>
          <w:szCs w:val="20"/>
        </w:rPr>
        <w:t xml:space="preserve">2018 </w:t>
      </w:r>
      <w:r w:rsidR="00B41BD5" w:rsidRPr="00BB6E3B">
        <w:rPr>
          <w:rFonts w:cs="Arial"/>
          <w:color w:val="0D0D0D" w:themeColor="text1" w:themeTint="F2"/>
          <w:szCs w:val="20"/>
        </w:rPr>
        <w:t xml:space="preserve">posledica </w:t>
      </w:r>
      <w:r w:rsidRPr="00BB6E3B">
        <w:rPr>
          <w:rFonts w:cs="Arial"/>
          <w:color w:val="0D0D0D" w:themeColor="text1" w:themeTint="F2"/>
          <w:szCs w:val="20"/>
        </w:rPr>
        <w:t>prenehanja omejitev in t.</w:t>
      </w:r>
      <w:r w:rsidR="008A72A7" w:rsidRPr="00BB6E3B">
        <w:rPr>
          <w:rFonts w:cs="Arial"/>
          <w:color w:val="0D0D0D" w:themeColor="text1" w:themeTint="F2"/>
          <w:szCs w:val="20"/>
        </w:rPr>
        <w:t> </w:t>
      </w:r>
      <w:r w:rsidRPr="00BB6E3B">
        <w:rPr>
          <w:rFonts w:cs="Arial"/>
          <w:color w:val="0D0D0D" w:themeColor="text1" w:themeTint="F2"/>
          <w:szCs w:val="20"/>
        </w:rPr>
        <w:t xml:space="preserve">i. </w:t>
      </w:r>
      <w:r w:rsidR="00B41BD5" w:rsidRPr="00BB6E3B">
        <w:rPr>
          <w:rFonts w:cs="Arial"/>
          <w:color w:val="0D0D0D" w:themeColor="text1" w:themeTint="F2"/>
          <w:szCs w:val="20"/>
        </w:rPr>
        <w:t xml:space="preserve">scenarija </w:t>
      </w:r>
      <w:r w:rsidRPr="00BB6E3B">
        <w:rPr>
          <w:rFonts w:cs="Arial"/>
          <w:color w:val="0D0D0D" w:themeColor="text1" w:themeTint="F2"/>
          <w:szCs w:val="20"/>
        </w:rPr>
        <w:t>ob predpostavki nesprem</w:t>
      </w:r>
      <w:r w:rsidR="008A72A7" w:rsidRPr="00BB6E3B">
        <w:rPr>
          <w:rFonts w:cs="Arial"/>
          <w:color w:val="0D0D0D" w:themeColor="text1" w:themeTint="F2"/>
          <w:szCs w:val="20"/>
        </w:rPr>
        <w:t>e</w:t>
      </w:r>
      <w:r w:rsidRPr="00BB6E3B">
        <w:rPr>
          <w:rFonts w:cs="Arial"/>
          <w:color w:val="0D0D0D" w:themeColor="text1" w:themeTint="F2"/>
          <w:szCs w:val="20"/>
        </w:rPr>
        <w:t xml:space="preserve">njenih politik. Pri tem velja </w:t>
      </w:r>
      <w:r w:rsidR="008A72A7" w:rsidRPr="00BB6E3B">
        <w:rPr>
          <w:rFonts w:cs="Arial"/>
          <w:color w:val="0D0D0D" w:themeColor="text1" w:themeTint="F2"/>
          <w:szCs w:val="20"/>
        </w:rPr>
        <w:t>poudariti</w:t>
      </w:r>
      <w:r w:rsidRPr="00BB6E3B">
        <w:rPr>
          <w:rFonts w:cs="Arial"/>
          <w:color w:val="0D0D0D" w:themeColor="text1" w:themeTint="F2"/>
          <w:szCs w:val="20"/>
        </w:rPr>
        <w:t xml:space="preserve">, </w:t>
      </w:r>
      <w:r w:rsidR="00B41BD5" w:rsidRPr="00BB6E3B">
        <w:rPr>
          <w:rFonts w:cs="Arial"/>
          <w:color w:val="0D0D0D" w:themeColor="text1" w:themeTint="F2"/>
          <w:szCs w:val="20"/>
        </w:rPr>
        <w:t xml:space="preserve">da kljub temu </w:t>
      </w:r>
      <w:r w:rsidR="001C284E" w:rsidRPr="00BB6E3B">
        <w:rPr>
          <w:rFonts w:cs="Arial"/>
          <w:color w:val="0D0D0D" w:themeColor="text1" w:themeTint="F2"/>
          <w:szCs w:val="20"/>
        </w:rPr>
        <w:t>–</w:t>
      </w:r>
      <w:r w:rsidR="00131C0D" w:rsidRPr="00BB6E3B">
        <w:rPr>
          <w:rFonts w:cs="Arial"/>
          <w:color w:val="0D0D0D" w:themeColor="text1" w:themeTint="F2"/>
          <w:szCs w:val="20"/>
        </w:rPr>
        <w:t xml:space="preserve"> </w:t>
      </w:r>
      <w:r w:rsidRPr="00BB6E3B">
        <w:rPr>
          <w:rFonts w:cs="Arial"/>
          <w:color w:val="0D0D0D" w:themeColor="text1" w:themeTint="F2"/>
          <w:szCs w:val="20"/>
        </w:rPr>
        <w:t xml:space="preserve">primerjalno gledano </w:t>
      </w:r>
      <w:r w:rsidR="008A72A7" w:rsidRPr="00BB6E3B">
        <w:rPr>
          <w:rFonts w:cs="Arial"/>
          <w:color w:val="0D0D0D" w:themeColor="text1" w:themeTint="F2"/>
          <w:szCs w:val="20"/>
        </w:rPr>
        <w:t xml:space="preserve">– od </w:t>
      </w:r>
      <w:r w:rsidRPr="00BB6E3B">
        <w:rPr>
          <w:rFonts w:cs="Arial"/>
          <w:color w:val="0D0D0D" w:themeColor="text1" w:themeTint="F2"/>
          <w:szCs w:val="20"/>
        </w:rPr>
        <w:t>strukturn</w:t>
      </w:r>
      <w:r w:rsidR="008A72A7" w:rsidRPr="00BB6E3B">
        <w:rPr>
          <w:rFonts w:cs="Arial"/>
          <w:color w:val="0D0D0D" w:themeColor="text1" w:themeTint="F2"/>
          <w:szCs w:val="20"/>
        </w:rPr>
        <w:t>ih</w:t>
      </w:r>
      <w:r w:rsidRPr="00BB6E3B">
        <w:rPr>
          <w:rFonts w:cs="Arial"/>
          <w:color w:val="0D0D0D" w:themeColor="text1" w:themeTint="F2"/>
          <w:szCs w:val="20"/>
        </w:rPr>
        <w:t xml:space="preserve"> sa</w:t>
      </w:r>
      <w:r w:rsidR="004979CB" w:rsidRPr="00BB6E3B">
        <w:rPr>
          <w:rFonts w:cs="Arial"/>
          <w:color w:val="0D0D0D" w:themeColor="text1" w:themeTint="F2"/>
          <w:szCs w:val="20"/>
        </w:rPr>
        <w:t>ld</w:t>
      </w:r>
      <w:r w:rsidR="008A72A7" w:rsidRPr="00BB6E3B">
        <w:rPr>
          <w:rFonts w:cs="Arial"/>
          <w:color w:val="0D0D0D" w:themeColor="text1" w:themeTint="F2"/>
          <w:szCs w:val="20"/>
        </w:rPr>
        <w:t>ov</w:t>
      </w:r>
      <w:r w:rsidR="004979CB" w:rsidRPr="00BB6E3B">
        <w:rPr>
          <w:rFonts w:cs="Arial"/>
          <w:color w:val="0D0D0D" w:themeColor="text1" w:themeTint="F2"/>
          <w:szCs w:val="20"/>
        </w:rPr>
        <w:t xml:space="preserve"> v evr</w:t>
      </w:r>
      <w:r w:rsidR="008A72A7" w:rsidRPr="00BB6E3B">
        <w:rPr>
          <w:rFonts w:cs="Arial"/>
          <w:color w:val="0D0D0D" w:themeColor="text1" w:themeTint="F2"/>
          <w:szCs w:val="20"/>
        </w:rPr>
        <w:t xml:space="preserve">skem </w:t>
      </w:r>
      <w:r w:rsidR="004979CB" w:rsidRPr="00BB6E3B">
        <w:rPr>
          <w:rFonts w:cs="Arial"/>
          <w:color w:val="0D0D0D" w:themeColor="text1" w:themeTint="F2"/>
          <w:szCs w:val="20"/>
        </w:rPr>
        <w:t xml:space="preserve">območju (izračuni EK) </w:t>
      </w:r>
      <w:r w:rsidRPr="00BB6E3B">
        <w:rPr>
          <w:rFonts w:cs="Arial"/>
          <w:color w:val="0D0D0D" w:themeColor="text1" w:themeTint="F2"/>
          <w:szCs w:val="20"/>
        </w:rPr>
        <w:t xml:space="preserve">Slovenija ne odstopa, </w:t>
      </w:r>
      <w:r w:rsidR="00B41BD5" w:rsidRPr="00BB6E3B">
        <w:rPr>
          <w:rFonts w:cs="Arial"/>
          <w:color w:val="0D0D0D" w:themeColor="text1" w:themeTint="F2"/>
          <w:szCs w:val="20"/>
        </w:rPr>
        <w:t xml:space="preserve">saj </w:t>
      </w:r>
      <w:r w:rsidRPr="00BB6E3B">
        <w:rPr>
          <w:rFonts w:cs="Arial"/>
          <w:color w:val="0D0D0D" w:themeColor="text1" w:themeTint="F2"/>
          <w:szCs w:val="20"/>
        </w:rPr>
        <w:t>je bilo evr</w:t>
      </w:r>
      <w:r w:rsidR="008A72A7" w:rsidRPr="00BB6E3B">
        <w:rPr>
          <w:rFonts w:cs="Arial"/>
          <w:color w:val="0D0D0D" w:themeColor="text1" w:themeTint="F2"/>
          <w:szCs w:val="20"/>
        </w:rPr>
        <w:t xml:space="preserve">sko </w:t>
      </w:r>
      <w:r w:rsidRPr="00BB6E3B">
        <w:rPr>
          <w:rFonts w:cs="Arial"/>
          <w:color w:val="0D0D0D" w:themeColor="text1" w:themeTint="F2"/>
          <w:szCs w:val="20"/>
        </w:rPr>
        <w:t>območje v povprečju oddaljeno za 1</w:t>
      </w:r>
      <w:r w:rsidR="008A72A7" w:rsidRPr="00BB6E3B">
        <w:rPr>
          <w:rFonts w:cs="Arial"/>
          <w:color w:val="0D0D0D" w:themeColor="text1" w:themeTint="F2"/>
          <w:szCs w:val="20"/>
        </w:rPr>
        <w:t> </w:t>
      </w:r>
      <w:r w:rsidRPr="00BB6E3B">
        <w:rPr>
          <w:rFonts w:cs="Arial"/>
          <w:color w:val="0D0D0D" w:themeColor="text1" w:themeTint="F2"/>
          <w:szCs w:val="20"/>
        </w:rPr>
        <w:t>odstotno točko od uravnoteženosti. Izračuni Ministrstva za fina</w:t>
      </w:r>
      <w:r w:rsidR="00B41BD5" w:rsidRPr="00BB6E3B">
        <w:rPr>
          <w:rFonts w:cs="Arial"/>
          <w:color w:val="0D0D0D" w:themeColor="text1" w:themeTint="F2"/>
          <w:szCs w:val="20"/>
        </w:rPr>
        <w:t>n</w:t>
      </w:r>
      <w:r w:rsidRPr="00BB6E3B">
        <w:rPr>
          <w:rFonts w:cs="Arial"/>
          <w:color w:val="0D0D0D" w:themeColor="text1" w:themeTint="F2"/>
          <w:szCs w:val="20"/>
        </w:rPr>
        <w:t>ce in Fiskalnega sveta RS izkazujejo</w:t>
      </w:r>
      <w:r w:rsidR="00937587">
        <w:rPr>
          <w:rFonts w:cs="Arial"/>
          <w:color w:val="0D0D0D" w:themeColor="text1" w:themeTint="F2"/>
          <w:szCs w:val="20"/>
        </w:rPr>
        <w:t xml:space="preserve"> uravnoteženost celo za leto 2019 (če se spoštuje meja v Okviru)</w:t>
      </w:r>
      <w:r w:rsidRPr="00BB6E3B">
        <w:rPr>
          <w:rFonts w:cs="Arial"/>
          <w:color w:val="0D0D0D" w:themeColor="text1" w:themeTint="F2"/>
          <w:szCs w:val="20"/>
        </w:rPr>
        <w:t xml:space="preserve">. Pri tem Slovenija stalno presega tudi povprečje </w:t>
      </w:r>
      <w:r w:rsidR="00632FD9" w:rsidRPr="00BB6E3B">
        <w:rPr>
          <w:rFonts w:cs="Arial"/>
          <w:color w:val="0D0D0D" w:themeColor="text1" w:themeTint="F2"/>
          <w:szCs w:val="20"/>
        </w:rPr>
        <w:t>evr</w:t>
      </w:r>
      <w:r w:rsidR="008A72A7" w:rsidRPr="00BB6E3B">
        <w:rPr>
          <w:rFonts w:cs="Arial"/>
          <w:color w:val="0D0D0D" w:themeColor="text1" w:themeTint="F2"/>
          <w:szCs w:val="20"/>
        </w:rPr>
        <w:t xml:space="preserve">skega </w:t>
      </w:r>
      <w:r w:rsidR="00632FD9" w:rsidRPr="00BB6E3B">
        <w:rPr>
          <w:rFonts w:cs="Arial"/>
          <w:color w:val="0D0D0D" w:themeColor="text1" w:themeTint="F2"/>
          <w:szCs w:val="20"/>
        </w:rPr>
        <w:t xml:space="preserve">območja </w:t>
      </w:r>
      <w:r w:rsidRPr="00BB6E3B">
        <w:rPr>
          <w:rFonts w:cs="Arial"/>
          <w:color w:val="0D0D0D" w:themeColor="text1" w:themeTint="F2"/>
          <w:szCs w:val="20"/>
        </w:rPr>
        <w:t xml:space="preserve">primarnega salda sektorja država </w:t>
      </w:r>
      <w:r w:rsidR="004979CB" w:rsidRPr="00BB6E3B">
        <w:rPr>
          <w:rFonts w:cs="Arial"/>
          <w:color w:val="0D0D0D" w:themeColor="text1" w:themeTint="F2"/>
          <w:szCs w:val="20"/>
        </w:rPr>
        <w:t xml:space="preserve">in beleži </w:t>
      </w:r>
      <w:r w:rsidRPr="00BB6E3B">
        <w:rPr>
          <w:rFonts w:cs="Arial"/>
          <w:color w:val="0D0D0D" w:themeColor="text1" w:themeTint="F2"/>
          <w:szCs w:val="20"/>
        </w:rPr>
        <w:t>2,</w:t>
      </w:r>
      <w:r w:rsidR="00E46B1E" w:rsidRPr="00BB6E3B">
        <w:rPr>
          <w:rFonts w:cs="Arial"/>
          <w:color w:val="0D0D0D" w:themeColor="text1" w:themeTint="F2"/>
          <w:szCs w:val="20"/>
        </w:rPr>
        <w:t>7</w:t>
      </w:r>
      <w:r w:rsidR="008C3ADC" w:rsidRPr="00BB6E3B">
        <w:rPr>
          <w:rFonts w:cs="Arial"/>
          <w:color w:val="0D0D0D" w:themeColor="text1" w:themeTint="F2"/>
          <w:szCs w:val="20"/>
        </w:rPr>
        <w:t xml:space="preserve"> </w:t>
      </w:r>
      <w:r w:rsidRPr="00BB6E3B">
        <w:rPr>
          <w:rFonts w:cs="Arial"/>
          <w:color w:val="0D0D0D" w:themeColor="text1" w:themeTint="F2"/>
          <w:szCs w:val="20"/>
        </w:rPr>
        <w:t xml:space="preserve">% </w:t>
      </w:r>
      <w:r w:rsidR="008C3ADC" w:rsidRPr="00BB6E3B">
        <w:rPr>
          <w:rFonts w:cs="Arial"/>
          <w:color w:val="0D0D0D" w:themeColor="text1" w:themeTint="F2"/>
          <w:szCs w:val="20"/>
        </w:rPr>
        <w:t xml:space="preserve">BDP </w:t>
      </w:r>
      <w:r w:rsidRPr="00BB6E3B">
        <w:rPr>
          <w:rFonts w:cs="Arial"/>
          <w:color w:val="0D0D0D" w:themeColor="text1" w:themeTint="F2"/>
          <w:szCs w:val="20"/>
        </w:rPr>
        <w:t>primarnega presežka</w:t>
      </w:r>
      <w:r w:rsidR="008C3ADC" w:rsidRPr="00BB6E3B">
        <w:rPr>
          <w:rFonts w:cs="Arial"/>
          <w:color w:val="0D0D0D" w:themeColor="text1" w:themeTint="F2"/>
          <w:szCs w:val="20"/>
        </w:rPr>
        <w:t xml:space="preserve"> v letu 2018 (povprečje evr</w:t>
      </w:r>
      <w:r w:rsidR="008A72A7" w:rsidRPr="00BB6E3B">
        <w:rPr>
          <w:rFonts w:cs="Arial"/>
          <w:color w:val="0D0D0D" w:themeColor="text1" w:themeTint="F2"/>
          <w:szCs w:val="20"/>
        </w:rPr>
        <w:t xml:space="preserve">skega </w:t>
      </w:r>
      <w:r w:rsidR="008C3ADC" w:rsidRPr="00BB6E3B">
        <w:rPr>
          <w:rFonts w:cs="Arial"/>
          <w:color w:val="0D0D0D" w:themeColor="text1" w:themeTint="F2"/>
          <w:szCs w:val="20"/>
        </w:rPr>
        <w:t>območja 1,2</w:t>
      </w:r>
      <w:r w:rsidR="00E46B1E" w:rsidRPr="00BB6E3B">
        <w:rPr>
          <w:rFonts w:cs="Arial"/>
          <w:color w:val="0D0D0D" w:themeColor="text1" w:themeTint="F2"/>
          <w:szCs w:val="20"/>
        </w:rPr>
        <w:t xml:space="preserve"> </w:t>
      </w:r>
      <w:r w:rsidR="008C3ADC" w:rsidRPr="00BB6E3B">
        <w:rPr>
          <w:rFonts w:cs="Arial"/>
          <w:color w:val="0D0D0D" w:themeColor="text1" w:themeTint="F2"/>
          <w:szCs w:val="20"/>
        </w:rPr>
        <w:t>% BDP v letu 2018, Ameco)</w:t>
      </w:r>
      <w:r w:rsidRPr="00BB6E3B">
        <w:rPr>
          <w:rFonts w:cs="Arial"/>
          <w:color w:val="0D0D0D" w:themeColor="text1" w:themeTint="F2"/>
          <w:szCs w:val="20"/>
        </w:rPr>
        <w:t xml:space="preserve">. Istočasno šele v okviru pomladanskega cikla </w:t>
      </w:r>
      <w:r w:rsidR="001C7DB7" w:rsidRPr="00BB6E3B">
        <w:rPr>
          <w:rFonts w:cs="Arial"/>
          <w:color w:val="0D0D0D" w:themeColor="text1" w:themeTint="F2"/>
          <w:szCs w:val="20"/>
        </w:rPr>
        <w:t xml:space="preserve">evropskega </w:t>
      </w:r>
      <w:r w:rsidRPr="00BB6E3B">
        <w:rPr>
          <w:rFonts w:cs="Arial"/>
          <w:color w:val="0D0D0D" w:themeColor="text1" w:themeTint="F2"/>
          <w:szCs w:val="20"/>
        </w:rPr>
        <w:t xml:space="preserve">semestra </w:t>
      </w:r>
      <w:r w:rsidR="00B41BD5" w:rsidRPr="00BB6E3B">
        <w:rPr>
          <w:rFonts w:cs="Arial"/>
          <w:color w:val="0D0D0D" w:themeColor="text1" w:themeTint="F2"/>
          <w:szCs w:val="20"/>
        </w:rPr>
        <w:t>ta vlada</w:t>
      </w:r>
      <w:r w:rsidRPr="00BB6E3B">
        <w:rPr>
          <w:rFonts w:cs="Arial"/>
          <w:color w:val="0D0D0D" w:themeColor="text1" w:themeTint="F2"/>
          <w:szCs w:val="20"/>
        </w:rPr>
        <w:t xml:space="preserve"> prvič </w:t>
      </w:r>
      <w:r w:rsidR="008A72A7" w:rsidRPr="00BB6E3B">
        <w:rPr>
          <w:rFonts w:cs="Arial"/>
          <w:color w:val="0D0D0D" w:themeColor="text1" w:themeTint="F2"/>
          <w:szCs w:val="20"/>
        </w:rPr>
        <w:t xml:space="preserve">obravnava </w:t>
      </w:r>
      <w:r w:rsidRPr="00BB6E3B">
        <w:rPr>
          <w:rFonts w:cs="Arial"/>
          <w:color w:val="0D0D0D" w:themeColor="text1" w:themeTint="F2"/>
          <w:szCs w:val="20"/>
        </w:rPr>
        <w:t xml:space="preserve">srednjeročni </w:t>
      </w:r>
      <w:r w:rsidR="00B41BD5" w:rsidRPr="00BB6E3B">
        <w:rPr>
          <w:rFonts w:cs="Arial"/>
          <w:color w:val="0D0D0D" w:themeColor="text1" w:themeTint="F2"/>
          <w:szCs w:val="20"/>
        </w:rPr>
        <w:t xml:space="preserve">fiskalni </w:t>
      </w:r>
      <w:r w:rsidRPr="00BB6E3B">
        <w:rPr>
          <w:rFonts w:cs="Arial"/>
          <w:color w:val="0D0D0D" w:themeColor="text1" w:themeTint="F2"/>
          <w:szCs w:val="20"/>
        </w:rPr>
        <w:t>okvir, Okvir za pripravo proračunov sektorja država 2020</w:t>
      </w:r>
      <w:r w:rsidR="001C284E" w:rsidRPr="00BB6E3B">
        <w:rPr>
          <w:rFonts w:cs="Arial"/>
          <w:color w:val="0D0D0D" w:themeColor="text1" w:themeTint="F2"/>
          <w:szCs w:val="20"/>
        </w:rPr>
        <w:t>–</w:t>
      </w:r>
      <w:r w:rsidRPr="00BB6E3B">
        <w:rPr>
          <w:rFonts w:cs="Arial"/>
          <w:color w:val="0D0D0D" w:themeColor="text1" w:themeTint="F2"/>
          <w:szCs w:val="20"/>
        </w:rPr>
        <w:t xml:space="preserve">2022. Vlada se je zavezala, da bo </w:t>
      </w:r>
      <w:r w:rsidR="00FF6AF5" w:rsidRPr="00BB6E3B">
        <w:rPr>
          <w:rFonts w:cs="Arial"/>
          <w:color w:val="0D0D0D" w:themeColor="text1" w:themeTint="F2"/>
          <w:szCs w:val="20"/>
        </w:rPr>
        <w:t>v okviru mandata dosegla srednj</w:t>
      </w:r>
      <w:r w:rsidRPr="00BB6E3B">
        <w:rPr>
          <w:rFonts w:cs="Arial"/>
          <w:color w:val="0D0D0D" w:themeColor="text1" w:themeTint="F2"/>
          <w:szCs w:val="20"/>
        </w:rPr>
        <w:t>e</w:t>
      </w:r>
      <w:r w:rsidR="00FF6AF5" w:rsidRPr="00BB6E3B">
        <w:rPr>
          <w:rFonts w:cs="Arial"/>
          <w:color w:val="0D0D0D" w:themeColor="text1" w:themeTint="F2"/>
          <w:szCs w:val="20"/>
        </w:rPr>
        <w:t>r</w:t>
      </w:r>
      <w:r w:rsidRPr="00BB6E3B">
        <w:rPr>
          <w:rFonts w:cs="Arial"/>
          <w:color w:val="0D0D0D" w:themeColor="text1" w:themeTint="F2"/>
          <w:szCs w:val="20"/>
        </w:rPr>
        <w:t xml:space="preserve">očno uravnoteženost, kar </w:t>
      </w:r>
      <w:r w:rsidR="008A72A7" w:rsidRPr="00BB6E3B">
        <w:rPr>
          <w:rFonts w:cs="Arial"/>
          <w:color w:val="0D0D0D" w:themeColor="text1" w:themeTint="F2"/>
          <w:szCs w:val="20"/>
        </w:rPr>
        <w:t xml:space="preserve">obravnavata </w:t>
      </w:r>
      <w:r w:rsidRPr="00BB6E3B">
        <w:rPr>
          <w:rFonts w:cs="Arial"/>
          <w:color w:val="0D0D0D" w:themeColor="text1" w:themeTint="F2"/>
          <w:szCs w:val="20"/>
        </w:rPr>
        <w:t>tako Program stabilnosti kot tud</w:t>
      </w:r>
      <w:r w:rsidR="00B41BD5" w:rsidRPr="00BB6E3B">
        <w:rPr>
          <w:rFonts w:cs="Arial"/>
          <w:color w:val="0D0D0D" w:themeColor="text1" w:themeTint="F2"/>
          <w:szCs w:val="20"/>
        </w:rPr>
        <w:t>i</w:t>
      </w:r>
      <w:r w:rsidRPr="00BB6E3B">
        <w:rPr>
          <w:rFonts w:cs="Arial"/>
          <w:color w:val="0D0D0D" w:themeColor="text1" w:themeTint="F2"/>
          <w:szCs w:val="20"/>
        </w:rPr>
        <w:t xml:space="preserve"> Okvir.</w:t>
      </w:r>
    </w:p>
    <w:p w:rsidR="007120DE" w:rsidRPr="00BB6E3B" w:rsidRDefault="007120DE" w:rsidP="00847208">
      <w:pPr>
        <w:spacing w:after="0" w:line="276" w:lineRule="auto"/>
        <w:rPr>
          <w:rFonts w:cs="Arial"/>
          <w:color w:val="0D0D0D" w:themeColor="text1" w:themeTint="F2"/>
        </w:rPr>
      </w:pPr>
    </w:p>
    <w:p w:rsidR="007120DE" w:rsidRPr="00BB6E3B" w:rsidRDefault="007120DE" w:rsidP="00847208">
      <w:pPr>
        <w:pBdr>
          <w:top w:val="single" w:sz="4" w:space="1" w:color="auto"/>
          <w:left w:val="single" w:sz="4" w:space="4" w:color="auto"/>
          <w:bottom w:val="single" w:sz="4" w:space="1" w:color="auto"/>
          <w:right w:val="single" w:sz="4" w:space="4" w:color="auto"/>
        </w:pBdr>
        <w:spacing w:line="276" w:lineRule="auto"/>
        <w:rPr>
          <w:rFonts w:cs="Arial"/>
          <w:b/>
          <w:i/>
          <w:color w:val="0D0D0D" w:themeColor="text1" w:themeTint="F2"/>
        </w:rPr>
      </w:pPr>
      <w:r w:rsidRPr="00BB6E3B">
        <w:rPr>
          <w:rFonts w:cs="Arial"/>
          <w:b/>
          <w:i/>
          <w:color w:val="0D0D0D" w:themeColor="text1" w:themeTint="F2"/>
        </w:rPr>
        <w:t>Pogled Evropske komisije na začrtano pot v Osnutku proračunskega načrta 2019, februar 2019:</w:t>
      </w:r>
    </w:p>
    <w:p w:rsidR="007120DE" w:rsidRPr="00BB6E3B" w:rsidRDefault="007120DE" w:rsidP="00847208">
      <w:pPr>
        <w:pBdr>
          <w:top w:val="single" w:sz="4" w:space="1" w:color="auto"/>
          <w:left w:val="single" w:sz="4" w:space="4" w:color="auto"/>
          <w:bottom w:val="single" w:sz="4" w:space="1" w:color="auto"/>
          <w:right w:val="single" w:sz="4" w:space="4" w:color="auto"/>
        </w:pBdr>
        <w:autoSpaceDE w:val="0"/>
        <w:autoSpaceDN w:val="0"/>
        <w:adjustRightInd w:val="0"/>
        <w:spacing w:after="0" w:line="276" w:lineRule="auto"/>
        <w:rPr>
          <w:rFonts w:cs="Arial"/>
          <w:i/>
          <w:color w:val="0D0D0D" w:themeColor="text1" w:themeTint="F2"/>
        </w:rPr>
      </w:pPr>
      <w:r w:rsidRPr="00BB6E3B">
        <w:rPr>
          <w:rFonts w:cs="Arial"/>
          <w:i/>
          <w:color w:val="0D0D0D" w:themeColor="text1" w:themeTint="F2"/>
        </w:rPr>
        <w:t xml:space="preserve"> »V primeru Slovenije obstaja </w:t>
      </w:r>
      <w:r w:rsidRPr="00BB6E3B">
        <w:rPr>
          <w:rFonts w:cs="Arial"/>
          <w:b/>
          <w:bCs/>
          <w:i/>
          <w:color w:val="0D0D0D" w:themeColor="text1" w:themeTint="F2"/>
        </w:rPr>
        <w:t>tveganje neskladnosti</w:t>
      </w:r>
      <w:r w:rsidRPr="00BB6E3B">
        <w:rPr>
          <w:rFonts w:cs="Arial"/>
          <w:i/>
          <w:color w:val="0D0D0D" w:themeColor="text1" w:themeTint="F2"/>
        </w:rPr>
        <w:t xml:space="preserve"> z zahtevami iz Pakta za leto 2019. Osnutek proračunskega načrta bi lahko povzročili znatno odstopanje od prilagoditvene poti za dosego srednjeročnega cilja. Slovenija je v preventivni roki Pakta stabilnosti in rasti in mora doseči/zagotoviti zanesljivo pot do srednjeročnega cilja MTO</w:t>
      </w:r>
      <w:r w:rsidR="008A72A7" w:rsidRPr="00BB6E3B">
        <w:rPr>
          <w:rFonts w:cs="Arial"/>
          <w:i/>
          <w:color w:val="0D0D0D" w:themeColor="text1" w:themeTint="F2"/>
        </w:rPr>
        <w:t xml:space="preserve"> </w:t>
      </w:r>
      <w:r w:rsidRPr="00BB6E3B">
        <w:rPr>
          <w:rFonts w:cs="Arial"/>
          <w:i/>
          <w:color w:val="0D0D0D" w:themeColor="text1" w:themeTint="F2"/>
        </w:rPr>
        <w:t>=</w:t>
      </w:r>
      <w:r w:rsidR="008A72A7" w:rsidRPr="00BB6E3B">
        <w:rPr>
          <w:rFonts w:cs="Arial"/>
          <w:i/>
          <w:color w:val="0D0D0D" w:themeColor="text1" w:themeTint="F2"/>
        </w:rPr>
        <w:t xml:space="preserve"> </w:t>
      </w:r>
      <w:r w:rsidRPr="00BB6E3B">
        <w:rPr>
          <w:rFonts w:cs="Arial"/>
          <w:i/>
          <w:color w:val="0D0D0D" w:themeColor="text1" w:themeTint="F2"/>
        </w:rPr>
        <w:t xml:space="preserve">0,25 % BDP. Nominalna rast primarnih izdatkov skladno z merilom rasti izdatkov ne sme preseči 3,1 % v letu 2019, kar ustreza fiskalni prilagoditvi v višini 0,65 % BDP. Evropska komisija pri tem ugotavlja, da je saldo sektorja država v višini 0,6 % BDP uresničljiv, kar pomeni preračunano, da znaša strukturni saldo </w:t>
      </w:r>
      <w:r w:rsidR="001C284E" w:rsidRPr="00BB6E3B">
        <w:rPr>
          <w:rFonts w:cs="Arial"/>
          <w:i/>
          <w:color w:val="0D0D0D" w:themeColor="text1" w:themeTint="F2"/>
        </w:rPr>
        <w:t>–</w:t>
      </w:r>
      <w:r w:rsidRPr="00BB6E3B">
        <w:rPr>
          <w:rFonts w:cs="Arial"/>
          <w:i/>
          <w:color w:val="0D0D0D" w:themeColor="text1" w:themeTint="F2"/>
        </w:rPr>
        <w:t>1,1 % BDP. Razlika v izračunih na leto 2019 izhaja iz nižje pozitivne proizvodne vrzeli in drugačnega načrta investicij v napovedih EK.«</w:t>
      </w:r>
    </w:p>
    <w:p w:rsidR="007120DE" w:rsidRPr="00BB6E3B" w:rsidRDefault="007120DE" w:rsidP="007120DE">
      <w:pPr>
        <w:spacing w:after="0" w:line="276" w:lineRule="auto"/>
        <w:rPr>
          <w:rFonts w:cs="Arial"/>
          <w:color w:val="0D0D0D" w:themeColor="text1" w:themeTint="F2"/>
        </w:rPr>
      </w:pPr>
    </w:p>
    <w:p w:rsidR="00413AA9" w:rsidRPr="00BB6E3B" w:rsidRDefault="00413AA9" w:rsidP="00867F69">
      <w:pPr>
        <w:pStyle w:val="Caption"/>
        <w:keepNext/>
        <w:jc w:val="center"/>
        <w:rPr>
          <w:rFonts w:ascii="Arial" w:hAnsi="Arial" w:cs="Arial"/>
          <w:color w:val="0D0D0D" w:themeColor="text1" w:themeTint="F2"/>
          <w:szCs w:val="22"/>
          <w:lang w:val="sl-SI"/>
        </w:rPr>
      </w:pPr>
      <w:r w:rsidRPr="00BB6E3B">
        <w:rPr>
          <w:rFonts w:ascii="Arial" w:hAnsi="Arial" w:cs="Arial"/>
          <w:color w:val="0D0D0D" w:themeColor="text1" w:themeTint="F2"/>
          <w:szCs w:val="22"/>
          <w:lang w:val="sl-SI"/>
        </w:rPr>
        <w:lastRenderedPageBreak/>
        <w:t>Slika</w:t>
      </w:r>
      <w:r w:rsidR="00B41BD5" w:rsidRPr="00BB6E3B">
        <w:rPr>
          <w:rFonts w:ascii="Arial" w:hAnsi="Arial" w:cs="Arial"/>
          <w:color w:val="0D0D0D" w:themeColor="text1" w:themeTint="F2"/>
          <w:szCs w:val="22"/>
          <w:lang w:val="sl-SI"/>
        </w:rPr>
        <w:t xml:space="preserve"> 15</w:t>
      </w:r>
      <w:r w:rsidRPr="00BB6E3B">
        <w:rPr>
          <w:rFonts w:ascii="Arial" w:hAnsi="Arial" w:cs="Arial"/>
          <w:color w:val="0D0D0D" w:themeColor="text1" w:themeTint="F2"/>
          <w:szCs w:val="22"/>
          <w:lang w:val="sl-SI"/>
        </w:rPr>
        <w:t>: Najverjetnejši  makroekonomski in proračunski scenarij (sektor država)</w:t>
      </w:r>
    </w:p>
    <w:p w:rsidR="00525AE0" w:rsidRPr="00BB6E3B" w:rsidRDefault="00525AE0" w:rsidP="005269BB">
      <w:pPr>
        <w:spacing w:after="0"/>
        <w:jc w:val="center"/>
        <w:rPr>
          <w:noProof/>
          <w:color w:val="0D0D0D" w:themeColor="text1" w:themeTint="F2"/>
          <w:lang w:eastAsia="sl-SI"/>
        </w:rPr>
      </w:pPr>
      <w:r w:rsidRPr="00BB6E3B">
        <w:rPr>
          <w:noProof/>
          <w:color w:val="0D0D0D" w:themeColor="text1" w:themeTint="F2"/>
          <w:lang w:val="en-US"/>
        </w:rPr>
        <w:drawing>
          <wp:inline distT="0" distB="0" distL="0" distR="0" wp14:anchorId="6318C4AA" wp14:editId="483DAAF6">
            <wp:extent cx="5904230" cy="3089275"/>
            <wp:effectExtent l="0" t="0" r="127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E1719" w:rsidRPr="00BB6E3B" w:rsidRDefault="00413AA9" w:rsidP="00300564">
      <w:pPr>
        <w:pStyle w:val="Caption"/>
        <w:keepNext/>
        <w:spacing w:before="0" w:after="0"/>
        <w:jc w:val="center"/>
        <w:rPr>
          <w:rFonts w:ascii="Arial" w:hAnsi="Arial"/>
          <w:color w:val="0D0D0D" w:themeColor="text1" w:themeTint="F2"/>
          <w:sz w:val="20"/>
          <w:lang w:val="sl-SI"/>
        </w:rPr>
      </w:pPr>
      <w:r w:rsidRPr="00BB6E3B">
        <w:rPr>
          <w:rFonts w:ascii="Arial" w:hAnsi="Arial" w:cs="Arial"/>
          <w:color w:val="0D0D0D" w:themeColor="text1" w:themeTint="F2"/>
          <w:sz w:val="20"/>
          <w:lang w:val="sl-SI"/>
        </w:rPr>
        <w:t>Vir: Ministrstvo za finance</w:t>
      </w:r>
    </w:p>
    <w:p w:rsidR="005551BB" w:rsidRPr="00BB6E3B" w:rsidRDefault="005551BB" w:rsidP="005551BB">
      <w:pPr>
        <w:spacing w:after="0" w:line="276" w:lineRule="auto"/>
        <w:rPr>
          <w:rFonts w:cs="Arial"/>
          <w:color w:val="0D0D0D" w:themeColor="text1" w:themeTint="F2"/>
        </w:rPr>
      </w:pPr>
    </w:p>
    <w:p w:rsidR="006C7F0D" w:rsidRDefault="006C7F0D" w:rsidP="00C3436D">
      <w:pPr>
        <w:spacing w:after="0" w:line="276" w:lineRule="auto"/>
        <w:rPr>
          <w:rFonts w:cs="Arial"/>
          <w:color w:val="0D0D0D" w:themeColor="text1" w:themeTint="F2"/>
        </w:rPr>
      </w:pPr>
      <w:r w:rsidRPr="00BB6E3B">
        <w:rPr>
          <w:rFonts w:cs="Arial"/>
          <w:color w:val="0D0D0D" w:themeColor="text1" w:themeTint="F2"/>
        </w:rPr>
        <w:t>S</w:t>
      </w:r>
      <w:r w:rsidR="00FF6AF5" w:rsidRPr="00BB6E3B">
        <w:rPr>
          <w:rFonts w:cs="Arial"/>
          <w:color w:val="0D0D0D" w:themeColor="text1" w:themeTint="F2"/>
        </w:rPr>
        <w:t>k</w:t>
      </w:r>
      <w:r w:rsidRPr="00BB6E3B">
        <w:rPr>
          <w:rFonts w:cs="Arial"/>
          <w:color w:val="0D0D0D" w:themeColor="text1" w:themeTint="F2"/>
        </w:rPr>
        <w:t>l</w:t>
      </w:r>
      <w:r w:rsidR="00FF6AF5" w:rsidRPr="00BB6E3B">
        <w:rPr>
          <w:rFonts w:cs="Arial"/>
          <w:color w:val="0D0D0D" w:themeColor="text1" w:themeTint="F2"/>
        </w:rPr>
        <w:t>a</w:t>
      </w:r>
      <w:r w:rsidRPr="00BB6E3B">
        <w:rPr>
          <w:rFonts w:cs="Arial"/>
          <w:color w:val="0D0D0D" w:themeColor="text1" w:themeTint="F2"/>
        </w:rPr>
        <w:t>dno z zadnjo makro</w:t>
      </w:r>
      <w:r w:rsidR="00B41BD5" w:rsidRPr="00BB6E3B">
        <w:rPr>
          <w:rFonts w:cs="Arial"/>
          <w:color w:val="0D0D0D" w:themeColor="text1" w:themeTint="F2"/>
        </w:rPr>
        <w:t>ekonomsko</w:t>
      </w:r>
      <w:r w:rsidRPr="00BB6E3B">
        <w:rPr>
          <w:rFonts w:cs="Arial"/>
          <w:color w:val="0D0D0D" w:themeColor="text1" w:themeTint="F2"/>
        </w:rPr>
        <w:t xml:space="preserve"> napovedjo predvidevamo v sred</w:t>
      </w:r>
      <w:r w:rsidR="003259EE" w:rsidRPr="00BB6E3B">
        <w:rPr>
          <w:rFonts w:cs="Arial"/>
          <w:color w:val="0D0D0D" w:themeColor="text1" w:themeTint="F2"/>
        </w:rPr>
        <w:t>nje</w:t>
      </w:r>
      <w:r w:rsidRPr="00BB6E3B">
        <w:rPr>
          <w:rFonts w:cs="Arial"/>
          <w:color w:val="0D0D0D" w:themeColor="text1" w:themeTint="F2"/>
        </w:rPr>
        <w:t xml:space="preserve">ročnem </w:t>
      </w:r>
      <w:r w:rsidR="00B41BD5" w:rsidRPr="00BB6E3B">
        <w:rPr>
          <w:rFonts w:cs="Arial"/>
          <w:color w:val="0D0D0D" w:themeColor="text1" w:themeTint="F2"/>
        </w:rPr>
        <w:t xml:space="preserve">obdobju </w:t>
      </w:r>
      <w:r w:rsidRPr="00BB6E3B">
        <w:rPr>
          <w:rFonts w:cs="Arial"/>
          <w:color w:val="0D0D0D" w:themeColor="text1" w:themeTint="F2"/>
        </w:rPr>
        <w:t>ohranjanje presežka sektorja država</w:t>
      </w:r>
      <w:r w:rsidR="006E66DA" w:rsidRPr="00BB6E3B">
        <w:rPr>
          <w:rFonts w:cs="Arial"/>
          <w:color w:val="0D0D0D" w:themeColor="text1" w:themeTint="F2"/>
        </w:rPr>
        <w:t xml:space="preserve">. </w:t>
      </w:r>
      <w:r w:rsidR="00E46B1E" w:rsidRPr="00BB6E3B">
        <w:rPr>
          <w:rFonts w:cs="Arial"/>
          <w:color w:val="0D0D0D" w:themeColor="text1" w:themeTint="F2"/>
        </w:rPr>
        <w:t>Po presežku</w:t>
      </w:r>
      <w:r w:rsidR="006E66DA" w:rsidRPr="00BB6E3B">
        <w:rPr>
          <w:rFonts w:cs="Arial"/>
          <w:color w:val="0D0D0D" w:themeColor="text1" w:themeTint="F2"/>
        </w:rPr>
        <w:t xml:space="preserve"> </w:t>
      </w:r>
      <w:r w:rsidRPr="00BB6E3B">
        <w:rPr>
          <w:rFonts w:cs="Arial"/>
          <w:color w:val="0D0D0D" w:themeColor="text1" w:themeTint="F2"/>
        </w:rPr>
        <w:t>leta 2018 v višini 0,</w:t>
      </w:r>
      <w:r w:rsidR="00E46B1E" w:rsidRPr="00BB6E3B">
        <w:rPr>
          <w:rFonts w:cs="Arial"/>
          <w:color w:val="0D0D0D" w:themeColor="text1" w:themeTint="F2"/>
        </w:rPr>
        <w:t>7</w:t>
      </w:r>
      <w:r w:rsidRPr="00BB6E3B">
        <w:rPr>
          <w:rFonts w:cs="Arial"/>
          <w:color w:val="0D0D0D" w:themeColor="text1" w:themeTint="F2"/>
        </w:rPr>
        <w:t xml:space="preserve"> % BDP</w:t>
      </w:r>
      <w:r w:rsidR="00B41BD5" w:rsidRPr="00BB6E3B">
        <w:rPr>
          <w:rFonts w:cs="Arial"/>
          <w:color w:val="0D0D0D" w:themeColor="text1" w:themeTint="F2"/>
        </w:rPr>
        <w:t xml:space="preserve"> (SURS</w:t>
      </w:r>
      <w:r w:rsidR="001366DB" w:rsidRPr="00BB6E3B">
        <w:rPr>
          <w:rFonts w:cs="Arial"/>
          <w:color w:val="0D0D0D" w:themeColor="text1" w:themeTint="F2"/>
        </w:rPr>
        <w:t>, 19.</w:t>
      </w:r>
      <w:r w:rsidR="008A72A7" w:rsidRPr="00BB6E3B">
        <w:rPr>
          <w:rFonts w:cs="Arial"/>
          <w:color w:val="0D0D0D" w:themeColor="text1" w:themeTint="F2"/>
        </w:rPr>
        <w:t> </w:t>
      </w:r>
      <w:r w:rsidR="001366DB" w:rsidRPr="00BB6E3B">
        <w:rPr>
          <w:rFonts w:cs="Arial"/>
          <w:color w:val="0D0D0D" w:themeColor="text1" w:themeTint="F2"/>
        </w:rPr>
        <w:t>4</w:t>
      </w:r>
      <w:r w:rsidR="008C3ADC" w:rsidRPr="00BB6E3B">
        <w:rPr>
          <w:rFonts w:cs="Arial"/>
          <w:color w:val="0D0D0D" w:themeColor="text1" w:themeTint="F2"/>
        </w:rPr>
        <w:t>.</w:t>
      </w:r>
      <w:r w:rsidR="008A72A7" w:rsidRPr="00BB6E3B">
        <w:rPr>
          <w:rFonts w:cs="Arial"/>
          <w:color w:val="0D0D0D" w:themeColor="text1" w:themeTint="F2"/>
        </w:rPr>
        <w:t> </w:t>
      </w:r>
      <w:r w:rsidR="008C3ADC" w:rsidRPr="00BB6E3B">
        <w:rPr>
          <w:rFonts w:cs="Arial"/>
          <w:color w:val="0D0D0D" w:themeColor="text1" w:themeTint="F2"/>
        </w:rPr>
        <w:t>2019</w:t>
      </w:r>
      <w:r w:rsidRPr="00BB6E3B">
        <w:rPr>
          <w:rFonts w:cs="Arial"/>
          <w:color w:val="0D0D0D" w:themeColor="text1" w:themeTint="F2"/>
        </w:rPr>
        <w:t>)</w:t>
      </w:r>
      <w:r w:rsidR="00B41BD5" w:rsidRPr="00BB6E3B">
        <w:rPr>
          <w:rFonts w:cs="Arial"/>
          <w:color w:val="0D0D0D" w:themeColor="text1" w:themeTint="F2"/>
        </w:rPr>
        <w:t xml:space="preserve"> se</w:t>
      </w:r>
      <w:r w:rsidRPr="00BB6E3B">
        <w:rPr>
          <w:rFonts w:cs="Arial"/>
          <w:color w:val="0D0D0D" w:themeColor="text1" w:themeTint="F2"/>
        </w:rPr>
        <w:t xml:space="preserve"> </w:t>
      </w:r>
      <w:r w:rsidR="008C3ADC" w:rsidRPr="00BB6E3B">
        <w:rPr>
          <w:rFonts w:cs="Arial"/>
          <w:color w:val="0D0D0D" w:themeColor="text1" w:themeTint="F2"/>
        </w:rPr>
        <w:t>bo</w:t>
      </w:r>
      <w:r w:rsidR="006E66DA" w:rsidRPr="00BB6E3B">
        <w:rPr>
          <w:rFonts w:cs="Arial"/>
          <w:color w:val="0D0D0D" w:themeColor="text1" w:themeTint="F2"/>
        </w:rPr>
        <w:t xml:space="preserve"> </w:t>
      </w:r>
      <w:r w:rsidR="00E46B1E" w:rsidRPr="00BB6E3B">
        <w:rPr>
          <w:rFonts w:cs="Arial"/>
          <w:color w:val="0D0D0D" w:themeColor="text1" w:themeTint="F2"/>
        </w:rPr>
        <w:t>leta 2019 presežek zvišal na 0,</w:t>
      </w:r>
      <w:r w:rsidR="00525AE0" w:rsidRPr="00BB6E3B">
        <w:rPr>
          <w:rFonts w:cs="Arial"/>
          <w:color w:val="0D0D0D" w:themeColor="text1" w:themeTint="F2"/>
        </w:rPr>
        <w:t>9</w:t>
      </w:r>
      <w:r w:rsidR="00E46B1E" w:rsidRPr="00BB6E3B">
        <w:rPr>
          <w:rFonts w:cs="Arial"/>
          <w:color w:val="0D0D0D" w:themeColor="text1" w:themeTint="F2"/>
        </w:rPr>
        <w:t xml:space="preserve"> % BDP in d</w:t>
      </w:r>
      <w:r w:rsidR="00A01925" w:rsidRPr="00BB6E3B">
        <w:rPr>
          <w:rFonts w:cs="Arial"/>
          <w:color w:val="0D0D0D" w:themeColor="text1" w:themeTint="F2"/>
        </w:rPr>
        <w:t xml:space="preserve">o </w:t>
      </w:r>
      <w:r w:rsidRPr="00BB6E3B">
        <w:rPr>
          <w:rFonts w:cs="Arial"/>
          <w:color w:val="0D0D0D" w:themeColor="text1" w:themeTint="F2"/>
        </w:rPr>
        <w:t xml:space="preserve">leta 2022 </w:t>
      </w:r>
      <w:r w:rsidR="00A01925" w:rsidRPr="00BB6E3B">
        <w:rPr>
          <w:rFonts w:cs="Arial"/>
          <w:color w:val="0D0D0D" w:themeColor="text1" w:themeTint="F2"/>
        </w:rPr>
        <w:t>postop</w:t>
      </w:r>
      <w:r w:rsidR="008A72A7" w:rsidRPr="00BB6E3B">
        <w:rPr>
          <w:rFonts w:cs="Arial"/>
          <w:color w:val="0D0D0D" w:themeColor="text1" w:themeTint="F2"/>
        </w:rPr>
        <w:t>o</w:t>
      </w:r>
      <w:r w:rsidR="00A01925" w:rsidRPr="00BB6E3B">
        <w:rPr>
          <w:rFonts w:cs="Arial"/>
          <w:color w:val="0D0D0D" w:themeColor="text1" w:themeTint="F2"/>
        </w:rPr>
        <w:t xml:space="preserve">ma </w:t>
      </w:r>
      <w:r w:rsidRPr="00BB6E3B">
        <w:rPr>
          <w:rFonts w:cs="Arial"/>
          <w:color w:val="0D0D0D" w:themeColor="text1" w:themeTint="F2"/>
        </w:rPr>
        <w:t xml:space="preserve">na 1,2 % BDP. Presežek je posledica pozitivnih ekonomskih trendov, znižanja obrestnih mer </w:t>
      </w:r>
      <w:r w:rsidR="008A72A7" w:rsidRPr="00BB6E3B">
        <w:rPr>
          <w:rFonts w:cs="Arial"/>
          <w:color w:val="0D0D0D" w:themeColor="text1" w:themeTint="F2"/>
        </w:rPr>
        <w:t xml:space="preserve">in </w:t>
      </w:r>
      <w:r w:rsidRPr="00BB6E3B">
        <w:rPr>
          <w:rFonts w:cs="Arial"/>
          <w:color w:val="0D0D0D" w:themeColor="text1" w:themeTint="F2"/>
        </w:rPr>
        <w:t xml:space="preserve">do leta 2018 zajezenih javnih izdatkov. V letu 2018 </w:t>
      </w:r>
      <w:r w:rsidR="008C3ADC" w:rsidRPr="00BB6E3B">
        <w:rPr>
          <w:rFonts w:cs="Arial"/>
          <w:color w:val="0D0D0D" w:themeColor="text1" w:themeTint="F2"/>
        </w:rPr>
        <w:t xml:space="preserve">se </w:t>
      </w:r>
      <w:r w:rsidRPr="00BB6E3B">
        <w:rPr>
          <w:rFonts w:cs="Arial"/>
          <w:color w:val="0D0D0D" w:themeColor="text1" w:themeTint="F2"/>
        </w:rPr>
        <w:t xml:space="preserve">je </w:t>
      </w:r>
      <w:r w:rsidR="008C3ADC" w:rsidRPr="00BB6E3B">
        <w:rPr>
          <w:rFonts w:cs="Arial"/>
          <w:color w:val="0D0D0D" w:themeColor="text1" w:themeTint="F2"/>
        </w:rPr>
        <w:t xml:space="preserve">Sloveniji </w:t>
      </w:r>
      <w:r w:rsidRPr="00BB6E3B">
        <w:rPr>
          <w:rFonts w:cs="Arial"/>
          <w:color w:val="0D0D0D" w:themeColor="text1" w:themeTint="F2"/>
        </w:rPr>
        <w:t>zaradi t.</w:t>
      </w:r>
      <w:r w:rsidR="008A72A7" w:rsidRPr="00BB6E3B">
        <w:rPr>
          <w:rFonts w:cs="Arial"/>
          <w:color w:val="0D0D0D" w:themeColor="text1" w:themeTint="F2"/>
        </w:rPr>
        <w:t> </w:t>
      </w:r>
      <w:r w:rsidRPr="00BB6E3B">
        <w:rPr>
          <w:rFonts w:cs="Arial"/>
          <w:color w:val="0D0D0D" w:themeColor="text1" w:themeTint="F2"/>
        </w:rPr>
        <w:t>i. scenarija o</w:t>
      </w:r>
      <w:r w:rsidR="00A01925" w:rsidRPr="00BB6E3B">
        <w:rPr>
          <w:rFonts w:cs="Arial"/>
          <w:color w:val="0D0D0D" w:themeColor="text1" w:themeTint="F2"/>
        </w:rPr>
        <w:t>b</w:t>
      </w:r>
      <w:r w:rsidRPr="00BB6E3B">
        <w:rPr>
          <w:rFonts w:cs="Arial"/>
          <w:color w:val="0D0D0D" w:themeColor="text1" w:themeTint="F2"/>
        </w:rPr>
        <w:t xml:space="preserve"> predpostavki nesprem</w:t>
      </w:r>
      <w:r w:rsidR="008C3ADC" w:rsidRPr="00BB6E3B">
        <w:rPr>
          <w:rFonts w:cs="Arial"/>
          <w:color w:val="0D0D0D" w:themeColor="text1" w:themeTint="F2"/>
        </w:rPr>
        <w:t>e</w:t>
      </w:r>
      <w:r w:rsidRPr="00BB6E3B">
        <w:rPr>
          <w:rFonts w:cs="Arial"/>
          <w:color w:val="0D0D0D" w:themeColor="text1" w:themeTint="F2"/>
        </w:rPr>
        <w:t xml:space="preserve">njenih </w:t>
      </w:r>
      <w:r w:rsidR="003259EE" w:rsidRPr="00BB6E3B">
        <w:rPr>
          <w:rFonts w:cs="Arial"/>
          <w:color w:val="0D0D0D" w:themeColor="text1" w:themeTint="F2"/>
        </w:rPr>
        <w:t>politik</w:t>
      </w:r>
      <w:r w:rsidRPr="00BB6E3B">
        <w:rPr>
          <w:rFonts w:cs="Arial"/>
          <w:color w:val="0D0D0D" w:themeColor="text1" w:themeTint="F2"/>
        </w:rPr>
        <w:t xml:space="preserve"> poslabša</w:t>
      </w:r>
      <w:r w:rsidR="001C58EF" w:rsidRPr="00BB6E3B">
        <w:rPr>
          <w:rFonts w:cs="Arial"/>
          <w:color w:val="0D0D0D" w:themeColor="text1" w:themeTint="F2"/>
        </w:rPr>
        <w:t>l</w:t>
      </w:r>
      <w:r w:rsidRPr="00BB6E3B">
        <w:rPr>
          <w:rFonts w:cs="Arial"/>
          <w:color w:val="0D0D0D" w:themeColor="text1" w:themeTint="F2"/>
        </w:rPr>
        <w:t xml:space="preserve"> strukturni sald</w:t>
      </w:r>
      <w:r w:rsidR="004C6ED8" w:rsidRPr="00BB6E3B">
        <w:rPr>
          <w:rFonts w:cs="Arial"/>
          <w:color w:val="0D0D0D" w:themeColor="text1" w:themeTint="F2"/>
        </w:rPr>
        <w:t xml:space="preserve">o (iz +0,17 </w:t>
      </w:r>
      <w:r w:rsidR="0018683D" w:rsidRPr="00BB6E3B">
        <w:rPr>
          <w:rFonts w:cs="Arial"/>
          <w:color w:val="0D0D0D" w:themeColor="text1" w:themeTint="F2"/>
        </w:rPr>
        <w:t xml:space="preserve">% BDP v letu 2017 na </w:t>
      </w:r>
      <w:r w:rsidR="00525AE0" w:rsidRPr="00BB6E3B">
        <w:rPr>
          <w:rFonts w:cs="Arial"/>
          <w:color w:val="0D0D0D" w:themeColor="text1" w:themeTint="F2"/>
        </w:rPr>
        <w:t>+</w:t>
      </w:r>
      <w:r w:rsidR="004C6ED8" w:rsidRPr="00BB6E3B">
        <w:rPr>
          <w:rFonts w:cs="Arial"/>
          <w:color w:val="0D0D0D" w:themeColor="text1" w:themeTint="F2"/>
        </w:rPr>
        <w:t>0,02</w:t>
      </w:r>
      <w:r w:rsidRPr="00BB6E3B">
        <w:rPr>
          <w:rFonts w:cs="Arial"/>
          <w:color w:val="0D0D0D" w:themeColor="text1" w:themeTint="F2"/>
        </w:rPr>
        <w:t xml:space="preserve"> % BDP v letu 2018)</w:t>
      </w:r>
      <w:r w:rsidR="00682B51" w:rsidRPr="00BB6E3B">
        <w:rPr>
          <w:rFonts w:cs="Arial"/>
          <w:color w:val="0D0D0D" w:themeColor="text1" w:themeTint="F2"/>
        </w:rPr>
        <w:t>.</w:t>
      </w:r>
      <w:r w:rsidRPr="00BB6E3B">
        <w:rPr>
          <w:rFonts w:cs="Arial"/>
          <w:color w:val="0D0D0D" w:themeColor="text1" w:themeTint="F2"/>
        </w:rPr>
        <w:t xml:space="preserve"> </w:t>
      </w:r>
      <w:r w:rsidR="00682B51" w:rsidRPr="00BB6E3B">
        <w:rPr>
          <w:rFonts w:cs="Arial"/>
          <w:color w:val="0D0D0D" w:themeColor="text1" w:themeTint="F2"/>
        </w:rPr>
        <w:t>I</w:t>
      </w:r>
      <w:r w:rsidRPr="00BB6E3B">
        <w:rPr>
          <w:rFonts w:cs="Arial"/>
          <w:color w:val="0D0D0D" w:themeColor="text1" w:themeTint="F2"/>
        </w:rPr>
        <w:t>z zgoraj opisanih razlog</w:t>
      </w:r>
      <w:r w:rsidR="00A01925" w:rsidRPr="00BB6E3B">
        <w:rPr>
          <w:rFonts w:cs="Arial"/>
          <w:color w:val="0D0D0D" w:themeColor="text1" w:themeTint="F2"/>
        </w:rPr>
        <w:t>ov</w:t>
      </w:r>
      <w:r w:rsidR="00637DC7" w:rsidRPr="00BB6E3B">
        <w:rPr>
          <w:rFonts w:cs="Arial"/>
          <w:color w:val="0D0D0D" w:themeColor="text1" w:themeTint="F2"/>
        </w:rPr>
        <w:t xml:space="preserve"> in ocen</w:t>
      </w:r>
      <w:r w:rsidRPr="00BB6E3B">
        <w:rPr>
          <w:rFonts w:cs="Arial"/>
          <w:color w:val="0D0D0D" w:themeColor="text1" w:themeTint="F2"/>
        </w:rPr>
        <w:t xml:space="preserve"> tudi </w:t>
      </w:r>
      <w:r w:rsidR="00682B51" w:rsidRPr="00BB6E3B">
        <w:rPr>
          <w:rFonts w:cs="Arial"/>
          <w:color w:val="0D0D0D" w:themeColor="text1" w:themeTint="F2"/>
        </w:rPr>
        <w:t xml:space="preserve">leto 2019 </w:t>
      </w:r>
      <w:r w:rsidRPr="00BB6E3B">
        <w:rPr>
          <w:rFonts w:cs="Arial"/>
          <w:color w:val="0D0D0D" w:themeColor="text1" w:themeTint="F2"/>
        </w:rPr>
        <w:t>n</w:t>
      </w:r>
      <w:r w:rsidR="008C3ADC" w:rsidRPr="00BB6E3B">
        <w:rPr>
          <w:rFonts w:cs="Arial"/>
          <w:color w:val="0D0D0D" w:themeColor="text1" w:themeTint="F2"/>
        </w:rPr>
        <w:t>e bo</w:t>
      </w:r>
      <w:r w:rsidRPr="00BB6E3B">
        <w:rPr>
          <w:rFonts w:cs="Arial"/>
          <w:color w:val="0D0D0D" w:themeColor="text1" w:themeTint="F2"/>
        </w:rPr>
        <w:t xml:space="preserve"> prineslo zahtevanega napora</w:t>
      </w:r>
      <w:r w:rsidR="0018683D" w:rsidRPr="00BB6E3B">
        <w:rPr>
          <w:rFonts w:cs="Arial"/>
          <w:color w:val="0D0D0D" w:themeColor="text1" w:themeTint="F2"/>
        </w:rPr>
        <w:t xml:space="preserve">, bo pa </w:t>
      </w:r>
      <w:r w:rsidR="00525AE0" w:rsidRPr="00BB6E3B">
        <w:rPr>
          <w:rFonts w:cs="Arial"/>
          <w:color w:val="0D0D0D" w:themeColor="text1" w:themeTint="F2"/>
        </w:rPr>
        <w:t xml:space="preserve">presežen </w:t>
      </w:r>
      <w:r w:rsidR="0018683D" w:rsidRPr="00BB6E3B">
        <w:rPr>
          <w:rFonts w:cs="Arial"/>
          <w:color w:val="0D0D0D" w:themeColor="text1" w:themeTint="F2"/>
        </w:rPr>
        <w:t xml:space="preserve">nov srednjeročni cilj </w:t>
      </w:r>
      <w:r w:rsidR="001C284E" w:rsidRPr="00BB6E3B">
        <w:rPr>
          <w:rFonts w:cs="Arial"/>
          <w:color w:val="0D0D0D" w:themeColor="text1" w:themeTint="F2"/>
        </w:rPr>
        <w:t>–</w:t>
      </w:r>
      <w:r w:rsidR="0018683D" w:rsidRPr="00BB6E3B">
        <w:rPr>
          <w:rFonts w:cs="Arial"/>
          <w:color w:val="0D0D0D" w:themeColor="text1" w:themeTint="F2"/>
        </w:rPr>
        <w:t>0,25 % BDP</w:t>
      </w:r>
      <w:r w:rsidR="00525AE0" w:rsidRPr="00BB6E3B">
        <w:rPr>
          <w:rFonts w:cs="Arial"/>
          <w:color w:val="0D0D0D" w:themeColor="text1" w:themeTint="F2"/>
        </w:rPr>
        <w:t xml:space="preserve"> (-0,11 % BDP)</w:t>
      </w:r>
      <w:r w:rsidR="0018683D" w:rsidRPr="00BB6E3B">
        <w:rPr>
          <w:rFonts w:cs="Arial"/>
          <w:color w:val="0D0D0D" w:themeColor="text1" w:themeTint="F2"/>
        </w:rPr>
        <w:t>).</w:t>
      </w:r>
      <w:r w:rsidRPr="00BB6E3B">
        <w:rPr>
          <w:rFonts w:cs="Arial"/>
          <w:color w:val="0D0D0D" w:themeColor="text1" w:themeTint="F2"/>
        </w:rPr>
        <w:t xml:space="preserve"> V letu 2020 se ponovno </w:t>
      </w:r>
      <w:r w:rsidR="00525AE0" w:rsidRPr="00BB6E3B">
        <w:rPr>
          <w:rFonts w:cs="Arial"/>
          <w:color w:val="0D0D0D" w:themeColor="text1" w:themeTint="F2"/>
        </w:rPr>
        <w:t xml:space="preserve">preseže </w:t>
      </w:r>
      <w:r w:rsidRPr="00BB6E3B">
        <w:rPr>
          <w:rFonts w:cs="Arial"/>
          <w:color w:val="0D0D0D" w:themeColor="text1" w:themeTint="F2"/>
        </w:rPr>
        <w:t xml:space="preserve">srednjeročni cilj (strukturni saldo je enak </w:t>
      </w:r>
      <w:r w:rsidR="001C284E" w:rsidRPr="00BB6E3B">
        <w:rPr>
          <w:rFonts w:cs="Arial"/>
          <w:color w:val="0D0D0D" w:themeColor="text1" w:themeTint="F2"/>
        </w:rPr>
        <w:t>–</w:t>
      </w:r>
      <w:r w:rsidRPr="00BB6E3B">
        <w:rPr>
          <w:rFonts w:cs="Arial"/>
          <w:color w:val="0D0D0D" w:themeColor="text1" w:themeTint="F2"/>
        </w:rPr>
        <w:t>0,</w:t>
      </w:r>
      <w:r w:rsidR="0018683D" w:rsidRPr="00BB6E3B">
        <w:rPr>
          <w:rFonts w:cs="Arial"/>
          <w:color w:val="0D0D0D" w:themeColor="text1" w:themeTint="F2"/>
        </w:rPr>
        <w:t>17</w:t>
      </w:r>
      <w:r w:rsidRPr="00BB6E3B">
        <w:rPr>
          <w:rFonts w:cs="Arial"/>
          <w:color w:val="0D0D0D" w:themeColor="text1" w:themeTint="F2"/>
        </w:rPr>
        <w:t xml:space="preserve"> % BDP</w:t>
      </w:r>
      <w:r w:rsidR="00EB53D8" w:rsidRPr="00BB6E3B">
        <w:rPr>
          <w:rFonts w:cs="Arial"/>
          <w:color w:val="0D0D0D" w:themeColor="text1" w:themeTint="F2"/>
        </w:rPr>
        <w:t>)</w:t>
      </w:r>
      <w:r w:rsidRPr="00BB6E3B">
        <w:rPr>
          <w:rFonts w:cs="Arial"/>
          <w:color w:val="0D0D0D" w:themeColor="text1" w:themeTint="F2"/>
        </w:rPr>
        <w:t xml:space="preserve"> in se zaradi pravil SGP izboljšuje do </w:t>
      </w:r>
      <w:r w:rsidR="00EB53D8" w:rsidRPr="00BB6E3B">
        <w:rPr>
          <w:rFonts w:cs="Arial"/>
          <w:color w:val="0D0D0D" w:themeColor="text1" w:themeTint="F2"/>
        </w:rPr>
        <w:t xml:space="preserve">strukturnega </w:t>
      </w:r>
      <w:r w:rsidRPr="00BB6E3B">
        <w:rPr>
          <w:rFonts w:cs="Arial"/>
          <w:color w:val="0D0D0D" w:themeColor="text1" w:themeTint="F2"/>
        </w:rPr>
        <w:t>uravnoteženja v letu 2022</w:t>
      </w:r>
      <w:r w:rsidR="00A01925" w:rsidRPr="00BB6E3B">
        <w:rPr>
          <w:rFonts w:cs="Arial"/>
          <w:color w:val="0D0D0D" w:themeColor="text1" w:themeTint="F2"/>
        </w:rPr>
        <w:t xml:space="preserve"> (strukturni saldo</w:t>
      </w:r>
      <w:r w:rsidR="0084632E" w:rsidRPr="00BB6E3B">
        <w:rPr>
          <w:rFonts w:cs="Arial"/>
          <w:color w:val="0D0D0D" w:themeColor="text1" w:themeTint="F2"/>
        </w:rPr>
        <w:t xml:space="preserve"> je enak +0,06 % BDP)</w:t>
      </w:r>
      <w:r w:rsidRPr="00BB6E3B">
        <w:rPr>
          <w:rFonts w:cs="Arial"/>
          <w:color w:val="0D0D0D" w:themeColor="text1" w:themeTint="F2"/>
        </w:rPr>
        <w:t xml:space="preserve">. </w:t>
      </w:r>
    </w:p>
    <w:p w:rsidR="00C3436D" w:rsidRPr="00BB6E3B" w:rsidRDefault="00C3436D" w:rsidP="00C3436D">
      <w:pPr>
        <w:spacing w:line="276" w:lineRule="auto"/>
        <w:rPr>
          <w:rFonts w:cs="Arial"/>
          <w:color w:val="0D0D0D" w:themeColor="text1" w:themeTint="F2"/>
        </w:rPr>
      </w:pPr>
    </w:p>
    <w:p w:rsidR="00037859" w:rsidRPr="00BB6E3B" w:rsidRDefault="00765F81" w:rsidP="00C3436D">
      <w:pPr>
        <w:pStyle w:val="Heading2"/>
        <w:numPr>
          <w:ilvl w:val="1"/>
          <w:numId w:val="3"/>
        </w:numPr>
        <w:spacing w:before="0" w:line="276" w:lineRule="auto"/>
        <w:rPr>
          <w:color w:val="0D0D0D" w:themeColor="text1" w:themeTint="F2"/>
        </w:rPr>
      </w:pPr>
      <w:bookmarkStart w:id="7" w:name="_Toc6923648"/>
      <w:r w:rsidRPr="00BB6E3B">
        <w:rPr>
          <w:color w:val="0D0D0D" w:themeColor="text1" w:themeTint="F2"/>
        </w:rPr>
        <w:t>Fiskalni</w:t>
      </w:r>
      <w:r w:rsidR="00037859" w:rsidRPr="00BB6E3B">
        <w:rPr>
          <w:color w:val="0D0D0D" w:themeColor="text1" w:themeTint="F2"/>
        </w:rPr>
        <w:t xml:space="preserve"> </w:t>
      </w:r>
      <w:r w:rsidR="008A72A7" w:rsidRPr="00BB6E3B">
        <w:rPr>
          <w:color w:val="0D0D0D" w:themeColor="text1" w:themeTint="F2"/>
        </w:rPr>
        <w:t xml:space="preserve">obeti </w:t>
      </w:r>
      <w:r w:rsidR="00037859" w:rsidRPr="00BB6E3B">
        <w:rPr>
          <w:color w:val="0D0D0D" w:themeColor="text1" w:themeTint="F2"/>
        </w:rPr>
        <w:t>201</w:t>
      </w:r>
      <w:r w:rsidR="002E3C2D" w:rsidRPr="00BB6E3B">
        <w:rPr>
          <w:color w:val="0D0D0D" w:themeColor="text1" w:themeTint="F2"/>
        </w:rPr>
        <w:t>8</w:t>
      </w:r>
      <w:r w:rsidR="00037859" w:rsidRPr="00BB6E3B">
        <w:rPr>
          <w:color w:val="0D0D0D" w:themeColor="text1" w:themeTint="F2"/>
        </w:rPr>
        <w:t xml:space="preserve"> in 201</w:t>
      </w:r>
      <w:r w:rsidR="002E3C2D" w:rsidRPr="00BB6E3B">
        <w:rPr>
          <w:color w:val="0D0D0D" w:themeColor="text1" w:themeTint="F2"/>
        </w:rPr>
        <w:t>9</w:t>
      </w:r>
      <w:bookmarkEnd w:id="7"/>
    </w:p>
    <w:p w:rsidR="00580C61" w:rsidRPr="00BB6E3B" w:rsidRDefault="00580C61" w:rsidP="00847208">
      <w:pPr>
        <w:spacing w:after="0" w:line="276" w:lineRule="auto"/>
        <w:rPr>
          <w:rFonts w:cs="Arial"/>
          <w:color w:val="0D0D0D" w:themeColor="text1" w:themeTint="F2"/>
          <w:szCs w:val="20"/>
        </w:rPr>
      </w:pPr>
    </w:p>
    <w:p w:rsidR="00225D74" w:rsidRPr="00BB6E3B" w:rsidRDefault="00225D74" w:rsidP="007B4DD0">
      <w:pPr>
        <w:spacing w:after="240" w:line="276" w:lineRule="auto"/>
        <w:rPr>
          <w:rFonts w:cs="Arial"/>
          <w:color w:val="0D0D0D" w:themeColor="text1" w:themeTint="F2"/>
        </w:rPr>
      </w:pPr>
      <w:r w:rsidRPr="00BB6E3B">
        <w:rPr>
          <w:rFonts w:cs="Arial"/>
          <w:color w:val="0D0D0D" w:themeColor="text1" w:themeTint="F2"/>
        </w:rPr>
        <w:t>Prihodki sektorja država se povečujejo od leta 2010, v letu 2018 pa je bila ta rast najvišja. Znašali so 19.</w:t>
      </w:r>
      <w:r w:rsidR="00CF297B" w:rsidRPr="00BB6E3B">
        <w:rPr>
          <w:rFonts w:cs="Arial"/>
          <w:color w:val="0D0D0D" w:themeColor="text1" w:themeTint="F2"/>
        </w:rPr>
        <w:t>8</w:t>
      </w:r>
      <w:r w:rsidRPr="00BB6E3B">
        <w:rPr>
          <w:rFonts w:cs="Arial"/>
          <w:color w:val="0D0D0D" w:themeColor="text1" w:themeTint="F2"/>
        </w:rPr>
        <w:t xml:space="preserve">00 milijonov EUR, kar je 1.231 milijonov EUR ali 6,6 % več kot leta 2017. Merjeno v deležu BDP so prihodki države leta 2018 znašali 43,1 % BDP. Visoka medletna rast prihodkov </w:t>
      </w:r>
      <w:r w:rsidR="008A72A7" w:rsidRPr="00BB6E3B">
        <w:rPr>
          <w:rFonts w:cs="Arial"/>
          <w:color w:val="0D0D0D" w:themeColor="text1" w:themeTint="F2"/>
        </w:rPr>
        <w:t>iz</w:t>
      </w:r>
      <w:r w:rsidRPr="00BB6E3B">
        <w:rPr>
          <w:rFonts w:cs="Arial"/>
          <w:color w:val="0D0D0D" w:themeColor="text1" w:themeTint="F2"/>
        </w:rPr>
        <w:t>raža ugodne razmere v slovenskem gospodarstvu in posledično višje prilive v blagajne javnega financiranja.</w:t>
      </w:r>
    </w:p>
    <w:p w:rsidR="00225D74" w:rsidRPr="00BB6E3B" w:rsidRDefault="00225D74" w:rsidP="007B4DD0">
      <w:pPr>
        <w:spacing w:after="240" w:line="276" w:lineRule="auto"/>
        <w:rPr>
          <w:rFonts w:cs="Arial"/>
          <w:color w:val="0D0D0D" w:themeColor="text1" w:themeTint="F2"/>
        </w:rPr>
      </w:pPr>
      <w:r w:rsidRPr="00BB6E3B">
        <w:rPr>
          <w:rFonts w:cs="Arial"/>
          <w:color w:val="0D0D0D" w:themeColor="text1" w:themeTint="F2"/>
        </w:rPr>
        <w:t>Največji delež v celotnih prihodkih so leta 2018 predstavljali prihodki od davkov in socialnih prispevkov, slednji so se povečali za 7,0 % ali 448 milijonov EUR. Visoko so rasli tudi prihodki od davkov na dohodke in premoženje (za 375 milijonov EUR ali 11,7 %). Prihodki od dohodnine so bili višji za 251 milijonov EUR ali 11,5 %, prihodki od davka od dohodkov pravnih oseb pa za 122 milijonov EUR ali 16,0 %, kar kaže na nadaljevanje ugodnih razmer v gospodarstvu oz</w:t>
      </w:r>
      <w:r w:rsidR="008A72A7" w:rsidRPr="00BB6E3B">
        <w:rPr>
          <w:rFonts w:cs="Arial"/>
          <w:color w:val="0D0D0D" w:themeColor="text1" w:themeTint="F2"/>
        </w:rPr>
        <w:t>iroma</w:t>
      </w:r>
      <w:r w:rsidRPr="00BB6E3B">
        <w:rPr>
          <w:rFonts w:cs="Arial"/>
          <w:color w:val="0D0D0D" w:themeColor="text1" w:themeTint="F2"/>
        </w:rPr>
        <w:t xml:space="preserve"> ugodnih makroekonomskih razmer v državi. Rasti prihodkov od socialnih prispevkov in dohodnine kažejo, da se nadaljuje tudi trend ugodnih razmer na trgu dela. </w:t>
      </w:r>
      <w:r w:rsidRPr="00BB6E3B">
        <w:rPr>
          <w:rFonts w:cs="Arial"/>
          <w:color w:val="0D0D0D" w:themeColor="text1" w:themeTint="F2"/>
        </w:rPr>
        <w:lastRenderedPageBreak/>
        <w:t xml:space="preserve">Prihodki </w:t>
      </w:r>
      <w:r w:rsidR="008A72A7" w:rsidRPr="00BB6E3B">
        <w:rPr>
          <w:rFonts w:cs="Arial"/>
          <w:color w:val="0D0D0D" w:themeColor="text1" w:themeTint="F2"/>
        </w:rPr>
        <w:t>od</w:t>
      </w:r>
      <w:r w:rsidRPr="00BB6E3B">
        <w:rPr>
          <w:rFonts w:cs="Arial"/>
          <w:color w:val="0D0D0D" w:themeColor="text1" w:themeTint="F2"/>
        </w:rPr>
        <w:t xml:space="preserve"> davkov na proizvodnjo in uvoz</w:t>
      </w:r>
      <w:r w:rsidR="008A72A7" w:rsidRPr="00BB6E3B">
        <w:rPr>
          <w:rFonts w:cs="Arial"/>
          <w:color w:val="0D0D0D" w:themeColor="text1" w:themeTint="F2"/>
        </w:rPr>
        <w:t>a</w:t>
      </w:r>
      <w:r w:rsidRPr="00BB6E3B">
        <w:rPr>
          <w:rFonts w:cs="Arial"/>
          <w:color w:val="0D0D0D" w:themeColor="text1" w:themeTint="F2"/>
        </w:rPr>
        <w:t xml:space="preserve"> so se povečali za 323 milijonov EUR ali 5,3 %, od tega DDV za 283 milijonov EUR ali 8,1 %. V letu 2018 so rasli tudi nedavčni prihodki. Opazno so se povečali prihodki od dobičkov družb v lasti države (za 66 milijonov EUR ali 20,8 %), medtem ko so se prihodki od obresti znižali za 48 milijonov EUR ali 33,7  %. Opazno so se povečali tudi prihodki </w:t>
      </w:r>
      <w:r w:rsidR="008A72A7" w:rsidRPr="00BB6E3B">
        <w:rPr>
          <w:rFonts w:cs="Arial"/>
          <w:color w:val="0D0D0D" w:themeColor="text1" w:themeTint="F2"/>
        </w:rPr>
        <w:t>od</w:t>
      </w:r>
      <w:r w:rsidRPr="00BB6E3B">
        <w:rPr>
          <w:rFonts w:cs="Arial"/>
          <w:color w:val="0D0D0D" w:themeColor="text1" w:themeTint="F2"/>
        </w:rPr>
        <w:t xml:space="preserve"> </w:t>
      </w:r>
      <w:r w:rsidR="008A72A7" w:rsidRPr="00BB6E3B">
        <w:rPr>
          <w:rFonts w:cs="Arial"/>
          <w:color w:val="0D0D0D" w:themeColor="text1" w:themeTint="F2"/>
        </w:rPr>
        <w:t xml:space="preserve">sredstev </w:t>
      </w:r>
      <w:r w:rsidRPr="00BB6E3B">
        <w:rPr>
          <w:rFonts w:cs="Arial"/>
          <w:color w:val="0D0D0D" w:themeColor="text1" w:themeTint="F2"/>
        </w:rPr>
        <w:t xml:space="preserve">EU iz nove finančne perspektive. Pozitiven vpliv na saldo sektorja država so imele tudi gospodarske družbe, razvrščene v sektor država. </w:t>
      </w:r>
    </w:p>
    <w:p w:rsidR="007120DE" w:rsidRPr="00BB6E3B" w:rsidRDefault="00225D74" w:rsidP="007B4DD0">
      <w:pPr>
        <w:spacing w:after="240" w:line="276" w:lineRule="auto"/>
        <w:rPr>
          <w:rFonts w:cs="Arial"/>
          <w:color w:val="0D0D0D" w:themeColor="text1" w:themeTint="F2"/>
        </w:rPr>
      </w:pPr>
      <w:r w:rsidRPr="00BB6E3B">
        <w:rPr>
          <w:rFonts w:cs="Arial"/>
          <w:color w:val="0D0D0D" w:themeColor="text1" w:themeTint="F2"/>
        </w:rPr>
        <w:t xml:space="preserve">V letu 2019 pričakujemo nadaljevanje medletne rasti prihodkov sektorja država, </w:t>
      </w:r>
      <w:r w:rsidR="008A72A7" w:rsidRPr="00BB6E3B">
        <w:rPr>
          <w:rFonts w:cs="Arial"/>
          <w:color w:val="0D0D0D" w:themeColor="text1" w:themeTint="F2"/>
        </w:rPr>
        <w:t xml:space="preserve">na kar </w:t>
      </w:r>
      <w:r w:rsidRPr="00BB6E3B">
        <w:rPr>
          <w:rFonts w:cs="Arial"/>
          <w:color w:val="0D0D0D" w:themeColor="text1" w:themeTint="F2"/>
        </w:rPr>
        <w:t xml:space="preserve">bodo </w:t>
      </w:r>
      <w:r w:rsidR="008A72A7" w:rsidRPr="00BB6E3B">
        <w:rPr>
          <w:rFonts w:cs="Arial"/>
          <w:color w:val="0D0D0D" w:themeColor="text1" w:themeTint="F2"/>
        </w:rPr>
        <w:t>najbolj</w:t>
      </w:r>
      <w:r w:rsidRPr="00BB6E3B">
        <w:rPr>
          <w:rFonts w:cs="Arial"/>
          <w:color w:val="0D0D0D" w:themeColor="text1" w:themeTint="F2"/>
        </w:rPr>
        <w:t xml:space="preserve"> vplivale ugodne gospodarske razmere. Prihodki naj bi se leta 2019 povečali za 6,4 % na 43,2 % BDP. Največji delež k tej rasti bodo prispevali višji prihodki od socialnih prispevkov (7,7 %) in prihodkov od davkov na dohodke in premoženje (6,3 %). Zaradi vpliva davčne razbremenitve regresa do višine 100 % povprečne plače bodo prihodki </w:t>
      </w:r>
      <w:r w:rsidR="008A72A7" w:rsidRPr="00BB6E3B">
        <w:rPr>
          <w:rFonts w:cs="Arial"/>
          <w:color w:val="0D0D0D" w:themeColor="text1" w:themeTint="F2"/>
        </w:rPr>
        <w:t xml:space="preserve">od </w:t>
      </w:r>
      <w:r w:rsidRPr="00BB6E3B">
        <w:rPr>
          <w:rFonts w:cs="Arial"/>
          <w:color w:val="0D0D0D" w:themeColor="text1" w:themeTint="F2"/>
        </w:rPr>
        <w:t>dohodnine v letu 2019 do 90 milijonov EUR nižji, kot bi bili sicer. Davki na proizvodnjo in uvoz se bodo  povečali za 5,7 %. Prihodki od lastnine bodo glede na leto 2018 nižji za 10,7</w:t>
      </w:r>
      <w:r w:rsidR="008A72A7" w:rsidRPr="00BB6E3B">
        <w:rPr>
          <w:rFonts w:cs="Arial"/>
          <w:color w:val="0D0D0D" w:themeColor="text1" w:themeTint="F2"/>
        </w:rPr>
        <w:t> </w:t>
      </w:r>
      <w:r w:rsidRPr="00BB6E3B">
        <w:rPr>
          <w:rFonts w:cs="Arial"/>
          <w:color w:val="0D0D0D" w:themeColor="text1" w:themeTint="F2"/>
        </w:rPr>
        <w:t>%, kar je v največji meri posledica visokih vplačil iz tega naslova v letu 2018. Država bo učinek delnega izpada davčnih prihodkov zaradi razbremenitve regresa ublažila s povečano učinkovitostjo pobiranja davčnih prihodkov.</w:t>
      </w:r>
    </w:p>
    <w:p w:rsidR="00EB53D8" w:rsidRPr="00BB6E3B" w:rsidRDefault="007120DE" w:rsidP="007B4DD0">
      <w:pPr>
        <w:spacing w:after="240" w:line="276" w:lineRule="auto"/>
        <w:rPr>
          <w:rFonts w:cs="Arial"/>
          <w:color w:val="0D0D0D" w:themeColor="text1" w:themeTint="F2"/>
        </w:rPr>
      </w:pPr>
      <w:r w:rsidRPr="00BB6E3B">
        <w:rPr>
          <w:rFonts w:cs="Arial"/>
          <w:color w:val="0D0D0D" w:themeColor="text1" w:themeTint="F2"/>
        </w:rPr>
        <w:t>Izdatki sektorja država so se leta 2018 povečali za 8</w:t>
      </w:r>
      <w:r w:rsidR="00CF297B" w:rsidRPr="00BB6E3B">
        <w:rPr>
          <w:rFonts w:cs="Arial"/>
          <w:color w:val="0D0D0D" w:themeColor="text1" w:themeTint="F2"/>
        </w:rPr>
        <w:t>99</w:t>
      </w:r>
      <w:r w:rsidRPr="00BB6E3B">
        <w:rPr>
          <w:rFonts w:cs="Arial"/>
          <w:color w:val="0D0D0D" w:themeColor="text1" w:themeTint="F2"/>
        </w:rPr>
        <w:t xml:space="preserve"> milijonov EUR </w:t>
      </w:r>
      <w:r w:rsidR="00CF297B" w:rsidRPr="00BB6E3B">
        <w:rPr>
          <w:rFonts w:cs="Arial"/>
          <w:color w:val="0D0D0D" w:themeColor="text1" w:themeTint="F2"/>
        </w:rPr>
        <w:t>v primerjavi z letom 2017 ali 4,8</w:t>
      </w:r>
      <w:r w:rsidRPr="00BB6E3B">
        <w:rPr>
          <w:rFonts w:cs="Arial"/>
          <w:color w:val="0D0D0D" w:themeColor="text1" w:themeTint="F2"/>
        </w:rPr>
        <w:t xml:space="preserve"> % </w:t>
      </w:r>
      <w:r w:rsidR="00E33841" w:rsidRPr="00BB6E3B">
        <w:rPr>
          <w:rFonts w:cs="Arial"/>
          <w:color w:val="0D0D0D" w:themeColor="text1" w:themeTint="F2"/>
        </w:rPr>
        <w:t xml:space="preserve">in </w:t>
      </w:r>
      <w:r w:rsidR="00EB53D8" w:rsidRPr="00BB6E3B">
        <w:rPr>
          <w:rFonts w:cs="Arial"/>
          <w:color w:val="0D0D0D" w:themeColor="text1" w:themeTint="F2"/>
        </w:rPr>
        <w:t>so predstavljali</w:t>
      </w:r>
      <w:r w:rsidRPr="00BB6E3B">
        <w:rPr>
          <w:rFonts w:cs="Arial"/>
          <w:color w:val="0D0D0D" w:themeColor="text1" w:themeTint="F2"/>
        </w:rPr>
        <w:t xml:space="preserve"> 42,</w:t>
      </w:r>
      <w:r w:rsidR="00CF297B" w:rsidRPr="00BB6E3B">
        <w:rPr>
          <w:rFonts w:cs="Arial"/>
          <w:color w:val="0D0D0D" w:themeColor="text1" w:themeTint="F2"/>
        </w:rPr>
        <w:t>4</w:t>
      </w:r>
      <w:r w:rsidRPr="00BB6E3B">
        <w:rPr>
          <w:rFonts w:cs="Arial"/>
          <w:color w:val="0D0D0D" w:themeColor="text1" w:themeTint="F2"/>
        </w:rPr>
        <w:t xml:space="preserve"> % BDP (v letu 2017 43,2 % BDP). Njihova rast je bila tako za 1,</w:t>
      </w:r>
      <w:r w:rsidR="00CF297B" w:rsidRPr="00BB6E3B">
        <w:rPr>
          <w:rFonts w:cs="Arial"/>
          <w:color w:val="0D0D0D" w:themeColor="text1" w:themeTint="F2"/>
        </w:rPr>
        <w:t>8</w:t>
      </w:r>
      <w:r w:rsidRPr="00BB6E3B">
        <w:rPr>
          <w:rFonts w:cs="Arial"/>
          <w:color w:val="0D0D0D" w:themeColor="text1" w:themeTint="F2"/>
        </w:rPr>
        <w:t xml:space="preserve"> odstotne točke nižja od rasti prihodkov. Največji delež k rasti izdatkov so leta 2018 prispevale bruto investicije v osnovna sredstva. Povečale so se </w:t>
      </w:r>
      <w:r w:rsidR="008A72A7" w:rsidRPr="00BB6E3B">
        <w:rPr>
          <w:rFonts w:cs="Arial"/>
          <w:color w:val="0D0D0D" w:themeColor="text1" w:themeTint="F2"/>
        </w:rPr>
        <w:t xml:space="preserve">za </w:t>
      </w:r>
      <w:r w:rsidRPr="00BB6E3B">
        <w:rPr>
          <w:rFonts w:cs="Arial"/>
          <w:color w:val="0D0D0D" w:themeColor="text1" w:themeTint="F2"/>
        </w:rPr>
        <w:t xml:space="preserve">24,9 % ali 331 milijonov EUR. Višji so bili tudi izdatki za sredstva za zaposlene (za 4,4 %), vmesno potrošnjo (za 7,0 %) in socialna nadomestila (za 3,6 %). Višji obseg črpanja evropskih sredstev je ugodno vplival na izdatke države za subvencije. Povečali so se za 8,6 %. Država je že tretje leto zapored znižala izdatke za obresti. Ti so bili leta 2018 za 161 milijonov EUR ali 15,0 % nižji kot leto prej in so znašali 2,0  % BDP. </w:t>
      </w:r>
    </w:p>
    <w:p w:rsidR="00FF6AF5" w:rsidRDefault="007120DE" w:rsidP="00300564">
      <w:pPr>
        <w:spacing w:after="0" w:line="276" w:lineRule="auto"/>
        <w:rPr>
          <w:rFonts w:cs="Arial"/>
          <w:color w:val="0D0D0D" w:themeColor="text1" w:themeTint="F2"/>
        </w:rPr>
      </w:pPr>
      <w:r w:rsidRPr="00BB6E3B">
        <w:rPr>
          <w:rFonts w:cs="Arial"/>
          <w:color w:val="0D0D0D" w:themeColor="text1" w:themeTint="F2"/>
        </w:rPr>
        <w:t>Za leto 2019 so načrtovani izdatki sektorja država v višini 20.6</w:t>
      </w:r>
      <w:r w:rsidR="002A3DB5" w:rsidRPr="00BB6E3B">
        <w:rPr>
          <w:rFonts w:cs="Arial"/>
          <w:color w:val="0D0D0D" w:themeColor="text1" w:themeTint="F2"/>
        </w:rPr>
        <w:t>10</w:t>
      </w:r>
      <w:r w:rsidRPr="00BB6E3B">
        <w:rPr>
          <w:rFonts w:cs="Arial"/>
          <w:color w:val="0D0D0D" w:themeColor="text1" w:themeTint="F2"/>
        </w:rPr>
        <w:t xml:space="preserve"> milijonov EUR</w:t>
      </w:r>
      <w:r w:rsidR="002D6E6A" w:rsidRPr="00BB6E3B">
        <w:rPr>
          <w:rFonts w:cs="Arial"/>
          <w:color w:val="0D0D0D" w:themeColor="text1" w:themeTint="F2"/>
        </w:rPr>
        <w:t>,</w:t>
      </w:r>
      <w:r w:rsidRPr="00BB6E3B">
        <w:rPr>
          <w:rFonts w:cs="Arial"/>
          <w:color w:val="0D0D0D" w:themeColor="text1" w:themeTint="F2"/>
        </w:rPr>
        <w:t xml:space="preserve"> </w:t>
      </w:r>
      <w:r w:rsidR="00E33841" w:rsidRPr="00BB6E3B">
        <w:rPr>
          <w:rFonts w:cs="Arial"/>
          <w:color w:val="0D0D0D" w:themeColor="text1" w:themeTint="F2"/>
        </w:rPr>
        <w:t>kar predstavlja 42,</w:t>
      </w:r>
      <w:r w:rsidR="002A3DB5" w:rsidRPr="00BB6E3B">
        <w:rPr>
          <w:rFonts w:cs="Arial"/>
          <w:color w:val="0D0D0D" w:themeColor="text1" w:themeTint="F2"/>
        </w:rPr>
        <w:t>3</w:t>
      </w:r>
      <w:r w:rsidR="00E33841" w:rsidRPr="00BB6E3B">
        <w:rPr>
          <w:rFonts w:cs="Arial"/>
          <w:color w:val="0D0D0D" w:themeColor="text1" w:themeTint="F2"/>
        </w:rPr>
        <w:t xml:space="preserve"> % BDP in so za </w:t>
      </w:r>
      <w:r w:rsidR="002A3DB5" w:rsidRPr="00BB6E3B">
        <w:rPr>
          <w:rFonts w:cs="Arial"/>
          <w:color w:val="0D0D0D" w:themeColor="text1" w:themeTint="F2"/>
        </w:rPr>
        <w:t>5</w:t>
      </w:r>
      <w:r w:rsidRPr="00BB6E3B">
        <w:rPr>
          <w:rFonts w:cs="Arial"/>
          <w:color w:val="0D0D0D" w:themeColor="text1" w:themeTint="F2"/>
        </w:rPr>
        <w:t>,</w:t>
      </w:r>
      <w:r w:rsidR="002A3DB5" w:rsidRPr="00BB6E3B">
        <w:rPr>
          <w:rFonts w:cs="Arial"/>
          <w:color w:val="0D0D0D" w:themeColor="text1" w:themeTint="F2"/>
        </w:rPr>
        <w:t>9</w:t>
      </w:r>
      <w:r w:rsidRPr="00BB6E3B">
        <w:rPr>
          <w:rFonts w:cs="Arial"/>
          <w:color w:val="0D0D0D" w:themeColor="text1" w:themeTint="F2"/>
        </w:rPr>
        <w:t xml:space="preserve"> % </w:t>
      </w:r>
      <w:r w:rsidR="00E33841" w:rsidRPr="00BB6E3B">
        <w:rPr>
          <w:rFonts w:cs="Arial"/>
          <w:color w:val="0D0D0D" w:themeColor="text1" w:themeTint="F2"/>
        </w:rPr>
        <w:t xml:space="preserve">višji </w:t>
      </w:r>
      <w:r w:rsidRPr="00BB6E3B">
        <w:rPr>
          <w:rFonts w:cs="Arial"/>
          <w:color w:val="0D0D0D" w:themeColor="text1" w:themeTint="F2"/>
        </w:rPr>
        <w:t>kot leta 2018. Rast izdatkov bo še vedno nižja od rasti prihodkov. Izdatki za sredstva za zaposlene se bodo leta 2019 povečali za 8,9 % predvsem zaradi sproščanja varčev</w:t>
      </w:r>
      <w:r w:rsidR="009A1618" w:rsidRPr="00BB6E3B">
        <w:rPr>
          <w:rFonts w:cs="Arial"/>
          <w:color w:val="0D0D0D" w:themeColor="text1" w:themeTint="F2"/>
        </w:rPr>
        <w:t xml:space="preserve">alnih ukrepov na področju plač </w:t>
      </w:r>
      <w:r w:rsidR="00EB53D8" w:rsidRPr="00BB6E3B">
        <w:rPr>
          <w:rFonts w:cs="Arial"/>
          <w:color w:val="0D0D0D" w:themeColor="text1" w:themeTint="F2"/>
        </w:rPr>
        <w:t xml:space="preserve">in učinkov </w:t>
      </w:r>
      <w:r w:rsidR="009A1618" w:rsidRPr="00BB6E3B">
        <w:rPr>
          <w:rFonts w:cs="Arial"/>
          <w:color w:val="0D0D0D" w:themeColor="text1" w:themeTint="F2"/>
        </w:rPr>
        <w:t xml:space="preserve">stavkovnega </w:t>
      </w:r>
      <w:r w:rsidR="00EB53D8" w:rsidRPr="00BB6E3B">
        <w:rPr>
          <w:rFonts w:cs="Arial"/>
          <w:color w:val="0D0D0D" w:themeColor="text1" w:themeTint="F2"/>
        </w:rPr>
        <w:t>dogovora</w:t>
      </w:r>
      <w:r w:rsidRPr="00BB6E3B">
        <w:rPr>
          <w:rFonts w:cs="Arial"/>
          <w:color w:val="0D0D0D" w:themeColor="text1" w:themeTint="F2"/>
        </w:rPr>
        <w:t xml:space="preserve">. Socialna nadomestila se bodo povečala za </w:t>
      </w:r>
      <w:r w:rsidR="002A3DB5" w:rsidRPr="00BB6E3B">
        <w:rPr>
          <w:rFonts w:cs="Arial"/>
          <w:color w:val="0D0D0D" w:themeColor="text1" w:themeTint="F2"/>
        </w:rPr>
        <w:t>4</w:t>
      </w:r>
      <w:r w:rsidRPr="00BB6E3B">
        <w:rPr>
          <w:rFonts w:cs="Arial"/>
          <w:color w:val="0D0D0D" w:themeColor="text1" w:themeTint="F2"/>
        </w:rPr>
        <w:t>,</w:t>
      </w:r>
      <w:r w:rsidR="002A3DB5" w:rsidRPr="00BB6E3B">
        <w:rPr>
          <w:rFonts w:cs="Arial"/>
          <w:color w:val="0D0D0D" w:themeColor="text1" w:themeTint="F2"/>
        </w:rPr>
        <w:t>8</w:t>
      </w:r>
      <w:r w:rsidRPr="00BB6E3B">
        <w:rPr>
          <w:rFonts w:cs="Arial"/>
          <w:color w:val="0D0D0D" w:themeColor="text1" w:themeTint="F2"/>
        </w:rPr>
        <w:t xml:space="preserve"> %, podobno kot v letu 2018 pa bodo rasli tudi izdatki za bruto investicije v osnovna sredstva, in sicer za 20,2 % ali 336 milijonov EUR.</w:t>
      </w:r>
    </w:p>
    <w:p w:rsidR="00C3436D" w:rsidRDefault="00C3436D" w:rsidP="00300564">
      <w:pPr>
        <w:spacing w:after="0" w:line="276" w:lineRule="auto"/>
        <w:rPr>
          <w:rFonts w:cs="Arial"/>
          <w:color w:val="0D0D0D" w:themeColor="text1" w:themeTint="F2"/>
        </w:rPr>
      </w:pPr>
    </w:p>
    <w:p w:rsidR="00C3436D" w:rsidRPr="00BB6E3B" w:rsidRDefault="00C3436D" w:rsidP="00C3436D">
      <w:pPr>
        <w:spacing w:after="0" w:line="276" w:lineRule="auto"/>
        <w:rPr>
          <w:rFonts w:cs="Arial"/>
          <w:color w:val="0D0D0D" w:themeColor="text1" w:themeTint="F2"/>
        </w:rPr>
      </w:pPr>
      <w:r w:rsidRPr="00BB6E3B">
        <w:rPr>
          <w:rFonts w:cs="Arial"/>
          <w:color w:val="0D0D0D" w:themeColor="text1" w:themeTint="F2"/>
        </w:rPr>
        <w:t>V obdobju 2015–2018 je rast prihodkov povprečno dosegla 4,4 % in je prehitevala rast izdatkov (povprečna rast izdatkov v enakem obdobju 2015–2018 je znašala 1,0 %) za 3,4 odstotne točke. Vlada RS bo v mandatu 2019–2022 postopno in z osredotočenostjo na prednostna področja nadaljevala fiskalno konsolidacijo s ciljem srednjeročne uravnoteženosti kot tudi s poudarkom na zagotavljanju rasti (osrednja elementa Pakta stabilnosti in rasti). Dosedanja fiskalna konsolidacija je bila ugodna za rast potrošnje in izvoza, ki sta gonilo rasti, prav tako je prišlo do sproščanja ukrepov (plače, pokojnine, socialni transferji). V obdobju 2019–2022 bo povprečna rast prihodkov (4,6 %) prehitevala  povprečno rast izdatkov (4,3 %). Tudi letno bo rast prihodkov prehitevala rast odhodkov. Prav tako je opazen trend pospešitve črpanja sredstev EU v povezavi z investicijami, ki se krepi proti koncu obdobja upravičenosti (skladno s pravilom n+3).</w:t>
      </w:r>
    </w:p>
    <w:p w:rsidR="00C3436D" w:rsidRPr="00BB6E3B" w:rsidRDefault="00C3436D" w:rsidP="00300564">
      <w:pPr>
        <w:spacing w:after="0" w:line="276" w:lineRule="auto"/>
        <w:rPr>
          <w:rFonts w:cs="Arial"/>
          <w:color w:val="0D0D0D" w:themeColor="text1" w:themeTint="F2"/>
        </w:rPr>
      </w:pPr>
    </w:p>
    <w:p w:rsidR="00580C61" w:rsidRPr="00BB6E3B" w:rsidRDefault="00FF6AF5" w:rsidP="00300564">
      <w:pPr>
        <w:pStyle w:val="Caption"/>
        <w:keepNext/>
        <w:spacing w:before="0"/>
        <w:jc w:val="center"/>
        <w:rPr>
          <w:rFonts w:ascii="Arial" w:hAnsi="Arial" w:cs="Arial"/>
          <w:color w:val="0D0D0D" w:themeColor="text1" w:themeTint="F2"/>
          <w:szCs w:val="22"/>
          <w:lang w:val="sl-SI"/>
        </w:rPr>
      </w:pPr>
      <w:r w:rsidRPr="00BB6E3B">
        <w:rPr>
          <w:rFonts w:ascii="Arial" w:hAnsi="Arial" w:cs="Arial"/>
          <w:color w:val="0D0D0D" w:themeColor="text1" w:themeTint="F2"/>
          <w:szCs w:val="22"/>
          <w:lang w:val="sl-SI"/>
        </w:rPr>
        <w:lastRenderedPageBreak/>
        <w:t>Slika</w:t>
      </w:r>
      <w:r w:rsidR="00EB53D8" w:rsidRPr="00BB6E3B">
        <w:rPr>
          <w:rFonts w:ascii="Arial" w:hAnsi="Arial" w:cs="Arial"/>
          <w:color w:val="0D0D0D" w:themeColor="text1" w:themeTint="F2"/>
          <w:szCs w:val="22"/>
          <w:lang w:val="sl-SI"/>
        </w:rPr>
        <w:t xml:space="preserve"> 16</w:t>
      </w:r>
      <w:r w:rsidRPr="00BB6E3B">
        <w:rPr>
          <w:rFonts w:ascii="Arial" w:hAnsi="Arial" w:cs="Arial"/>
          <w:color w:val="0D0D0D" w:themeColor="text1" w:themeTint="F2"/>
          <w:szCs w:val="22"/>
          <w:lang w:val="sl-SI"/>
        </w:rPr>
        <w:t>: Rast prihodkov, izdatkov, investicij sektorja država</w:t>
      </w:r>
      <w:r w:rsidR="00D27F28" w:rsidRPr="00BB6E3B">
        <w:rPr>
          <w:rFonts w:ascii="Arial" w:hAnsi="Arial" w:cs="Arial"/>
          <w:color w:val="0D0D0D" w:themeColor="text1" w:themeTint="F2"/>
          <w:szCs w:val="22"/>
          <w:lang w:val="sl-SI"/>
        </w:rPr>
        <w:t xml:space="preserve"> (stopnje rasti)</w:t>
      </w:r>
    </w:p>
    <w:p w:rsidR="00716298" w:rsidRPr="00BB6E3B" w:rsidRDefault="005F1958" w:rsidP="00300564">
      <w:pPr>
        <w:spacing w:after="0"/>
        <w:jc w:val="center"/>
        <w:rPr>
          <w:noProof/>
          <w:color w:val="0D0D0D" w:themeColor="text1" w:themeTint="F2"/>
          <w:lang w:eastAsia="sl-SI"/>
        </w:rPr>
      </w:pPr>
      <w:r w:rsidRPr="00BB6E3B">
        <w:rPr>
          <w:noProof/>
          <w:color w:val="0D0D0D" w:themeColor="text1" w:themeTint="F2"/>
          <w:lang w:val="en-US"/>
        </w:rPr>
        <w:drawing>
          <wp:inline distT="0" distB="0" distL="0" distR="0" wp14:anchorId="77D69168" wp14:editId="7D953472">
            <wp:extent cx="5886450" cy="333375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27F28" w:rsidRDefault="00D27F28" w:rsidP="00300564">
      <w:pPr>
        <w:pStyle w:val="Caption"/>
        <w:keepNext/>
        <w:spacing w:before="0"/>
        <w:jc w:val="center"/>
        <w:rPr>
          <w:rFonts w:ascii="Arial" w:hAnsi="Arial" w:cs="Arial"/>
          <w:color w:val="0D0D0D" w:themeColor="text1" w:themeTint="F2"/>
          <w:sz w:val="20"/>
          <w:szCs w:val="22"/>
          <w:lang w:val="sl-SI"/>
        </w:rPr>
      </w:pPr>
      <w:r w:rsidRPr="00BB6E3B">
        <w:rPr>
          <w:rFonts w:ascii="Arial" w:hAnsi="Arial" w:cs="Arial"/>
          <w:color w:val="0D0D0D" w:themeColor="text1" w:themeTint="F2"/>
          <w:sz w:val="20"/>
          <w:szCs w:val="22"/>
          <w:lang w:val="sl-SI"/>
        </w:rPr>
        <w:t>Vir: Ministrstvo za finance</w:t>
      </w:r>
    </w:p>
    <w:p w:rsidR="00C3436D" w:rsidRPr="00BB6E3B" w:rsidRDefault="00C3436D" w:rsidP="00C3436D">
      <w:pPr>
        <w:rPr>
          <w:lang w:eastAsia="sl-SI"/>
        </w:rPr>
      </w:pPr>
    </w:p>
    <w:p w:rsidR="009E6A31" w:rsidRPr="00BB6E3B" w:rsidRDefault="009E6A31" w:rsidP="00FB5479">
      <w:pPr>
        <w:pStyle w:val="Heading2"/>
        <w:numPr>
          <w:ilvl w:val="1"/>
          <w:numId w:val="3"/>
        </w:numPr>
        <w:rPr>
          <w:bCs w:val="0"/>
          <w:color w:val="0D0D0D" w:themeColor="text1" w:themeTint="F2"/>
        </w:rPr>
      </w:pPr>
      <w:bookmarkStart w:id="8" w:name="_Toc6923649"/>
      <w:r w:rsidRPr="00BB6E3B">
        <w:rPr>
          <w:color w:val="0D0D0D" w:themeColor="text1" w:themeTint="F2"/>
        </w:rPr>
        <w:t>Srednjeročna uravnoteženost sektorja držav</w:t>
      </w:r>
      <w:r w:rsidR="008A72A7" w:rsidRPr="00BB6E3B">
        <w:rPr>
          <w:color w:val="0D0D0D" w:themeColor="text1" w:themeTint="F2"/>
        </w:rPr>
        <w:t>a</w:t>
      </w:r>
      <w:r w:rsidR="002E3C2D" w:rsidRPr="00BB6E3B">
        <w:rPr>
          <w:color w:val="0D0D0D" w:themeColor="text1" w:themeTint="F2"/>
        </w:rPr>
        <w:t>, izpolnjevanje srednjeročnega cilja v letih 2020</w:t>
      </w:r>
      <w:r w:rsidR="001C284E" w:rsidRPr="00BB6E3B">
        <w:rPr>
          <w:color w:val="0D0D0D" w:themeColor="text1" w:themeTint="F2"/>
        </w:rPr>
        <w:t>–</w:t>
      </w:r>
      <w:r w:rsidR="002E3C2D" w:rsidRPr="00BB6E3B">
        <w:rPr>
          <w:color w:val="0D0D0D" w:themeColor="text1" w:themeTint="F2"/>
        </w:rPr>
        <w:t>2022</w:t>
      </w:r>
      <w:bookmarkEnd w:id="8"/>
    </w:p>
    <w:p w:rsidR="002E3C2D" w:rsidRPr="00BB6E3B" w:rsidRDefault="002E3C2D" w:rsidP="004F2C4E">
      <w:pPr>
        <w:spacing w:after="0" w:line="276" w:lineRule="auto"/>
        <w:rPr>
          <w:rFonts w:cs="Arial"/>
          <w:color w:val="0D0D0D" w:themeColor="text1" w:themeTint="F2"/>
        </w:rPr>
      </w:pPr>
    </w:p>
    <w:p w:rsidR="00300564" w:rsidRPr="00BB6E3B" w:rsidRDefault="00EB53D8" w:rsidP="004F2C4E">
      <w:pPr>
        <w:pStyle w:val="odstavek1"/>
        <w:spacing w:before="0" w:line="276" w:lineRule="auto"/>
        <w:ind w:firstLine="0"/>
        <w:rPr>
          <w:color w:val="0D0D0D" w:themeColor="text1" w:themeTint="F2"/>
        </w:rPr>
      </w:pPr>
      <w:r w:rsidRPr="00BB6E3B">
        <w:rPr>
          <w:color w:val="0D0D0D" w:themeColor="text1" w:themeTint="F2"/>
        </w:rPr>
        <w:t>Srednjeročna uravnoteženost javnih financ je bila ključni cilj vlade ob pripravi rebalansa državnega proračuna za leto 2019 na način,</w:t>
      </w:r>
      <w:r w:rsidR="00F1025D" w:rsidRPr="00BB6E3B">
        <w:rPr>
          <w:color w:val="0D0D0D" w:themeColor="text1" w:themeTint="F2"/>
        </w:rPr>
        <w:t xml:space="preserve"> da bo strukturni saldo sektorja država po oceni Ministrstva za finance uravnotežen </w:t>
      </w:r>
      <w:r w:rsidR="00EF2654" w:rsidRPr="00BB6E3B">
        <w:rPr>
          <w:color w:val="0D0D0D" w:themeColor="text1" w:themeTint="F2"/>
        </w:rPr>
        <w:t>kon</w:t>
      </w:r>
      <w:r w:rsidR="000C748B" w:rsidRPr="00BB6E3B">
        <w:rPr>
          <w:color w:val="0D0D0D" w:themeColor="text1" w:themeTint="F2"/>
        </w:rPr>
        <w:t>ca</w:t>
      </w:r>
      <w:r w:rsidR="00EF2654" w:rsidRPr="00BB6E3B">
        <w:rPr>
          <w:color w:val="0D0D0D" w:themeColor="text1" w:themeTint="F2"/>
        </w:rPr>
        <w:t xml:space="preserve"> leta</w:t>
      </w:r>
      <w:r w:rsidR="00F1025D" w:rsidRPr="00BB6E3B">
        <w:rPr>
          <w:color w:val="0D0D0D" w:themeColor="text1" w:themeTint="F2"/>
        </w:rPr>
        <w:t xml:space="preserve"> 202</w:t>
      </w:r>
      <w:r w:rsidR="000C748B" w:rsidRPr="00BB6E3B">
        <w:rPr>
          <w:color w:val="0D0D0D" w:themeColor="text1" w:themeTint="F2"/>
        </w:rPr>
        <w:t>2</w:t>
      </w:r>
      <w:r w:rsidRPr="00BB6E3B">
        <w:rPr>
          <w:color w:val="0D0D0D" w:themeColor="text1" w:themeTint="F2"/>
        </w:rPr>
        <w:t xml:space="preserve">, pri </w:t>
      </w:r>
      <w:r w:rsidR="000C748B" w:rsidRPr="00BB6E3B">
        <w:rPr>
          <w:color w:val="0D0D0D" w:themeColor="text1" w:themeTint="F2"/>
        </w:rPr>
        <w:t>tem</w:t>
      </w:r>
      <w:r w:rsidR="008A72A7" w:rsidRPr="00BB6E3B">
        <w:rPr>
          <w:color w:val="0D0D0D" w:themeColor="text1" w:themeTint="F2"/>
        </w:rPr>
        <w:t>,</w:t>
      </w:r>
      <w:r w:rsidR="000C748B" w:rsidRPr="00BB6E3B">
        <w:rPr>
          <w:color w:val="0D0D0D" w:themeColor="text1" w:themeTint="F2"/>
        </w:rPr>
        <w:t xml:space="preserve"> da dosežemo</w:t>
      </w:r>
      <w:r w:rsidR="00F1025D" w:rsidRPr="00BB6E3B">
        <w:rPr>
          <w:color w:val="0D0D0D" w:themeColor="text1" w:themeTint="F2"/>
        </w:rPr>
        <w:t xml:space="preserve"> srednjeročni cilj (MTO)</w:t>
      </w:r>
      <w:r w:rsidR="000C748B" w:rsidRPr="00BB6E3B">
        <w:rPr>
          <w:color w:val="0D0D0D" w:themeColor="text1" w:themeTint="F2"/>
        </w:rPr>
        <w:t xml:space="preserve"> že v letu 2020</w:t>
      </w:r>
      <w:r w:rsidR="00F1025D" w:rsidRPr="00BB6E3B">
        <w:rPr>
          <w:color w:val="0D0D0D" w:themeColor="text1" w:themeTint="F2"/>
        </w:rPr>
        <w:t xml:space="preserve">. </w:t>
      </w:r>
      <w:r w:rsidRPr="00BB6E3B">
        <w:rPr>
          <w:color w:val="0D0D0D" w:themeColor="text1" w:themeTint="F2"/>
        </w:rPr>
        <w:t>P</w:t>
      </w:r>
      <w:r w:rsidR="00A22F35" w:rsidRPr="00BB6E3B">
        <w:rPr>
          <w:color w:val="0D0D0D" w:themeColor="text1" w:themeTint="F2"/>
        </w:rPr>
        <w:t xml:space="preserve">redčasne </w:t>
      </w:r>
      <w:r w:rsidR="00765F81" w:rsidRPr="00BB6E3B">
        <w:rPr>
          <w:color w:val="0D0D0D" w:themeColor="text1" w:themeTint="F2"/>
        </w:rPr>
        <w:t>volitve</w:t>
      </w:r>
      <w:r w:rsidR="005229D1" w:rsidRPr="00BB6E3B">
        <w:rPr>
          <w:color w:val="0D0D0D" w:themeColor="text1" w:themeTint="F2"/>
        </w:rPr>
        <w:t xml:space="preserve"> </w:t>
      </w:r>
      <w:r w:rsidRPr="00BB6E3B">
        <w:rPr>
          <w:color w:val="0D0D0D" w:themeColor="text1" w:themeTint="F2"/>
        </w:rPr>
        <w:t>so</w:t>
      </w:r>
      <w:r w:rsidR="00A22F35" w:rsidRPr="00BB6E3B">
        <w:rPr>
          <w:color w:val="0D0D0D" w:themeColor="text1" w:themeTint="F2"/>
        </w:rPr>
        <w:t xml:space="preserve"> </w:t>
      </w:r>
      <w:r w:rsidR="000C748B" w:rsidRPr="00BB6E3B">
        <w:rPr>
          <w:color w:val="0D0D0D" w:themeColor="text1" w:themeTint="F2"/>
        </w:rPr>
        <w:t xml:space="preserve">omejile </w:t>
      </w:r>
      <w:r w:rsidR="00A22F35" w:rsidRPr="00BB6E3B">
        <w:rPr>
          <w:color w:val="0D0D0D" w:themeColor="text1" w:themeTint="F2"/>
        </w:rPr>
        <w:t>manevrski prosto</w:t>
      </w:r>
      <w:r w:rsidR="005229D1" w:rsidRPr="00BB6E3B">
        <w:rPr>
          <w:color w:val="0D0D0D" w:themeColor="text1" w:themeTint="F2"/>
        </w:rPr>
        <w:t>r</w:t>
      </w:r>
      <w:r w:rsidR="00A22F35" w:rsidRPr="00BB6E3B">
        <w:rPr>
          <w:color w:val="0D0D0D" w:themeColor="text1" w:themeTint="F2"/>
        </w:rPr>
        <w:t xml:space="preserve"> vlade </w:t>
      </w:r>
      <w:r w:rsidR="000C748B" w:rsidRPr="00BB6E3B">
        <w:rPr>
          <w:color w:val="0D0D0D" w:themeColor="text1" w:themeTint="F2"/>
        </w:rPr>
        <w:t>za leto 2019 in zato je bilo z vidika delovanja fiskalne politike ključno, da se</w:t>
      </w:r>
      <w:r w:rsidR="002D6E6A" w:rsidRPr="00BB6E3B">
        <w:rPr>
          <w:color w:val="0D0D0D" w:themeColor="text1" w:themeTint="F2"/>
        </w:rPr>
        <w:t xml:space="preserve"> v</w:t>
      </w:r>
      <w:r w:rsidR="000C748B" w:rsidRPr="00BB6E3B">
        <w:rPr>
          <w:color w:val="0D0D0D" w:themeColor="text1" w:themeTint="F2"/>
        </w:rPr>
        <w:t xml:space="preserve"> </w:t>
      </w:r>
      <w:r w:rsidRPr="00BB6E3B">
        <w:rPr>
          <w:color w:val="0D0D0D" w:themeColor="text1" w:themeTint="F2"/>
        </w:rPr>
        <w:t>rebalans</w:t>
      </w:r>
      <w:r w:rsidR="002D6E6A" w:rsidRPr="00BB6E3B">
        <w:rPr>
          <w:color w:val="0D0D0D" w:themeColor="text1" w:themeTint="F2"/>
        </w:rPr>
        <w:t>u</w:t>
      </w:r>
      <w:r w:rsidRPr="00BB6E3B">
        <w:rPr>
          <w:color w:val="0D0D0D" w:themeColor="text1" w:themeTint="F2"/>
        </w:rPr>
        <w:t xml:space="preserve"> upošteva</w:t>
      </w:r>
      <w:r w:rsidR="002D6E6A" w:rsidRPr="00BB6E3B">
        <w:rPr>
          <w:color w:val="0D0D0D" w:themeColor="text1" w:themeTint="F2"/>
        </w:rPr>
        <w:t>jo</w:t>
      </w:r>
      <w:r w:rsidRPr="00BB6E3B">
        <w:rPr>
          <w:color w:val="0D0D0D" w:themeColor="text1" w:themeTint="F2"/>
        </w:rPr>
        <w:t xml:space="preserve"> vs</w:t>
      </w:r>
      <w:r w:rsidR="002D6E6A" w:rsidRPr="00BB6E3B">
        <w:rPr>
          <w:color w:val="0D0D0D" w:themeColor="text1" w:themeTint="F2"/>
        </w:rPr>
        <w:t>i</w:t>
      </w:r>
      <w:r w:rsidRPr="00BB6E3B">
        <w:rPr>
          <w:color w:val="0D0D0D" w:themeColor="text1" w:themeTint="F2"/>
        </w:rPr>
        <w:t xml:space="preserve"> </w:t>
      </w:r>
      <w:r w:rsidR="000C748B" w:rsidRPr="00BB6E3B">
        <w:rPr>
          <w:color w:val="0D0D0D" w:themeColor="text1" w:themeTint="F2"/>
        </w:rPr>
        <w:t xml:space="preserve">že </w:t>
      </w:r>
      <w:r w:rsidRPr="00BB6E3B">
        <w:rPr>
          <w:color w:val="0D0D0D" w:themeColor="text1" w:themeTint="F2"/>
        </w:rPr>
        <w:t>sproščen</w:t>
      </w:r>
      <w:r w:rsidR="002D6E6A" w:rsidRPr="00BB6E3B">
        <w:rPr>
          <w:color w:val="0D0D0D" w:themeColor="text1" w:themeTint="F2"/>
        </w:rPr>
        <w:t>i</w:t>
      </w:r>
      <w:r w:rsidRPr="00BB6E3B">
        <w:rPr>
          <w:color w:val="0D0D0D" w:themeColor="text1" w:themeTint="F2"/>
        </w:rPr>
        <w:t xml:space="preserve"> ukrep</w:t>
      </w:r>
      <w:r w:rsidR="002D6E6A" w:rsidRPr="00BB6E3B">
        <w:rPr>
          <w:color w:val="0D0D0D" w:themeColor="text1" w:themeTint="F2"/>
        </w:rPr>
        <w:t>i</w:t>
      </w:r>
      <w:r w:rsidRPr="00BB6E3B">
        <w:rPr>
          <w:color w:val="0D0D0D" w:themeColor="text1" w:themeTint="F2"/>
        </w:rPr>
        <w:t xml:space="preserve"> </w:t>
      </w:r>
      <w:r w:rsidR="000C748B" w:rsidRPr="00BB6E3B">
        <w:rPr>
          <w:color w:val="0D0D0D" w:themeColor="text1" w:themeTint="F2"/>
        </w:rPr>
        <w:t>in pogajan</w:t>
      </w:r>
      <w:r w:rsidRPr="00BB6E3B">
        <w:rPr>
          <w:color w:val="0D0D0D" w:themeColor="text1" w:themeTint="F2"/>
        </w:rPr>
        <w:t>ja</w:t>
      </w:r>
      <w:r w:rsidR="002D6E6A" w:rsidRPr="00BB6E3B">
        <w:rPr>
          <w:color w:val="0D0D0D" w:themeColor="text1" w:themeTint="F2"/>
        </w:rPr>
        <w:t>,</w:t>
      </w:r>
      <w:r w:rsidR="000C748B" w:rsidRPr="00BB6E3B">
        <w:rPr>
          <w:color w:val="0D0D0D" w:themeColor="text1" w:themeTint="F2"/>
        </w:rPr>
        <w:t xml:space="preserve"> kot so bila že zapeljana v letu 2018</w:t>
      </w:r>
      <w:r w:rsidR="002D6E6A" w:rsidRPr="00BB6E3B">
        <w:rPr>
          <w:color w:val="0D0D0D" w:themeColor="text1" w:themeTint="F2"/>
        </w:rPr>
        <w:t>,</w:t>
      </w:r>
      <w:r w:rsidR="000C748B" w:rsidRPr="00BB6E3B">
        <w:rPr>
          <w:color w:val="0D0D0D" w:themeColor="text1" w:themeTint="F2"/>
        </w:rPr>
        <w:t xml:space="preserve"> </w:t>
      </w:r>
      <w:r w:rsidR="002D6E6A" w:rsidRPr="00BB6E3B">
        <w:rPr>
          <w:color w:val="0D0D0D" w:themeColor="text1" w:themeTint="F2"/>
        </w:rPr>
        <w:t xml:space="preserve">vlada pa se </w:t>
      </w:r>
      <w:r w:rsidR="000F49FC" w:rsidRPr="00BB6E3B">
        <w:rPr>
          <w:color w:val="0D0D0D" w:themeColor="text1" w:themeTint="F2"/>
        </w:rPr>
        <w:t>posveti srednj</w:t>
      </w:r>
      <w:r w:rsidR="000C748B" w:rsidRPr="00BB6E3B">
        <w:rPr>
          <w:color w:val="0D0D0D" w:themeColor="text1" w:themeTint="F2"/>
        </w:rPr>
        <w:t>e</w:t>
      </w:r>
      <w:r w:rsidR="000F49FC" w:rsidRPr="00BB6E3B">
        <w:rPr>
          <w:color w:val="0D0D0D" w:themeColor="text1" w:themeTint="F2"/>
        </w:rPr>
        <w:t>r</w:t>
      </w:r>
      <w:r w:rsidR="000C748B" w:rsidRPr="00BB6E3B">
        <w:rPr>
          <w:color w:val="0D0D0D" w:themeColor="text1" w:themeTint="F2"/>
        </w:rPr>
        <w:t>očnim izzivom.</w:t>
      </w:r>
      <w:r w:rsidRPr="00BB6E3B">
        <w:rPr>
          <w:color w:val="0D0D0D" w:themeColor="text1" w:themeTint="F2"/>
        </w:rPr>
        <w:t xml:space="preserve"> </w:t>
      </w:r>
    </w:p>
    <w:p w:rsidR="00300564" w:rsidRPr="00BB6E3B" w:rsidRDefault="00300564" w:rsidP="004F2C4E">
      <w:pPr>
        <w:pStyle w:val="odstavek1"/>
        <w:spacing w:before="0" w:line="276" w:lineRule="auto"/>
        <w:ind w:firstLine="0"/>
        <w:rPr>
          <w:color w:val="0D0D0D" w:themeColor="text1" w:themeTint="F2"/>
        </w:rPr>
      </w:pPr>
    </w:p>
    <w:p w:rsidR="0075307A" w:rsidRPr="00BB6E3B" w:rsidRDefault="00EB53D8" w:rsidP="004F2C4E">
      <w:pPr>
        <w:pStyle w:val="odstavek1"/>
        <w:spacing w:before="0" w:line="276" w:lineRule="auto"/>
        <w:ind w:firstLine="0"/>
        <w:rPr>
          <w:color w:val="0D0D0D" w:themeColor="text1" w:themeTint="F2"/>
        </w:rPr>
      </w:pPr>
      <w:r w:rsidRPr="00BB6E3B">
        <w:rPr>
          <w:color w:val="0D0D0D" w:themeColor="text1" w:themeTint="F2"/>
        </w:rPr>
        <w:t xml:space="preserve">Ob pripravi </w:t>
      </w:r>
      <w:r w:rsidR="00E03D28" w:rsidRPr="00BB6E3B">
        <w:rPr>
          <w:color w:val="0D0D0D" w:themeColor="text1" w:themeTint="F2"/>
        </w:rPr>
        <w:t>rebalansa so se spremenile tudi</w:t>
      </w:r>
      <w:r w:rsidR="0075307A" w:rsidRPr="00BB6E3B">
        <w:rPr>
          <w:color w:val="0D0D0D" w:themeColor="text1" w:themeTint="F2"/>
        </w:rPr>
        <w:t xml:space="preserve"> predpostavke za leto 201</w:t>
      </w:r>
      <w:r w:rsidR="000C748B" w:rsidRPr="00BB6E3B">
        <w:rPr>
          <w:color w:val="0D0D0D" w:themeColor="text1" w:themeTint="F2"/>
        </w:rPr>
        <w:t>9</w:t>
      </w:r>
      <w:r w:rsidR="0075307A" w:rsidRPr="00BB6E3B">
        <w:rPr>
          <w:color w:val="0D0D0D" w:themeColor="text1" w:themeTint="F2"/>
        </w:rPr>
        <w:t xml:space="preserve"> in naprej:</w:t>
      </w:r>
    </w:p>
    <w:p w:rsidR="0075307A" w:rsidRPr="00BB6E3B" w:rsidRDefault="0075307A" w:rsidP="00C3436D">
      <w:pPr>
        <w:pStyle w:val="odstavek1"/>
        <w:numPr>
          <w:ilvl w:val="0"/>
          <w:numId w:val="21"/>
        </w:numPr>
        <w:spacing w:before="0" w:line="276" w:lineRule="auto"/>
        <w:rPr>
          <w:color w:val="0D0D0D" w:themeColor="text1" w:themeTint="F2"/>
        </w:rPr>
      </w:pPr>
      <w:r w:rsidRPr="00BB6E3B">
        <w:rPr>
          <w:color w:val="0D0D0D" w:themeColor="text1" w:themeTint="F2"/>
        </w:rPr>
        <w:t>realizac</w:t>
      </w:r>
      <w:r w:rsidR="008C4270" w:rsidRPr="00BB6E3B">
        <w:rPr>
          <w:color w:val="0D0D0D" w:themeColor="text1" w:themeTint="F2"/>
        </w:rPr>
        <w:t xml:space="preserve">ija </w:t>
      </w:r>
      <w:r w:rsidR="000121C4" w:rsidRPr="00BB6E3B">
        <w:rPr>
          <w:color w:val="0D0D0D" w:themeColor="text1" w:themeTint="F2"/>
        </w:rPr>
        <w:t>za leto 201</w:t>
      </w:r>
      <w:r w:rsidR="000C748B" w:rsidRPr="00BB6E3B">
        <w:rPr>
          <w:color w:val="0D0D0D" w:themeColor="text1" w:themeTint="F2"/>
        </w:rPr>
        <w:t>8</w:t>
      </w:r>
      <w:r w:rsidR="000121C4" w:rsidRPr="00BB6E3B">
        <w:rPr>
          <w:color w:val="0D0D0D" w:themeColor="text1" w:themeTint="F2"/>
        </w:rPr>
        <w:t xml:space="preserve"> (ugodnejša </w:t>
      </w:r>
      <w:r w:rsidRPr="00BB6E3B">
        <w:rPr>
          <w:color w:val="0D0D0D" w:themeColor="text1" w:themeTint="F2"/>
        </w:rPr>
        <w:t xml:space="preserve">kot predvideno </w:t>
      </w:r>
      <w:r w:rsidR="000C748B" w:rsidRPr="00BB6E3B">
        <w:rPr>
          <w:color w:val="0D0D0D" w:themeColor="text1" w:themeTint="F2"/>
        </w:rPr>
        <w:t>pozimi</w:t>
      </w:r>
      <w:r w:rsidRPr="00BB6E3B">
        <w:rPr>
          <w:color w:val="0D0D0D" w:themeColor="text1" w:themeTint="F2"/>
        </w:rPr>
        <w:t xml:space="preserve">), </w:t>
      </w:r>
      <w:r w:rsidR="000C748B" w:rsidRPr="00BB6E3B">
        <w:rPr>
          <w:color w:val="0D0D0D" w:themeColor="text1" w:themeTint="F2"/>
        </w:rPr>
        <w:t xml:space="preserve">novi </w:t>
      </w:r>
      <w:r w:rsidRPr="00BB6E3B">
        <w:rPr>
          <w:color w:val="0D0D0D" w:themeColor="text1" w:themeTint="F2"/>
        </w:rPr>
        <w:t>makr</w:t>
      </w:r>
      <w:r w:rsidR="00E03D28" w:rsidRPr="00BB6E3B">
        <w:rPr>
          <w:color w:val="0D0D0D" w:themeColor="text1" w:themeTint="F2"/>
        </w:rPr>
        <w:t xml:space="preserve">oekonomski indikatorji za leto </w:t>
      </w:r>
      <w:r w:rsidRPr="00BB6E3B">
        <w:rPr>
          <w:color w:val="0D0D0D" w:themeColor="text1" w:themeTint="F2"/>
        </w:rPr>
        <w:t>201</w:t>
      </w:r>
      <w:r w:rsidR="000C748B" w:rsidRPr="00BB6E3B">
        <w:rPr>
          <w:color w:val="0D0D0D" w:themeColor="text1" w:themeTint="F2"/>
        </w:rPr>
        <w:t>9</w:t>
      </w:r>
      <w:r w:rsidRPr="00BB6E3B">
        <w:rPr>
          <w:color w:val="0D0D0D" w:themeColor="text1" w:themeTint="F2"/>
        </w:rPr>
        <w:t xml:space="preserve"> in naprej,</w:t>
      </w:r>
    </w:p>
    <w:p w:rsidR="0075307A" w:rsidRPr="00BB6E3B" w:rsidRDefault="007B4603" w:rsidP="00C3436D">
      <w:pPr>
        <w:pStyle w:val="odstavek1"/>
        <w:numPr>
          <w:ilvl w:val="0"/>
          <w:numId w:val="21"/>
        </w:numPr>
        <w:spacing w:before="0" w:line="276" w:lineRule="auto"/>
        <w:rPr>
          <w:color w:val="0D0D0D" w:themeColor="text1" w:themeTint="F2"/>
        </w:rPr>
      </w:pPr>
      <w:r w:rsidRPr="00BB6E3B">
        <w:rPr>
          <w:color w:val="0D0D0D" w:themeColor="text1" w:themeTint="F2"/>
        </w:rPr>
        <w:t>sklenjeni stavkovni sporazumi s sindikati javnega sektorja</w:t>
      </w:r>
      <w:r w:rsidR="00EB53D8" w:rsidRPr="00BB6E3B">
        <w:rPr>
          <w:color w:val="0D0D0D" w:themeColor="text1" w:themeTint="F2"/>
        </w:rPr>
        <w:t>,</w:t>
      </w:r>
      <w:r w:rsidR="0075307A" w:rsidRPr="00BB6E3B">
        <w:rPr>
          <w:color w:val="0D0D0D" w:themeColor="text1" w:themeTint="F2"/>
        </w:rPr>
        <w:t xml:space="preserve"> </w:t>
      </w:r>
    </w:p>
    <w:p w:rsidR="00EB53D8" w:rsidRPr="00BB6E3B" w:rsidRDefault="00EB53D8" w:rsidP="00C3436D">
      <w:pPr>
        <w:pStyle w:val="odstavek1"/>
        <w:numPr>
          <w:ilvl w:val="0"/>
          <w:numId w:val="21"/>
        </w:numPr>
        <w:spacing w:before="0" w:line="276" w:lineRule="auto"/>
        <w:rPr>
          <w:bCs/>
          <w:color w:val="0D0D0D" w:themeColor="text1" w:themeTint="F2"/>
          <w:sz w:val="16"/>
          <w:szCs w:val="16"/>
        </w:rPr>
      </w:pPr>
      <w:r w:rsidRPr="00BB6E3B">
        <w:rPr>
          <w:color w:val="0D0D0D" w:themeColor="text1" w:themeTint="F2"/>
        </w:rPr>
        <w:t xml:space="preserve">uveljavljena </w:t>
      </w:r>
      <w:r w:rsidR="0075307A" w:rsidRPr="00BB6E3B">
        <w:rPr>
          <w:color w:val="0D0D0D" w:themeColor="text1" w:themeTint="F2"/>
        </w:rPr>
        <w:t>usklajevanja transfer</w:t>
      </w:r>
      <w:r w:rsidR="008A72A7" w:rsidRPr="00BB6E3B">
        <w:rPr>
          <w:color w:val="0D0D0D" w:themeColor="text1" w:themeTint="F2"/>
        </w:rPr>
        <w:t>jev</w:t>
      </w:r>
      <w:r w:rsidR="007B4603" w:rsidRPr="00BB6E3B">
        <w:rPr>
          <w:color w:val="0D0D0D" w:themeColor="text1" w:themeTint="F2"/>
        </w:rPr>
        <w:t xml:space="preserve"> posameznikom in gospodinjstvom</w:t>
      </w:r>
      <w:r w:rsidRPr="00BB6E3B">
        <w:rPr>
          <w:color w:val="0D0D0D" w:themeColor="text1" w:themeTint="F2"/>
        </w:rPr>
        <w:t xml:space="preserve"> (</w:t>
      </w:r>
      <w:r w:rsidR="000C748B" w:rsidRPr="00BB6E3B">
        <w:rPr>
          <w:color w:val="0D0D0D" w:themeColor="text1" w:themeTint="F2"/>
        </w:rPr>
        <w:t>padec sider</w:t>
      </w:r>
      <w:r w:rsidR="007B4603" w:rsidRPr="00BB6E3B">
        <w:rPr>
          <w:color w:val="0D0D0D" w:themeColor="text1" w:themeTint="F2"/>
        </w:rPr>
        <w:t>, konec varčevalnih ukrepov</w:t>
      </w:r>
      <w:r w:rsidRPr="00BB6E3B">
        <w:rPr>
          <w:color w:val="0D0D0D" w:themeColor="text1" w:themeTint="F2"/>
        </w:rPr>
        <w:t>).</w:t>
      </w:r>
    </w:p>
    <w:p w:rsidR="0075307A" w:rsidRPr="00BB6E3B" w:rsidRDefault="0075307A" w:rsidP="004F2C4E">
      <w:pPr>
        <w:pStyle w:val="odstavek1"/>
        <w:spacing w:before="0" w:line="276" w:lineRule="auto"/>
        <w:rPr>
          <w:bCs/>
          <w:color w:val="0D0D0D" w:themeColor="text1" w:themeTint="F2"/>
          <w:sz w:val="16"/>
          <w:szCs w:val="16"/>
        </w:rPr>
      </w:pPr>
    </w:p>
    <w:p w:rsidR="000C748B" w:rsidRPr="00BB6E3B" w:rsidRDefault="00EB53D8" w:rsidP="004F2C4E">
      <w:pPr>
        <w:pStyle w:val="odstavek1"/>
        <w:spacing w:before="0" w:line="276" w:lineRule="auto"/>
        <w:ind w:firstLine="0"/>
        <w:rPr>
          <w:bCs/>
          <w:color w:val="0D0D0D" w:themeColor="text1" w:themeTint="F2"/>
          <w:sz w:val="16"/>
          <w:szCs w:val="16"/>
        </w:rPr>
      </w:pPr>
      <w:r w:rsidRPr="00BB6E3B">
        <w:rPr>
          <w:color w:val="0D0D0D" w:themeColor="text1" w:themeTint="F2"/>
        </w:rPr>
        <w:t>Zakon o fiskalnem pravilu (</w:t>
      </w:r>
      <w:r w:rsidR="000C748B" w:rsidRPr="00BB6E3B">
        <w:rPr>
          <w:color w:val="0D0D0D" w:themeColor="text1" w:themeTint="F2"/>
        </w:rPr>
        <w:t>ZFiSP</w:t>
      </w:r>
      <w:r w:rsidRPr="00BB6E3B">
        <w:rPr>
          <w:color w:val="0D0D0D" w:themeColor="text1" w:themeTint="F2"/>
        </w:rPr>
        <w:t>)</w:t>
      </w:r>
      <w:r w:rsidR="000C748B" w:rsidRPr="00BB6E3B">
        <w:rPr>
          <w:color w:val="0D0D0D" w:themeColor="text1" w:themeTint="F2"/>
        </w:rPr>
        <w:t xml:space="preserve"> ne predvideva nobene fleksibilnosti pri odstopanju od </w:t>
      </w:r>
      <w:r w:rsidRPr="00BB6E3B">
        <w:rPr>
          <w:color w:val="0D0D0D" w:themeColor="text1" w:themeTint="F2"/>
        </w:rPr>
        <w:t xml:space="preserve">srednjeročnega cilja </w:t>
      </w:r>
      <w:r w:rsidR="000C748B" w:rsidRPr="00BB6E3B">
        <w:rPr>
          <w:color w:val="0D0D0D" w:themeColor="text1" w:themeTint="F2"/>
        </w:rPr>
        <w:t xml:space="preserve">MTO, </w:t>
      </w:r>
      <w:r w:rsidR="00A75470" w:rsidRPr="00BB6E3B">
        <w:rPr>
          <w:color w:val="0D0D0D" w:themeColor="text1" w:themeTint="F2"/>
        </w:rPr>
        <w:t xml:space="preserve">pravila EU, ki so določena s </w:t>
      </w:r>
      <w:r w:rsidR="000C748B" w:rsidRPr="00BB6E3B">
        <w:rPr>
          <w:color w:val="0D0D0D" w:themeColor="text1" w:themeTint="F2"/>
        </w:rPr>
        <w:t>SGP</w:t>
      </w:r>
      <w:r w:rsidR="002D6E6A" w:rsidRPr="00BB6E3B">
        <w:rPr>
          <w:color w:val="0D0D0D" w:themeColor="text1" w:themeTint="F2"/>
        </w:rPr>
        <w:t>,</w:t>
      </w:r>
      <w:r w:rsidR="00A75470" w:rsidRPr="00BB6E3B">
        <w:rPr>
          <w:color w:val="0D0D0D" w:themeColor="text1" w:themeTint="F2"/>
        </w:rPr>
        <w:t xml:space="preserve"> pa to skladno s pravili</w:t>
      </w:r>
      <w:r w:rsidR="000C748B" w:rsidRPr="00BB6E3B">
        <w:rPr>
          <w:color w:val="0D0D0D" w:themeColor="text1" w:themeTint="F2"/>
        </w:rPr>
        <w:t xml:space="preserve"> omogoča</w:t>
      </w:r>
      <w:r w:rsidR="00A75470" w:rsidRPr="00BB6E3B">
        <w:rPr>
          <w:color w:val="0D0D0D" w:themeColor="text1" w:themeTint="F2"/>
        </w:rPr>
        <w:t>jo</w:t>
      </w:r>
      <w:r w:rsidR="000C748B" w:rsidRPr="00BB6E3B">
        <w:rPr>
          <w:color w:val="0D0D0D" w:themeColor="text1" w:themeTint="F2"/>
        </w:rPr>
        <w:t>. S</w:t>
      </w:r>
      <w:r w:rsidR="00A75470" w:rsidRPr="00BB6E3B">
        <w:rPr>
          <w:color w:val="0D0D0D" w:themeColor="text1" w:themeTint="F2"/>
        </w:rPr>
        <w:t>l</w:t>
      </w:r>
      <w:r w:rsidR="000C748B" w:rsidRPr="00BB6E3B">
        <w:rPr>
          <w:color w:val="0D0D0D" w:themeColor="text1" w:themeTint="F2"/>
        </w:rPr>
        <w:t xml:space="preserve">ovenija izpolnjuje pogoje za dosego minimalnega </w:t>
      </w:r>
      <w:r w:rsidR="000C748B" w:rsidRPr="00BB6E3B">
        <w:rPr>
          <w:i/>
          <w:color w:val="0D0D0D" w:themeColor="text1" w:themeTint="F2"/>
        </w:rPr>
        <w:t>benc</w:t>
      </w:r>
      <w:r w:rsidR="002D6E6A" w:rsidRPr="00BB6E3B">
        <w:rPr>
          <w:i/>
          <w:color w:val="0D0D0D" w:themeColor="text1" w:themeTint="F2"/>
        </w:rPr>
        <w:t>h</w:t>
      </w:r>
      <w:r w:rsidR="000C748B" w:rsidRPr="00BB6E3B">
        <w:rPr>
          <w:i/>
          <w:color w:val="0D0D0D" w:themeColor="text1" w:themeTint="F2"/>
        </w:rPr>
        <w:t>marka</w:t>
      </w:r>
      <w:r w:rsidR="00C46639">
        <w:rPr>
          <w:rStyle w:val="FootnoteReference"/>
          <w:i/>
          <w:color w:val="0D0D0D" w:themeColor="text1" w:themeTint="F2"/>
        </w:rPr>
        <w:footnoteReference w:id="10"/>
      </w:r>
      <w:r w:rsidR="000C748B" w:rsidRPr="00BB6E3B">
        <w:rPr>
          <w:color w:val="0D0D0D" w:themeColor="text1" w:themeTint="F2"/>
        </w:rPr>
        <w:t xml:space="preserve"> in s Programom </w:t>
      </w:r>
      <w:r w:rsidR="000C748B" w:rsidRPr="00BB6E3B">
        <w:rPr>
          <w:color w:val="0D0D0D" w:themeColor="text1" w:themeTint="F2"/>
        </w:rPr>
        <w:lastRenderedPageBreak/>
        <w:t>stabilnosti 2019 napoveduje</w:t>
      </w:r>
      <w:r w:rsidR="00A75470" w:rsidRPr="00BB6E3B">
        <w:rPr>
          <w:color w:val="0D0D0D" w:themeColor="text1" w:themeTint="F2"/>
        </w:rPr>
        <w:t>,</w:t>
      </w:r>
      <w:r w:rsidR="000C748B" w:rsidRPr="00BB6E3B">
        <w:rPr>
          <w:color w:val="0D0D0D" w:themeColor="text1" w:themeTint="F2"/>
        </w:rPr>
        <w:t xml:space="preserve"> za potrebe </w:t>
      </w:r>
      <w:r w:rsidR="004065F2" w:rsidRPr="00BB6E3B">
        <w:rPr>
          <w:color w:val="0D0D0D" w:themeColor="text1" w:themeTint="F2"/>
        </w:rPr>
        <w:t>usklajevanja</w:t>
      </w:r>
      <w:r w:rsidR="000C748B" w:rsidRPr="00BB6E3B">
        <w:rPr>
          <w:color w:val="0D0D0D" w:themeColor="text1" w:themeTint="F2"/>
        </w:rPr>
        <w:t xml:space="preserve"> z EK, da bo zaprosila za strukturno </w:t>
      </w:r>
      <w:r w:rsidR="00A75470" w:rsidRPr="00BB6E3B">
        <w:rPr>
          <w:color w:val="0D0D0D" w:themeColor="text1" w:themeTint="F2"/>
        </w:rPr>
        <w:t xml:space="preserve">klavzulo fleksibilnosti </w:t>
      </w:r>
      <w:r w:rsidR="000C748B" w:rsidRPr="00BB6E3B">
        <w:rPr>
          <w:color w:val="0D0D0D" w:themeColor="text1" w:themeTint="F2"/>
        </w:rPr>
        <w:t xml:space="preserve">(veljavno v letu 2020 in naprej) iz naslova sprememb </w:t>
      </w:r>
      <w:r w:rsidR="007B4603" w:rsidRPr="00BB6E3B">
        <w:rPr>
          <w:color w:val="0D0D0D" w:themeColor="text1" w:themeTint="F2"/>
        </w:rPr>
        <w:t>na trgu dela in socialne aktiv</w:t>
      </w:r>
      <w:r w:rsidR="000C748B" w:rsidRPr="00BB6E3B">
        <w:rPr>
          <w:color w:val="0D0D0D" w:themeColor="text1" w:themeTint="F2"/>
        </w:rPr>
        <w:t>acije in</w:t>
      </w:r>
      <w:r w:rsidR="00A75470" w:rsidRPr="00BB6E3B">
        <w:rPr>
          <w:color w:val="0D0D0D" w:themeColor="text1" w:themeTint="F2"/>
        </w:rPr>
        <w:t>/</w:t>
      </w:r>
      <w:r w:rsidR="000C748B" w:rsidRPr="00BB6E3B">
        <w:rPr>
          <w:color w:val="0D0D0D" w:themeColor="text1" w:themeTint="F2"/>
        </w:rPr>
        <w:t xml:space="preserve">ali pokojninske </w:t>
      </w:r>
      <w:r w:rsidR="00A75470" w:rsidRPr="00BB6E3B">
        <w:rPr>
          <w:color w:val="0D0D0D" w:themeColor="text1" w:themeTint="F2"/>
        </w:rPr>
        <w:t>reforme</w:t>
      </w:r>
      <w:r w:rsidR="000C748B" w:rsidRPr="00BB6E3B">
        <w:rPr>
          <w:color w:val="0D0D0D" w:themeColor="text1" w:themeTint="F2"/>
        </w:rPr>
        <w:t>.</w:t>
      </w:r>
    </w:p>
    <w:p w:rsidR="000C748B" w:rsidRPr="00BB6E3B" w:rsidRDefault="000C748B" w:rsidP="004F2C4E">
      <w:pPr>
        <w:pStyle w:val="odstavek1"/>
        <w:spacing w:before="0" w:line="276" w:lineRule="auto"/>
        <w:ind w:left="360" w:firstLine="0"/>
        <w:rPr>
          <w:bCs/>
          <w:color w:val="0D0D0D" w:themeColor="text1" w:themeTint="F2"/>
          <w:sz w:val="16"/>
          <w:szCs w:val="16"/>
          <w:highlight w:val="yellow"/>
        </w:rPr>
      </w:pPr>
    </w:p>
    <w:p w:rsidR="002E7289" w:rsidRPr="00F10CD6" w:rsidRDefault="00A75470" w:rsidP="00300564">
      <w:pPr>
        <w:spacing w:after="240" w:line="276" w:lineRule="auto"/>
        <w:rPr>
          <w:rFonts w:cs="Arial"/>
          <w:color w:val="0D0D0D" w:themeColor="text1" w:themeTint="F2"/>
        </w:rPr>
      </w:pPr>
      <w:r w:rsidRPr="00BB6E3B">
        <w:rPr>
          <w:rFonts w:cs="Arial"/>
          <w:bCs/>
          <w:color w:val="0D0D0D" w:themeColor="text1" w:themeTint="F2"/>
        </w:rPr>
        <w:t xml:space="preserve">Ocene </w:t>
      </w:r>
      <w:r w:rsidR="00B250B5" w:rsidRPr="00BB6E3B">
        <w:rPr>
          <w:rFonts w:cs="Arial"/>
          <w:bCs/>
          <w:color w:val="0D0D0D" w:themeColor="text1" w:themeTint="F2"/>
        </w:rPr>
        <w:t xml:space="preserve">o višini javnofinančnega </w:t>
      </w:r>
      <w:r w:rsidR="003E2D53" w:rsidRPr="00BB6E3B">
        <w:rPr>
          <w:rFonts w:cs="Arial"/>
          <w:bCs/>
          <w:color w:val="0D0D0D" w:themeColor="text1" w:themeTint="F2"/>
        </w:rPr>
        <w:t>salda</w:t>
      </w:r>
      <w:r w:rsidR="00B250B5" w:rsidRPr="00BB6E3B">
        <w:rPr>
          <w:rFonts w:cs="Arial"/>
          <w:bCs/>
          <w:color w:val="0D0D0D" w:themeColor="text1" w:themeTint="F2"/>
        </w:rPr>
        <w:t xml:space="preserve"> za leto 201</w:t>
      </w:r>
      <w:r w:rsidR="00B73F62" w:rsidRPr="00BB6E3B">
        <w:rPr>
          <w:rFonts w:cs="Arial"/>
          <w:bCs/>
          <w:color w:val="0D0D0D" w:themeColor="text1" w:themeTint="F2"/>
        </w:rPr>
        <w:t>8</w:t>
      </w:r>
      <w:r w:rsidR="00B250B5" w:rsidRPr="00BB6E3B">
        <w:rPr>
          <w:rFonts w:cs="Arial"/>
          <w:bCs/>
          <w:color w:val="0D0D0D" w:themeColor="text1" w:themeTint="F2"/>
        </w:rPr>
        <w:t xml:space="preserve"> so kazal</w:t>
      </w:r>
      <w:r w:rsidRPr="00BB6E3B">
        <w:rPr>
          <w:rFonts w:cs="Arial"/>
          <w:bCs/>
          <w:color w:val="0D0D0D" w:themeColor="text1" w:themeTint="F2"/>
        </w:rPr>
        <w:t>e</w:t>
      </w:r>
      <w:r w:rsidR="00B250B5" w:rsidRPr="00BB6E3B">
        <w:rPr>
          <w:rFonts w:cs="Arial"/>
          <w:bCs/>
          <w:color w:val="0D0D0D" w:themeColor="text1" w:themeTint="F2"/>
        </w:rPr>
        <w:t xml:space="preserve">, da </w:t>
      </w:r>
      <w:r w:rsidRPr="00BB6E3B">
        <w:rPr>
          <w:rFonts w:cs="Arial"/>
          <w:bCs/>
          <w:color w:val="0D0D0D" w:themeColor="text1" w:themeTint="F2"/>
        </w:rPr>
        <w:t xml:space="preserve">bo </w:t>
      </w:r>
      <w:r w:rsidR="00BA5ECC" w:rsidRPr="00BB6E3B">
        <w:rPr>
          <w:rFonts w:cs="Arial"/>
          <w:bCs/>
          <w:color w:val="0D0D0D" w:themeColor="text1" w:themeTint="F2"/>
        </w:rPr>
        <w:t xml:space="preserve">presežek </w:t>
      </w:r>
      <w:r w:rsidR="00B250B5" w:rsidRPr="00BB6E3B">
        <w:rPr>
          <w:rFonts w:cs="Arial"/>
          <w:bCs/>
          <w:color w:val="0D0D0D" w:themeColor="text1" w:themeTint="F2"/>
        </w:rPr>
        <w:t>glede</w:t>
      </w:r>
      <w:r w:rsidRPr="00BB6E3B">
        <w:rPr>
          <w:rFonts w:cs="Arial"/>
          <w:bCs/>
          <w:color w:val="0D0D0D" w:themeColor="text1" w:themeTint="F2"/>
        </w:rPr>
        <w:t xml:space="preserve"> na objavljene podatke SURS (</w:t>
      </w:r>
      <w:r w:rsidR="002D6E6A" w:rsidRPr="00BB6E3B">
        <w:rPr>
          <w:rFonts w:cs="Arial"/>
          <w:bCs/>
          <w:color w:val="0D0D0D" w:themeColor="text1" w:themeTint="F2"/>
        </w:rPr>
        <w:t xml:space="preserve">Temeljni agregati sektorja država, </w:t>
      </w:r>
      <w:r w:rsidRPr="00BB6E3B">
        <w:rPr>
          <w:rFonts w:cs="Arial"/>
          <w:bCs/>
          <w:color w:val="0D0D0D" w:themeColor="text1" w:themeTint="F2"/>
        </w:rPr>
        <w:t xml:space="preserve">september 2018), </w:t>
      </w:r>
      <w:r w:rsidR="00B250B5" w:rsidRPr="00BB6E3B">
        <w:rPr>
          <w:rFonts w:cs="Arial"/>
          <w:bCs/>
          <w:color w:val="0D0D0D" w:themeColor="text1" w:themeTint="F2"/>
        </w:rPr>
        <w:t>realizacij</w:t>
      </w:r>
      <w:r w:rsidRPr="00BB6E3B">
        <w:rPr>
          <w:rFonts w:cs="Arial"/>
          <w:bCs/>
          <w:color w:val="0D0D0D" w:themeColor="text1" w:themeTint="F2"/>
        </w:rPr>
        <w:t>o</w:t>
      </w:r>
      <w:r w:rsidR="002D6E6A" w:rsidRPr="00BB6E3B">
        <w:rPr>
          <w:rFonts w:cs="Arial"/>
          <w:bCs/>
          <w:color w:val="0D0D0D" w:themeColor="text1" w:themeTint="F2"/>
        </w:rPr>
        <w:t xml:space="preserve"> blagajn javnega financiranja</w:t>
      </w:r>
      <w:r w:rsidR="00B250B5" w:rsidRPr="00BB6E3B">
        <w:rPr>
          <w:rFonts w:cs="Arial"/>
          <w:bCs/>
          <w:color w:val="0D0D0D" w:themeColor="text1" w:themeTint="F2"/>
        </w:rPr>
        <w:t xml:space="preserve"> 201</w:t>
      </w:r>
      <w:r w:rsidR="00B73F62" w:rsidRPr="00BB6E3B">
        <w:rPr>
          <w:rFonts w:cs="Arial"/>
          <w:bCs/>
          <w:color w:val="0D0D0D" w:themeColor="text1" w:themeTint="F2"/>
        </w:rPr>
        <w:t>8</w:t>
      </w:r>
      <w:r w:rsidR="00B250B5" w:rsidRPr="00BB6E3B">
        <w:rPr>
          <w:rFonts w:cs="Arial"/>
          <w:bCs/>
          <w:color w:val="0D0D0D" w:themeColor="text1" w:themeTint="F2"/>
        </w:rPr>
        <w:t xml:space="preserve"> in napovedi Ministrstva za finance ter preračun</w:t>
      </w:r>
      <w:r w:rsidR="002D6E6A" w:rsidRPr="00BB6E3B">
        <w:rPr>
          <w:rFonts w:cs="Arial"/>
          <w:bCs/>
          <w:color w:val="0D0D0D" w:themeColor="text1" w:themeTint="F2"/>
        </w:rPr>
        <w:t>ov</w:t>
      </w:r>
      <w:r w:rsidR="00B250B5" w:rsidRPr="00BB6E3B">
        <w:rPr>
          <w:rFonts w:cs="Arial"/>
          <w:bCs/>
          <w:color w:val="0D0D0D" w:themeColor="text1" w:themeTint="F2"/>
        </w:rPr>
        <w:t xml:space="preserve"> na podlagi </w:t>
      </w:r>
      <w:r w:rsidR="008A72A7" w:rsidRPr="00BB6E3B">
        <w:rPr>
          <w:rFonts w:cs="Arial"/>
          <w:bCs/>
          <w:color w:val="0D0D0D" w:themeColor="text1" w:themeTint="F2"/>
        </w:rPr>
        <w:t>štirih</w:t>
      </w:r>
      <w:r w:rsidR="00B250B5" w:rsidRPr="00BB6E3B">
        <w:rPr>
          <w:rFonts w:cs="Arial"/>
          <w:bCs/>
          <w:color w:val="0D0D0D" w:themeColor="text1" w:themeTint="F2"/>
        </w:rPr>
        <w:t xml:space="preserve"> javnofinančnih blagajn</w:t>
      </w:r>
      <w:r w:rsidR="00F10CD6" w:rsidRPr="00C3436D">
        <w:rPr>
          <w:rStyle w:val="FootnoteReference"/>
          <w:rFonts w:cs="Arial"/>
          <w:bCs/>
          <w:color w:val="0D0D0D" w:themeColor="text1" w:themeTint="F2"/>
        </w:rPr>
        <w:footnoteReference w:id="11"/>
      </w:r>
      <w:r w:rsidR="00B250B5" w:rsidRPr="00C3436D">
        <w:rPr>
          <w:rFonts w:cs="Arial"/>
          <w:bCs/>
          <w:color w:val="0D0D0D" w:themeColor="text1" w:themeTint="F2"/>
        </w:rPr>
        <w:t>,</w:t>
      </w:r>
      <w:r w:rsidR="00F10CD6" w:rsidRPr="00C3436D">
        <w:rPr>
          <w:rFonts w:cs="Arial"/>
          <w:bCs/>
          <w:color w:val="0D0D0D" w:themeColor="text1" w:themeTint="F2"/>
        </w:rPr>
        <w:t xml:space="preserve"> </w:t>
      </w:r>
      <w:r w:rsidR="008766AF" w:rsidRPr="00C3436D">
        <w:rPr>
          <w:rFonts w:cs="Arial"/>
          <w:bCs/>
          <w:color w:val="0D0D0D" w:themeColor="text1" w:themeTint="F2"/>
        </w:rPr>
        <w:t xml:space="preserve">približno </w:t>
      </w:r>
      <w:r w:rsidR="00B73F62" w:rsidRPr="00C3436D">
        <w:rPr>
          <w:rFonts w:cs="Arial"/>
          <w:bCs/>
          <w:color w:val="0D0D0D" w:themeColor="text1" w:themeTint="F2"/>
        </w:rPr>
        <w:t>0,8</w:t>
      </w:r>
      <w:r w:rsidR="00AC696C" w:rsidRPr="00C3436D">
        <w:rPr>
          <w:rFonts w:cs="Arial"/>
          <w:bCs/>
          <w:color w:val="0D0D0D" w:themeColor="text1" w:themeTint="F2"/>
        </w:rPr>
        <w:t xml:space="preserve"> </w:t>
      </w:r>
      <w:r w:rsidR="008766AF" w:rsidRPr="00C3436D">
        <w:rPr>
          <w:rFonts w:cs="Arial"/>
          <w:bCs/>
          <w:color w:val="0D0D0D" w:themeColor="text1" w:themeTint="F2"/>
        </w:rPr>
        <w:t>% BDP</w:t>
      </w:r>
      <w:r w:rsidRPr="00C3436D">
        <w:rPr>
          <w:rFonts w:cs="Arial"/>
          <w:bCs/>
          <w:color w:val="0D0D0D" w:themeColor="text1" w:themeTint="F2"/>
        </w:rPr>
        <w:t xml:space="preserve">. </w:t>
      </w:r>
      <w:r w:rsidR="002D6E6A" w:rsidRPr="00C3436D">
        <w:rPr>
          <w:rFonts w:cs="Arial"/>
          <w:bCs/>
          <w:color w:val="0D0D0D" w:themeColor="text1" w:themeTint="F2"/>
        </w:rPr>
        <w:t xml:space="preserve">Izračuni </w:t>
      </w:r>
      <w:r w:rsidRPr="00C3436D">
        <w:rPr>
          <w:rFonts w:cs="Arial"/>
          <w:bCs/>
          <w:color w:val="0D0D0D" w:themeColor="text1" w:themeTint="F2"/>
        </w:rPr>
        <w:t>SURS v zadnji oceni (</w:t>
      </w:r>
      <w:r w:rsidR="001366DB" w:rsidRPr="00C3436D">
        <w:rPr>
          <w:rFonts w:cs="Arial"/>
          <w:bCs/>
          <w:color w:val="0D0D0D" w:themeColor="text1" w:themeTint="F2"/>
        </w:rPr>
        <w:t>19</w:t>
      </w:r>
      <w:r w:rsidRPr="00C3436D">
        <w:rPr>
          <w:rFonts w:cs="Arial"/>
          <w:bCs/>
          <w:color w:val="0D0D0D" w:themeColor="text1" w:themeTint="F2"/>
        </w:rPr>
        <w:t xml:space="preserve">. </w:t>
      </w:r>
      <w:r w:rsidR="001366DB" w:rsidRPr="00C3436D">
        <w:rPr>
          <w:rFonts w:cs="Arial"/>
          <w:bCs/>
          <w:color w:val="0D0D0D" w:themeColor="text1" w:themeTint="F2"/>
        </w:rPr>
        <w:t>4.</w:t>
      </w:r>
      <w:r w:rsidRPr="00C3436D">
        <w:rPr>
          <w:rFonts w:cs="Arial"/>
          <w:bCs/>
          <w:color w:val="0D0D0D" w:themeColor="text1" w:themeTint="F2"/>
        </w:rPr>
        <w:t xml:space="preserve"> 2019)</w:t>
      </w:r>
      <w:r w:rsidRPr="00F10CD6">
        <w:rPr>
          <w:rFonts w:cs="Arial"/>
          <w:bCs/>
          <w:color w:val="0D0D0D" w:themeColor="text1" w:themeTint="F2"/>
        </w:rPr>
        <w:t xml:space="preserve"> </w:t>
      </w:r>
      <w:r w:rsidR="003E2D53" w:rsidRPr="00F10CD6">
        <w:rPr>
          <w:rFonts w:cs="Arial"/>
          <w:bCs/>
          <w:color w:val="0D0D0D" w:themeColor="text1" w:themeTint="F2"/>
        </w:rPr>
        <w:t>kažejo</w:t>
      </w:r>
      <w:r w:rsidR="00B73F62" w:rsidRPr="00F10CD6">
        <w:rPr>
          <w:rFonts w:cs="Arial"/>
          <w:bCs/>
          <w:color w:val="0D0D0D" w:themeColor="text1" w:themeTint="F2"/>
        </w:rPr>
        <w:t xml:space="preserve"> 0,7 % BDP</w:t>
      </w:r>
      <w:r w:rsidR="00C46639">
        <w:rPr>
          <w:rFonts w:cs="Arial"/>
          <w:bCs/>
          <w:color w:val="0D0D0D" w:themeColor="text1" w:themeTint="F2"/>
        </w:rPr>
        <w:t xml:space="preserve"> za sektor država</w:t>
      </w:r>
      <w:r w:rsidR="008766AF" w:rsidRPr="00F10CD6">
        <w:rPr>
          <w:rFonts w:cs="Arial"/>
          <w:bCs/>
          <w:color w:val="0D0D0D" w:themeColor="text1" w:themeTint="F2"/>
        </w:rPr>
        <w:t xml:space="preserve">. </w:t>
      </w:r>
    </w:p>
    <w:p w:rsidR="00071C19" w:rsidRPr="00F10CD6" w:rsidRDefault="00EF2654" w:rsidP="00607AA5">
      <w:pPr>
        <w:spacing w:after="120"/>
        <w:jc w:val="center"/>
        <w:rPr>
          <w:rFonts w:cs="Arial"/>
          <w:color w:val="0D0D0D" w:themeColor="text1" w:themeTint="F2"/>
        </w:rPr>
      </w:pPr>
      <w:r w:rsidRPr="00F10CD6">
        <w:rPr>
          <w:rFonts w:cs="Arial"/>
          <w:color w:val="0D0D0D" w:themeColor="text1" w:themeTint="F2"/>
        </w:rPr>
        <w:t>Tabela</w:t>
      </w:r>
      <w:r w:rsidR="00C26815" w:rsidRPr="00F10CD6">
        <w:rPr>
          <w:rFonts w:cs="Arial"/>
          <w:color w:val="0D0D0D" w:themeColor="text1" w:themeTint="F2"/>
        </w:rPr>
        <w:t xml:space="preserve"> </w:t>
      </w:r>
      <w:r w:rsidR="00FD3539" w:rsidRPr="00F10CD6">
        <w:rPr>
          <w:rFonts w:cs="Arial"/>
          <w:color w:val="0D0D0D" w:themeColor="text1" w:themeTint="F2"/>
        </w:rPr>
        <w:t>3</w:t>
      </w:r>
      <w:r w:rsidR="00071C19" w:rsidRPr="00F10CD6">
        <w:rPr>
          <w:rFonts w:cs="Arial"/>
          <w:color w:val="0D0D0D" w:themeColor="text1" w:themeTint="F2"/>
        </w:rPr>
        <w:t>: Pot do ciljnega scenarija za sektor država (ESA-2010)</w:t>
      </w:r>
    </w:p>
    <w:tbl>
      <w:tblPr>
        <w:tblStyle w:val="LightShading-Accent1"/>
        <w:tblW w:w="9569" w:type="dxa"/>
        <w:jc w:val="center"/>
        <w:tblLayout w:type="fixed"/>
        <w:tblLook w:val="04A0" w:firstRow="1" w:lastRow="0" w:firstColumn="1" w:lastColumn="0" w:noHBand="0" w:noVBand="1"/>
      </w:tblPr>
      <w:tblGrid>
        <w:gridCol w:w="3301"/>
        <w:gridCol w:w="1165"/>
        <w:gridCol w:w="1276"/>
        <w:gridCol w:w="1275"/>
        <w:gridCol w:w="1276"/>
        <w:gridCol w:w="1276"/>
      </w:tblGrid>
      <w:tr w:rsidR="00D5743E" w:rsidRPr="00F10CD6" w:rsidTr="00F4225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301" w:type="dxa"/>
            <w:noWrap/>
            <w:hideMark/>
          </w:tcPr>
          <w:p w:rsidR="00D5743E" w:rsidRPr="00F10CD6" w:rsidRDefault="00D5743E" w:rsidP="00710D16">
            <w:pPr>
              <w:jc w:val="center"/>
              <w:rPr>
                <w:rFonts w:cs="Arial"/>
                <w:b w:val="0"/>
                <w:color w:val="0D0D0D" w:themeColor="text1" w:themeTint="F2"/>
                <w:sz w:val="20"/>
                <w:szCs w:val="20"/>
              </w:rPr>
            </w:pPr>
          </w:p>
        </w:tc>
        <w:tc>
          <w:tcPr>
            <w:tcW w:w="1165" w:type="dxa"/>
            <w:noWrap/>
            <w:hideMark/>
          </w:tcPr>
          <w:p w:rsidR="00D5743E" w:rsidRPr="00F10CD6" w:rsidRDefault="00B73F62"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 xml:space="preserve"> </w:t>
            </w:r>
            <w:r w:rsidR="004367BF" w:rsidRPr="00F10CD6">
              <w:rPr>
                <w:rFonts w:cs="Arial"/>
                <w:b w:val="0"/>
                <w:color w:val="0D0D0D" w:themeColor="text1" w:themeTint="F2"/>
                <w:sz w:val="20"/>
                <w:szCs w:val="20"/>
              </w:rPr>
              <w:t>201</w:t>
            </w:r>
            <w:r w:rsidR="002D08AF" w:rsidRPr="00F10CD6">
              <w:rPr>
                <w:rFonts w:cs="Arial"/>
                <w:b w:val="0"/>
                <w:color w:val="0D0D0D" w:themeColor="text1" w:themeTint="F2"/>
                <w:sz w:val="20"/>
                <w:szCs w:val="20"/>
              </w:rPr>
              <w:t>8</w:t>
            </w:r>
          </w:p>
        </w:tc>
        <w:tc>
          <w:tcPr>
            <w:tcW w:w="1276" w:type="dxa"/>
            <w:noWrap/>
          </w:tcPr>
          <w:p w:rsidR="00D5743E" w:rsidRPr="00F10CD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w:t>
            </w:r>
            <w:r w:rsidR="002D08AF" w:rsidRPr="00F10CD6">
              <w:rPr>
                <w:rFonts w:cs="Arial"/>
                <w:b w:val="0"/>
                <w:color w:val="0D0D0D" w:themeColor="text1" w:themeTint="F2"/>
                <w:sz w:val="20"/>
                <w:szCs w:val="20"/>
              </w:rPr>
              <w:t>9</w:t>
            </w:r>
          </w:p>
        </w:tc>
        <w:tc>
          <w:tcPr>
            <w:tcW w:w="1275" w:type="dxa"/>
            <w:noWrap/>
          </w:tcPr>
          <w:p w:rsidR="00D5743E" w:rsidRPr="00F10CD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w:t>
            </w:r>
            <w:r w:rsidR="002D08AF" w:rsidRPr="00F10CD6">
              <w:rPr>
                <w:rFonts w:cs="Arial"/>
                <w:b w:val="0"/>
                <w:color w:val="0D0D0D" w:themeColor="text1" w:themeTint="F2"/>
                <w:sz w:val="20"/>
                <w:szCs w:val="20"/>
              </w:rPr>
              <w:t>20</w:t>
            </w:r>
          </w:p>
        </w:tc>
        <w:tc>
          <w:tcPr>
            <w:tcW w:w="1276" w:type="dxa"/>
            <w:noWrap/>
          </w:tcPr>
          <w:p w:rsidR="00D5743E" w:rsidRPr="00F10CD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w:t>
            </w:r>
            <w:r w:rsidR="002D08AF" w:rsidRPr="00F10CD6">
              <w:rPr>
                <w:rFonts w:cs="Arial"/>
                <w:b w:val="0"/>
                <w:color w:val="0D0D0D" w:themeColor="text1" w:themeTint="F2"/>
                <w:sz w:val="20"/>
                <w:szCs w:val="20"/>
              </w:rPr>
              <w:t>1</w:t>
            </w:r>
          </w:p>
        </w:tc>
        <w:tc>
          <w:tcPr>
            <w:tcW w:w="1276" w:type="dxa"/>
            <w:noWrap/>
          </w:tcPr>
          <w:p w:rsidR="00D5743E" w:rsidRPr="00F10CD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w:t>
            </w:r>
            <w:r w:rsidR="002D08AF" w:rsidRPr="00F10CD6">
              <w:rPr>
                <w:rFonts w:cs="Arial"/>
                <w:b w:val="0"/>
                <w:color w:val="0D0D0D" w:themeColor="text1" w:themeTint="F2"/>
                <w:sz w:val="20"/>
                <w:szCs w:val="20"/>
              </w:rPr>
              <w:t>2</w:t>
            </w:r>
          </w:p>
        </w:tc>
      </w:tr>
      <w:tr w:rsidR="006C1E6C" w:rsidRPr="00F10CD6" w:rsidTr="00F4225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3301" w:type="dxa"/>
            <w:hideMark/>
          </w:tcPr>
          <w:p w:rsidR="006C1E6C" w:rsidRPr="00F10CD6" w:rsidRDefault="006C1E6C" w:rsidP="00710D16">
            <w:pPr>
              <w:jc w:val="left"/>
              <w:rPr>
                <w:rFonts w:cs="Arial"/>
                <w:b w:val="0"/>
                <w:i/>
                <w:color w:val="0D0D0D" w:themeColor="text1" w:themeTint="F2"/>
                <w:sz w:val="20"/>
                <w:szCs w:val="20"/>
              </w:rPr>
            </w:pPr>
            <w:r w:rsidRPr="00F10CD6">
              <w:rPr>
                <w:rFonts w:cs="Arial"/>
                <w:b w:val="0"/>
                <w:i/>
                <w:color w:val="0D0D0D" w:themeColor="text1" w:themeTint="F2"/>
                <w:sz w:val="20"/>
                <w:szCs w:val="20"/>
              </w:rPr>
              <w:t xml:space="preserve">Prihodki </w:t>
            </w:r>
            <w:r w:rsidR="00F42256" w:rsidRPr="00F10CD6">
              <w:rPr>
                <w:rFonts w:cs="Arial"/>
                <w:b w:val="0"/>
                <w:i/>
                <w:color w:val="0D0D0D" w:themeColor="text1" w:themeTint="F2"/>
                <w:sz w:val="20"/>
                <w:szCs w:val="20"/>
              </w:rPr>
              <w:t>v mio EUR</w:t>
            </w:r>
          </w:p>
        </w:tc>
        <w:tc>
          <w:tcPr>
            <w:tcW w:w="1165" w:type="dxa"/>
            <w:noWrap/>
            <w:vAlign w:val="bottom"/>
          </w:tcPr>
          <w:p w:rsidR="006C1E6C" w:rsidRPr="00F10CD6" w:rsidRDefault="006C1E6C" w:rsidP="000D486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19</w:t>
            </w:r>
            <w:r w:rsidR="000D486C" w:rsidRPr="00F10CD6">
              <w:rPr>
                <w:rFonts w:cs="Arial"/>
                <w:color w:val="0D0D0D" w:themeColor="text1" w:themeTint="F2"/>
                <w:sz w:val="20"/>
                <w:szCs w:val="20"/>
              </w:rPr>
              <w:t>800</w:t>
            </w:r>
          </w:p>
        </w:tc>
        <w:tc>
          <w:tcPr>
            <w:tcW w:w="1276"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21072</w:t>
            </w:r>
          </w:p>
        </w:tc>
        <w:tc>
          <w:tcPr>
            <w:tcW w:w="1275"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21968</w:t>
            </w:r>
          </w:p>
        </w:tc>
        <w:tc>
          <w:tcPr>
            <w:tcW w:w="1276"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22767</w:t>
            </w:r>
          </w:p>
        </w:tc>
        <w:tc>
          <w:tcPr>
            <w:tcW w:w="1276"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23660</w:t>
            </w:r>
          </w:p>
        </w:tc>
      </w:tr>
      <w:tr w:rsidR="00F83A9A" w:rsidRPr="00F10CD6" w:rsidTr="00F42256">
        <w:trPr>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F83A9A" w:rsidRPr="00F10CD6" w:rsidRDefault="00F83A9A" w:rsidP="00710D16">
            <w:pPr>
              <w:jc w:val="left"/>
              <w:rPr>
                <w:rFonts w:cs="Arial"/>
                <w:b w:val="0"/>
                <w:color w:val="0D0D0D" w:themeColor="text1" w:themeTint="F2"/>
                <w:sz w:val="20"/>
                <w:szCs w:val="20"/>
              </w:rPr>
            </w:pPr>
            <w:r w:rsidRPr="00F10CD6">
              <w:rPr>
                <w:rFonts w:cs="Arial"/>
                <w:b w:val="0"/>
                <w:color w:val="0D0D0D" w:themeColor="text1" w:themeTint="F2"/>
                <w:sz w:val="20"/>
                <w:szCs w:val="20"/>
              </w:rPr>
              <w:t>v % BDP</w:t>
            </w:r>
          </w:p>
        </w:tc>
        <w:tc>
          <w:tcPr>
            <w:tcW w:w="1165" w:type="dxa"/>
            <w:noWrap/>
            <w:vAlign w:val="bottom"/>
          </w:tcPr>
          <w:p w:rsidR="00F83A9A" w:rsidRPr="00F10CD6" w:rsidRDefault="000D48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43,1</w:t>
            </w:r>
          </w:p>
        </w:tc>
        <w:tc>
          <w:tcPr>
            <w:tcW w:w="1276" w:type="dxa"/>
            <w:noWrap/>
            <w:vAlign w:val="bottom"/>
          </w:tcPr>
          <w:p w:rsidR="00F83A9A"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43,2</w:t>
            </w:r>
          </w:p>
        </w:tc>
        <w:tc>
          <w:tcPr>
            <w:tcW w:w="1275" w:type="dxa"/>
            <w:noWrap/>
            <w:vAlign w:val="bottom"/>
          </w:tcPr>
          <w:p w:rsidR="00F83A9A"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42,6</w:t>
            </w:r>
          </w:p>
        </w:tc>
        <w:tc>
          <w:tcPr>
            <w:tcW w:w="1276" w:type="dxa"/>
            <w:noWrap/>
            <w:vAlign w:val="bottom"/>
          </w:tcPr>
          <w:p w:rsidR="00F83A9A"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41,8</w:t>
            </w:r>
          </w:p>
        </w:tc>
        <w:tc>
          <w:tcPr>
            <w:tcW w:w="1276" w:type="dxa"/>
            <w:noWrap/>
            <w:vAlign w:val="bottom"/>
          </w:tcPr>
          <w:p w:rsidR="00F83A9A" w:rsidRPr="00F10CD6" w:rsidRDefault="006C1E6C" w:rsidP="00BA5ECC">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41,</w:t>
            </w:r>
            <w:r w:rsidR="00BA5ECC" w:rsidRPr="00F10CD6">
              <w:rPr>
                <w:rFonts w:cs="Arial"/>
                <w:color w:val="0D0D0D" w:themeColor="text1" w:themeTint="F2"/>
                <w:sz w:val="20"/>
                <w:szCs w:val="20"/>
              </w:rPr>
              <w:t>3</w:t>
            </w:r>
          </w:p>
        </w:tc>
      </w:tr>
      <w:tr w:rsidR="006C1E6C" w:rsidRPr="00F10CD6" w:rsidTr="00F42256">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F10CD6" w:rsidRDefault="006C1E6C" w:rsidP="00710D16">
            <w:pPr>
              <w:jc w:val="left"/>
              <w:rPr>
                <w:rFonts w:cs="Arial"/>
                <w:b w:val="0"/>
                <w:i/>
                <w:color w:val="0D0D0D" w:themeColor="text1" w:themeTint="F2"/>
                <w:sz w:val="20"/>
                <w:szCs w:val="20"/>
              </w:rPr>
            </w:pPr>
            <w:r w:rsidRPr="00F10CD6">
              <w:rPr>
                <w:rFonts w:cs="Arial"/>
                <w:b w:val="0"/>
                <w:i/>
                <w:color w:val="0D0D0D" w:themeColor="text1" w:themeTint="F2"/>
                <w:sz w:val="20"/>
                <w:szCs w:val="20"/>
              </w:rPr>
              <w:t>Izdatki</w:t>
            </w:r>
            <w:r w:rsidR="00F42256" w:rsidRPr="00F10CD6">
              <w:rPr>
                <w:rFonts w:cs="Arial"/>
                <w:b w:val="0"/>
                <w:i/>
                <w:color w:val="0D0D0D" w:themeColor="text1" w:themeTint="F2"/>
                <w:sz w:val="20"/>
                <w:szCs w:val="20"/>
              </w:rPr>
              <w:t xml:space="preserve"> v mio EUR</w:t>
            </w:r>
          </w:p>
        </w:tc>
        <w:tc>
          <w:tcPr>
            <w:tcW w:w="1165" w:type="dxa"/>
            <w:noWrap/>
            <w:vAlign w:val="bottom"/>
          </w:tcPr>
          <w:p w:rsidR="006C1E6C" w:rsidRPr="00F10CD6" w:rsidRDefault="00B879D1"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19464</w:t>
            </w:r>
          </w:p>
        </w:tc>
        <w:tc>
          <w:tcPr>
            <w:tcW w:w="1276" w:type="dxa"/>
            <w:noWrap/>
            <w:vAlign w:val="bottom"/>
          </w:tcPr>
          <w:p w:rsidR="006C1E6C" w:rsidRPr="00F10CD6" w:rsidRDefault="006C1E6C"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206</w:t>
            </w:r>
            <w:r w:rsidR="00BA5ECC" w:rsidRPr="00F10CD6">
              <w:rPr>
                <w:rFonts w:cs="Arial"/>
                <w:color w:val="0D0D0D" w:themeColor="text1" w:themeTint="F2"/>
                <w:sz w:val="20"/>
                <w:szCs w:val="20"/>
              </w:rPr>
              <w:t>10</w:t>
            </w:r>
          </w:p>
        </w:tc>
        <w:tc>
          <w:tcPr>
            <w:tcW w:w="1275"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21476</w:t>
            </w:r>
          </w:p>
        </w:tc>
        <w:tc>
          <w:tcPr>
            <w:tcW w:w="1276" w:type="dxa"/>
            <w:noWrap/>
            <w:vAlign w:val="bottom"/>
          </w:tcPr>
          <w:p w:rsidR="006C1E6C"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22159</w:t>
            </w:r>
          </w:p>
        </w:tc>
        <w:tc>
          <w:tcPr>
            <w:tcW w:w="1276" w:type="dxa"/>
            <w:noWrap/>
            <w:vAlign w:val="bottom"/>
          </w:tcPr>
          <w:p w:rsidR="006C1E6C" w:rsidRPr="00F10CD6" w:rsidRDefault="006C1E6C"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2300</w:t>
            </w:r>
            <w:r w:rsidR="00BA5ECC" w:rsidRPr="00F10CD6">
              <w:rPr>
                <w:rFonts w:cs="Arial"/>
                <w:color w:val="0D0D0D" w:themeColor="text1" w:themeTint="F2"/>
                <w:sz w:val="20"/>
                <w:szCs w:val="20"/>
              </w:rPr>
              <w:t>0</w:t>
            </w:r>
          </w:p>
        </w:tc>
      </w:tr>
      <w:tr w:rsidR="006C1E6C" w:rsidRPr="00F10CD6" w:rsidTr="00F42256">
        <w:trPr>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F10CD6" w:rsidRDefault="006C1E6C" w:rsidP="00710D16">
            <w:pPr>
              <w:jc w:val="left"/>
              <w:rPr>
                <w:rFonts w:cs="Arial"/>
                <w:b w:val="0"/>
                <w:color w:val="0D0D0D" w:themeColor="text1" w:themeTint="F2"/>
                <w:sz w:val="20"/>
                <w:szCs w:val="20"/>
              </w:rPr>
            </w:pPr>
            <w:r w:rsidRPr="00F10CD6">
              <w:rPr>
                <w:rFonts w:cs="Arial"/>
                <w:b w:val="0"/>
                <w:color w:val="0D0D0D" w:themeColor="text1" w:themeTint="F2"/>
                <w:sz w:val="20"/>
                <w:szCs w:val="20"/>
              </w:rPr>
              <w:t>v % BDP</w:t>
            </w:r>
          </w:p>
        </w:tc>
        <w:tc>
          <w:tcPr>
            <w:tcW w:w="1165" w:type="dxa"/>
            <w:noWrap/>
            <w:vAlign w:val="bottom"/>
          </w:tcPr>
          <w:p w:rsidR="006C1E6C" w:rsidRPr="00F10CD6" w:rsidRDefault="00B879D1"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42,4</w:t>
            </w:r>
          </w:p>
        </w:tc>
        <w:tc>
          <w:tcPr>
            <w:tcW w:w="1276" w:type="dxa"/>
            <w:noWrap/>
            <w:vAlign w:val="bottom"/>
          </w:tcPr>
          <w:p w:rsidR="006C1E6C"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42,</w:t>
            </w:r>
            <w:r w:rsidR="00BA5ECC" w:rsidRPr="00F10CD6">
              <w:rPr>
                <w:rFonts w:cs="Arial"/>
                <w:color w:val="0D0D0D" w:themeColor="text1" w:themeTint="F2"/>
                <w:sz w:val="20"/>
                <w:szCs w:val="20"/>
              </w:rPr>
              <w:t>2</w:t>
            </w:r>
          </w:p>
        </w:tc>
        <w:tc>
          <w:tcPr>
            <w:tcW w:w="1275" w:type="dxa"/>
            <w:noWrap/>
            <w:vAlign w:val="bottom"/>
          </w:tcPr>
          <w:p w:rsidR="006C1E6C"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41,6</w:t>
            </w:r>
          </w:p>
        </w:tc>
        <w:tc>
          <w:tcPr>
            <w:tcW w:w="1276" w:type="dxa"/>
            <w:noWrap/>
            <w:vAlign w:val="bottom"/>
          </w:tcPr>
          <w:p w:rsidR="006C1E6C"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40,7</w:t>
            </w:r>
          </w:p>
        </w:tc>
        <w:tc>
          <w:tcPr>
            <w:tcW w:w="1276" w:type="dxa"/>
            <w:noWrap/>
            <w:vAlign w:val="bottom"/>
          </w:tcPr>
          <w:p w:rsidR="006C1E6C"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40,2</w:t>
            </w:r>
          </w:p>
        </w:tc>
      </w:tr>
      <w:tr w:rsidR="00960562" w:rsidRPr="00F10CD6" w:rsidTr="00F4225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01" w:type="dxa"/>
          </w:tcPr>
          <w:p w:rsidR="00960562" w:rsidRPr="00F10CD6" w:rsidRDefault="00960562" w:rsidP="00A75470">
            <w:pPr>
              <w:jc w:val="left"/>
              <w:rPr>
                <w:rFonts w:cs="Arial"/>
                <w:b w:val="0"/>
                <w:i/>
                <w:color w:val="0D0D0D" w:themeColor="text1" w:themeTint="F2"/>
                <w:sz w:val="20"/>
                <w:szCs w:val="20"/>
              </w:rPr>
            </w:pPr>
            <w:r w:rsidRPr="00F10CD6">
              <w:rPr>
                <w:rFonts w:cs="Arial"/>
                <w:b w:val="0"/>
                <w:i/>
                <w:color w:val="0D0D0D" w:themeColor="text1" w:themeTint="F2"/>
                <w:sz w:val="20"/>
                <w:szCs w:val="20"/>
              </w:rPr>
              <w:t xml:space="preserve">Ciljni nominalni </w:t>
            </w:r>
            <w:r w:rsidR="00A75470" w:rsidRPr="00F10CD6">
              <w:rPr>
                <w:rFonts w:cs="Arial"/>
                <w:b w:val="0"/>
                <w:i/>
                <w:color w:val="0D0D0D" w:themeColor="text1" w:themeTint="F2"/>
                <w:sz w:val="20"/>
                <w:szCs w:val="20"/>
              </w:rPr>
              <w:t>saldo</w:t>
            </w:r>
            <w:r w:rsidR="00F42256" w:rsidRPr="00F10CD6">
              <w:rPr>
                <w:rFonts w:cs="Arial"/>
                <w:b w:val="0"/>
                <w:i/>
                <w:color w:val="0D0D0D" w:themeColor="text1" w:themeTint="F2"/>
                <w:sz w:val="20"/>
                <w:szCs w:val="20"/>
              </w:rPr>
              <w:t xml:space="preserve"> v mio EUR</w:t>
            </w:r>
          </w:p>
        </w:tc>
        <w:tc>
          <w:tcPr>
            <w:tcW w:w="1165" w:type="dxa"/>
            <w:noWrap/>
            <w:vAlign w:val="bottom"/>
          </w:tcPr>
          <w:p w:rsidR="00960562" w:rsidRPr="00F10CD6" w:rsidRDefault="006C1E6C" w:rsidP="00881947">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w:t>
            </w:r>
            <w:r w:rsidR="00881947" w:rsidRPr="00F10CD6">
              <w:rPr>
                <w:rFonts w:cs="Arial"/>
                <w:color w:val="0D0D0D" w:themeColor="text1" w:themeTint="F2"/>
                <w:sz w:val="20"/>
                <w:szCs w:val="20"/>
              </w:rPr>
              <w:t>36,6</w:t>
            </w:r>
          </w:p>
        </w:tc>
        <w:tc>
          <w:tcPr>
            <w:tcW w:w="1276" w:type="dxa"/>
            <w:noWrap/>
            <w:vAlign w:val="bottom"/>
          </w:tcPr>
          <w:p w:rsidR="00960562" w:rsidRPr="00F10CD6" w:rsidRDefault="00BA5ECC"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462,4</w:t>
            </w:r>
          </w:p>
        </w:tc>
        <w:tc>
          <w:tcPr>
            <w:tcW w:w="1275" w:type="dxa"/>
            <w:noWrap/>
            <w:vAlign w:val="bottom"/>
          </w:tcPr>
          <w:p w:rsidR="00960562"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491,8</w:t>
            </w:r>
          </w:p>
        </w:tc>
        <w:tc>
          <w:tcPr>
            <w:tcW w:w="1276" w:type="dxa"/>
            <w:noWrap/>
            <w:vAlign w:val="bottom"/>
          </w:tcPr>
          <w:p w:rsidR="00960562"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607,8</w:t>
            </w:r>
          </w:p>
        </w:tc>
        <w:tc>
          <w:tcPr>
            <w:tcW w:w="1276" w:type="dxa"/>
            <w:noWrap/>
            <w:vAlign w:val="bottom"/>
          </w:tcPr>
          <w:p w:rsidR="00960562" w:rsidRPr="00F10CD6" w:rsidRDefault="006C1E6C"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w:t>
            </w:r>
            <w:r w:rsidR="00BA5ECC" w:rsidRPr="00F10CD6">
              <w:rPr>
                <w:rFonts w:cs="Arial"/>
                <w:color w:val="0D0D0D" w:themeColor="text1" w:themeTint="F2"/>
                <w:sz w:val="20"/>
                <w:szCs w:val="20"/>
              </w:rPr>
              <w:t>60</w:t>
            </w:r>
            <w:r w:rsidRPr="00F10CD6">
              <w:rPr>
                <w:rFonts w:cs="Arial"/>
                <w:color w:val="0D0D0D" w:themeColor="text1" w:themeTint="F2"/>
                <w:sz w:val="20"/>
                <w:szCs w:val="20"/>
              </w:rPr>
              <w:t>,7</w:t>
            </w:r>
          </w:p>
        </w:tc>
      </w:tr>
      <w:tr w:rsidR="004367BF" w:rsidRPr="00F10CD6" w:rsidTr="00F42256">
        <w:trPr>
          <w:trHeight w:val="277"/>
          <w:jc w:val="center"/>
        </w:trPr>
        <w:tc>
          <w:tcPr>
            <w:cnfStyle w:val="001000000000" w:firstRow="0" w:lastRow="0" w:firstColumn="1" w:lastColumn="0" w:oddVBand="0" w:evenVBand="0" w:oddHBand="0" w:evenHBand="0" w:firstRowFirstColumn="0" w:firstRowLastColumn="0" w:lastRowFirstColumn="0" w:lastRowLastColumn="0"/>
            <w:tcW w:w="3301" w:type="dxa"/>
          </w:tcPr>
          <w:p w:rsidR="004367BF" w:rsidRPr="00F10CD6" w:rsidRDefault="004367BF" w:rsidP="00710D16">
            <w:pPr>
              <w:jc w:val="left"/>
              <w:rPr>
                <w:rFonts w:cs="Arial"/>
                <w:b w:val="0"/>
                <w:color w:val="0D0D0D" w:themeColor="text1" w:themeTint="F2"/>
                <w:sz w:val="20"/>
                <w:szCs w:val="20"/>
              </w:rPr>
            </w:pPr>
            <w:r w:rsidRPr="00F10CD6">
              <w:rPr>
                <w:rFonts w:cs="Arial"/>
                <w:b w:val="0"/>
                <w:color w:val="0D0D0D" w:themeColor="text1" w:themeTint="F2"/>
                <w:sz w:val="20"/>
                <w:szCs w:val="20"/>
              </w:rPr>
              <w:t>v % BDP</w:t>
            </w:r>
          </w:p>
        </w:tc>
        <w:tc>
          <w:tcPr>
            <w:tcW w:w="1165" w:type="dxa"/>
            <w:noWrap/>
            <w:vAlign w:val="bottom"/>
          </w:tcPr>
          <w:p w:rsidR="004367BF" w:rsidRPr="00F10CD6"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6C1E6C" w:rsidRPr="00F10CD6">
              <w:rPr>
                <w:rFonts w:cs="Arial"/>
                <w:color w:val="0D0D0D" w:themeColor="text1" w:themeTint="F2"/>
                <w:sz w:val="20"/>
                <w:szCs w:val="20"/>
              </w:rPr>
              <w:t>7</w:t>
            </w:r>
          </w:p>
        </w:tc>
        <w:tc>
          <w:tcPr>
            <w:tcW w:w="1276" w:type="dxa"/>
            <w:noWrap/>
            <w:vAlign w:val="bottom"/>
          </w:tcPr>
          <w:p w:rsidR="004367BF" w:rsidRPr="00F10CD6" w:rsidRDefault="00960562"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BA5ECC" w:rsidRPr="00F10CD6">
              <w:rPr>
                <w:rFonts w:cs="Arial"/>
                <w:color w:val="0D0D0D" w:themeColor="text1" w:themeTint="F2"/>
                <w:sz w:val="20"/>
                <w:szCs w:val="20"/>
              </w:rPr>
              <w:t>9</w:t>
            </w:r>
          </w:p>
        </w:tc>
        <w:tc>
          <w:tcPr>
            <w:tcW w:w="1275" w:type="dxa"/>
            <w:noWrap/>
            <w:vAlign w:val="bottom"/>
          </w:tcPr>
          <w:p w:rsidR="004367BF" w:rsidRPr="00F10CD6"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w:t>
            </w:r>
            <w:r w:rsidR="006C1E6C" w:rsidRPr="00F10CD6">
              <w:rPr>
                <w:rFonts w:cs="Arial"/>
                <w:color w:val="0D0D0D" w:themeColor="text1" w:themeTint="F2"/>
                <w:sz w:val="20"/>
                <w:szCs w:val="20"/>
              </w:rPr>
              <w:t>0</w:t>
            </w:r>
          </w:p>
        </w:tc>
        <w:tc>
          <w:tcPr>
            <w:tcW w:w="1276" w:type="dxa"/>
            <w:noWrap/>
            <w:vAlign w:val="bottom"/>
          </w:tcPr>
          <w:p w:rsidR="004367BF" w:rsidRPr="00F10CD6"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w:t>
            </w:r>
            <w:r w:rsidR="006C1E6C" w:rsidRPr="00F10CD6">
              <w:rPr>
                <w:rFonts w:cs="Arial"/>
                <w:color w:val="0D0D0D" w:themeColor="text1" w:themeTint="F2"/>
                <w:sz w:val="20"/>
                <w:szCs w:val="20"/>
              </w:rPr>
              <w:t>1</w:t>
            </w:r>
          </w:p>
        </w:tc>
        <w:tc>
          <w:tcPr>
            <w:tcW w:w="1276" w:type="dxa"/>
            <w:noWrap/>
            <w:vAlign w:val="bottom"/>
          </w:tcPr>
          <w:p w:rsidR="004367BF" w:rsidRPr="00F10CD6"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w:t>
            </w:r>
            <w:r w:rsidR="00960562" w:rsidRPr="00F10CD6">
              <w:rPr>
                <w:rFonts w:cs="Arial"/>
                <w:color w:val="0D0D0D" w:themeColor="text1" w:themeTint="F2"/>
                <w:sz w:val="20"/>
                <w:szCs w:val="20"/>
              </w:rPr>
              <w:t>2</w:t>
            </w:r>
          </w:p>
        </w:tc>
      </w:tr>
      <w:tr w:rsidR="004367BF" w:rsidRPr="00F10CD6" w:rsidTr="00F42256">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3301" w:type="dxa"/>
          </w:tcPr>
          <w:p w:rsidR="00071C19" w:rsidRPr="00F10CD6" w:rsidRDefault="00071C19" w:rsidP="00A75470">
            <w:pPr>
              <w:jc w:val="left"/>
              <w:rPr>
                <w:rFonts w:cs="Arial"/>
                <w:b w:val="0"/>
                <w:i/>
                <w:color w:val="0D0D0D" w:themeColor="text1" w:themeTint="F2"/>
                <w:sz w:val="20"/>
                <w:szCs w:val="20"/>
              </w:rPr>
            </w:pPr>
            <w:r w:rsidRPr="00F10CD6">
              <w:rPr>
                <w:rFonts w:cs="Arial"/>
                <w:b w:val="0"/>
                <w:i/>
                <w:color w:val="0D0D0D" w:themeColor="text1" w:themeTint="F2"/>
                <w:sz w:val="20"/>
                <w:szCs w:val="20"/>
              </w:rPr>
              <w:t xml:space="preserve"> Ciljni strukturni </w:t>
            </w:r>
            <w:r w:rsidR="00A75470" w:rsidRPr="00F10CD6">
              <w:rPr>
                <w:rFonts w:cs="Arial"/>
                <w:b w:val="0"/>
                <w:i/>
                <w:color w:val="0D0D0D" w:themeColor="text1" w:themeTint="F2"/>
                <w:sz w:val="20"/>
                <w:szCs w:val="20"/>
              </w:rPr>
              <w:t>saldo</w:t>
            </w:r>
            <w:r w:rsidR="00F42256" w:rsidRPr="00F10CD6">
              <w:rPr>
                <w:rFonts w:cs="Arial"/>
                <w:b w:val="0"/>
                <w:i/>
                <w:color w:val="0D0D0D" w:themeColor="text1" w:themeTint="F2"/>
                <w:sz w:val="20"/>
                <w:szCs w:val="20"/>
              </w:rPr>
              <w:t xml:space="preserve"> v mio EUR</w:t>
            </w:r>
          </w:p>
        </w:tc>
        <w:tc>
          <w:tcPr>
            <w:tcW w:w="1165" w:type="dxa"/>
            <w:noWrap/>
          </w:tcPr>
          <w:p w:rsidR="00071C19" w:rsidRPr="00F10CD6" w:rsidRDefault="00AC696C" w:rsidP="00AC696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7,6</w:t>
            </w:r>
          </w:p>
        </w:tc>
        <w:tc>
          <w:tcPr>
            <w:tcW w:w="1276" w:type="dxa"/>
            <w:noWrap/>
          </w:tcPr>
          <w:p w:rsidR="00071C19" w:rsidRPr="00F10CD6" w:rsidRDefault="001C284E"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BA5ECC" w:rsidRPr="00F10CD6">
              <w:rPr>
                <w:rFonts w:cs="Arial"/>
                <w:color w:val="0D0D0D" w:themeColor="text1" w:themeTint="F2"/>
                <w:sz w:val="20"/>
                <w:szCs w:val="20"/>
              </w:rPr>
              <w:t>54,3</w:t>
            </w:r>
          </w:p>
        </w:tc>
        <w:tc>
          <w:tcPr>
            <w:tcW w:w="1275" w:type="dxa"/>
            <w:noWrap/>
          </w:tcPr>
          <w:p w:rsidR="00071C19" w:rsidRPr="00F10CD6" w:rsidRDefault="001C284E"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88,8</w:t>
            </w:r>
          </w:p>
        </w:tc>
        <w:tc>
          <w:tcPr>
            <w:tcW w:w="1276" w:type="dxa"/>
            <w:noWrap/>
          </w:tcPr>
          <w:p w:rsidR="00071C19" w:rsidRPr="00F10CD6" w:rsidRDefault="001C284E"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35,4</w:t>
            </w:r>
          </w:p>
        </w:tc>
        <w:tc>
          <w:tcPr>
            <w:tcW w:w="1276" w:type="dxa"/>
            <w:noWrap/>
          </w:tcPr>
          <w:p w:rsidR="00071C19" w:rsidRPr="00F10CD6" w:rsidRDefault="006C1E6C"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w:t>
            </w:r>
            <w:r w:rsidR="00BA5ECC" w:rsidRPr="00F10CD6">
              <w:rPr>
                <w:rFonts w:cs="Arial"/>
                <w:color w:val="0D0D0D" w:themeColor="text1" w:themeTint="F2"/>
                <w:sz w:val="20"/>
                <w:szCs w:val="20"/>
              </w:rPr>
              <w:t>5</w:t>
            </w:r>
            <w:r w:rsidRPr="00F10CD6">
              <w:rPr>
                <w:rFonts w:cs="Arial"/>
                <w:color w:val="0D0D0D" w:themeColor="text1" w:themeTint="F2"/>
                <w:sz w:val="20"/>
                <w:szCs w:val="20"/>
              </w:rPr>
              <w:t>,6</w:t>
            </w:r>
          </w:p>
        </w:tc>
      </w:tr>
      <w:tr w:rsidR="006C1E6C" w:rsidRPr="00F10CD6" w:rsidTr="00F42256">
        <w:trPr>
          <w:trHeight w:val="237"/>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F10CD6" w:rsidRDefault="006C1E6C" w:rsidP="00710D16">
            <w:pPr>
              <w:jc w:val="left"/>
              <w:rPr>
                <w:rFonts w:cs="Arial"/>
                <w:b w:val="0"/>
                <w:color w:val="0D0D0D" w:themeColor="text1" w:themeTint="F2"/>
                <w:sz w:val="20"/>
                <w:szCs w:val="20"/>
              </w:rPr>
            </w:pPr>
            <w:r w:rsidRPr="00F10CD6">
              <w:rPr>
                <w:rFonts w:cs="Arial"/>
                <w:b w:val="0"/>
                <w:color w:val="0D0D0D" w:themeColor="text1" w:themeTint="F2"/>
                <w:sz w:val="20"/>
                <w:szCs w:val="20"/>
              </w:rPr>
              <w:t>v % BDP</w:t>
            </w:r>
          </w:p>
        </w:tc>
        <w:tc>
          <w:tcPr>
            <w:tcW w:w="1165" w:type="dxa"/>
            <w:noWrap/>
            <w:vAlign w:val="bottom"/>
          </w:tcPr>
          <w:p w:rsidR="006C1E6C" w:rsidRPr="00F10CD6" w:rsidRDefault="00F42256" w:rsidP="00AC696C">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w:t>
            </w:r>
            <w:r w:rsidR="00AC696C" w:rsidRPr="00F10CD6">
              <w:rPr>
                <w:rFonts w:cs="Arial"/>
                <w:color w:val="0D0D0D" w:themeColor="text1" w:themeTint="F2"/>
                <w:sz w:val="20"/>
                <w:szCs w:val="20"/>
              </w:rPr>
              <w:t>2</w:t>
            </w:r>
          </w:p>
        </w:tc>
        <w:tc>
          <w:tcPr>
            <w:tcW w:w="1276" w:type="dxa"/>
            <w:noWrap/>
            <w:vAlign w:val="bottom"/>
          </w:tcPr>
          <w:p w:rsidR="006C1E6C" w:rsidRPr="00F10CD6" w:rsidRDefault="001C284E" w:rsidP="00BA5ECC">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F42256" w:rsidRPr="00F10CD6">
              <w:rPr>
                <w:rFonts w:cs="Arial"/>
                <w:color w:val="0D0D0D" w:themeColor="text1" w:themeTint="F2"/>
                <w:sz w:val="20"/>
                <w:szCs w:val="20"/>
              </w:rPr>
              <w:t>0,</w:t>
            </w:r>
            <w:r w:rsidR="00BA5ECC" w:rsidRPr="00F10CD6">
              <w:rPr>
                <w:rFonts w:cs="Arial"/>
                <w:color w:val="0D0D0D" w:themeColor="text1" w:themeTint="F2"/>
                <w:sz w:val="20"/>
                <w:szCs w:val="20"/>
              </w:rPr>
              <w:t>11</w:t>
            </w:r>
          </w:p>
        </w:tc>
        <w:tc>
          <w:tcPr>
            <w:tcW w:w="1275" w:type="dxa"/>
            <w:noWrap/>
            <w:vAlign w:val="bottom"/>
          </w:tcPr>
          <w:p w:rsidR="006C1E6C" w:rsidRPr="00F10CD6" w:rsidRDefault="001C284E"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F42256" w:rsidRPr="00F10CD6">
              <w:rPr>
                <w:rFonts w:cs="Arial"/>
                <w:color w:val="0D0D0D" w:themeColor="text1" w:themeTint="F2"/>
                <w:sz w:val="20"/>
                <w:szCs w:val="20"/>
              </w:rPr>
              <w:t>0,17</w:t>
            </w:r>
          </w:p>
        </w:tc>
        <w:tc>
          <w:tcPr>
            <w:tcW w:w="1276" w:type="dxa"/>
            <w:noWrap/>
            <w:vAlign w:val="bottom"/>
          </w:tcPr>
          <w:p w:rsidR="006C1E6C" w:rsidRPr="00F10CD6" w:rsidRDefault="001C284E"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F42256" w:rsidRPr="00F10CD6">
              <w:rPr>
                <w:rFonts w:cs="Arial"/>
                <w:color w:val="0D0D0D" w:themeColor="text1" w:themeTint="F2"/>
                <w:sz w:val="20"/>
                <w:szCs w:val="20"/>
              </w:rPr>
              <w:t>0,07</w:t>
            </w:r>
          </w:p>
        </w:tc>
        <w:tc>
          <w:tcPr>
            <w:tcW w:w="1276" w:type="dxa"/>
            <w:noWrap/>
            <w:vAlign w:val="bottom"/>
          </w:tcPr>
          <w:p w:rsidR="006C1E6C" w:rsidRPr="00F10CD6"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F42256" w:rsidRPr="00F10CD6">
              <w:rPr>
                <w:rFonts w:cs="Arial"/>
                <w:color w:val="0D0D0D" w:themeColor="text1" w:themeTint="F2"/>
                <w:sz w:val="20"/>
                <w:szCs w:val="20"/>
              </w:rPr>
              <w:t>,06</w:t>
            </w:r>
          </w:p>
        </w:tc>
      </w:tr>
      <w:tr w:rsidR="004367BF" w:rsidRPr="00F10CD6" w:rsidTr="00F42256">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3301" w:type="dxa"/>
          </w:tcPr>
          <w:p w:rsidR="00901694" w:rsidRPr="00F10CD6" w:rsidRDefault="00901694" w:rsidP="00710D16">
            <w:pPr>
              <w:jc w:val="left"/>
              <w:rPr>
                <w:rFonts w:cs="Arial"/>
                <w:b w:val="0"/>
                <w:i/>
                <w:color w:val="0D0D0D" w:themeColor="text1" w:themeTint="F2"/>
                <w:sz w:val="20"/>
                <w:szCs w:val="20"/>
              </w:rPr>
            </w:pPr>
            <w:r w:rsidRPr="00F10CD6">
              <w:rPr>
                <w:rFonts w:cs="Arial"/>
                <w:b w:val="0"/>
                <w:i/>
                <w:color w:val="0D0D0D" w:themeColor="text1" w:themeTint="F2"/>
                <w:sz w:val="20"/>
                <w:szCs w:val="20"/>
              </w:rPr>
              <w:t>Fiskalni napor  v % BDP</w:t>
            </w:r>
          </w:p>
        </w:tc>
        <w:tc>
          <w:tcPr>
            <w:tcW w:w="1165" w:type="dxa"/>
            <w:noWrap/>
          </w:tcPr>
          <w:p w:rsidR="00901694" w:rsidRPr="00F10CD6" w:rsidRDefault="001C284E"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0,2</w:t>
            </w:r>
          </w:p>
        </w:tc>
        <w:tc>
          <w:tcPr>
            <w:tcW w:w="1276" w:type="dxa"/>
            <w:noWrap/>
          </w:tcPr>
          <w:p w:rsidR="00901694" w:rsidRPr="00F10CD6" w:rsidRDefault="001C284E" w:rsidP="00BA5ECC">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AC696C" w:rsidRPr="00F10CD6">
              <w:rPr>
                <w:rFonts w:cs="Arial"/>
                <w:color w:val="0D0D0D" w:themeColor="text1" w:themeTint="F2"/>
                <w:sz w:val="20"/>
                <w:szCs w:val="20"/>
              </w:rPr>
              <w:t>0,</w:t>
            </w:r>
            <w:r w:rsidR="00BA5ECC" w:rsidRPr="00F10CD6">
              <w:rPr>
                <w:rFonts w:cs="Arial"/>
                <w:color w:val="0D0D0D" w:themeColor="text1" w:themeTint="F2"/>
                <w:sz w:val="20"/>
                <w:szCs w:val="20"/>
              </w:rPr>
              <w:t>1</w:t>
            </w:r>
          </w:p>
        </w:tc>
        <w:tc>
          <w:tcPr>
            <w:tcW w:w="1275" w:type="dxa"/>
            <w:noWrap/>
          </w:tcPr>
          <w:p w:rsidR="00901694" w:rsidRPr="00F10CD6" w:rsidRDefault="00BA5EC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1276" w:type="dxa"/>
            <w:noWrap/>
          </w:tcPr>
          <w:p w:rsidR="00901694"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0,1</w:t>
            </w:r>
          </w:p>
        </w:tc>
        <w:tc>
          <w:tcPr>
            <w:tcW w:w="1276" w:type="dxa"/>
            <w:noWrap/>
          </w:tcPr>
          <w:p w:rsidR="00901694" w:rsidRPr="00F10CD6"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0,1</w:t>
            </w:r>
          </w:p>
        </w:tc>
      </w:tr>
    </w:tbl>
    <w:p w:rsidR="000D4E44" w:rsidRPr="00F10CD6" w:rsidRDefault="004367BF" w:rsidP="00607AA5">
      <w:pPr>
        <w:spacing w:before="120" w:after="0"/>
        <w:jc w:val="center"/>
        <w:rPr>
          <w:rFonts w:cs="Arial"/>
          <w:color w:val="0D0D0D" w:themeColor="text1" w:themeTint="F2"/>
          <w:sz w:val="20"/>
        </w:rPr>
      </w:pPr>
      <w:r w:rsidRPr="00F10CD6">
        <w:rPr>
          <w:rFonts w:cs="Arial"/>
          <w:color w:val="0D0D0D" w:themeColor="text1" w:themeTint="F2"/>
          <w:sz w:val="20"/>
        </w:rPr>
        <w:t xml:space="preserve">Vir: </w:t>
      </w:r>
      <w:r w:rsidR="002D6E6A" w:rsidRPr="00F10CD6">
        <w:rPr>
          <w:rFonts w:cs="Arial"/>
          <w:color w:val="0D0D0D" w:themeColor="text1" w:themeTint="F2"/>
          <w:sz w:val="20"/>
        </w:rPr>
        <w:t xml:space="preserve">SURS, </w:t>
      </w:r>
      <w:r w:rsidRPr="00F10CD6">
        <w:rPr>
          <w:rFonts w:cs="Arial"/>
          <w:color w:val="0D0D0D" w:themeColor="text1" w:themeTint="F2"/>
          <w:sz w:val="20"/>
        </w:rPr>
        <w:t>Ministrstvo za finance, preračuni MF, o</w:t>
      </w:r>
      <w:r w:rsidR="005F53B5" w:rsidRPr="00F10CD6">
        <w:rPr>
          <w:rFonts w:cs="Arial"/>
          <w:color w:val="0D0D0D" w:themeColor="text1" w:themeTint="F2"/>
          <w:sz w:val="20"/>
        </w:rPr>
        <w:t>cena proizvodne vrzeli MF</w:t>
      </w:r>
    </w:p>
    <w:tbl>
      <w:tblPr>
        <w:tblW w:w="0" w:type="auto"/>
        <w:tblLook w:val="04A0" w:firstRow="1" w:lastRow="0" w:firstColumn="1" w:lastColumn="0" w:noHBand="0" w:noVBand="1"/>
      </w:tblPr>
      <w:tblGrid>
        <w:gridCol w:w="9212"/>
      </w:tblGrid>
      <w:tr w:rsidR="00F83A9A" w:rsidRPr="00F10CD6" w:rsidTr="00867F69">
        <w:trPr>
          <w:trHeight w:val="1418"/>
        </w:trPr>
        <w:tc>
          <w:tcPr>
            <w:tcW w:w="9212" w:type="dxa"/>
          </w:tcPr>
          <w:p w:rsidR="00710D16" w:rsidRPr="00F10CD6" w:rsidRDefault="00710D16" w:rsidP="007B4DD0">
            <w:pPr>
              <w:pStyle w:val="besedilo"/>
              <w:rPr>
                <w:color w:val="0D0D0D" w:themeColor="text1" w:themeTint="F2"/>
              </w:rPr>
            </w:pPr>
          </w:p>
          <w:p w:rsidR="006C1E6C" w:rsidRPr="00F10CD6" w:rsidRDefault="006C1E6C" w:rsidP="007B4DD0">
            <w:pPr>
              <w:pStyle w:val="besedilo"/>
              <w:rPr>
                <w:color w:val="0D0D0D" w:themeColor="text1" w:themeTint="F2"/>
                <w:highlight w:val="yellow"/>
              </w:rPr>
            </w:pPr>
            <w:r w:rsidRPr="00F10CD6">
              <w:rPr>
                <w:color w:val="0D0D0D" w:themeColor="text1" w:themeTint="F2"/>
              </w:rPr>
              <w:t xml:space="preserve">V srednjeročnem obdobju Slovenija načrtuje postopno izboljšanje salda sektorja država in ciklično prilagojenega salda skladno z MTO. Zato se je </w:t>
            </w:r>
            <w:r w:rsidR="008A72A7" w:rsidRPr="00F10CD6">
              <w:rPr>
                <w:color w:val="0D0D0D" w:themeColor="text1" w:themeTint="F2"/>
              </w:rPr>
              <w:t xml:space="preserve">treba </w:t>
            </w:r>
            <w:r w:rsidRPr="00F10CD6">
              <w:rPr>
                <w:color w:val="0D0D0D" w:themeColor="text1" w:themeTint="F2"/>
              </w:rPr>
              <w:t xml:space="preserve">pri načrtovanju javnih financ osredotočiti </w:t>
            </w:r>
            <w:r w:rsidR="007B4603" w:rsidRPr="00F10CD6">
              <w:rPr>
                <w:color w:val="0D0D0D" w:themeColor="text1" w:themeTint="F2"/>
              </w:rPr>
              <w:t xml:space="preserve">na </w:t>
            </w:r>
            <w:r w:rsidRPr="00F10CD6">
              <w:rPr>
                <w:color w:val="0D0D0D" w:themeColor="text1" w:themeTint="F2"/>
              </w:rPr>
              <w:t xml:space="preserve">strukturne ukrepe, ki bodo imeli trajen vpliv na strukturo in učinkovitost javnih financ. </w:t>
            </w:r>
            <w:r w:rsidR="007B4603" w:rsidRPr="00F10CD6">
              <w:rPr>
                <w:color w:val="0D0D0D" w:themeColor="text1" w:themeTint="F2"/>
              </w:rPr>
              <w:t>Priprava</w:t>
            </w:r>
            <w:r w:rsidRPr="00F10CD6">
              <w:rPr>
                <w:color w:val="0D0D0D" w:themeColor="text1" w:themeTint="F2"/>
              </w:rPr>
              <w:t xml:space="preserve"> sistemskih ukrepov, s katerimi se zagotovi vzdrževanje srednjeročnega cilja </w:t>
            </w:r>
            <w:r w:rsidR="008A72A7" w:rsidRPr="00F10CD6">
              <w:rPr>
                <w:color w:val="0D0D0D" w:themeColor="text1" w:themeTint="F2"/>
              </w:rPr>
              <w:t xml:space="preserve">in </w:t>
            </w:r>
            <w:r w:rsidRPr="00F10CD6">
              <w:rPr>
                <w:color w:val="0D0D0D" w:themeColor="text1" w:themeTint="F2"/>
              </w:rPr>
              <w:t>dolgoročn</w:t>
            </w:r>
            <w:r w:rsidR="008A72A7" w:rsidRPr="00F10CD6">
              <w:rPr>
                <w:color w:val="0D0D0D" w:themeColor="text1" w:themeTint="F2"/>
              </w:rPr>
              <w:t>a</w:t>
            </w:r>
            <w:r w:rsidRPr="00F10CD6">
              <w:rPr>
                <w:color w:val="0D0D0D" w:themeColor="text1" w:themeTint="F2"/>
              </w:rPr>
              <w:t xml:space="preserve"> zdrav</w:t>
            </w:r>
            <w:r w:rsidR="008A72A7" w:rsidRPr="00F10CD6">
              <w:rPr>
                <w:color w:val="0D0D0D" w:themeColor="text1" w:themeTint="F2"/>
              </w:rPr>
              <w:t>a</w:t>
            </w:r>
            <w:r w:rsidRPr="00F10CD6">
              <w:rPr>
                <w:color w:val="0D0D0D" w:themeColor="text1" w:themeTint="F2"/>
              </w:rPr>
              <w:t xml:space="preserve"> struktur</w:t>
            </w:r>
            <w:r w:rsidR="008A72A7" w:rsidRPr="00F10CD6">
              <w:rPr>
                <w:color w:val="0D0D0D" w:themeColor="text1" w:themeTint="F2"/>
              </w:rPr>
              <w:t>a</w:t>
            </w:r>
            <w:r w:rsidRPr="00F10CD6">
              <w:rPr>
                <w:color w:val="0D0D0D" w:themeColor="text1" w:themeTint="F2"/>
              </w:rPr>
              <w:t xml:space="preserve"> javnih financ, je predvidena z</w:t>
            </w:r>
            <w:r w:rsidR="007B4603" w:rsidRPr="00F10CD6">
              <w:rPr>
                <w:color w:val="0D0D0D" w:themeColor="text1" w:themeTint="F2"/>
              </w:rPr>
              <w:t xml:space="preserve">a </w:t>
            </w:r>
            <w:r w:rsidR="008A72A7" w:rsidRPr="00F10CD6">
              <w:rPr>
                <w:color w:val="0D0D0D" w:themeColor="text1" w:themeTint="F2"/>
              </w:rPr>
              <w:t xml:space="preserve">leto </w:t>
            </w:r>
            <w:r w:rsidR="007B4603" w:rsidRPr="00F10CD6">
              <w:rPr>
                <w:color w:val="0D0D0D" w:themeColor="text1" w:themeTint="F2"/>
              </w:rPr>
              <w:t>2019 z uveljavitvijo v</w:t>
            </w:r>
            <w:r w:rsidRPr="00F10CD6">
              <w:rPr>
                <w:color w:val="0D0D0D" w:themeColor="text1" w:themeTint="F2"/>
              </w:rPr>
              <w:t xml:space="preserve"> 2020. Pri tem je </w:t>
            </w:r>
            <w:r w:rsidR="008A72A7" w:rsidRPr="00F10CD6">
              <w:rPr>
                <w:color w:val="0D0D0D" w:themeColor="text1" w:themeTint="F2"/>
              </w:rPr>
              <w:t xml:space="preserve">treba </w:t>
            </w:r>
            <w:r w:rsidRPr="00F10CD6">
              <w:rPr>
                <w:color w:val="0D0D0D" w:themeColor="text1" w:themeTint="F2"/>
              </w:rPr>
              <w:t xml:space="preserve">upoštevati specifike malih držav članic, ustrezno doseganje zadostne potencialne rasti ob zavedanju stroškov staranja. </w:t>
            </w:r>
          </w:p>
        </w:tc>
      </w:tr>
      <w:tr w:rsidR="00F83A9A" w:rsidRPr="00F10CD6" w:rsidTr="002456F6">
        <w:tblPrEx>
          <w:tblCellMar>
            <w:left w:w="70" w:type="dxa"/>
            <w:right w:w="70" w:type="dxa"/>
          </w:tblCellMar>
        </w:tblPrEx>
        <w:tc>
          <w:tcPr>
            <w:tcW w:w="9212" w:type="dxa"/>
          </w:tcPr>
          <w:p w:rsidR="00F83A9A" w:rsidRPr="00F10CD6" w:rsidRDefault="00F83A9A" w:rsidP="00300564">
            <w:pPr>
              <w:pStyle w:val="Caption"/>
              <w:keepNext/>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lastRenderedPageBreak/>
              <w:t>Slika</w:t>
            </w:r>
            <w:r w:rsidR="00A75470" w:rsidRPr="00F10CD6">
              <w:rPr>
                <w:rFonts w:ascii="Arial" w:hAnsi="Arial" w:cs="Arial"/>
                <w:color w:val="0D0D0D" w:themeColor="text1" w:themeTint="F2"/>
                <w:szCs w:val="22"/>
                <w:lang w:val="sl-SI"/>
              </w:rPr>
              <w:t xml:space="preserve"> 17</w:t>
            </w:r>
            <w:r w:rsidRPr="00F10CD6">
              <w:rPr>
                <w:rFonts w:ascii="Arial" w:hAnsi="Arial" w:cs="Arial"/>
                <w:color w:val="0D0D0D" w:themeColor="text1" w:themeTint="F2"/>
                <w:szCs w:val="22"/>
                <w:lang w:val="sl-SI"/>
              </w:rPr>
              <w:t>: Saldo sektorja država in strukturni saldo, v % BDP –</w:t>
            </w:r>
            <w:r w:rsidR="00B73F62" w:rsidRPr="00F10CD6">
              <w:rPr>
                <w:rFonts w:ascii="Arial" w:hAnsi="Arial" w:cs="Arial"/>
                <w:color w:val="0D0D0D" w:themeColor="text1" w:themeTint="F2"/>
                <w:szCs w:val="22"/>
                <w:lang w:val="sl-SI"/>
              </w:rPr>
              <w:t xml:space="preserve"> </w:t>
            </w:r>
            <w:r w:rsidRPr="00F10CD6">
              <w:rPr>
                <w:rFonts w:ascii="Arial" w:hAnsi="Arial" w:cs="Arial"/>
                <w:color w:val="0D0D0D" w:themeColor="text1" w:themeTint="F2"/>
                <w:szCs w:val="22"/>
                <w:lang w:val="sl-SI"/>
              </w:rPr>
              <w:t>zahtevan ciljni scenarij</w:t>
            </w:r>
            <w:r w:rsidR="00430F5A" w:rsidRPr="00F10CD6">
              <w:rPr>
                <w:rFonts w:ascii="Arial" w:hAnsi="Arial" w:cs="Arial"/>
                <w:color w:val="0D0D0D" w:themeColor="text1" w:themeTint="F2"/>
                <w:szCs w:val="22"/>
                <w:lang w:val="sl-SI"/>
              </w:rPr>
              <w:t>, proizv</w:t>
            </w:r>
            <w:r w:rsidR="00ED487B" w:rsidRPr="00F10CD6">
              <w:rPr>
                <w:rFonts w:ascii="Arial" w:hAnsi="Arial" w:cs="Arial"/>
                <w:color w:val="0D0D0D" w:themeColor="text1" w:themeTint="F2"/>
                <w:szCs w:val="22"/>
                <w:lang w:val="sl-SI"/>
              </w:rPr>
              <w:t>od</w:t>
            </w:r>
            <w:r w:rsidR="00430F5A" w:rsidRPr="00F10CD6">
              <w:rPr>
                <w:rFonts w:ascii="Arial" w:hAnsi="Arial" w:cs="Arial"/>
                <w:color w:val="0D0D0D" w:themeColor="text1" w:themeTint="F2"/>
                <w:szCs w:val="22"/>
                <w:lang w:val="sl-SI"/>
              </w:rPr>
              <w:t>na vrzel MF</w:t>
            </w:r>
            <w:r w:rsidR="00CF2C51" w:rsidRPr="00F10CD6">
              <w:rPr>
                <w:rFonts w:ascii="Arial" w:hAnsi="Arial" w:cs="Arial"/>
                <w:color w:val="0D0D0D" w:themeColor="text1" w:themeTint="F2"/>
                <w:szCs w:val="22"/>
                <w:lang w:val="sl-SI"/>
              </w:rPr>
              <w:t xml:space="preserve"> (metodologija</w:t>
            </w:r>
            <w:r w:rsidR="008A72A7" w:rsidRPr="00F10CD6">
              <w:rPr>
                <w:rFonts w:ascii="Arial" w:hAnsi="Arial" w:cs="Arial"/>
                <w:color w:val="0D0D0D" w:themeColor="text1" w:themeTint="F2"/>
                <w:szCs w:val="22"/>
                <w:lang w:val="sl-SI"/>
              </w:rPr>
              <w:t xml:space="preserve"> EK</w:t>
            </w:r>
            <w:r w:rsidR="00CF2C51" w:rsidRPr="00F10CD6">
              <w:rPr>
                <w:rFonts w:ascii="Arial" w:hAnsi="Arial" w:cs="Arial"/>
                <w:color w:val="0D0D0D" w:themeColor="text1" w:themeTint="F2"/>
                <w:szCs w:val="22"/>
                <w:lang w:val="sl-SI"/>
              </w:rPr>
              <w:t>)</w:t>
            </w:r>
          </w:p>
          <w:p w:rsidR="00F83A9A" w:rsidRPr="00F10CD6" w:rsidRDefault="002456F6" w:rsidP="00300564">
            <w:pPr>
              <w:spacing w:after="0"/>
              <w:jc w:val="center"/>
              <w:rPr>
                <w:color w:val="0D0D0D" w:themeColor="text1" w:themeTint="F2"/>
                <w:lang w:eastAsia="sl-SI"/>
              </w:rPr>
            </w:pPr>
            <w:r w:rsidRPr="00F10CD6">
              <w:rPr>
                <w:noProof/>
                <w:color w:val="0D0D0D" w:themeColor="text1" w:themeTint="F2"/>
                <w:lang w:val="en-US"/>
              </w:rPr>
              <w:drawing>
                <wp:inline distT="0" distB="0" distL="0" distR="0" wp14:anchorId="68EA054E" wp14:editId="74DA8129">
                  <wp:extent cx="5248275" cy="32385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83A9A" w:rsidRPr="00F10CD6" w:rsidRDefault="005F53B5" w:rsidP="00300564">
            <w:pPr>
              <w:pStyle w:val="Caption"/>
              <w:keepNext/>
              <w:spacing w:before="0"/>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Ministrstvo za finance, preračuni MF</w:t>
            </w:r>
          </w:p>
          <w:p w:rsidR="000D4E44" w:rsidRPr="00F10CD6" w:rsidRDefault="000D4E44" w:rsidP="00300564">
            <w:pPr>
              <w:pStyle w:val="vstavek"/>
              <w:rPr>
                <w:rFonts w:cs="Arial"/>
                <w:b w:val="0"/>
                <w:i w:val="0"/>
                <w:noProof w:val="0"/>
                <w:color w:val="0D0D0D" w:themeColor="text1" w:themeTint="F2"/>
                <w:sz w:val="22"/>
                <w:highlight w:val="yellow"/>
              </w:rPr>
            </w:pPr>
          </w:p>
        </w:tc>
      </w:tr>
    </w:tbl>
    <w:p w:rsidR="00071C19" w:rsidRPr="00F10CD6" w:rsidRDefault="00071C19" w:rsidP="00607AA5">
      <w:pPr>
        <w:spacing w:after="120"/>
        <w:jc w:val="center"/>
        <w:rPr>
          <w:rFonts w:cs="Arial"/>
          <w:color w:val="0D0D0D" w:themeColor="text1" w:themeTint="F2"/>
        </w:rPr>
      </w:pPr>
      <w:r w:rsidRPr="00F10CD6">
        <w:rPr>
          <w:rFonts w:cs="Arial"/>
          <w:color w:val="0D0D0D" w:themeColor="text1" w:themeTint="F2"/>
        </w:rPr>
        <w:t>Tabela</w:t>
      </w:r>
      <w:r w:rsidR="005E5222" w:rsidRPr="00F10CD6">
        <w:rPr>
          <w:rFonts w:cs="Arial"/>
          <w:color w:val="0D0D0D" w:themeColor="text1" w:themeTint="F2"/>
        </w:rPr>
        <w:t xml:space="preserve"> </w:t>
      </w:r>
      <w:r w:rsidR="00710D16" w:rsidRPr="00F10CD6">
        <w:rPr>
          <w:rFonts w:cs="Arial"/>
          <w:color w:val="0D0D0D" w:themeColor="text1" w:themeTint="F2"/>
        </w:rPr>
        <w:t>4</w:t>
      </w:r>
      <w:r w:rsidR="00BF6459" w:rsidRPr="00F10CD6">
        <w:rPr>
          <w:rFonts w:cs="Arial"/>
          <w:color w:val="0D0D0D" w:themeColor="text1" w:themeTint="F2"/>
        </w:rPr>
        <w:t>:</w:t>
      </w:r>
      <w:r w:rsidRPr="00F10CD6">
        <w:rPr>
          <w:rFonts w:cs="Arial"/>
          <w:color w:val="0D0D0D" w:themeColor="text1" w:themeTint="F2"/>
        </w:rPr>
        <w:t xml:space="preserve"> Ciklična gibanja </w:t>
      </w:r>
      <w:r w:rsidR="005F53B5" w:rsidRPr="00F10CD6">
        <w:rPr>
          <w:rFonts w:cs="Arial"/>
          <w:color w:val="0D0D0D" w:themeColor="text1" w:themeTint="F2"/>
        </w:rPr>
        <w:t>politik</w:t>
      </w:r>
      <w:r w:rsidR="0096314A" w:rsidRPr="00F10CD6">
        <w:rPr>
          <w:rFonts w:cs="Arial"/>
          <w:color w:val="0D0D0D" w:themeColor="text1" w:themeTint="F2"/>
        </w:rPr>
        <w:t xml:space="preserve"> (proizvodna vrzel </w:t>
      </w:r>
      <w:r w:rsidR="001C284E" w:rsidRPr="00F10CD6">
        <w:rPr>
          <w:rFonts w:cs="Arial"/>
          <w:color w:val="0D0D0D" w:themeColor="text1" w:themeTint="F2"/>
        </w:rPr>
        <w:t>–</w:t>
      </w:r>
      <w:r w:rsidR="00C26815" w:rsidRPr="00F10CD6">
        <w:rPr>
          <w:rFonts w:cs="Arial"/>
          <w:color w:val="0D0D0D" w:themeColor="text1" w:themeTint="F2"/>
        </w:rPr>
        <w:t xml:space="preserve"> </w:t>
      </w:r>
      <w:r w:rsidR="0096314A" w:rsidRPr="00F10CD6">
        <w:rPr>
          <w:rFonts w:cs="Arial"/>
          <w:color w:val="0D0D0D" w:themeColor="text1" w:themeTint="F2"/>
        </w:rPr>
        <w:t>povpreč</w:t>
      </w:r>
      <w:r w:rsidR="006C1299" w:rsidRPr="00F10CD6">
        <w:rPr>
          <w:rFonts w:cs="Arial"/>
          <w:color w:val="0D0D0D" w:themeColor="text1" w:themeTint="F2"/>
        </w:rPr>
        <w:t>na ocena</w:t>
      </w:r>
      <w:r w:rsidR="0096314A" w:rsidRPr="00F10CD6">
        <w:rPr>
          <w:rFonts w:cs="Arial"/>
          <w:color w:val="0D0D0D" w:themeColor="text1" w:themeTint="F2"/>
        </w:rPr>
        <w:t>)</w:t>
      </w:r>
    </w:p>
    <w:tbl>
      <w:tblPr>
        <w:tblW w:w="5000" w:type="pct"/>
        <w:tblCellMar>
          <w:left w:w="0" w:type="dxa"/>
          <w:right w:w="0" w:type="dxa"/>
        </w:tblCellMar>
        <w:tblLook w:val="04A0" w:firstRow="1" w:lastRow="0" w:firstColumn="1" w:lastColumn="0" w:noHBand="0" w:noVBand="1"/>
      </w:tblPr>
      <w:tblGrid>
        <w:gridCol w:w="621"/>
        <w:gridCol w:w="4025"/>
        <w:gridCol w:w="833"/>
        <w:gridCol w:w="807"/>
        <w:gridCol w:w="807"/>
        <w:gridCol w:w="807"/>
        <w:gridCol w:w="807"/>
        <w:gridCol w:w="807"/>
      </w:tblGrid>
      <w:tr w:rsidR="006C1E6C" w:rsidRPr="00F10CD6" w:rsidTr="006C1E6C">
        <w:trPr>
          <w:trHeight w:val="271"/>
        </w:trPr>
        <w:tc>
          <w:tcPr>
            <w:tcW w:w="326"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 </w:t>
            </w:r>
          </w:p>
        </w:tc>
        <w:tc>
          <w:tcPr>
            <w:tcW w:w="211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v % BDP</w:t>
            </w:r>
          </w:p>
        </w:tc>
        <w:tc>
          <w:tcPr>
            <w:tcW w:w="438"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6C1E6C">
            <w:pPr>
              <w:spacing w:after="0"/>
              <w:jc w:val="center"/>
              <w:rPr>
                <w:rFonts w:cs="Arial"/>
                <w:color w:val="0D0D0D" w:themeColor="text1" w:themeTint="F2"/>
                <w:sz w:val="20"/>
                <w:szCs w:val="20"/>
              </w:rPr>
            </w:pPr>
            <w:r w:rsidRPr="00F10CD6">
              <w:rPr>
                <w:rFonts w:cs="Arial"/>
                <w:color w:val="0D0D0D" w:themeColor="text1" w:themeTint="F2"/>
                <w:sz w:val="20"/>
                <w:szCs w:val="20"/>
              </w:rPr>
              <w:t>ESA koda</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2018</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2019</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2020</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2021</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2022</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w:t>
            </w:r>
          </w:p>
        </w:tc>
        <w:tc>
          <w:tcPr>
            <w:tcW w:w="2114" w:type="pct"/>
            <w:shd w:val="clear" w:color="auto" w:fill="D0DBF0"/>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Realna rast BDP (%)</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4,5</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3,4</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3,1</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2,8</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2,7</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w:t>
            </w:r>
          </w:p>
        </w:tc>
        <w:tc>
          <w:tcPr>
            <w:tcW w:w="2114" w:type="pct"/>
            <w:noWrap/>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Dejanski javnofinančni saldo</w:t>
            </w:r>
          </w:p>
        </w:tc>
        <w:tc>
          <w:tcPr>
            <w:tcW w:w="438" w:type="pct"/>
            <w:noWrap/>
            <w:tcMar>
              <w:top w:w="0" w:type="dxa"/>
              <w:left w:w="108" w:type="dxa"/>
              <w:bottom w:w="0" w:type="dxa"/>
              <w:right w:w="108" w:type="dxa"/>
            </w:tcMar>
            <w:hideMark/>
          </w:tcPr>
          <w:p w:rsidR="006C1E6C" w:rsidRPr="00F10CD6" w:rsidRDefault="006C1E6C" w:rsidP="006C1E6C">
            <w:pPr>
              <w:spacing w:after="0"/>
              <w:jc w:val="center"/>
              <w:rPr>
                <w:rFonts w:cs="Arial"/>
                <w:color w:val="0D0D0D" w:themeColor="text1" w:themeTint="F2"/>
                <w:sz w:val="20"/>
                <w:szCs w:val="20"/>
              </w:rPr>
            </w:pPr>
            <w:r w:rsidRPr="00F10CD6">
              <w:rPr>
                <w:rFonts w:cs="Arial"/>
                <w:color w:val="0D0D0D" w:themeColor="text1" w:themeTint="F2"/>
                <w:sz w:val="20"/>
                <w:szCs w:val="20"/>
              </w:rPr>
              <w:t>B.9</w:t>
            </w:r>
          </w:p>
        </w:tc>
        <w:tc>
          <w:tcPr>
            <w:tcW w:w="424" w:type="pct"/>
            <w:noWrap/>
            <w:tcMar>
              <w:top w:w="0" w:type="dxa"/>
              <w:left w:w="108" w:type="dxa"/>
              <w:bottom w:w="0" w:type="dxa"/>
              <w:right w:w="108" w:type="dxa"/>
            </w:tcMar>
            <w:hideMark/>
          </w:tcPr>
          <w:p w:rsidR="006C1E6C" w:rsidRPr="00F10CD6" w:rsidRDefault="000D486C" w:rsidP="00ED540A">
            <w:pPr>
              <w:spacing w:after="0"/>
              <w:jc w:val="center"/>
              <w:rPr>
                <w:rFonts w:cs="Arial"/>
                <w:color w:val="0D0D0D" w:themeColor="text1" w:themeTint="F2"/>
                <w:sz w:val="20"/>
                <w:szCs w:val="20"/>
              </w:rPr>
            </w:pPr>
            <w:r w:rsidRPr="00F10CD6">
              <w:rPr>
                <w:rFonts w:cs="Arial"/>
                <w:color w:val="0D0D0D" w:themeColor="text1" w:themeTint="F2"/>
                <w:sz w:val="20"/>
                <w:szCs w:val="20"/>
              </w:rPr>
              <w:t>0,</w:t>
            </w:r>
            <w:r w:rsidR="00ED540A" w:rsidRPr="00F10CD6">
              <w:rPr>
                <w:rFonts w:cs="Arial"/>
                <w:color w:val="0D0D0D" w:themeColor="text1" w:themeTint="F2"/>
                <w:sz w:val="20"/>
                <w:szCs w:val="20"/>
              </w:rPr>
              <w:t>7</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w:t>
            </w:r>
            <w:r w:rsidR="002456F6" w:rsidRPr="00F10CD6">
              <w:rPr>
                <w:rFonts w:cs="Arial"/>
                <w:color w:val="0D0D0D" w:themeColor="text1" w:themeTint="F2"/>
                <w:sz w:val="20"/>
                <w:szCs w:val="20"/>
              </w:rPr>
              <w:t>9</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1,0</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1,1</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1,2</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3.</w:t>
            </w:r>
          </w:p>
        </w:tc>
        <w:tc>
          <w:tcPr>
            <w:tcW w:w="2114" w:type="pct"/>
            <w:shd w:val="clear" w:color="auto" w:fill="D0DBF0"/>
            <w:tcMar>
              <w:top w:w="0" w:type="dxa"/>
              <w:left w:w="108" w:type="dxa"/>
              <w:bottom w:w="0" w:type="dxa"/>
              <w:right w:w="108" w:type="dxa"/>
            </w:tcMar>
            <w:hideMark/>
          </w:tcPr>
          <w:p w:rsidR="006C1E6C" w:rsidRPr="00F10CD6" w:rsidRDefault="009A4333" w:rsidP="00710D16">
            <w:pPr>
              <w:spacing w:after="0"/>
              <w:jc w:val="left"/>
              <w:rPr>
                <w:rFonts w:cs="Arial"/>
                <w:color w:val="0D0D0D" w:themeColor="text1" w:themeTint="F2"/>
                <w:sz w:val="20"/>
                <w:szCs w:val="20"/>
              </w:rPr>
            </w:pPr>
            <w:r w:rsidRPr="00F10CD6">
              <w:rPr>
                <w:rFonts w:cs="Arial"/>
                <w:color w:val="0D0D0D" w:themeColor="text1" w:themeTint="F2"/>
                <w:sz w:val="20"/>
                <w:szCs w:val="20"/>
              </w:rPr>
              <w:t xml:space="preserve">Izdatki </w:t>
            </w:r>
            <w:r w:rsidR="006C1E6C" w:rsidRPr="00F10CD6">
              <w:rPr>
                <w:rFonts w:cs="Arial"/>
                <w:color w:val="0D0D0D" w:themeColor="text1" w:themeTint="F2"/>
                <w:sz w:val="20"/>
                <w:szCs w:val="20"/>
              </w:rPr>
              <w:t>za obresti</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color w:val="0D0D0D" w:themeColor="text1" w:themeTint="F2"/>
                <w:sz w:val="20"/>
                <w:szCs w:val="20"/>
              </w:rPr>
            </w:pPr>
            <w:r w:rsidRPr="00F10CD6">
              <w:rPr>
                <w:rFonts w:cs="Arial"/>
                <w:color w:val="0D0D0D" w:themeColor="text1" w:themeTint="F2"/>
                <w:sz w:val="20"/>
                <w:szCs w:val="20"/>
              </w:rPr>
              <w:t>D.41</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1,6</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1,5</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1,3</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1,2</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4.</w:t>
            </w:r>
          </w:p>
        </w:tc>
        <w:tc>
          <w:tcPr>
            <w:tcW w:w="2114" w:type="pct"/>
            <w:noWrap/>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Enkratni in drugi začasni ukrepi</w:t>
            </w:r>
          </w:p>
        </w:tc>
        <w:tc>
          <w:tcPr>
            <w:tcW w:w="438" w:type="pct"/>
            <w:noWrap/>
            <w:tcMar>
              <w:top w:w="0" w:type="dxa"/>
              <w:left w:w="108" w:type="dxa"/>
              <w:bottom w:w="0" w:type="dxa"/>
              <w:right w:w="108" w:type="dxa"/>
            </w:tcMar>
            <w:hideMark/>
          </w:tcPr>
          <w:p w:rsidR="006C1E6C" w:rsidRPr="00F10CD6" w:rsidRDefault="006C1E6C" w:rsidP="00710D16">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noWrap/>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noWrap/>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noWrap/>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0,0</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0,0</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5.</w:t>
            </w:r>
          </w:p>
        </w:tc>
        <w:tc>
          <w:tcPr>
            <w:tcW w:w="2114" w:type="pct"/>
            <w:shd w:val="clear" w:color="auto" w:fill="D0DBF0"/>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Potencialna rast BDP (%)</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2,6</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2,7</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2,9</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2,9</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2,9</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 </w:t>
            </w:r>
          </w:p>
        </w:tc>
        <w:tc>
          <w:tcPr>
            <w:tcW w:w="2114" w:type="pct"/>
            <w:noWrap/>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Prispevki:</w:t>
            </w:r>
          </w:p>
        </w:tc>
        <w:tc>
          <w:tcPr>
            <w:tcW w:w="438" w:type="pct"/>
            <w:noWrap/>
            <w:tcMar>
              <w:top w:w="0" w:type="dxa"/>
              <w:left w:w="108" w:type="dxa"/>
              <w:bottom w:w="0" w:type="dxa"/>
              <w:right w:w="108" w:type="dxa"/>
            </w:tcMar>
            <w:hideMark/>
          </w:tcPr>
          <w:p w:rsidR="006C1E6C" w:rsidRPr="00F10CD6" w:rsidRDefault="006C1E6C" w:rsidP="00710D16">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noWrap/>
            <w:tcMar>
              <w:top w:w="0" w:type="dxa"/>
              <w:left w:w="108" w:type="dxa"/>
              <w:bottom w:w="0" w:type="dxa"/>
              <w:right w:w="108" w:type="dxa"/>
            </w:tcMar>
          </w:tcPr>
          <w:p w:rsidR="006C1E6C" w:rsidRPr="00F10CD6" w:rsidRDefault="006C1E6C" w:rsidP="00710D16">
            <w:pPr>
              <w:spacing w:after="0"/>
              <w:jc w:val="center"/>
              <w:rPr>
                <w:rFonts w:cs="Arial"/>
                <w:color w:val="0D0D0D" w:themeColor="text1" w:themeTint="F2"/>
                <w:sz w:val="20"/>
                <w:szCs w:val="20"/>
              </w:rPr>
            </w:pPr>
          </w:p>
        </w:tc>
        <w:tc>
          <w:tcPr>
            <w:tcW w:w="424" w:type="pct"/>
            <w:noWrap/>
            <w:tcMar>
              <w:top w:w="0" w:type="dxa"/>
              <w:left w:w="108" w:type="dxa"/>
              <w:bottom w:w="0" w:type="dxa"/>
              <w:right w:w="108" w:type="dxa"/>
            </w:tcMar>
          </w:tcPr>
          <w:p w:rsidR="006C1E6C" w:rsidRPr="00F10CD6" w:rsidRDefault="006C1E6C" w:rsidP="00710D16">
            <w:pPr>
              <w:spacing w:after="0"/>
              <w:jc w:val="center"/>
              <w:rPr>
                <w:rFonts w:cs="Arial"/>
                <w:color w:val="0D0D0D" w:themeColor="text1" w:themeTint="F2"/>
                <w:sz w:val="20"/>
                <w:szCs w:val="20"/>
              </w:rPr>
            </w:pPr>
          </w:p>
        </w:tc>
        <w:tc>
          <w:tcPr>
            <w:tcW w:w="424" w:type="pct"/>
            <w:noWrap/>
            <w:tcMar>
              <w:top w:w="0" w:type="dxa"/>
              <w:left w:w="108" w:type="dxa"/>
              <w:bottom w:w="0" w:type="dxa"/>
              <w:right w:w="108" w:type="dxa"/>
            </w:tcMar>
          </w:tcPr>
          <w:p w:rsidR="006C1E6C" w:rsidRPr="00F10CD6" w:rsidRDefault="006C1E6C" w:rsidP="00710D16">
            <w:pPr>
              <w:spacing w:after="0"/>
              <w:jc w:val="center"/>
              <w:rPr>
                <w:rFonts w:cs="Arial"/>
                <w:color w:val="0D0D0D" w:themeColor="text1" w:themeTint="F2"/>
                <w:sz w:val="20"/>
                <w:szCs w:val="20"/>
              </w:rPr>
            </w:pPr>
          </w:p>
        </w:tc>
        <w:tc>
          <w:tcPr>
            <w:tcW w:w="424" w:type="pct"/>
            <w:tcMar>
              <w:top w:w="0" w:type="dxa"/>
              <w:left w:w="108" w:type="dxa"/>
              <w:bottom w:w="0" w:type="dxa"/>
              <w:right w:w="108" w:type="dxa"/>
            </w:tcMar>
          </w:tcPr>
          <w:p w:rsidR="006C1E6C" w:rsidRPr="00F10CD6" w:rsidRDefault="006C1E6C" w:rsidP="00710D16">
            <w:pPr>
              <w:spacing w:after="0"/>
              <w:jc w:val="center"/>
              <w:rPr>
                <w:rFonts w:cs="Arial"/>
                <w:color w:val="0D0D0D" w:themeColor="text1" w:themeTint="F2"/>
                <w:sz w:val="20"/>
                <w:szCs w:val="20"/>
              </w:rPr>
            </w:pPr>
          </w:p>
        </w:tc>
        <w:tc>
          <w:tcPr>
            <w:tcW w:w="424" w:type="pct"/>
            <w:tcMar>
              <w:top w:w="0" w:type="dxa"/>
              <w:left w:w="108" w:type="dxa"/>
              <w:bottom w:w="0" w:type="dxa"/>
              <w:right w:w="108" w:type="dxa"/>
            </w:tcMar>
          </w:tcPr>
          <w:p w:rsidR="006C1E6C" w:rsidRPr="00F10CD6" w:rsidRDefault="006C1E6C" w:rsidP="00710D16">
            <w:pPr>
              <w:spacing w:after="0"/>
              <w:jc w:val="center"/>
              <w:rPr>
                <w:rFonts w:cs="Arial"/>
                <w:color w:val="0D0D0D" w:themeColor="text1" w:themeTint="F2"/>
                <w:sz w:val="20"/>
                <w:szCs w:val="20"/>
              </w:rPr>
            </w:pP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 </w:t>
            </w:r>
          </w:p>
        </w:tc>
        <w:tc>
          <w:tcPr>
            <w:tcW w:w="2114" w:type="pct"/>
            <w:shd w:val="clear" w:color="auto" w:fill="D0DBF0"/>
            <w:tcMar>
              <w:top w:w="0" w:type="dxa"/>
              <w:left w:w="108" w:type="dxa"/>
              <w:bottom w:w="0" w:type="dxa"/>
              <w:right w:w="108" w:type="dxa"/>
            </w:tcMar>
            <w:hideMark/>
          </w:tcPr>
          <w:p w:rsidR="006C1E6C" w:rsidRPr="00F10CD6" w:rsidRDefault="001C284E" w:rsidP="00710D16">
            <w:pPr>
              <w:spacing w:after="0"/>
              <w:jc w:val="left"/>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 xml:space="preserve"> dela</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0,2</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0,3</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0,3</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 </w:t>
            </w:r>
          </w:p>
        </w:tc>
        <w:tc>
          <w:tcPr>
            <w:tcW w:w="2114" w:type="pct"/>
            <w:noWrap/>
            <w:tcMar>
              <w:top w:w="0" w:type="dxa"/>
              <w:left w:w="108" w:type="dxa"/>
              <w:bottom w:w="0" w:type="dxa"/>
              <w:right w:w="108" w:type="dxa"/>
            </w:tcMar>
            <w:hideMark/>
          </w:tcPr>
          <w:p w:rsidR="006C1E6C" w:rsidRPr="00F10CD6" w:rsidRDefault="001C284E" w:rsidP="00710D16">
            <w:pPr>
              <w:spacing w:after="0"/>
              <w:jc w:val="left"/>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 xml:space="preserve"> kapitala</w:t>
            </w:r>
          </w:p>
        </w:tc>
        <w:tc>
          <w:tcPr>
            <w:tcW w:w="438" w:type="pct"/>
            <w:noWrap/>
            <w:tcMar>
              <w:top w:w="0" w:type="dxa"/>
              <w:left w:w="108" w:type="dxa"/>
              <w:bottom w:w="0" w:type="dxa"/>
              <w:right w:w="108" w:type="dxa"/>
            </w:tcMar>
            <w:hideMark/>
          </w:tcPr>
          <w:p w:rsidR="006C1E6C" w:rsidRPr="00F10CD6" w:rsidRDefault="006C1E6C" w:rsidP="00710D16">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0,4</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0,6</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0,7</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0,9</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1,0</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 </w:t>
            </w:r>
          </w:p>
        </w:tc>
        <w:tc>
          <w:tcPr>
            <w:tcW w:w="2114" w:type="pct"/>
            <w:shd w:val="clear" w:color="auto" w:fill="D0DBF0"/>
            <w:tcMar>
              <w:top w:w="0" w:type="dxa"/>
              <w:left w:w="108" w:type="dxa"/>
              <w:bottom w:w="0" w:type="dxa"/>
              <w:right w:w="108" w:type="dxa"/>
            </w:tcMar>
            <w:hideMark/>
          </w:tcPr>
          <w:p w:rsidR="006C1E6C" w:rsidRPr="00F10CD6" w:rsidRDefault="001C284E" w:rsidP="00710D16">
            <w:pPr>
              <w:spacing w:after="0"/>
              <w:jc w:val="left"/>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 xml:space="preserve"> skupne faktorske produktivnosti</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2,0</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1,9</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1,9</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1,8</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1,7</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6.</w:t>
            </w:r>
          </w:p>
        </w:tc>
        <w:tc>
          <w:tcPr>
            <w:tcW w:w="2114" w:type="pct"/>
            <w:noWrap/>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Proizvodna vrzel</w:t>
            </w:r>
          </w:p>
        </w:tc>
        <w:tc>
          <w:tcPr>
            <w:tcW w:w="438" w:type="pct"/>
            <w:noWrap/>
            <w:tcMar>
              <w:top w:w="0" w:type="dxa"/>
              <w:left w:w="108" w:type="dxa"/>
              <w:bottom w:w="0" w:type="dxa"/>
              <w:right w:w="108" w:type="dxa"/>
            </w:tcMar>
            <w:hideMark/>
          </w:tcPr>
          <w:p w:rsidR="006C1E6C" w:rsidRPr="00F10CD6" w:rsidRDefault="006C1E6C" w:rsidP="00710D16">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1,7</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2,4</w:t>
            </w:r>
          </w:p>
        </w:tc>
        <w:tc>
          <w:tcPr>
            <w:tcW w:w="424"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2,6</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2,5</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2,3</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7.</w:t>
            </w:r>
          </w:p>
        </w:tc>
        <w:tc>
          <w:tcPr>
            <w:tcW w:w="2114" w:type="pct"/>
            <w:shd w:val="clear" w:color="auto" w:fill="D0DBF0"/>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Ciklična komponenta</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0,8</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1,2</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1,2</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1,2</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1,1</w:t>
            </w:r>
          </w:p>
        </w:tc>
      </w:tr>
      <w:tr w:rsidR="006C1E6C" w:rsidRPr="00F10CD6" w:rsidTr="006C1E6C">
        <w:trPr>
          <w:trHeight w:val="271"/>
        </w:trPr>
        <w:tc>
          <w:tcPr>
            <w:tcW w:w="326" w:type="pct"/>
            <w:noWrap/>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8.</w:t>
            </w:r>
          </w:p>
        </w:tc>
        <w:tc>
          <w:tcPr>
            <w:tcW w:w="2114" w:type="pct"/>
            <w:noWrap/>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Ciklično prilagojen saldo države (2</w:t>
            </w:r>
            <w:r w:rsidR="001C284E" w:rsidRPr="00F10CD6">
              <w:rPr>
                <w:rFonts w:cs="Arial"/>
                <w:color w:val="0D0D0D" w:themeColor="text1" w:themeTint="F2"/>
                <w:sz w:val="20"/>
                <w:szCs w:val="20"/>
              </w:rPr>
              <w:t>–</w:t>
            </w:r>
            <w:r w:rsidRPr="00F10CD6">
              <w:rPr>
                <w:rFonts w:cs="Arial"/>
                <w:color w:val="0D0D0D" w:themeColor="text1" w:themeTint="F2"/>
                <w:sz w:val="20"/>
                <w:szCs w:val="20"/>
              </w:rPr>
              <w:t>7)</w:t>
            </w:r>
          </w:p>
        </w:tc>
        <w:tc>
          <w:tcPr>
            <w:tcW w:w="438" w:type="pct"/>
            <w:noWrap/>
            <w:tcMar>
              <w:top w:w="0" w:type="dxa"/>
              <w:left w:w="108" w:type="dxa"/>
              <w:bottom w:w="0" w:type="dxa"/>
              <w:right w:w="108" w:type="dxa"/>
            </w:tcMar>
            <w:hideMark/>
          </w:tcPr>
          <w:p w:rsidR="006C1E6C" w:rsidRPr="00F10CD6" w:rsidRDefault="006C1E6C" w:rsidP="00710D16">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noWrap/>
            <w:tcMar>
              <w:top w:w="0" w:type="dxa"/>
              <w:left w:w="108" w:type="dxa"/>
              <w:bottom w:w="0" w:type="dxa"/>
              <w:right w:w="108" w:type="dxa"/>
            </w:tcMar>
            <w:hideMark/>
          </w:tcPr>
          <w:p w:rsidR="006C1E6C" w:rsidRPr="00F10CD6" w:rsidRDefault="001C284E" w:rsidP="00ED540A">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ED540A" w:rsidRPr="00F10CD6">
              <w:rPr>
                <w:rFonts w:cs="Arial"/>
                <w:color w:val="0D0D0D" w:themeColor="text1" w:themeTint="F2"/>
                <w:sz w:val="20"/>
                <w:szCs w:val="20"/>
              </w:rPr>
              <w:t>0,1</w:t>
            </w:r>
          </w:p>
        </w:tc>
        <w:tc>
          <w:tcPr>
            <w:tcW w:w="424" w:type="pct"/>
            <w:noWrap/>
            <w:tcMar>
              <w:top w:w="0" w:type="dxa"/>
              <w:left w:w="108" w:type="dxa"/>
              <w:bottom w:w="0" w:type="dxa"/>
              <w:right w:w="108" w:type="dxa"/>
            </w:tcMar>
            <w:hideMark/>
          </w:tcPr>
          <w:p w:rsidR="006C1E6C" w:rsidRPr="00F10CD6" w:rsidRDefault="001C284E" w:rsidP="002456F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w:t>
            </w:r>
            <w:r w:rsidR="002456F6" w:rsidRPr="00F10CD6">
              <w:rPr>
                <w:rFonts w:cs="Arial"/>
                <w:color w:val="0D0D0D" w:themeColor="text1" w:themeTint="F2"/>
                <w:sz w:val="20"/>
                <w:szCs w:val="20"/>
              </w:rPr>
              <w:t>2</w:t>
            </w:r>
          </w:p>
        </w:tc>
        <w:tc>
          <w:tcPr>
            <w:tcW w:w="424" w:type="pct"/>
            <w:noWrap/>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0,3</w:t>
            </w:r>
          </w:p>
        </w:tc>
        <w:tc>
          <w:tcPr>
            <w:tcW w:w="424" w:type="pct"/>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r>
      <w:tr w:rsidR="006C1E6C" w:rsidRPr="00F10CD6" w:rsidTr="006C1E6C">
        <w:trPr>
          <w:trHeight w:val="271"/>
        </w:trPr>
        <w:tc>
          <w:tcPr>
            <w:tcW w:w="326"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9.</w:t>
            </w:r>
          </w:p>
        </w:tc>
        <w:tc>
          <w:tcPr>
            <w:tcW w:w="2114" w:type="pct"/>
            <w:shd w:val="clear" w:color="auto" w:fill="D0DBF0"/>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 xml:space="preserve">Spremembe ciklično prilagojenega salda države </w:t>
            </w:r>
          </w:p>
        </w:tc>
        <w:tc>
          <w:tcPr>
            <w:tcW w:w="438" w:type="pct"/>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shd w:val="clear" w:color="auto" w:fill="D0DBF0"/>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0D486C" w:rsidRPr="00F10CD6">
              <w:rPr>
                <w:rFonts w:cs="Arial"/>
                <w:color w:val="0D0D0D" w:themeColor="text1" w:themeTint="F2"/>
                <w:sz w:val="20"/>
                <w:szCs w:val="20"/>
              </w:rPr>
              <w:t>0,</w:t>
            </w:r>
            <w:r w:rsidR="00ED540A" w:rsidRPr="00F10CD6">
              <w:rPr>
                <w:rFonts w:cs="Arial"/>
                <w:color w:val="0D0D0D" w:themeColor="text1" w:themeTint="F2"/>
                <w:sz w:val="20"/>
                <w:szCs w:val="20"/>
              </w:rPr>
              <w:t>2</w:t>
            </w:r>
          </w:p>
        </w:tc>
        <w:tc>
          <w:tcPr>
            <w:tcW w:w="424" w:type="pct"/>
            <w:shd w:val="clear" w:color="auto" w:fill="D0DBF0"/>
            <w:tcMar>
              <w:top w:w="0" w:type="dxa"/>
              <w:left w:w="108" w:type="dxa"/>
              <w:bottom w:w="0" w:type="dxa"/>
              <w:right w:w="108" w:type="dxa"/>
            </w:tcMar>
            <w:hideMark/>
          </w:tcPr>
          <w:p w:rsidR="00ED540A" w:rsidRPr="00F10CD6" w:rsidRDefault="001C284E" w:rsidP="00ED540A">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ED540A" w:rsidRPr="00F10CD6">
              <w:rPr>
                <w:rFonts w:cs="Arial"/>
                <w:color w:val="0D0D0D" w:themeColor="text1" w:themeTint="F2"/>
                <w:sz w:val="20"/>
                <w:szCs w:val="20"/>
              </w:rPr>
              <w:t>0,</w:t>
            </w:r>
            <w:r w:rsidR="002456F6" w:rsidRPr="00F10CD6">
              <w:rPr>
                <w:rFonts w:cs="Arial"/>
                <w:color w:val="0D0D0D" w:themeColor="text1" w:themeTint="F2"/>
                <w:sz w:val="20"/>
                <w:szCs w:val="20"/>
              </w:rPr>
              <w:t>1</w:t>
            </w:r>
          </w:p>
        </w:tc>
        <w:tc>
          <w:tcPr>
            <w:tcW w:w="424" w:type="pct"/>
            <w:shd w:val="clear" w:color="auto" w:fill="D0DBF0"/>
            <w:tcMar>
              <w:top w:w="0" w:type="dxa"/>
              <w:left w:w="108" w:type="dxa"/>
              <w:bottom w:w="0" w:type="dxa"/>
              <w:right w:w="108" w:type="dxa"/>
            </w:tcMar>
            <w:hideMark/>
          </w:tcPr>
          <w:p w:rsidR="006C1E6C" w:rsidRPr="00F10CD6" w:rsidRDefault="002456F6"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0,2</w:t>
            </w:r>
          </w:p>
        </w:tc>
        <w:tc>
          <w:tcPr>
            <w:tcW w:w="424" w:type="pct"/>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r>
      <w:tr w:rsidR="006C1E6C" w:rsidRPr="00F10CD6" w:rsidTr="006C1E6C">
        <w:trPr>
          <w:trHeight w:val="271"/>
        </w:trPr>
        <w:tc>
          <w:tcPr>
            <w:tcW w:w="326"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10.</w:t>
            </w:r>
          </w:p>
        </w:tc>
        <w:tc>
          <w:tcPr>
            <w:tcW w:w="2114" w:type="pct"/>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Strukturni saldo (8</w:t>
            </w:r>
            <w:r w:rsidR="001C284E" w:rsidRPr="00F10CD6">
              <w:rPr>
                <w:rFonts w:cs="Arial"/>
                <w:color w:val="0D0D0D" w:themeColor="text1" w:themeTint="F2"/>
                <w:sz w:val="20"/>
                <w:szCs w:val="20"/>
              </w:rPr>
              <w:t>–</w:t>
            </w:r>
            <w:r w:rsidRPr="00F10CD6">
              <w:rPr>
                <w:rFonts w:cs="Arial"/>
                <w:color w:val="0D0D0D" w:themeColor="text1" w:themeTint="F2"/>
                <w:sz w:val="20"/>
                <w:szCs w:val="20"/>
              </w:rPr>
              <w:t>4)</w:t>
            </w:r>
          </w:p>
        </w:tc>
        <w:tc>
          <w:tcPr>
            <w:tcW w:w="438" w:type="pct"/>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tcMar>
              <w:top w:w="0" w:type="dxa"/>
              <w:left w:w="108" w:type="dxa"/>
              <w:bottom w:w="0" w:type="dxa"/>
              <w:right w:w="108" w:type="dxa"/>
            </w:tcMar>
            <w:hideMark/>
          </w:tcPr>
          <w:p w:rsidR="006C1E6C" w:rsidRPr="00F10CD6" w:rsidRDefault="00ED540A" w:rsidP="00710D16">
            <w:pPr>
              <w:spacing w:after="0"/>
              <w:jc w:val="center"/>
              <w:rPr>
                <w:rFonts w:cs="Arial"/>
                <w:color w:val="0D0D0D" w:themeColor="text1" w:themeTint="F2"/>
                <w:sz w:val="20"/>
                <w:szCs w:val="20"/>
              </w:rPr>
            </w:pPr>
            <w:r w:rsidRPr="00F10CD6">
              <w:rPr>
                <w:rFonts w:cs="Arial"/>
                <w:color w:val="0D0D0D" w:themeColor="text1" w:themeTint="F2"/>
                <w:sz w:val="20"/>
                <w:szCs w:val="20"/>
              </w:rPr>
              <w:t>0,0</w:t>
            </w:r>
          </w:p>
        </w:tc>
        <w:tc>
          <w:tcPr>
            <w:tcW w:w="424" w:type="pct"/>
            <w:tcMar>
              <w:top w:w="0" w:type="dxa"/>
              <w:left w:w="108" w:type="dxa"/>
              <w:bottom w:w="0" w:type="dxa"/>
              <w:right w:w="108" w:type="dxa"/>
            </w:tcMar>
            <w:hideMark/>
          </w:tcPr>
          <w:p w:rsidR="006C1E6C" w:rsidRPr="00F10CD6" w:rsidRDefault="001C284E" w:rsidP="002456F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w:t>
            </w:r>
            <w:r w:rsidR="002456F6" w:rsidRPr="00F10CD6">
              <w:rPr>
                <w:rFonts w:cs="Arial"/>
                <w:color w:val="0D0D0D" w:themeColor="text1" w:themeTint="F2"/>
                <w:sz w:val="20"/>
                <w:szCs w:val="20"/>
              </w:rPr>
              <w:t>1</w:t>
            </w:r>
          </w:p>
        </w:tc>
        <w:tc>
          <w:tcPr>
            <w:tcW w:w="424" w:type="pct"/>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0,2</w:t>
            </w:r>
          </w:p>
        </w:tc>
        <w:tc>
          <w:tcPr>
            <w:tcW w:w="424" w:type="pct"/>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r>
      <w:tr w:rsidR="006C1E6C" w:rsidRPr="00F10CD6" w:rsidTr="00300564">
        <w:trPr>
          <w:trHeight w:val="258"/>
        </w:trPr>
        <w:tc>
          <w:tcPr>
            <w:tcW w:w="326"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11.</w:t>
            </w:r>
          </w:p>
        </w:tc>
        <w:tc>
          <w:tcPr>
            <w:tcW w:w="211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6C1E6C" w:rsidP="00710D16">
            <w:pPr>
              <w:spacing w:after="0"/>
              <w:jc w:val="left"/>
              <w:rPr>
                <w:rFonts w:cs="Arial"/>
                <w:color w:val="0D0D0D" w:themeColor="text1" w:themeTint="F2"/>
                <w:sz w:val="20"/>
                <w:szCs w:val="20"/>
              </w:rPr>
            </w:pPr>
            <w:r w:rsidRPr="00F10CD6">
              <w:rPr>
                <w:rFonts w:cs="Arial"/>
                <w:color w:val="0D0D0D" w:themeColor="text1" w:themeTint="F2"/>
                <w:sz w:val="20"/>
                <w:szCs w:val="20"/>
              </w:rPr>
              <w:t>Fiskalni napor v % BDP</w:t>
            </w:r>
          </w:p>
        </w:tc>
        <w:tc>
          <w:tcPr>
            <w:tcW w:w="438"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6C1E6C" w:rsidP="006C1E6C">
            <w:pPr>
              <w:spacing w:after="0"/>
              <w:jc w:val="center"/>
              <w:rPr>
                <w:rFonts w:cs="Arial"/>
                <w:i/>
                <w:color w:val="0D0D0D" w:themeColor="text1" w:themeTint="F2"/>
                <w:sz w:val="20"/>
                <w:szCs w:val="20"/>
              </w:rPr>
            </w:pPr>
            <w:r w:rsidRPr="00F10CD6">
              <w:rPr>
                <w:rFonts w:cs="Arial"/>
                <w:i/>
                <w:color w:val="0D0D0D" w:themeColor="text1" w:themeTint="F2"/>
                <w:sz w:val="20"/>
                <w:szCs w:val="20"/>
              </w:rPr>
              <w:t> </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0,2</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1C284E"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ED540A" w:rsidRPr="00F10CD6">
              <w:rPr>
                <w:rFonts w:cs="Arial"/>
                <w:color w:val="0D0D0D" w:themeColor="text1" w:themeTint="F2"/>
                <w:sz w:val="20"/>
                <w:szCs w:val="20"/>
              </w:rPr>
              <w:t>0,</w:t>
            </w:r>
            <w:r w:rsidR="002456F6" w:rsidRPr="00F10CD6">
              <w:rPr>
                <w:rFonts w:cs="Arial"/>
                <w:color w:val="0D0D0D" w:themeColor="text1" w:themeTint="F2"/>
                <w:sz w:val="20"/>
                <w:szCs w:val="20"/>
              </w:rPr>
              <w:t>1</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2456F6" w:rsidP="00710D16">
            <w:pPr>
              <w:spacing w:after="0"/>
              <w:jc w:val="center"/>
              <w:rPr>
                <w:rFonts w:cs="Arial"/>
                <w:color w:val="0D0D0D" w:themeColor="text1" w:themeTint="F2"/>
                <w:sz w:val="20"/>
                <w:szCs w:val="20"/>
              </w:rPr>
            </w:pPr>
            <w:r w:rsidRPr="00F10CD6">
              <w:rPr>
                <w:rFonts w:cs="Arial"/>
                <w:color w:val="0D0D0D" w:themeColor="text1" w:themeTint="F2"/>
                <w:sz w:val="20"/>
                <w:szCs w:val="20"/>
              </w:rPr>
              <w:t>-</w:t>
            </w:r>
            <w:r w:rsidR="006C1E6C" w:rsidRPr="00F10CD6">
              <w:rPr>
                <w:rFonts w:cs="Arial"/>
                <w:color w:val="0D0D0D" w:themeColor="text1" w:themeTint="F2"/>
                <w:sz w:val="20"/>
                <w:szCs w:val="20"/>
              </w:rPr>
              <w:t>0,1</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10CD6" w:rsidRDefault="006C1E6C" w:rsidP="00710D16">
            <w:pPr>
              <w:spacing w:after="0"/>
              <w:jc w:val="center"/>
              <w:rPr>
                <w:rFonts w:cs="Arial"/>
                <w:color w:val="0D0D0D" w:themeColor="text1" w:themeTint="F2"/>
                <w:sz w:val="20"/>
                <w:szCs w:val="20"/>
              </w:rPr>
            </w:pPr>
            <w:r w:rsidRPr="00F10CD6">
              <w:rPr>
                <w:rFonts w:cs="Arial"/>
                <w:color w:val="0D0D0D" w:themeColor="text1" w:themeTint="F2"/>
                <w:sz w:val="20"/>
                <w:szCs w:val="20"/>
              </w:rPr>
              <w:t>0,1</w:t>
            </w:r>
          </w:p>
        </w:tc>
      </w:tr>
    </w:tbl>
    <w:p w:rsidR="00BF6459" w:rsidRPr="00F10CD6" w:rsidRDefault="00EF2654" w:rsidP="00607AA5">
      <w:pPr>
        <w:spacing w:before="120" w:after="0"/>
        <w:jc w:val="center"/>
        <w:rPr>
          <w:rFonts w:cs="Arial"/>
          <w:color w:val="0D0D0D" w:themeColor="text1" w:themeTint="F2"/>
          <w:sz w:val="20"/>
        </w:rPr>
      </w:pPr>
      <w:r w:rsidRPr="00F10CD6">
        <w:rPr>
          <w:rFonts w:cs="Arial"/>
          <w:color w:val="0D0D0D" w:themeColor="text1" w:themeTint="F2"/>
          <w:sz w:val="20"/>
        </w:rPr>
        <w:t xml:space="preserve">Vir: </w:t>
      </w:r>
      <w:r w:rsidR="009A4333" w:rsidRPr="00F10CD6">
        <w:rPr>
          <w:rFonts w:cs="Arial"/>
          <w:color w:val="0D0D0D" w:themeColor="text1" w:themeTint="F2"/>
          <w:sz w:val="20"/>
        </w:rPr>
        <w:t xml:space="preserve">SURS, </w:t>
      </w:r>
      <w:r w:rsidRPr="00F10CD6">
        <w:rPr>
          <w:rFonts w:cs="Arial"/>
          <w:color w:val="0D0D0D" w:themeColor="text1" w:themeTint="F2"/>
          <w:sz w:val="20"/>
        </w:rPr>
        <w:t xml:space="preserve">Ministrstvo za finance </w:t>
      </w:r>
    </w:p>
    <w:p w:rsidR="00612A8D" w:rsidRPr="00F10CD6" w:rsidRDefault="00612A8D" w:rsidP="004F2C4E">
      <w:pPr>
        <w:pStyle w:val="vstavek"/>
        <w:rPr>
          <w:rFonts w:cs="Arial"/>
          <w:b w:val="0"/>
          <w:i w:val="0"/>
          <w:noProof w:val="0"/>
          <w:color w:val="0D0D0D" w:themeColor="text1" w:themeTint="F2"/>
          <w:sz w:val="22"/>
          <w:highlight w:val="yellow"/>
        </w:rPr>
      </w:pPr>
    </w:p>
    <w:p w:rsidR="00847991" w:rsidRPr="00F10CD6" w:rsidRDefault="006C1299" w:rsidP="00611815">
      <w:pPr>
        <w:shd w:val="clear" w:color="auto" w:fill="FFFFFF" w:themeFill="background1"/>
        <w:spacing w:after="0" w:line="276" w:lineRule="auto"/>
        <w:rPr>
          <w:rFonts w:cs="Arial"/>
          <w:bCs/>
          <w:color w:val="0D0D0D" w:themeColor="text1" w:themeTint="F2"/>
        </w:rPr>
      </w:pPr>
      <w:r w:rsidRPr="00F10CD6">
        <w:rPr>
          <w:rFonts w:cs="Arial"/>
          <w:bCs/>
          <w:color w:val="0D0D0D" w:themeColor="text1" w:themeTint="F2"/>
        </w:rPr>
        <w:t xml:space="preserve">Glede </w:t>
      </w:r>
      <w:r w:rsidR="00EF2654" w:rsidRPr="00F10CD6">
        <w:rPr>
          <w:rFonts w:cs="Arial"/>
          <w:bCs/>
          <w:color w:val="0D0D0D" w:themeColor="text1" w:themeTint="F2"/>
        </w:rPr>
        <w:t>doseganj</w:t>
      </w:r>
      <w:r w:rsidRPr="00F10CD6">
        <w:rPr>
          <w:rFonts w:cs="Arial"/>
          <w:bCs/>
          <w:color w:val="0D0D0D" w:themeColor="text1" w:themeTint="F2"/>
        </w:rPr>
        <w:t>a</w:t>
      </w:r>
      <w:r w:rsidR="00EF2654" w:rsidRPr="00F10CD6">
        <w:rPr>
          <w:rFonts w:cs="Arial"/>
          <w:bCs/>
          <w:color w:val="0D0D0D" w:themeColor="text1" w:themeTint="F2"/>
        </w:rPr>
        <w:t xml:space="preserve"> skladnosti </w:t>
      </w:r>
      <w:r w:rsidR="000F49FC" w:rsidRPr="00F10CD6">
        <w:rPr>
          <w:rFonts w:cs="Arial"/>
          <w:bCs/>
          <w:color w:val="0D0D0D" w:themeColor="text1" w:themeTint="F2"/>
        </w:rPr>
        <w:t xml:space="preserve">v preteklosti (leto 2017, 2018) </w:t>
      </w:r>
      <w:r w:rsidRPr="00F10CD6">
        <w:rPr>
          <w:rFonts w:cs="Arial"/>
          <w:bCs/>
          <w:color w:val="0D0D0D" w:themeColor="text1" w:themeTint="F2"/>
        </w:rPr>
        <w:t xml:space="preserve">ob predpostavki nespremenjenih politik </w:t>
      </w:r>
      <w:r w:rsidR="00EF2654" w:rsidRPr="00F10CD6">
        <w:rPr>
          <w:rFonts w:cs="Arial"/>
          <w:bCs/>
          <w:color w:val="0D0D0D" w:themeColor="text1" w:themeTint="F2"/>
        </w:rPr>
        <w:t xml:space="preserve">s sliko </w:t>
      </w:r>
      <w:r w:rsidR="00710D16" w:rsidRPr="00F10CD6">
        <w:rPr>
          <w:rFonts w:cs="Arial"/>
          <w:bCs/>
          <w:color w:val="0D0D0D" w:themeColor="text1" w:themeTint="F2"/>
        </w:rPr>
        <w:t>spodaj</w:t>
      </w:r>
      <w:r w:rsidR="00EA6D19" w:rsidRPr="00F10CD6">
        <w:rPr>
          <w:rFonts w:cs="Arial"/>
          <w:bCs/>
          <w:color w:val="0D0D0D" w:themeColor="text1" w:themeTint="F2"/>
        </w:rPr>
        <w:t xml:space="preserve"> </w:t>
      </w:r>
      <w:r w:rsidR="00EF2654" w:rsidRPr="00F10CD6">
        <w:rPr>
          <w:rFonts w:cs="Arial"/>
          <w:bCs/>
          <w:color w:val="0D0D0D" w:themeColor="text1" w:themeTint="F2"/>
        </w:rPr>
        <w:t xml:space="preserve">ponazorimo gibanje salda sektorja država, strukturnega salda, višine fiskalnega napora ter </w:t>
      </w:r>
      <w:r w:rsidR="001C284E" w:rsidRPr="00F10CD6">
        <w:rPr>
          <w:rFonts w:cs="Arial"/>
          <w:bCs/>
          <w:color w:val="0D0D0D" w:themeColor="text1" w:themeTint="F2"/>
        </w:rPr>
        <w:t>dve</w:t>
      </w:r>
      <w:r w:rsidR="00EF2654" w:rsidRPr="00F10CD6">
        <w:rPr>
          <w:rFonts w:cs="Arial"/>
          <w:bCs/>
          <w:color w:val="0D0D0D" w:themeColor="text1" w:themeTint="F2"/>
        </w:rPr>
        <w:t>letnega povprečja doseženega in načrtova</w:t>
      </w:r>
      <w:r w:rsidR="00710D16" w:rsidRPr="00F10CD6">
        <w:rPr>
          <w:rFonts w:cs="Arial"/>
          <w:bCs/>
          <w:color w:val="0D0D0D" w:themeColor="text1" w:themeTint="F2"/>
        </w:rPr>
        <w:t xml:space="preserve">nega fiskalnega napora. </w:t>
      </w:r>
      <w:r w:rsidRPr="00F10CD6">
        <w:rPr>
          <w:rFonts w:cs="Arial"/>
          <w:bCs/>
          <w:color w:val="0D0D0D" w:themeColor="text1" w:themeTint="F2"/>
        </w:rPr>
        <w:t xml:space="preserve">Vlada RS je bila </w:t>
      </w:r>
      <w:r w:rsidR="00710D16" w:rsidRPr="00F10CD6">
        <w:rPr>
          <w:rFonts w:cs="Arial"/>
          <w:bCs/>
          <w:color w:val="0D0D0D" w:themeColor="text1" w:themeTint="F2"/>
        </w:rPr>
        <w:t>ex</w:t>
      </w:r>
      <w:r w:rsidR="00A75470" w:rsidRPr="00F10CD6">
        <w:rPr>
          <w:rFonts w:cs="Arial"/>
          <w:bCs/>
          <w:color w:val="0D0D0D" w:themeColor="text1" w:themeTint="F2"/>
        </w:rPr>
        <w:t>-</w:t>
      </w:r>
      <w:r w:rsidR="00710D16" w:rsidRPr="00F10CD6">
        <w:rPr>
          <w:rFonts w:cs="Arial"/>
          <w:bCs/>
          <w:color w:val="0D0D0D" w:themeColor="text1" w:themeTint="F2"/>
        </w:rPr>
        <w:t xml:space="preserve">post </w:t>
      </w:r>
      <w:r w:rsidRPr="00F10CD6">
        <w:rPr>
          <w:rFonts w:cs="Arial"/>
          <w:bCs/>
          <w:color w:val="0D0D0D" w:themeColor="text1" w:themeTint="F2"/>
        </w:rPr>
        <w:t xml:space="preserve">skladna z </w:t>
      </w:r>
      <w:r w:rsidR="00A75470" w:rsidRPr="00F10CD6">
        <w:rPr>
          <w:rFonts w:cs="Arial"/>
          <w:bCs/>
          <w:color w:val="0D0D0D" w:themeColor="text1" w:themeTint="F2"/>
        </w:rPr>
        <w:t xml:space="preserve">domačim </w:t>
      </w:r>
      <w:r w:rsidR="009E7A2E" w:rsidRPr="00F10CD6">
        <w:rPr>
          <w:rFonts w:cs="Arial"/>
          <w:bCs/>
          <w:color w:val="0D0D0D" w:themeColor="text1" w:themeTint="F2"/>
        </w:rPr>
        <w:t>fiskalnim</w:t>
      </w:r>
      <w:r w:rsidR="00A75470" w:rsidRPr="00F10CD6">
        <w:rPr>
          <w:rFonts w:cs="Arial"/>
          <w:bCs/>
          <w:color w:val="0D0D0D" w:themeColor="text1" w:themeTint="F2"/>
        </w:rPr>
        <w:t xml:space="preserve"> pravilom (</w:t>
      </w:r>
      <w:r w:rsidRPr="00F10CD6">
        <w:rPr>
          <w:rFonts w:cs="Arial"/>
          <w:bCs/>
          <w:color w:val="0D0D0D" w:themeColor="text1" w:themeTint="F2"/>
        </w:rPr>
        <w:t>ZFiSP</w:t>
      </w:r>
      <w:r w:rsidR="00A75470" w:rsidRPr="00F10CD6">
        <w:rPr>
          <w:rFonts w:cs="Arial"/>
          <w:bCs/>
          <w:color w:val="0D0D0D" w:themeColor="text1" w:themeTint="F2"/>
        </w:rPr>
        <w:t>)</w:t>
      </w:r>
      <w:r w:rsidRPr="00F10CD6">
        <w:rPr>
          <w:rFonts w:cs="Arial"/>
          <w:bCs/>
          <w:color w:val="0D0D0D" w:themeColor="text1" w:themeTint="F2"/>
        </w:rPr>
        <w:t xml:space="preserve"> in delno</w:t>
      </w:r>
      <w:r w:rsidR="00EF2654" w:rsidRPr="00F10CD6">
        <w:rPr>
          <w:rFonts w:cs="Arial"/>
          <w:bCs/>
          <w:color w:val="0D0D0D" w:themeColor="text1" w:themeTint="F2"/>
        </w:rPr>
        <w:t xml:space="preserve"> </w:t>
      </w:r>
      <w:r w:rsidRPr="00F10CD6">
        <w:rPr>
          <w:rFonts w:cs="Arial"/>
          <w:bCs/>
          <w:color w:val="0D0D0D" w:themeColor="text1" w:themeTint="F2"/>
        </w:rPr>
        <w:t>skladna</w:t>
      </w:r>
      <w:r w:rsidR="00EF2654" w:rsidRPr="00F10CD6">
        <w:rPr>
          <w:rFonts w:cs="Arial"/>
          <w:bCs/>
          <w:color w:val="0D0D0D" w:themeColor="text1" w:themeTint="F2"/>
        </w:rPr>
        <w:t xml:space="preserve"> </w:t>
      </w:r>
      <w:r w:rsidR="003902A3" w:rsidRPr="00F10CD6">
        <w:rPr>
          <w:rFonts w:cs="Arial"/>
          <w:bCs/>
          <w:color w:val="0D0D0D" w:themeColor="text1" w:themeTint="F2"/>
        </w:rPr>
        <w:t>glede na pravila Pakta rasti in stabilnosti</w:t>
      </w:r>
      <w:r w:rsidR="00710D16" w:rsidRPr="00F10CD6">
        <w:rPr>
          <w:rFonts w:cs="Arial"/>
          <w:bCs/>
          <w:color w:val="0D0D0D" w:themeColor="text1" w:themeTint="F2"/>
        </w:rPr>
        <w:t xml:space="preserve"> (2017, 2018)</w:t>
      </w:r>
      <w:r w:rsidR="003902A3" w:rsidRPr="00F10CD6">
        <w:rPr>
          <w:rFonts w:cs="Arial"/>
          <w:bCs/>
          <w:color w:val="0D0D0D" w:themeColor="text1" w:themeTint="F2"/>
        </w:rPr>
        <w:t>.</w:t>
      </w:r>
      <w:r w:rsidR="002F6BDD" w:rsidRPr="00F10CD6">
        <w:rPr>
          <w:rFonts w:cs="Arial"/>
          <w:bCs/>
          <w:color w:val="0D0D0D" w:themeColor="text1" w:themeTint="F2"/>
        </w:rPr>
        <w:t xml:space="preserve"> </w:t>
      </w:r>
      <w:r w:rsidRPr="00F10CD6">
        <w:rPr>
          <w:rFonts w:cs="Arial"/>
          <w:bCs/>
          <w:color w:val="0D0D0D" w:themeColor="text1" w:themeTint="F2"/>
        </w:rPr>
        <w:t xml:space="preserve">Za polno skladnost z ZFiSP in doseganje </w:t>
      </w:r>
      <w:r w:rsidRPr="00F10CD6">
        <w:rPr>
          <w:rFonts w:cs="Arial"/>
          <w:bCs/>
          <w:color w:val="0D0D0D" w:themeColor="text1" w:themeTint="F2"/>
        </w:rPr>
        <w:lastRenderedPageBreak/>
        <w:t xml:space="preserve">srednjeročnega cilja </w:t>
      </w:r>
      <w:r w:rsidR="00710D16" w:rsidRPr="00F10CD6">
        <w:rPr>
          <w:rFonts w:cs="Arial"/>
          <w:bCs/>
          <w:color w:val="0D0D0D" w:themeColor="text1" w:themeTint="F2"/>
        </w:rPr>
        <w:t xml:space="preserve">je </w:t>
      </w:r>
      <w:r w:rsidRPr="00F10CD6">
        <w:rPr>
          <w:rFonts w:cs="Arial"/>
          <w:bCs/>
          <w:color w:val="0D0D0D" w:themeColor="text1" w:themeTint="F2"/>
        </w:rPr>
        <w:t>Vlada RS pripravi</w:t>
      </w:r>
      <w:r w:rsidR="00710D16" w:rsidRPr="00F10CD6">
        <w:rPr>
          <w:rFonts w:cs="Arial"/>
          <w:bCs/>
          <w:color w:val="0D0D0D" w:themeColor="text1" w:themeTint="F2"/>
        </w:rPr>
        <w:t>la</w:t>
      </w:r>
      <w:r w:rsidRPr="00F10CD6">
        <w:rPr>
          <w:rFonts w:cs="Arial"/>
          <w:bCs/>
          <w:color w:val="0D0D0D" w:themeColor="text1" w:themeTint="F2"/>
        </w:rPr>
        <w:t xml:space="preserve"> Odlok o pripravi proračunov 20</w:t>
      </w:r>
      <w:r w:rsidR="00710D16" w:rsidRPr="00F10CD6">
        <w:rPr>
          <w:rFonts w:cs="Arial"/>
          <w:bCs/>
          <w:color w:val="0D0D0D" w:themeColor="text1" w:themeTint="F2"/>
        </w:rPr>
        <w:t>20</w:t>
      </w:r>
      <w:r w:rsidR="001C284E" w:rsidRPr="00F10CD6">
        <w:rPr>
          <w:rFonts w:cs="Arial"/>
          <w:bCs/>
          <w:color w:val="0D0D0D" w:themeColor="text1" w:themeTint="F2"/>
        </w:rPr>
        <w:t>–</w:t>
      </w:r>
      <w:r w:rsidR="00710D16" w:rsidRPr="00F10CD6">
        <w:rPr>
          <w:rFonts w:cs="Arial"/>
          <w:bCs/>
          <w:color w:val="0D0D0D" w:themeColor="text1" w:themeTint="F2"/>
        </w:rPr>
        <w:t>2022</w:t>
      </w:r>
      <w:r w:rsidRPr="00F10CD6">
        <w:rPr>
          <w:rFonts w:cs="Arial"/>
          <w:bCs/>
          <w:color w:val="0D0D0D" w:themeColor="text1" w:themeTint="F2"/>
        </w:rPr>
        <w:t xml:space="preserve">, </w:t>
      </w:r>
      <w:r w:rsidR="00C475DB" w:rsidRPr="00F10CD6">
        <w:rPr>
          <w:rFonts w:cs="Arial"/>
          <w:bCs/>
          <w:color w:val="0D0D0D" w:themeColor="text1" w:themeTint="F2"/>
        </w:rPr>
        <w:t>določila</w:t>
      </w:r>
      <w:r w:rsidRPr="00F10CD6">
        <w:rPr>
          <w:rFonts w:cs="Arial"/>
          <w:bCs/>
          <w:color w:val="0D0D0D" w:themeColor="text1" w:themeTint="F2"/>
        </w:rPr>
        <w:t xml:space="preserve"> </w:t>
      </w:r>
      <w:r w:rsidR="00713C0A" w:rsidRPr="00F10CD6">
        <w:rPr>
          <w:rFonts w:cs="Arial"/>
          <w:bCs/>
          <w:color w:val="0D0D0D" w:themeColor="text1" w:themeTint="F2"/>
        </w:rPr>
        <w:t>ciljne</w:t>
      </w:r>
      <w:r w:rsidRPr="00F10CD6">
        <w:rPr>
          <w:rFonts w:cs="Arial"/>
          <w:bCs/>
          <w:color w:val="0D0D0D" w:themeColor="text1" w:themeTint="F2"/>
        </w:rPr>
        <w:t xml:space="preserve"> salde sektorja država in </w:t>
      </w:r>
      <w:r w:rsidR="008A72A7" w:rsidRPr="00F10CD6">
        <w:rPr>
          <w:rFonts w:cs="Arial"/>
          <w:bCs/>
          <w:color w:val="0D0D0D" w:themeColor="text1" w:themeTint="F2"/>
        </w:rPr>
        <w:t>štirih</w:t>
      </w:r>
      <w:r w:rsidRPr="00F10CD6">
        <w:rPr>
          <w:rFonts w:cs="Arial"/>
          <w:bCs/>
          <w:color w:val="0D0D0D" w:themeColor="text1" w:themeTint="F2"/>
        </w:rPr>
        <w:t xml:space="preserve"> blagajn javnega financir</w:t>
      </w:r>
      <w:r w:rsidR="00594A2E" w:rsidRPr="00F10CD6">
        <w:rPr>
          <w:rFonts w:cs="Arial"/>
          <w:bCs/>
          <w:color w:val="0D0D0D" w:themeColor="text1" w:themeTint="F2"/>
        </w:rPr>
        <w:t>a</w:t>
      </w:r>
      <w:r w:rsidRPr="00F10CD6">
        <w:rPr>
          <w:rFonts w:cs="Arial"/>
          <w:bCs/>
          <w:color w:val="0D0D0D" w:themeColor="text1" w:themeTint="F2"/>
        </w:rPr>
        <w:t>nja</w:t>
      </w:r>
      <w:r w:rsidR="001760D3" w:rsidRPr="00F10CD6">
        <w:rPr>
          <w:rFonts w:cs="Arial"/>
          <w:bCs/>
          <w:color w:val="0D0D0D" w:themeColor="text1" w:themeTint="F2"/>
        </w:rPr>
        <w:t xml:space="preserve"> </w:t>
      </w:r>
      <w:r w:rsidR="00C475DB" w:rsidRPr="00F10CD6">
        <w:rPr>
          <w:rFonts w:cs="Arial"/>
          <w:bCs/>
          <w:color w:val="0D0D0D" w:themeColor="text1" w:themeTint="F2"/>
        </w:rPr>
        <w:t>ter</w:t>
      </w:r>
      <w:r w:rsidR="001760D3" w:rsidRPr="00F10CD6">
        <w:rPr>
          <w:rFonts w:cs="Arial"/>
          <w:bCs/>
          <w:color w:val="0D0D0D" w:themeColor="text1" w:themeTint="F2"/>
        </w:rPr>
        <w:t xml:space="preserve"> </w:t>
      </w:r>
      <w:r w:rsidRPr="00F10CD6">
        <w:rPr>
          <w:rFonts w:cs="Arial"/>
          <w:bCs/>
          <w:color w:val="0D0D0D" w:themeColor="text1" w:themeTint="F2"/>
        </w:rPr>
        <w:t>določi</w:t>
      </w:r>
      <w:r w:rsidR="00710D16" w:rsidRPr="00F10CD6">
        <w:rPr>
          <w:rFonts w:cs="Arial"/>
          <w:bCs/>
          <w:color w:val="0D0D0D" w:themeColor="text1" w:themeTint="F2"/>
        </w:rPr>
        <w:t>la</w:t>
      </w:r>
      <w:r w:rsidRPr="00F10CD6">
        <w:rPr>
          <w:rFonts w:cs="Arial"/>
          <w:bCs/>
          <w:color w:val="0D0D0D" w:themeColor="text1" w:themeTint="F2"/>
        </w:rPr>
        <w:t xml:space="preserve"> zgornje meje izdatkov</w:t>
      </w:r>
      <w:r w:rsidR="00710D16" w:rsidRPr="00F10CD6">
        <w:rPr>
          <w:rFonts w:cs="Arial"/>
          <w:bCs/>
          <w:color w:val="0D0D0D" w:themeColor="text1" w:themeTint="F2"/>
        </w:rPr>
        <w:t>.</w:t>
      </w:r>
      <w:r w:rsidR="00594A2E" w:rsidRPr="00F10CD6">
        <w:rPr>
          <w:rFonts w:cs="Arial"/>
          <w:bCs/>
          <w:color w:val="0D0D0D" w:themeColor="text1" w:themeTint="F2"/>
        </w:rPr>
        <w:t xml:space="preserve"> </w:t>
      </w:r>
    </w:p>
    <w:p w:rsidR="009516B1" w:rsidRDefault="009516B1" w:rsidP="009516B1">
      <w:pPr>
        <w:pStyle w:val="Caption"/>
        <w:keepNext/>
        <w:spacing w:before="0" w:after="0" w:line="276" w:lineRule="auto"/>
        <w:rPr>
          <w:rFonts w:ascii="Arial" w:hAnsi="Arial" w:cs="Arial"/>
          <w:bCs/>
          <w:color w:val="0D0D0D" w:themeColor="text1" w:themeTint="F2"/>
          <w:lang w:val="sl-SI"/>
        </w:rPr>
      </w:pPr>
    </w:p>
    <w:p w:rsidR="009516B1" w:rsidRPr="009516B1" w:rsidRDefault="009516B1" w:rsidP="009516B1">
      <w:pPr>
        <w:shd w:val="clear" w:color="auto" w:fill="FFFFFF" w:themeFill="background1"/>
        <w:spacing w:after="0" w:line="276" w:lineRule="auto"/>
        <w:rPr>
          <w:rFonts w:cs="Arial"/>
          <w:bCs/>
          <w:color w:val="0D0D0D" w:themeColor="text1" w:themeTint="F2"/>
        </w:rPr>
      </w:pPr>
      <w:r w:rsidRPr="00BB6E3B">
        <w:rPr>
          <w:rFonts w:cs="Arial"/>
          <w:bCs/>
          <w:color w:val="0D0D0D" w:themeColor="text1" w:themeTint="F2"/>
        </w:rPr>
        <w:t>Glede na novo pomladansko napoved UMAR, sprejet Okvir za pripravo proračunov sektorja država</w:t>
      </w:r>
      <w:r w:rsidR="00E868BE" w:rsidRPr="00C3436D">
        <w:rPr>
          <w:rFonts w:cs="Arial"/>
          <w:bCs/>
          <w:color w:val="0D0D0D" w:themeColor="text1" w:themeTint="F2"/>
        </w:rPr>
        <w:t xml:space="preserve"> 2018 - 2020</w:t>
      </w:r>
      <w:r w:rsidRPr="00BB6E3B">
        <w:rPr>
          <w:rFonts w:cs="Arial"/>
          <w:bCs/>
          <w:color w:val="0D0D0D" w:themeColor="text1" w:themeTint="F2"/>
        </w:rPr>
        <w:t>, spremembe za leto 2019 (21. december 2018, UL 82/2018) in ugotovljeno v  mnenju Fiskalnega sveta</w:t>
      </w:r>
      <w:r w:rsidRPr="00BB6E3B">
        <w:rPr>
          <w:rFonts w:cs="Arial"/>
          <w:bCs/>
          <w:color w:val="0D0D0D" w:themeColor="text1" w:themeTint="F2"/>
          <w:vertAlign w:val="superscript"/>
        </w:rPr>
        <w:footnoteReference w:id="12"/>
      </w:r>
      <w:r w:rsidRPr="00BB6E3B">
        <w:rPr>
          <w:rFonts w:cs="Arial"/>
          <w:bCs/>
          <w:color w:val="0D0D0D" w:themeColor="text1" w:themeTint="F2"/>
        </w:rPr>
        <w:t>, se ob skoraj identičnih ocenah pozitivne proizvodne vrzeli posledično spremeni ocena strukturnega salda. Ta se na osnovi projekcij PS 2019 letos poslabša manj kot ob oceni, narejeni na osnovi decembra 2018 sprejetega Okvira. Fiskalni svet predstavi devet izračunov, pri tem pa tudi pojasni, da je v tabeli 4.8 (str. 37) s povprečji izračunano in pokazano, da je vlada ob spoštovanju meje izdatkov za leto 2019 (v višini 20.610) skladna s fiskalnim pravilom.</w:t>
      </w:r>
    </w:p>
    <w:p w:rsidR="009516B1" w:rsidRDefault="009516B1" w:rsidP="00607AA5">
      <w:pPr>
        <w:pStyle w:val="Caption"/>
        <w:keepNext/>
        <w:spacing w:before="0" w:after="0" w:line="276" w:lineRule="auto"/>
        <w:rPr>
          <w:rFonts w:ascii="Arial" w:hAnsi="Arial" w:cs="Arial"/>
          <w:bCs/>
          <w:color w:val="0D0D0D" w:themeColor="text1" w:themeTint="F2"/>
          <w:lang w:val="sl-SI"/>
        </w:rPr>
      </w:pPr>
    </w:p>
    <w:p w:rsidR="004065F2" w:rsidRPr="00F10CD6" w:rsidRDefault="00EF2654" w:rsidP="00607AA5">
      <w:pPr>
        <w:pStyle w:val="Caption"/>
        <w:keepNext/>
        <w:spacing w:before="0" w:after="0" w:line="276" w:lineRule="auto"/>
        <w:rPr>
          <w:rFonts w:ascii="Arial" w:hAnsi="Arial" w:cs="Arial"/>
          <w:bCs/>
          <w:color w:val="0D0D0D" w:themeColor="text1" w:themeTint="F2"/>
          <w:lang w:val="sl-SI"/>
        </w:rPr>
      </w:pPr>
      <w:r w:rsidRPr="00F10CD6">
        <w:rPr>
          <w:rFonts w:ascii="Arial" w:hAnsi="Arial" w:cs="Arial"/>
          <w:bCs/>
          <w:color w:val="0D0D0D" w:themeColor="text1" w:themeTint="F2"/>
          <w:lang w:val="sl-SI"/>
        </w:rPr>
        <w:t>Da Slovenija dose</w:t>
      </w:r>
      <w:r w:rsidR="00710D16" w:rsidRPr="00F10CD6">
        <w:rPr>
          <w:rFonts w:ascii="Arial" w:hAnsi="Arial" w:cs="Arial"/>
          <w:bCs/>
          <w:color w:val="0D0D0D" w:themeColor="text1" w:themeTint="F2"/>
          <w:lang w:val="sl-SI"/>
        </w:rPr>
        <w:t>že</w:t>
      </w:r>
      <w:r w:rsidRPr="00F10CD6">
        <w:rPr>
          <w:rFonts w:ascii="Arial" w:hAnsi="Arial" w:cs="Arial"/>
          <w:bCs/>
          <w:color w:val="0D0D0D" w:themeColor="text1" w:themeTint="F2"/>
          <w:lang w:val="sl-SI"/>
        </w:rPr>
        <w:t xml:space="preserve"> srednjeročn</w:t>
      </w:r>
      <w:r w:rsidR="00710D16" w:rsidRPr="00F10CD6">
        <w:rPr>
          <w:rFonts w:ascii="Arial" w:hAnsi="Arial" w:cs="Arial"/>
          <w:bCs/>
          <w:color w:val="0D0D0D" w:themeColor="text1" w:themeTint="F2"/>
          <w:lang w:val="sl-SI"/>
        </w:rPr>
        <w:t>i cilj (MTO)</w:t>
      </w:r>
      <w:r w:rsidR="003942AA" w:rsidRPr="00F10CD6">
        <w:rPr>
          <w:rFonts w:ascii="Arial" w:hAnsi="Arial" w:cs="Arial"/>
          <w:bCs/>
          <w:color w:val="0D0D0D" w:themeColor="text1" w:themeTint="F2"/>
          <w:lang w:val="sl-SI"/>
        </w:rPr>
        <w:t>,</w:t>
      </w:r>
      <w:r w:rsidRPr="00F10CD6">
        <w:rPr>
          <w:rFonts w:ascii="Arial" w:hAnsi="Arial" w:cs="Arial"/>
          <w:bCs/>
          <w:color w:val="0D0D0D" w:themeColor="text1" w:themeTint="F2"/>
          <w:lang w:val="sl-SI"/>
        </w:rPr>
        <w:t xml:space="preserve"> mora doseči mini</w:t>
      </w:r>
      <w:r w:rsidR="00A86232" w:rsidRPr="00F10CD6">
        <w:rPr>
          <w:rFonts w:ascii="Arial" w:hAnsi="Arial" w:cs="Arial"/>
          <w:bCs/>
          <w:color w:val="0D0D0D" w:themeColor="text1" w:themeTint="F2"/>
          <w:lang w:val="sl-SI"/>
        </w:rPr>
        <w:t xml:space="preserve">malno fiskalno konsolidacijo </w:t>
      </w:r>
      <w:r w:rsidR="001760D3" w:rsidRPr="00F10CD6">
        <w:rPr>
          <w:rFonts w:ascii="Arial" w:hAnsi="Arial" w:cs="Arial"/>
          <w:bCs/>
          <w:color w:val="0D0D0D" w:themeColor="text1" w:themeTint="F2"/>
          <w:lang w:val="sl-SI"/>
        </w:rPr>
        <w:t xml:space="preserve">do </w:t>
      </w:r>
      <w:r w:rsidRPr="00F10CD6">
        <w:rPr>
          <w:rFonts w:ascii="Arial" w:hAnsi="Arial" w:cs="Arial"/>
          <w:bCs/>
          <w:color w:val="0D0D0D" w:themeColor="text1" w:themeTint="F2"/>
          <w:lang w:val="sl-SI"/>
        </w:rPr>
        <w:t>leta 20</w:t>
      </w:r>
      <w:r w:rsidR="00710D16" w:rsidRPr="00F10CD6">
        <w:rPr>
          <w:rFonts w:ascii="Arial" w:hAnsi="Arial" w:cs="Arial"/>
          <w:bCs/>
          <w:color w:val="0D0D0D" w:themeColor="text1" w:themeTint="F2"/>
          <w:lang w:val="sl-SI"/>
        </w:rPr>
        <w:t xml:space="preserve">20, tako da </w:t>
      </w:r>
      <w:r w:rsidR="001760D3" w:rsidRPr="00F10CD6">
        <w:rPr>
          <w:rFonts w:ascii="Arial" w:hAnsi="Arial" w:cs="Arial"/>
          <w:bCs/>
          <w:color w:val="0D0D0D" w:themeColor="text1" w:themeTint="F2"/>
          <w:lang w:val="sl-SI"/>
        </w:rPr>
        <w:t xml:space="preserve">doseže </w:t>
      </w:r>
      <w:r w:rsidR="00710D16" w:rsidRPr="00F10CD6">
        <w:rPr>
          <w:rFonts w:ascii="Arial" w:hAnsi="Arial" w:cs="Arial"/>
          <w:bCs/>
          <w:color w:val="0D0D0D" w:themeColor="text1" w:themeTint="F2"/>
          <w:lang w:val="sl-SI"/>
        </w:rPr>
        <w:t xml:space="preserve">strukturni saldo v višini strukturnega primanjkljaja </w:t>
      </w:r>
      <w:r w:rsidR="001C284E" w:rsidRPr="00F10CD6">
        <w:rPr>
          <w:rFonts w:ascii="Arial" w:hAnsi="Arial" w:cs="Arial"/>
          <w:bCs/>
          <w:color w:val="0D0D0D" w:themeColor="text1" w:themeTint="F2"/>
          <w:lang w:val="sl-SI"/>
        </w:rPr>
        <w:t>–</w:t>
      </w:r>
      <w:r w:rsidR="003942AA" w:rsidRPr="00F10CD6">
        <w:rPr>
          <w:rFonts w:ascii="Arial" w:hAnsi="Arial" w:cs="Arial"/>
          <w:bCs/>
          <w:color w:val="0D0D0D" w:themeColor="text1" w:themeTint="F2"/>
          <w:lang w:val="sl-SI"/>
        </w:rPr>
        <w:t>0,</w:t>
      </w:r>
      <w:r w:rsidR="00710D16" w:rsidRPr="00F10CD6">
        <w:rPr>
          <w:rFonts w:ascii="Arial" w:hAnsi="Arial" w:cs="Arial"/>
          <w:bCs/>
          <w:color w:val="0D0D0D" w:themeColor="text1" w:themeTint="F2"/>
          <w:lang w:val="sl-SI"/>
        </w:rPr>
        <w:t>25</w:t>
      </w:r>
      <w:r w:rsidR="0082742F" w:rsidRPr="00F10CD6">
        <w:rPr>
          <w:rFonts w:ascii="Arial" w:hAnsi="Arial" w:cs="Arial"/>
          <w:bCs/>
          <w:color w:val="0D0D0D" w:themeColor="text1" w:themeTint="F2"/>
          <w:lang w:val="sl-SI"/>
        </w:rPr>
        <w:t xml:space="preserve"> </w:t>
      </w:r>
      <w:r w:rsidRPr="00F10CD6">
        <w:rPr>
          <w:rFonts w:ascii="Arial" w:hAnsi="Arial" w:cs="Arial"/>
          <w:bCs/>
          <w:color w:val="0D0D0D" w:themeColor="text1" w:themeTint="F2"/>
          <w:lang w:val="sl-SI"/>
        </w:rPr>
        <w:t>% BD</w:t>
      </w:r>
      <w:r w:rsidR="00430F5A" w:rsidRPr="00F10CD6">
        <w:rPr>
          <w:rFonts w:ascii="Arial" w:hAnsi="Arial" w:cs="Arial"/>
          <w:bCs/>
          <w:color w:val="0D0D0D" w:themeColor="text1" w:themeTint="F2"/>
          <w:lang w:val="sl-SI"/>
        </w:rPr>
        <w:t xml:space="preserve">P (slika </w:t>
      </w:r>
      <w:r w:rsidR="00710D16" w:rsidRPr="00F10CD6">
        <w:rPr>
          <w:rFonts w:ascii="Arial" w:hAnsi="Arial" w:cs="Arial"/>
          <w:bCs/>
          <w:color w:val="0D0D0D" w:themeColor="text1" w:themeTint="F2"/>
          <w:lang w:val="sl-SI"/>
        </w:rPr>
        <w:t>spodaj</w:t>
      </w:r>
      <w:r w:rsidR="00430F5A" w:rsidRPr="00F10CD6">
        <w:rPr>
          <w:rFonts w:ascii="Arial" w:hAnsi="Arial" w:cs="Arial"/>
          <w:bCs/>
          <w:color w:val="0D0D0D" w:themeColor="text1" w:themeTint="F2"/>
          <w:lang w:val="sl-SI"/>
        </w:rPr>
        <w:t>)</w:t>
      </w:r>
      <w:r w:rsidR="00710D16" w:rsidRPr="00F10CD6">
        <w:rPr>
          <w:rFonts w:ascii="Arial" w:hAnsi="Arial" w:cs="Arial"/>
          <w:bCs/>
          <w:color w:val="0D0D0D" w:themeColor="text1" w:themeTint="F2"/>
          <w:lang w:val="sl-SI"/>
        </w:rPr>
        <w:t xml:space="preserve"> </w:t>
      </w:r>
      <w:r w:rsidR="001760D3" w:rsidRPr="00F10CD6">
        <w:rPr>
          <w:rFonts w:ascii="Arial" w:hAnsi="Arial" w:cs="Arial"/>
          <w:bCs/>
          <w:color w:val="0D0D0D" w:themeColor="text1" w:themeTint="F2"/>
          <w:lang w:val="sl-SI"/>
        </w:rPr>
        <w:t>oz</w:t>
      </w:r>
      <w:r w:rsidR="008A72A7" w:rsidRPr="00F10CD6">
        <w:rPr>
          <w:rFonts w:ascii="Arial" w:hAnsi="Arial" w:cs="Arial"/>
          <w:bCs/>
          <w:color w:val="0D0D0D" w:themeColor="text1" w:themeTint="F2"/>
          <w:lang w:val="sl-SI"/>
        </w:rPr>
        <w:t>iroma</w:t>
      </w:r>
      <w:r w:rsidR="001760D3" w:rsidRPr="00F10CD6">
        <w:rPr>
          <w:rFonts w:ascii="Arial" w:hAnsi="Arial" w:cs="Arial"/>
          <w:bCs/>
          <w:color w:val="0D0D0D" w:themeColor="text1" w:themeTint="F2"/>
          <w:lang w:val="sl-SI"/>
        </w:rPr>
        <w:t xml:space="preserve"> nominalni </w:t>
      </w:r>
      <w:r w:rsidR="00710D16" w:rsidRPr="00F10CD6">
        <w:rPr>
          <w:rFonts w:ascii="Arial" w:hAnsi="Arial" w:cs="Arial"/>
          <w:bCs/>
          <w:color w:val="0D0D0D" w:themeColor="text1" w:themeTint="F2"/>
          <w:lang w:val="sl-SI"/>
        </w:rPr>
        <w:t>saldo + 1</w:t>
      </w:r>
      <w:r w:rsidR="00AC7B25" w:rsidRPr="00F10CD6">
        <w:rPr>
          <w:rFonts w:ascii="Arial" w:hAnsi="Arial" w:cs="Arial"/>
          <w:bCs/>
          <w:color w:val="0D0D0D" w:themeColor="text1" w:themeTint="F2"/>
          <w:lang w:val="sl-SI"/>
        </w:rPr>
        <w:t xml:space="preserve"> </w:t>
      </w:r>
      <w:r w:rsidR="00710D16" w:rsidRPr="00F10CD6">
        <w:rPr>
          <w:rFonts w:ascii="Arial" w:hAnsi="Arial" w:cs="Arial"/>
          <w:bCs/>
          <w:color w:val="0D0D0D" w:themeColor="text1" w:themeTint="F2"/>
          <w:lang w:val="sl-SI"/>
        </w:rPr>
        <w:t>% BDP</w:t>
      </w:r>
      <w:r w:rsidRPr="00F10CD6">
        <w:rPr>
          <w:rFonts w:ascii="Arial" w:hAnsi="Arial" w:cs="Arial"/>
          <w:bCs/>
          <w:color w:val="0D0D0D" w:themeColor="text1" w:themeTint="F2"/>
          <w:lang w:val="sl-SI"/>
        </w:rPr>
        <w:t xml:space="preserve">. Če pa ovrednotimo </w:t>
      </w:r>
      <w:r w:rsidR="002F6BDD" w:rsidRPr="00F10CD6">
        <w:rPr>
          <w:rFonts w:ascii="Arial" w:hAnsi="Arial" w:cs="Arial"/>
          <w:bCs/>
          <w:color w:val="0D0D0D" w:themeColor="text1" w:themeTint="F2"/>
          <w:lang w:val="sl-SI"/>
        </w:rPr>
        <w:t xml:space="preserve">dosedanjo </w:t>
      </w:r>
      <w:r w:rsidR="00713C0A" w:rsidRPr="00F10CD6">
        <w:rPr>
          <w:rFonts w:ascii="Arial" w:hAnsi="Arial" w:cs="Arial"/>
          <w:bCs/>
          <w:color w:val="0D0D0D" w:themeColor="text1" w:themeTint="F2"/>
          <w:lang w:val="sl-SI"/>
        </w:rPr>
        <w:t>fiskalno</w:t>
      </w:r>
      <w:r w:rsidR="002F6BDD" w:rsidRPr="00F10CD6">
        <w:rPr>
          <w:rFonts w:ascii="Arial" w:hAnsi="Arial" w:cs="Arial"/>
          <w:bCs/>
          <w:color w:val="0D0D0D" w:themeColor="text1" w:themeTint="F2"/>
          <w:lang w:val="sl-SI"/>
        </w:rPr>
        <w:t xml:space="preserve"> konsolidacijo (</w:t>
      </w:r>
      <w:r w:rsidR="00EA6D19" w:rsidRPr="00F10CD6">
        <w:rPr>
          <w:rFonts w:ascii="Arial" w:hAnsi="Arial" w:cs="Arial"/>
          <w:bCs/>
          <w:color w:val="0D0D0D" w:themeColor="text1" w:themeTint="F2"/>
          <w:lang w:val="sl-SI"/>
        </w:rPr>
        <w:t xml:space="preserve">skupaj povprečno </w:t>
      </w:r>
      <w:r w:rsidR="001128C7" w:rsidRPr="00F10CD6">
        <w:rPr>
          <w:rFonts w:ascii="Arial" w:hAnsi="Arial" w:cs="Arial"/>
          <w:bCs/>
          <w:color w:val="0D0D0D" w:themeColor="text1" w:themeTint="F2"/>
          <w:lang w:val="sl-SI"/>
        </w:rPr>
        <w:t>0,</w:t>
      </w:r>
      <w:r w:rsidR="00935D2A" w:rsidRPr="00F10CD6">
        <w:rPr>
          <w:rFonts w:ascii="Arial" w:hAnsi="Arial" w:cs="Arial"/>
          <w:bCs/>
          <w:color w:val="0D0D0D" w:themeColor="text1" w:themeTint="F2"/>
          <w:lang w:val="sl-SI"/>
        </w:rPr>
        <w:t>4</w:t>
      </w:r>
      <w:r w:rsidR="00733A88" w:rsidRPr="00F10CD6">
        <w:rPr>
          <w:rFonts w:ascii="Arial" w:hAnsi="Arial" w:cs="Arial"/>
          <w:bCs/>
          <w:color w:val="0D0D0D" w:themeColor="text1" w:themeTint="F2"/>
          <w:lang w:val="sl-SI"/>
        </w:rPr>
        <w:t>1</w:t>
      </w:r>
      <w:r w:rsidR="00EA6D19" w:rsidRPr="00F10CD6">
        <w:rPr>
          <w:rFonts w:ascii="Arial" w:hAnsi="Arial" w:cs="Arial"/>
          <w:bCs/>
          <w:color w:val="0D0D0D" w:themeColor="text1" w:themeTint="F2"/>
          <w:lang w:val="sl-SI"/>
        </w:rPr>
        <w:t xml:space="preserve"> </w:t>
      </w:r>
      <w:r w:rsidR="001128C7" w:rsidRPr="00F10CD6">
        <w:rPr>
          <w:rFonts w:ascii="Arial" w:hAnsi="Arial" w:cs="Arial"/>
          <w:bCs/>
          <w:color w:val="0D0D0D" w:themeColor="text1" w:themeTint="F2"/>
          <w:lang w:val="sl-SI"/>
        </w:rPr>
        <w:t xml:space="preserve">% </w:t>
      </w:r>
      <w:r w:rsidR="002F6BDD" w:rsidRPr="00F10CD6">
        <w:rPr>
          <w:rFonts w:ascii="Arial" w:hAnsi="Arial" w:cs="Arial"/>
          <w:bCs/>
          <w:color w:val="0D0D0D" w:themeColor="text1" w:themeTint="F2"/>
          <w:lang w:val="sl-SI"/>
        </w:rPr>
        <w:t>BDP</w:t>
      </w:r>
      <w:r w:rsidR="00EA6D19" w:rsidRPr="00F10CD6">
        <w:rPr>
          <w:rFonts w:ascii="Arial" w:hAnsi="Arial" w:cs="Arial"/>
          <w:bCs/>
          <w:color w:val="0D0D0D" w:themeColor="text1" w:themeTint="F2"/>
          <w:lang w:val="sl-SI"/>
        </w:rPr>
        <w:t xml:space="preserve"> v letih </w:t>
      </w:r>
      <w:r w:rsidR="005E5222" w:rsidRPr="00F10CD6">
        <w:rPr>
          <w:rFonts w:ascii="Arial" w:hAnsi="Arial" w:cs="Arial"/>
          <w:bCs/>
          <w:color w:val="0D0D0D" w:themeColor="text1" w:themeTint="F2"/>
          <w:lang w:val="sl-SI"/>
        </w:rPr>
        <w:t>201</w:t>
      </w:r>
      <w:r w:rsidR="00363C96" w:rsidRPr="00F10CD6">
        <w:rPr>
          <w:rFonts w:ascii="Arial" w:hAnsi="Arial" w:cs="Arial"/>
          <w:bCs/>
          <w:color w:val="0D0D0D" w:themeColor="text1" w:themeTint="F2"/>
          <w:lang w:val="sl-SI"/>
        </w:rPr>
        <w:t>6</w:t>
      </w:r>
      <w:r w:rsidR="001C284E" w:rsidRPr="00F10CD6">
        <w:rPr>
          <w:rFonts w:ascii="Arial" w:hAnsi="Arial" w:cs="Arial"/>
          <w:bCs/>
          <w:color w:val="0D0D0D" w:themeColor="text1" w:themeTint="F2"/>
          <w:lang w:val="sl-SI"/>
        </w:rPr>
        <w:t>–</w:t>
      </w:r>
      <w:r w:rsidR="005E5222" w:rsidRPr="00F10CD6">
        <w:rPr>
          <w:rFonts w:ascii="Arial" w:hAnsi="Arial" w:cs="Arial"/>
          <w:bCs/>
          <w:color w:val="0D0D0D" w:themeColor="text1" w:themeTint="F2"/>
          <w:lang w:val="sl-SI"/>
        </w:rPr>
        <w:t>20</w:t>
      </w:r>
      <w:r w:rsidR="00363C96" w:rsidRPr="00F10CD6">
        <w:rPr>
          <w:rFonts w:ascii="Arial" w:hAnsi="Arial" w:cs="Arial"/>
          <w:bCs/>
          <w:color w:val="0D0D0D" w:themeColor="text1" w:themeTint="F2"/>
          <w:lang w:val="sl-SI"/>
        </w:rPr>
        <w:t>18</w:t>
      </w:r>
      <w:r w:rsidR="007F7ACF" w:rsidRPr="00F10CD6">
        <w:rPr>
          <w:rFonts w:ascii="Arial" w:hAnsi="Arial" w:cs="Arial"/>
          <w:bCs/>
          <w:color w:val="0D0D0D" w:themeColor="text1" w:themeTint="F2"/>
          <w:lang w:val="sl-SI"/>
        </w:rPr>
        <w:t>)</w:t>
      </w:r>
      <w:r w:rsidR="005E5222" w:rsidRPr="00F10CD6">
        <w:rPr>
          <w:rFonts w:ascii="Arial" w:hAnsi="Arial" w:cs="Arial"/>
          <w:bCs/>
          <w:color w:val="0D0D0D" w:themeColor="text1" w:themeTint="F2"/>
          <w:lang w:val="sl-SI"/>
        </w:rPr>
        <w:t>, skupaj s poslabšanjem v 2019</w:t>
      </w:r>
      <w:r w:rsidR="002F6BDD" w:rsidRPr="00F10CD6">
        <w:rPr>
          <w:rFonts w:ascii="Arial" w:hAnsi="Arial" w:cs="Arial"/>
          <w:bCs/>
          <w:color w:val="0D0D0D" w:themeColor="text1" w:themeTint="F2"/>
          <w:lang w:val="sl-SI"/>
        </w:rPr>
        <w:t>, je ta cilj do leta 202</w:t>
      </w:r>
      <w:r w:rsidR="005E5222" w:rsidRPr="00F10CD6">
        <w:rPr>
          <w:rFonts w:ascii="Arial" w:hAnsi="Arial" w:cs="Arial"/>
          <w:bCs/>
          <w:color w:val="0D0D0D" w:themeColor="text1" w:themeTint="F2"/>
          <w:lang w:val="sl-SI"/>
        </w:rPr>
        <w:t>2</w:t>
      </w:r>
      <w:r w:rsidR="002F6BDD" w:rsidRPr="00F10CD6">
        <w:rPr>
          <w:rFonts w:ascii="Arial" w:hAnsi="Arial" w:cs="Arial"/>
          <w:bCs/>
          <w:color w:val="0D0D0D" w:themeColor="text1" w:themeTint="F2"/>
          <w:lang w:val="sl-SI"/>
        </w:rPr>
        <w:t xml:space="preserve"> </w:t>
      </w:r>
      <w:r w:rsidR="005E5222" w:rsidRPr="00F10CD6">
        <w:rPr>
          <w:rFonts w:ascii="Arial" w:hAnsi="Arial" w:cs="Arial"/>
          <w:bCs/>
          <w:color w:val="0D0D0D" w:themeColor="text1" w:themeTint="F2"/>
          <w:lang w:val="sl-SI"/>
        </w:rPr>
        <w:t xml:space="preserve">glede na začrtano pot </w:t>
      </w:r>
      <w:r w:rsidR="002F6BDD" w:rsidRPr="00F10CD6">
        <w:rPr>
          <w:rFonts w:ascii="Arial" w:hAnsi="Arial" w:cs="Arial"/>
          <w:bCs/>
          <w:color w:val="0D0D0D" w:themeColor="text1" w:themeTint="F2"/>
          <w:lang w:val="sl-SI"/>
        </w:rPr>
        <w:t>realno dosegljiv</w:t>
      </w:r>
      <w:r w:rsidR="005E5222" w:rsidRPr="00F10CD6">
        <w:rPr>
          <w:rFonts w:ascii="Arial" w:hAnsi="Arial" w:cs="Arial"/>
          <w:bCs/>
          <w:color w:val="0D0D0D" w:themeColor="text1" w:themeTint="F2"/>
          <w:lang w:val="sl-SI"/>
        </w:rPr>
        <w:t xml:space="preserve"> in </w:t>
      </w:r>
      <w:r w:rsidR="001760D3" w:rsidRPr="00F10CD6">
        <w:rPr>
          <w:rFonts w:ascii="Arial" w:hAnsi="Arial" w:cs="Arial"/>
          <w:bCs/>
          <w:color w:val="0D0D0D" w:themeColor="text1" w:themeTint="F2"/>
          <w:lang w:val="sl-SI"/>
        </w:rPr>
        <w:t xml:space="preserve">skladen </w:t>
      </w:r>
      <w:r w:rsidR="005E5222" w:rsidRPr="00F10CD6">
        <w:rPr>
          <w:rFonts w:ascii="Arial" w:hAnsi="Arial" w:cs="Arial"/>
          <w:bCs/>
          <w:color w:val="0D0D0D" w:themeColor="text1" w:themeTint="F2"/>
          <w:lang w:val="sl-SI"/>
        </w:rPr>
        <w:t xml:space="preserve">s SGP (v letu 2022 predvidevamo </w:t>
      </w:r>
      <w:r w:rsidR="003942AA" w:rsidRPr="00F10CD6">
        <w:rPr>
          <w:rFonts w:ascii="Arial" w:hAnsi="Arial" w:cs="Arial"/>
          <w:bCs/>
          <w:color w:val="0D0D0D" w:themeColor="text1" w:themeTint="F2"/>
          <w:lang w:val="sl-SI"/>
        </w:rPr>
        <w:t>strukturni saldo</w:t>
      </w:r>
      <w:r w:rsidR="005E5222" w:rsidRPr="00F10CD6">
        <w:rPr>
          <w:rFonts w:ascii="Arial" w:hAnsi="Arial" w:cs="Arial"/>
          <w:bCs/>
          <w:color w:val="0D0D0D" w:themeColor="text1" w:themeTint="F2"/>
          <w:lang w:val="sl-SI"/>
        </w:rPr>
        <w:t xml:space="preserve"> = </w:t>
      </w:r>
      <w:r w:rsidR="00F62C93" w:rsidRPr="00F10CD6">
        <w:rPr>
          <w:rFonts w:ascii="Arial" w:hAnsi="Arial" w:cs="Arial"/>
          <w:bCs/>
          <w:color w:val="0D0D0D" w:themeColor="text1" w:themeTint="F2"/>
          <w:lang w:val="sl-SI"/>
        </w:rPr>
        <w:t>+</w:t>
      </w:r>
      <w:r w:rsidR="005E5222" w:rsidRPr="00F10CD6">
        <w:rPr>
          <w:rFonts w:ascii="Arial" w:hAnsi="Arial" w:cs="Arial"/>
          <w:bCs/>
          <w:color w:val="0D0D0D" w:themeColor="text1" w:themeTint="F2"/>
          <w:lang w:val="sl-SI"/>
        </w:rPr>
        <w:t>0</w:t>
      </w:r>
      <w:r w:rsidR="00F62C93" w:rsidRPr="00F10CD6">
        <w:rPr>
          <w:rFonts w:ascii="Arial" w:hAnsi="Arial" w:cs="Arial"/>
          <w:bCs/>
          <w:color w:val="0D0D0D" w:themeColor="text1" w:themeTint="F2"/>
          <w:lang w:val="sl-SI"/>
        </w:rPr>
        <w:t>,1</w:t>
      </w:r>
      <w:r w:rsidR="005E5222" w:rsidRPr="00F10CD6">
        <w:rPr>
          <w:rFonts w:ascii="Arial" w:hAnsi="Arial" w:cs="Arial"/>
          <w:bCs/>
          <w:color w:val="0D0D0D" w:themeColor="text1" w:themeTint="F2"/>
          <w:lang w:val="sl-SI"/>
        </w:rPr>
        <w:t>)</w:t>
      </w:r>
      <w:r w:rsidR="002F6BDD" w:rsidRPr="00F10CD6">
        <w:rPr>
          <w:rFonts w:ascii="Arial" w:hAnsi="Arial" w:cs="Arial"/>
          <w:bCs/>
          <w:color w:val="0D0D0D" w:themeColor="text1" w:themeTint="F2"/>
          <w:lang w:val="sl-SI"/>
        </w:rPr>
        <w:t>.</w:t>
      </w:r>
      <w:r w:rsidRPr="00F10CD6">
        <w:rPr>
          <w:rFonts w:ascii="Arial" w:hAnsi="Arial" w:cs="Arial"/>
          <w:bCs/>
          <w:color w:val="0D0D0D" w:themeColor="text1" w:themeTint="F2"/>
          <w:lang w:val="sl-SI"/>
        </w:rPr>
        <w:t xml:space="preserve"> Glede na</w:t>
      </w:r>
      <w:r w:rsidR="00A86232" w:rsidRPr="00F10CD6">
        <w:rPr>
          <w:rFonts w:ascii="Arial" w:hAnsi="Arial" w:cs="Arial"/>
          <w:bCs/>
          <w:color w:val="0D0D0D" w:themeColor="text1" w:themeTint="F2"/>
          <w:lang w:val="sl-SI"/>
        </w:rPr>
        <w:t xml:space="preserve"> spodnjo sliko lahko sklenemo,</w:t>
      </w:r>
      <w:r w:rsidR="00096629" w:rsidRPr="00F10CD6">
        <w:rPr>
          <w:rFonts w:ascii="Arial" w:hAnsi="Arial" w:cs="Arial"/>
          <w:bCs/>
          <w:color w:val="0D0D0D" w:themeColor="text1" w:themeTint="F2"/>
          <w:lang w:val="sl-SI"/>
        </w:rPr>
        <w:t xml:space="preserve"> </w:t>
      </w:r>
      <w:r w:rsidR="00A86232" w:rsidRPr="00F10CD6">
        <w:rPr>
          <w:rFonts w:ascii="Arial" w:hAnsi="Arial" w:cs="Arial"/>
          <w:bCs/>
          <w:color w:val="0D0D0D" w:themeColor="text1" w:themeTint="F2"/>
          <w:lang w:val="sl-SI"/>
        </w:rPr>
        <w:t>d</w:t>
      </w:r>
      <w:r w:rsidRPr="00F10CD6">
        <w:rPr>
          <w:rFonts w:ascii="Arial" w:hAnsi="Arial" w:cs="Arial"/>
          <w:bCs/>
          <w:color w:val="0D0D0D" w:themeColor="text1" w:themeTint="F2"/>
          <w:lang w:val="sl-SI"/>
        </w:rPr>
        <w:t xml:space="preserve">a Slovenija </w:t>
      </w:r>
      <w:r w:rsidR="00E97AC5" w:rsidRPr="00F10CD6">
        <w:rPr>
          <w:rFonts w:ascii="Arial" w:hAnsi="Arial" w:cs="Arial"/>
          <w:bCs/>
          <w:color w:val="0D0D0D" w:themeColor="text1" w:themeTint="F2"/>
          <w:lang w:val="sl-SI"/>
        </w:rPr>
        <w:t xml:space="preserve">napreduje </w:t>
      </w:r>
      <w:r w:rsidR="000B54B6" w:rsidRPr="00F10CD6">
        <w:rPr>
          <w:rFonts w:ascii="Arial" w:hAnsi="Arial" w:cs="Arial"/>
          <w:bCs/>
          <w:color w:val="0D0D0D" w:themeColor="text1" w:themeTint="F2"/>
          <w:lang w:val="sl-SI"/>
        </w:rPr>
        <w:t>proti srednjeročnemu cilju</w:t>
      </w:r>
      <w:r w:rsidR="00C83104" w:rsidRPr="00F10CD6">
        <w:rPr>
          <w:rFonts w:ascii="Arial" w:hAnsi="Arial" w:cs="Arial"/>
          <w:bCs/>
          <w:color w:val="0D0D0D" w:themeColor="text1" w:themeTint="F2"/>
          <w:lang w:val="sl-SI"/>
        </w:rPr>
        <w:t xml:space="preserve"> </w:t>
      </w:r>
      <w:r w:rsidR="001C284E" w:rsidRPr="00F10CD6">
        <w:rPr>
          <w:rFonts w:ascii="Arial" w:hAnsi="Arial" w:cs="Arial"/>
          <w:bCs/>
          <w:color w:val="0D0D0D" w:themeColor="text1" w:themeTint="F2"/>
          <w:lang w:val="sl-SI"/>
        </w:rPr>
        <w:t>–</w:t>
      </w:r>
      <w:r w:rsidR="00430F5A" w:rsidRPr="00F10CD6">
        <w:rPr>
          <w:rFonts w:ascii="Arial" w:hAnsi="Arial" w:cs="Arial"/>
          <w:bCs/>
          <w:color w:val="0D0D0D" w:themeColor="text1" w:themeTint="F2"/>
          <w:lang w:val="sl-SI"/>
        </w:rPr>
        <w:t xml:space="preserve"> </w:t>
      </w:r>
      <w:r w:rsidR="00E97AC5" w:rsidRPr="00F10CD6">
        <w:rPr>
          <w:rFonts w:ascii="Arial" w:hAnsi="Arial" w:cs="Arial"/>
          <w:bCs/>
          <w:color w:val="0D0D0D" w:themeColor="text1" w:themeTint="F2"/>
          <w:lang w:val="sl-SI"/>
        </w:rPr>
        <w:t xml:space="preserve">po </w:t>
      </w:r>
      <w:r w:rsidRPr="00F10CD6">
        <w:rPr>
          <w:rFonts w:ascii="Arial" w:hAnsi="Arial" w:cs="Arial"/>
          <w:bCs/>
          <w:color w:val="0D0D0D" w:themeColor="text1" w:themeTint="F2"/>
          <w:lang w:val="sl-SI"/>
        </w:rPr>
        <w:t>začrtani smeri</w:t>
      </w:r>
      <w:r w:rsidR="005E5222" w:rsidRPr="00F10CD6">
        <w:rPr>
          <w:rFonts w:ascii="Arial" w:hAnsi="Arial" w:cs="Arial"/>
          <w:bCs/>
          <w:color w:val="0D0D0D" w:themeColor="text1" w:themeTint="F2"/>
          <w:lang w:val="sl-SI"/>
        </w:rPr>
        <w:t xml:space="preserve"> z ustreznimi ukrepi</w:t>
      </w:r>
      <w:r w:rsidR="004065F2" w:rsidRPr="00F10CD6">
        <w:rPr>
          <w:rFonts w:ascii="Arial" w:hAnsi="Arial" w:cs="Arial"/>
          <w:bCs/>
          <w:color w:val="0D0D0D" w:themeColor="text1" w:themeTint="F2"/>
          <w:lang w:val="sl-SI"/>
        </w:rPr>
        <w:t>.</w:t>
      </w:r>
    </w:p>
    <w:p w:rsidR="00607AA5" w:rsidRPr="00F10CD6" w:rsidRDefault="00607AA5" w:rsidP="00607AA5">
      <w:pPr>
        <w:spacing w:after="0"/>
        <w:rPr>
          <w:color w:val="0D0D0D" w:themeColor="text1" w:themeTint="F2"/>
          <w:lang w:eastAsia="sl-SI"/>
        </w:rPr>
      </w:pPr>
    </w:p>
    <w:p w:rsidR="00EF2654" w:rsidRPr="00F10CD6" w:rsidRDefault="00DF5E81" w:rsidP="00607AA5">
      <w:pPr>
        <w:pStyle w:val="Caption"/>
        <w:keepNext/>
        <w:spacing w:before="0" w:after="0"/>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Slika</w:t>
      </w:r>
      <w:r w:rsidR="001760D3" w:rsidRPr="00F10CD6">
        <w:rPr>
          <w:rFonts w:ascii="Arial" w:hAnsi="Arial" w:cs="Arial"/>
          <w:color w:val="0D0D0D" w:themeColor="text1" w:themeTint="F2"/>
          <w:szCs w:val="22"/>
          <w:lang w:val="sl-SI"/>
        </w:rPr>
        <w:t xml:space="preserve"> 18</w:t>
      </w:r>
      <w:r w:rsidR="00EF2654" w:rsidRPr="00F10CD6">
        <w:rPr>
          <w:rFonts w:ascii="Arial" w:hAnsi="Arial" w:cs="Arial"/>
          <w:color w:val="0D0D0D" w:themeColor="text1" w:themeTint="F2"/>
          <w:szCs w:val="22"/>
          <w:lang w:val="sl-SI"/>
        </w:rPr>
        <w:t xml:space="preserve">: </w:t>
      </w:r>
      <w:r w:rsidRPr="00F10CD6">
        <w:rPr>
          <w:rFonts w:ascii="Arial" w:hAnsi="Arial" w:cs="Arial"/>
          <w:color w:val="0D0D0D" w:themeColor="text1" w:themeTint="F2"/>
          <w:szCs w:val="22"/>
          <w:lang w:val="sl-SI"/>
        </w:rPr>
        <w:t>Strukturni saldo in m</w:t>
      </w:r>
      <w:r w:rsidR="00EF2654" w:rsidRPr="00F10CD6">
        <w:rPr>
          <w:rFonts w:ascii="Arial" w:hAnsi="Arial" w:cs="Arial"/>
          <w:color w:val="0D0D0D" w:themeColor="text1" w:themeTint="F2"/>
          <w:szCs w:val="22"/>
          <w:lang w:val="sl-SI"/>
        </w:rPr>
        <w:t xml:space="preserve">edletna sprememba strukturnega salda (v </w:t>
      </w:r>
      <w:r w:rsidR="002F6BDD" w:rsidRPr="00F10CD6">
        <w:rPr>
          <w:rFonts w:ascii="Arial" w:hAnsi="Arial" w:cs="Arial"/>
          <w:color w:val="0D0D0D" w:themeColor="text1" w:themeTint="F2"/>
          <w:szCs w:val="22"/>
          <w:lang w:val="sl-SI"/>
        </w:rPr>
        <w:t xml:space="preserve">% BDP) </w:t>
      </w:r>
      <w:r w:rsidR="001C284E" w:rsidRPr="00F10CD6">
        <w:rPr>
          <w:rFonts w:ascii="Arial" w:hAnsi="Arial" w:cs="Arial"/>
          <w:color w:val="0D0D0D" w:themeColor="text1" w:themeTint="F2"/>
          <w:szCs w:val="22"/>
          <w:lang w:val="sl-SI"/>
        </w:rPr>
        <w:t>–</w:t>
      </w:r>
      <w:r w:rsidRPr="00F10CD6">
        <w:rPr>
          <w:rFonts w:ascii="Arial" w:hAnsi="Arial" w:cs="Arial"/>
          <w:color w:val="0D0D0D" w:themeColor="text1" w:themeTint="F2"/>
          <w:szCs w:val="22"/>
          <w:lang w:val="sl-SI"/>
        </w:rPr>
        <w:t xml:space="preserve"> </w:t>
      </w:r>
      <w:r w:rsidR="002F6BDD" w:rsidRPr="00F10CD6">
        <w:rPr>
          <w:rFonts w:ascii="Arial" w:hAnsi="Arial" w:cs="Arial"/>
          <w:color w:val="0D0D0D" w:themeColor="text1" w:themeTint="F2"/>
          <w:szCs w:val="22"/>
          <w:lang w:val="sl-SI"/>
        </w:rPr>
        <w:t xml:space="preserve">doseženo </w:t>
      </w:r>
      <w:r w:rsidRPr="00F10CD6">
        <w:rPr>
          <w:rFonts w:ascii="Arial" w:hAnsi="Arial" w:cs="Arial"/>
          <w:color w:val="0D0D0D" w:themeColor="text1" w:themeTint="F2"/>
          <w:szCs w:val="22"/>
          <w:lang w:val="sl-SI"/>
        </w:rPr>
        <w:t>201</w:t>
      </w:r>
      <w:r w:rsidR="00C252AC" w:rsidRPr="00F10CD6">
        <w:rPr>
          <w:rFonts w:ascii="Arial" w:hAnsi="Arial" w:cs="Arial"/>
          <w:color w:val="0D0D0D" w:themeColor="text1" w:themeTint="F2"/>
          <w:szCs w:val="22"/>
          <w:lang w:val="sl-SI"/>
        </w:rPr>
        <w:t>6</w:t>
      </w:r>
      <w:r w:rsidR="001C284E" w:rsidRPr="00F10CD6">
        <w:rPr>
          <w:rFonts w:ascii="Arial" w:hAnsi="Arial" w:cs="Arial"/>
          <w:color w:val="0D0D0D" w:themeColor="text1" w:themeTint="F2"/>
          <w:szCs w:val="22"/>
          <w:lang w:val="sl-SI"/>
        </w:rPr>
        <w:t>–</w:t>
      </w:r>
      <w:r w:rsidRPr="00F10CD6">
        <w:rPr>
          <w:rFonts w:ascii="Arial" w:hAnsi="Arial" w:cs="Arial"/>
          <w:color w:val="0D0D0D" w:themeColor="text1" w:themeTint="F2"/>
          <w:szCs w:val="22"/>
          <w:lang w:val="sl-SI"/>
        </w:rPr>
        <w:t xml:space="preserve">2018 </w:t>
      </w:r>
      <w:r w:rsidR="002F6BDD" w:rsidRPr="00F10CD6">
        <w:rPr>
          <w:rFonts w:ascii="Arial" w:hAnsi="Arial" w:cs="Arial"/>
          <w:color w:val="0D0D0D" w:themeColor="text1" w:themeTint="F2"/>
          <w:szCs w:val="22"/>
          <w:lang w:val="sl-SI"/>
        </w:rPr>
        <w:t>in potrebno v letih 20</w:t>
      </w:r>
      <w:r w:rsidRPr="00F10CD6">
        <w:rPr>
          <w:rFonts w:ascii="Arial" w:hAnsi="Arial" w:cs="Arial"/>
          <w:color w:val="0D0D0D" w:themeColor="text1" w:themeTint="F2"/>
          <w:szCs w:val="22"/>
          <w:lang w:val="sl-SI"/>
        </w:rPr>
        <w:t>20</w:t>
      </w:r>
      <w:r w:rsidR="001C284E" w:rsidRPr="00F10CD6">
        <w:rPr>
          <w:rFonts w:ascii="Arial" w:hAnsi="Arial" w:cs="Arial"/>
          <w:color w:val="0D0D0D" w:themeColor="text1" w:themeTint="F2"/>
          <w:szCs w:val="22"/>
          <w:lang w:val="sl-SI"/>
        </w:rPr>
        <w:t>–</w:t>
      </w:r>
      <w:r w:rsidR="002F6BDD" w:rsidRPr="00F10CD6">
        <w:rPr>
          <w:rFonts w:ascii="Arial" w:hAnsi="Arial" w:cs="Arial"/>
          <w:color w:val="0D0D0D" w:themeColor="text1" w:themeTint="F2"/>
          <w:szCs w:val="22"/>
          <w:lang w:val="sl-SI"/>
        </w:rPr>
        <w:t>20</w:t>
      </w:r>
      <w:r w:rsidRPr="00F10CD6">
        <w:rPr>
          <w:rFonts w:ascii="Arial" w:hAnsi="Arial" w:cs="Arial"/>
          <w:color w:val="0D0D0D" w:themeColor="text1" w:themeTint="F2"/>
          <w:szCs w:val="22"/>
          <w:lang w:val="sl-SI"/>
        </w:rPr>
        <w:t>22</w:t>
      </w:r>
    </w:p>
    <w:p w:rsidR="00335874" w:rsidRPr="00F10CD6" w:rsidRDefault="00F62C93" w:rsidP="00300564">
      <w:pPr>
        <w:spacing w:after="0"/>
        <w:jc w:val="center"/>
        <w:rPr>
          <w:color w:val="0D0D0D" w:themeColor="text1" w:themeTint="F2"/>
          <w:lang w:eastAsia="sl-SI"/>
        </w:rPr>
      </w:pPr>
      <w:r w:rsidRPr="00F10CD6">
        <w:rPr>
          <w:noProof/>
          <w:color w:val="0D0D0D" w:themeColor="text1" w:themeTint="F2"/>
          <w:lang w:val="en-US"/>
        </w:rPr>
        <w:drawing>
          <wp:inline distT="0" distB="0" distL="0" distR="0" wp14:anchorId="121605BC" wp14:editId="71E6BF88">
            <wp:extent cx="5172075" cy="340995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F2654" w:rsidRPr="00F10CD6" w:rsidRDefault="00EF2654" w:rsidP="00607AA5">
      <w:pPr>
        <w:pStyle w:val="Caption"/>
        <w:keepNext/>
        <w:spacing w:before="0" w:after="0"/>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Ministrstvo za finance</w:t>
      </w:r>
    </w:p>
    <w:p w:rsidR="00607AA5" w:rsidRPr="00F10CD6" w:rsidRDefault="00607AA5" w:rsidP="00607AA5">
      <w:pPr>
        <w:spacing w:after="0"/>
        <w:rPr>
          <w:color w:val="0D0D0D" w:themeColor="text1" w:themeTint="F2"/>
          <w:lang w:eastAsia="sl-SI"/>
        </w:rPr>
      </w:pPr>
    </w:p>
    <w:p w:rsidR="007B4DD0" w:rsidRPr="00F10CD6" w:rsidRDefault="00BA6227" w:rsidP="007B4DD0">
      <w:pPr>
        <w:pStyle w:val="besedilo"/>
        <w:rPr>
          <w:color w:val="0D0D0D" w:themeColor="text1" w:themeTint="F2"/>
        </w:rPr>
      </w:pPr>
      <w:r w:rsidRPr="00F10CD6">
        <w:rPr>
          <w:color w:val="0D0D0D" w:themeColor="text1" w:themeTint="F2"/>
        </w:rPr>
        <w:t>Na</w:t>
      </w:r>
      <w:r w:rsidR="007B4DD0" w:rsidRPr="00F10CD6">
        <w:rPr>
          <w:color w:val="0D0D0D" w:themeColor="text1" w:themeTint="F2"/>
        </w:rPr>
        <w:t xml:space="preserve"> spodnji sliki prikazujemo spremembe javnofinančnih izdatkov za doseganje ciljev javnih financ tako, da bomo skladni s fiskalnim pravilom po ZFisP že v letu 2020 in da smo v letu 2022 skladni s SGP, ki ima drugačna izhodišča/predpostavke (zneski zvišanja prihodkov/izdatkov od </w:t>
      </w:r>
      <w:r w:rsidR="007B4DD0" w:rsidRPr="00F10CD6">
        <w:rPr>
          <w:color w:val="0D0D0D" w:themeColor="text1" w:themeTint="F2"/>
        </w:rPr>
        <w:lastRenderedPageBreak/>
        <w:t xml:space="preserve">leta 2018 v obliki stopenj rasti, kjer dvig izdatkov zaostaja za dvigom prihodkov, upoštevana pomladanska napoved UMAR, projekcije MF do leta 2022). </w:t>
      </w:r>
    </w:p>
    <w:p w:rsidR="007B4DD0" w:rsidRPr="00F10CD6" w:rsidRDefault="007B4DD0" w:rsidP="00607AA5">
      <w:pPr>
        <w:spacing w:after="0"/>
        <w:rPr>
          <w:color w:val="0D0D0D" w:themeColor="text1" w:themeTint="F2"/>
          <w:lang w:eastAsia="sl-SI"/>
        </w:rPr>
      </w:pPr>
    </w:p>
    <w:p w:rsidR="00EF2654" w:rsidRPr="00F10CD6" w:rsidRDefault="00EF2654" w:rsidP="00867F69">
      <w:pPr>
        <w:pStyle w:val="Caption"/>
        <w:keepNext/>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Slika</w:t>
      </w:r>
      <w:r w:rsidR="001760D3" w:rsidRPr="00F10CD6">
        <w:rPr>
          <w:rFonts w:ascii="Arial" w:hAnsi="Arial" w:cs="Arial"/>
          <w:color w:val="0D0D0D" w:themeColor="text1" w:themeTint="F2"/>
          <w:szCs w:val="22"/>
          <w:lang w:val="sl-SI"/>
        </w:rPr>
        <w:t xml:space="preserve"> 19</w:t>
      </w:r>
      <w:r w:rsidRPr="00F10CD6">
        <w:rPr>
          <w:rFonts w:ascii="Arial" w:hAnsi="Arial" w:cs="Arial"/>
          <w:color w:val="0D0D0D" w:themeColor="text1" w:themeTint="F2"/>
          <w:szCs w:val="22"/>
          <w:lang w:val="sl-SI"/>
        </w:rPr>
        <w:t xml:space="preserve">: Rast javnofinančnih prihodkov, </w:t>
      </w:r>
      <w:r w:rsidR="009A4333" w:rsidRPr="00F10CD6">
        <w:rPr>
          <w:rFonts w:ascii="Arial" w:hAnsi="Arial" w:cs="Arial"/>
          <w:color w:val="0D0D0D" w:themeColor="text1" w:themeTint="F2"/>
          <w:szCs w:val="22"/>
          <w:lang w:val="sl-SI"/>
        </w:rPr>
        <w:t>izdatkov</w:t>
      </w:r>
      <w:r w:rsidRPr="00F10CD6">
        <w:rPr>
          <w:rFonts w:ascii="Arial" w:hAnsi="Arial" w:cs="Arial"/>
          <w:color w:val="0D0D0D" w:themeColor="text1" w:themeTint="F2"/>
          <w:szCs w:val="22"/>
          <w:lang w:val="sl-SI"/>
        </w:rPr>
        <w:t>, realna in potencialna rast BDP v %</w:t>
      </w:r>
      <w:r w:rsidR="002F6BDD" w:rsidRPr="00F10CD6">
        <w:rPr>
          <w:rFonts w:ascii="Arial" w:hAnsi="Arial" w:cs="Arial"/>
          <w:color w:val="0D0D0D" w:themeColor="text1" w:themeTint="F2"/>
          <w:szCs w:val="22"/>
          <w:lang w:val="sl-SI"/>
        </w:rPr>
        <w:t xml:space="preserve"> </w:t>
      </w:r>
    </w:p>
    <w:p w:rsidR="009A637F" w:rsidRPr="00F10CD6" w:rsidRDefault="009A637F" w:rsidP="00607AA5">
      <w:pPr>
        <w:pStyle w:val="Caption"/>
        <w:keepNext/>
        <w:spacing w:before="0" w:after="0"/>
        <w:jc w:val="center"/>
        <w:rPr>
          <w:rFonts w:ascii="Arial" w:hAnsi="Arial" w:cs="Arial"/>
          <w:color w:val="0D0D0D" w:themeColor="text1" w:themeTint="F2"/>
          <w:sz w:val="20"/>
          <w:szCs w:val="22"/>
          <w:lang w:val="sl-SI"/>
        </w:rPr>
      </w:pPr>
      <w:r w:rsidRPr="00F10CD6">
        <w:rPr>
          <w:noProof/>
          <w:color w:val="0D0D0D" w:themeColor="text1" w:themeTint="F2"/>
          <w:lang w:val="en-US" w:eastAsia="en-US"/>
        </w:rPr>
        <w:drawing>
          <wp:inline distT="0" distB="0" distL="0" distR="0" wp14:anchorId="3C4EB420" wp14:editId="326102DF">
            <wp:extent cx="5353050" cy="283845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250B5" w:rsidRPr="00F10CD6" w:rsidRDefault="00EF2654" w:rsidP="00607AA5">
      <w:pPr>
        <w:pStyle w:val="Caption"/>
        <w:keepNext/>
        <w:spacing w:before="0" w:after="0"/>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Ministrstvo za finance</w:t>
      </w:r>
    </w:p>
    <w:p w:rsidR="005A46B4" w:rsidRPr="00F10CD6" w:rsidRDefault="005A46B4" w:rsidP="009E7A2E">
      <w:pPr>
        <w:pStyle w:val="besedilo"/>
        <w:rPr>
          <w:color w:val="0D0D0D" w:themeColor="text1" w:themeTint="F2"/>
        </w:rPr>
      </w:pPr>
    </w:p>
    <w:p w:rsidR="00EA70F2" w:rsidRPr="00EA70F2" w:rsidRDefault="005A46B4" w:rsidP="00EA70F2">
      <w:pPr>
        <w:pStyle w:val="besedilo"/>
        <w:rPr>
          <w:color w:val="0D0D0D" w:themeColor="text1" w:themeTint="F2"/>
          <w:lang w:val="en-US"/>
        </w:rPr>
      </w:pPr>
      <w:r w:rsidRPr="00F10CD6">
        <w:rPr>
          <w:color w:val="0D0D0D" w:themeColor="text1" w:themeTint="F2"/>
        </w:rPr>
        <w:t xml:space="preserve">V letu 2018 je Evropska komisija v povezavi z javnimi financami Sloveniji v okviru evropskega semestra priporočila, da nominalna stopnja rasti neto primarnih javnofinančnih odhodkov v letu 2019 ne bo presegla 3,1 %, kar ustreza letni strukturni prilagoditvi v višini 0,65 % BDP-ja. </w:t>
      </w:r>
      <w:r w:rsidR="00C37F08" w:rsidRPr="00F10CD6">
        <w:rPr>
          <w:color w:val="0D0D0D" w:themeColor="text1" w:themeTint="F2"/>
        </w:rPr>
        <w:t>Za oceno p</w:t>
      </w:r>
      <w:r w:rsidR="00F208EA" w:rsidRPr="00F10CD6">
        <w:rPr>
          <w:color w:val="0D0D0D" w:themeColor="text1" w:themeTint="F2"/>
        </w:rPr>
        <w:t>rimern</w:t>
      </w:r>
      <w:r w:rsidR="00C37F08" w:rsidRPr="00F10CD6">
        <w:rPr>
          <w:color w:val="0D0D0D" w:themeColor="text1" w:themeTint="F2"/>
        </w:rPr>
        <w:t>e</w:t>
      </w:r>
      <w:r w:rsidR="00F208EA" w:rsidRPr="00F10CD6">
        <w:rPr>
          <w:color w:val="0D0D0D" w:themeColor="text1" w:themeTint="F2"/>
        </w:rPr>
        <w:t xml:space="preserve"> rast</w:t>
      </w:r>
      <w:r w:rsidR="00C37F08" w:rsidRPr="00F10CD6">
        <w:rPr>
          <w:color w:val="0D0D0D" w:themeColor="text1" w:themeTint="F2"/>
        </w:rPr>
        <w:t>i</w:t>
      </w:r>
      <w:r w:rsidR="00F208EA" w:rsidRPr="00F10CD6">
        <w:rPr>
          <w:color w:val="0D0D0D" w:themeColor="text1" w:themeTint="F2"/>
        </w:rPr>
        <w:t xml:space="preserve"> izdatkov se</w:t>
      </w:r>
      <w:r w:rsidR="00C37F08" w:rsidRPr="00F10CD6">
        <w:rPr>
          <w:color w:val="0D0D0D" w:themeColor="text1" w:themeTint="F2"/>
        </w:rPr>
        <w:t xml:space="preserve"> od vseh izdatkov odštejejo </w:t>
      </w:r>
      <w:r w:rsidR="00F208EA" w:rsidRPr="00F10CD6">
        <w:rPr>
          <w:color w:val="0D0D0D" w:themeColor="text1" w:themeTint="F2"/>
        </w:rPr>
        <w:t>izdatk</w:t>
      </w:r>
      <w:r w:rsidR="00C37F08" w:rsidRPr="00F10CD6">
        <w:rPr>
          <w:color w:val="0D0D0D" w:themeColor="text1" w:themeTint="F2"/>
        </w:rPr>
        <w:t>i</w:t>
      </w:r>
      <w:r w:rsidR="00F208EA" w:rsidRPr="00F10CD6">
        <w:rPr>
          <w:color w:val="0D0D0D" w:themeColor="text1" w:themeTint="F2"/>
        </w:rPr>
        <w:t xml:space="preserve"> za obresti, cikličn</w:t>
      </w:r>
      <w:r w:rsidR="00C37F08" w:rsidRPr="00F10CD6">
        <w:rPr>
          <w:color w:val="0D0D0D" w:themeColor="text1" w:themeTint="F2"/>
        </w:rPr>
        <w:t>a</w:t>
      </w:r>
      <w:r w:rsidR="00F208EA" w:rsidRPr="00F10CD6">
        <w:rPr>
          <w:color w:val="0D0D0D" w:themeColor="text1" w:themeTint="F2"/>
        </w:rPr>
        <w:t xml:space="preserve"> komponent</w:t>
      </w:r>
      <w:r w:rsidR="00C37F08" w:rsidRPr="00F10CD6">
        <w:rPr>
          <w:color w:val="0D0D0D" w:themeColor="text1" w:themeTint="F2"/>
        </w:rPr>
        <w:t>a nadomestil za brezposelnost in</w:t>
      </w:r>
      <w:r w:rsidR="00F208EA" w:rsidRPr="00F10CD6">
        <w:rPr>
          <w:color w:val="0D0D0D" w:themeColor="text1" w:themeTint="F2"/>
        </w:rPr>
        <w:t xml:space="preserve"> izdatk</w:t>
      </w:r>
      <w:r w:rsidR="00C37F08" w:rsidRPr="00F10CD6">
        <w:rPr>
          <w:color w:val="0D0D0D" w:themeColor="text1" w:themeTint="F2"/>
        </w:rPr>
        <w:t>i</w:t>
      </w:r>
      <w:r w:rsidR="00F208EA" w:rsidRPr="00F10CD6">
        <w:rPr>
          <w:color w:val="0D0D0D" w:themeColor="text1" w:themeTint="F2"/>
        </w:rPr>
        <w:t>, ki so posledica prihodkov iz EU</w:t>
      </w:r>
      <w:r w:rsidR="008A72A7" w:rsidRPr="00F10CD6">
        <w:rPr>
          <w:color w:val="0D0D0D" w:themeColor="text1" w:themeTint="F2"/>
        </w:rPr>
        <w:t>-</w:t>
      </w:r>
      <w:r w:rsidR="00F208EA" w:rsidRPr="00F10CD6">
        <w:rPr>
          <w:color w:val="0D0D0D" w:themeColor="text1" w:themeTint="F2"/>
        </w:rPr>
        <w:t>skladov</w:t>
      </w:r>
      <w:r w:rsidR="00C37F08" w:rsidRPr="00F10CD6">
        <w:rPr>
          <w:color w:val="0D0D0D" w:themeColor="text1" w:themeTint="F2"/>
        </w:rPr>
        <w:t>.</w:t>
      </w:r>
      <w:r w:rsidR="001A7681" w:rsidRPr="00F10CD6">
        <w:rPr>
          <w:color w:val="0D0D0D" w:themeColor="text1" w:themeTint="F2"/>
        </w:rPr>
        <w:t xml:space="preserve">  </w:t>
      </w:r>
      <w:r w:rsidR="00C37F08" w:rsidRPr="00C3436D">
        <w:rPr>
          <w:color w:val="0D0D0D" w:themeColor="text1" w:themeTint="F2"/>
        </w:rPr>
        <w:t>U</w:t>
      </w:r>
      <w:r w:rsidR="00F208EA" w:rsidRPr="00C3436D">
        <w:rPr>
          <w:color w:val="0D0D0D" w:themeColor="text1" w:themeTint="F2"/>
        </w:rPr>
        <w:t>pošteva</w:t>
      </w:r>
      <w:r w:rsidR="00C37F08" w:rsidRPr="00C3436D">
        <w:rPr>
          <w:color w:val="0D0D0D" w:themeColor="text1" w:themeTint="F2"/>
        </w:rPr>
        <w:t xml:space="preserve"> pa</w:t>
      </w:r>
      <w:r w:rsidR="00F208EA" w:rsidRPr="00C3436D">
        <w:rPr>
          <w:color w:val="0D0D0D" w:themeColor="text1" w:themeTint="F2"/>
        </w:rPr>
        <w:t xml:space="preserve"> se štiriletno povprečje izdatkov za investicije, ki ne vključujejo prejet</w:t>
      </w:r>
      <w:r w:rsidR="008A72A7" w:rsidRPr="00C3436D">
        <w:rPr>
          <w:color w:val="0D0D0D" w:themeColor="text1" w:themeTint="F2"/>
        </w:rPr>
        <w:t>ih</w:t>
      </w:r>
      <w:r w:rsidR="00F208EA" w:rsidRPr="00C3436D">
        <w:rPr>
          <w:color w:val="0D0D0D" w:themeColor="text1" w:themeTint="F2"/>
        </w:rPr>
        <w:t xml:space="preserve"> sredst</w:t>
      </w:r>
      <w:r w:rsidR="008A72A7" w:rsidRPr="00C3436D">
        <w:rPr>
          <w:color w:val="0D0D0D" w:themeColor="text1" w:themeTint="F2"/>
        </w:rPr>
        <w:t>e</w:t>
      </w:r>
      <w:r w:rsidR="00F208EA" w:rsidRPr="00C3436D">
        <w:rPr>
          <w:color w:val="0D0D0D" w:themeColor="text1" w:themeTint="F2"/>
        </w:rPr>
        <w:t>v iz EU za investicije. V</w:t>
      </w:r>
      <w:r w:rsidRPr="00C3436D">
        <w:rPr>
          <w:color w:val="0D0D0D" w:themeColor="text1" w:themeTint="F2"/>
        </w:rPr>
        <w:t xml:space="preserve"> letu 2019 </w:t>
      </w:r>
      <w:r w:rsidR="00F208EA" w:rsidRPr="00C3436D">
        <w:rPr>
          <w:color w:val="0D0D0D" w:themeColor="text1" w:themeTint="F2"/>
        </w:rPr>
        <w:t xml:space="preserve">bodo po ocenah tako očiščeni izdatki rasli hitreje. </w:t>
      </w:r>
      <w:r w:rsidR="00C37F08" w:rsidRPr="00C3436D">
        <w:rPr>
          <w:color w:val="0D0D0D" w:themeColor="text1" w:themeTint="F2"/>
        </w:rPr>
        <w:t xml:space="preserve">V obdobju 2020 do 2022 bo Slovenija dosegla in ohranjala srednjeročni proračunski cilj (MTO), načrtovani odhodki ne bodo presegali dovoljene rasti izdatkov. Po izračunih </w:t>
      </w:r>
      <w:r w:rsidR="00741D01" w:rsidRPr="00C3436D">
        <w:rPr>
          <w:color w:val="0D0D0D" w:themeColor="text1" w:themeTint="F2"/>
        </w:rPr>
        <w:t>M</w:t>
      </w:r>
      <w:r w:rsidR="00C37F08" w:rsidRPr="00C3436D">
        <w:rPr>
          <w:color w:val="0D0D0D" w:themeColor="text1" w:themeTint="F2"/>
        </w:rPr>
        <w:t>inistrstva za finance bo povprečna stopnja dolgoročne rasti potencialnega proizvoda v letu 2020 znašala okoli 4,95 % in bo višja od načrtovane rasti očiščenih izdatkov. Tudi po alternativnem pristopu z uporabo metodologije, ki sta jo predlagala Fuest in Gros (2019)</w:t>
      </w:r>
      <w:r w:rsidR="00C37F08" w:rsidRPr="00C3436D">
        <w:rPr>
          <w:rStyle w:val="FootnoteReference"/>
          <w:color w:val="0D0D0D" w:themeColor="text1" w:themeTint="F2"/>
        </w:rPr>
        <w:footnoteReference w:id="13"/>
      </w:r>
      <w:r w:rsidR="00C37F08" w:rsidRPr="00C3436D">
        <w:rPr>
          <w:color w:val="0D0D0D" w:themeColor="text1" w:themeTint="F2"/>
        </w:rPr>
        <w:t xml:space="preserve"> bi lahko izdatki </w:t>
      </w:r>
      <w:r w:rsidR="00416BDF" w:rsidRPr="00C3436D">
        <w:rPr>
          <w:color w:val="0D0D0D" w:themeColor="text1" w:themeTint="F2"/>
        </w:rPr>
        <w:t>rasli</w:t>
      </w:r>
      <w:r w:rsidR="00C37F08" w:rsidRPr="00C3436D">
        <w:rPr>
          <w:color w:val="0D0D0D" w:themeColor="text1" w:themeTint="F2"/>
        </w:rPr>
        <w:t xml:space="preserve"> z okoli 4,88</w:t>
      </w:r>
      <w:r w:rsidR="00741D01" w:rsidRPr="00C3436D">
        <w:rPr>
          <w:color w:val="0D0D0D" w:themeColor="text1" w:themeTint="F2"/>
        </w:rPr>
        <w:t xml:space="preserve"> </w:t>
      </w:r>
      <w:r w:rsidR="00C37F08" w:rsidRPr="00C3436D">
        <w:rPr>
          <w:color w:val="0D0D0D" w:themeColor="text1" w:themeTint="F2"/>
        </w:rPr>
        <w:t xml:space="preserve">% </w:t>
      </w:r>
      <w:r w:rsidR="00741D01" w:rsidRPr="00C3436D">
        <w:rPr>
          <w:color w:val="0D0D0D" w:themeColor="text1" w:themeTint="F2"/>
        </w:rPr>
        <w:t>ali</w:t>
      </w:r>
      <w:r w:rsidR="00C37F08" w:rsidRPr="00C3436D">
        <w:rPr>
          <w:color w:val="0D0D0D" w:themeColor="text1" w:themeTint="F2"/>
        </w:rPr>
        <w:t xml:space="preserve"> 4,93</w:t>
      </w:r>
      <w:r w:rsidR="00741D01" w:rsidRPr="00C3436D">
        <w:rPr>
          <w:color w:val="0D0D0D" w:themeColor="text1" w:themeTint="F2"/>
        </w:rPr>
        <w:t xml:space="preserve"> </w:t>
      </w:r>
      <w:r w:rsidR="00C37F08" w:rsidRPr="00C3436D">
        <w:rPr>
          <w:color w:val="0D0D0D" w:themeColor="text1" w:themeTint="F2"/>
        </w:rPr>
        <w:t>%</w:t>
      </w:r>
      <w:r w:rsidR="00741D01" w:rsidRPr="00C3436D">
        <w:rPr>
          <w:color w:val="0D0D0D" w:themeColor="text1" w:themeTint="F2"/>
        </w:rPr>
        <w:t xml:space="preserve">, odvisno od vključitve faktorja za zniževanje javnega dolga pod mejo 60 % BDP v naslednjih 20 (faktor 0,05) ali 50 letih (faktor 0,02). </w:t>
      </w:r>
      <w:r w:rsidR="00416BDF">
        <w:rPr>
          <w:color w:val="0D0D0D" w:themeColor="text1" w:themeTint="F2"/>
        </w:rPr>
        <w:t>Dovoljena stopnja rast</w:t>
      </w:r>
      <w:r w:rsidR="00C37F08" w:rsidRPr="00C3436D">
        <w:rPr>
          <w:color w:val="0D0D0D" w:themeColor="text1" w:themeTint="F2"/>
        </w:rPr>
        <w:t xml:space="preserve">i izdatkov je </w:t>
      </w:r>
      <w:r w:rsidR="00741D01" w:rsidRPr="00C3436D">
        <w:rPr>
          <w:color w:val="0D0D0D" w:themeColor="text1" w:themeTint="F2"/>
        </w:rPr>
        <w:t xml:space="preserve">zaradi tega </w:t>
      </w:r>
      <w:r w:rsidR="00C37F08" w:rsidRPr="00C3436D">
        <w:rPr>
          <w:color w:val="0D0D0D" w:themeColor="text1" w:themeTint="F2"/>
        </w:rPr>
        <w:t>nekoliko nižja od izračunane povprečne stopnje dolgoročne rasti potencialnega proizvoda</w:t>
      </w:r>
      <w:r w:rsidR="00741D01" w:rsidRPr="00C3436D">
        <w:rPr>
          <w:color w:val="0D0D0D" w:themeColor="text1" w:themeTint="F2"/>
        </w:rPr>
        <w:t xml:space="preserve">. </w:t>
      </w:r>
      <w:r w:rsidR="00C37F08" w:rsidRPr="00C3436D">
        <w:rPr>
          <w:color w:val="0D0D0D" w:themeColor="text1" w:themeTint="F2"/>
        </w:rPr>
        <w:t>Razlika je majhna zaradi dejstva, da je dolg leta 2020 le nekoliko višji od 60</w:t>
      </w:r>
      <w:r w:rsidR="00741D01" w:rsidRPr="00C3436D">
        <w:rPr>
          <w:color w:val="0D0D0D" w:themeColor="text1" w:themeTint="F2"/>
        </w:rPr>
        <w:t xml:space="preserve"> </w:t>
      </w:r>
      <w:r w:rsidR="00C37F08" w:rsidRPr="00C3436D">
        <w:rPr>
          <w:color w:val="0D0D0D" w:themeColor="text1" w:themeTint="F2"/>
        </w:rPr>
        <w:t xml:space="preserve">% BDP. Načrtovana rast </w:t>
      </w:r>
      <w:r w:rsidR="00741D01" w:rsidRPr="00C3436D">
        <w:rPr>
          <w:color w:val="0D0D0D" w:themeColor="text1" w:themeTint="F2"/>
        </w:rPr>
        <w:t xml:space="preserve">vseh izdatkov v letu 2020 je nižja od dovoljene in sicer </w:t>
      </w:r>
      <w:r w:rsidR="00C37F08" w:rsidRPr="00C3436D">
        <w:rPr>
          <w:color w:val="0D0D0D" w:themeColor="text1" w:themeTint="F2"/>
        </w:rPr>
        <w:t>4,</w:t>
      </w:r>
      <w:r w:rsidR="00741D01" w:rsidRPr="00C3436D">
        <w:rPr>
          <w:color w:val="0D0D0D" w:themeColor="text1" w:themeTint="F2"/>
        </w:rPr>
        <w:t xml:space="preserve">2 </w:t>
      </w:r>
      <w:r w:rsidR="00C37F08" w:rsidRPr="00C3436D">
        <w:rPr>
          <w:color w:val="0D0D0D" w:themeColor="text1" w:themeTint="F2"/>
        </w:rPr>
        <w:t xml:space="preserve">%. </w:t>
      </w:r>
      <w:r w:rsidR="00EA70F2" w:rsidRPr="00BB6E3B">
        <w:rPr>
          <w:color w:val="0D0D0D" w:themeColor="text1" w:themeTint="F2"/>
        </w:rPr>
        <w:t>Vendar pa tudi to merilo izdatkov ne odpravlja problema transparentnosti, saj kot opozarja strokovna javnost (v Sloveniji tudi Fiskalni svet) tako SURS kot tudi Eurostat ne objavljata podatkov za Odhodke za programe EU, ki so popolnoma usklajeni s prihodki sredstev EU</w:t>
      </w:r>
      <w:r w:rsidR="00902669" w:rsidRPr="00C3436D">
        <w:rPr>
          <w:color w:val="0D0D0D" w:themeColor="text1" w:themeTint="F2"/>
        </w:rPr>
        <w:t xml:space="preserve">. </w:t>
      </w:r>
      <w:r w:rsidR="00902669" w:rsidRPr="00C3436D">
        <w:rPr>
          <w:color w:val="auto"/>
        </w:rPr>
        <w:t>Prav tako vstopa v</w:t>
      </w:r>
      <w:r w:rsidR="00E868BE" w:rsidRPr="00C3436D">
        <w:rPr>
          <w:color w:val="auto"/>
        </w:rPr>
        <w:t xml:space="preserve"> izračun večletno povprečje potencialne rasti BDP, kjer države članice opozarjamo na volatilnost izračunov proizvodne vrzeli.</w:t>
      </w:r>
    </w:p>
    <w:p w:rsidR="00C37F08" w:rsidRPr="00F10CD6" w:rsidRDefault="00C37F08" w:rsidP="00C37F08">
      <w:pPr>
        <w:pStyle w:val="besedilo"/>
        <w:rPr>
          <w:color w:val="0D0D0D" w:themeColor="text1" w:themeTint="F2"/>
        </w:rPr>
      </w:pPr>
    </w:p>
    <w:p w:rsidR="009A2CB2" w:rsidRPr="00F10CD6" w:rsidRDefault="009E6A31" w:rsidP="00553FED">
      <w:pPr>
        <w:pStyle w:val="Heading2"/>
        <w:numPr>
          <w:ilvl w:val="1"/>
          <w:numId w:val="3"/>
        </w:numPr>
        <w:rPr>
          <w:color w:val="0D0D0D" w:themeColor="text1" w:themeTint="F2"/>
        </w:rPr>
      </w:pPr>
      <w:bookmarkStart w:id="9" w:name="_Toc6923650"/>
      <w:r w:rsidRPr="00F10CD6">
        <w:rPr>
          <w:color w:val="0D0D0D" w:themeColor="text1" w:themeTint="F2"/>
        </w:rPr>
        <w:lastRenderedPageBreak/>
        <w:t>P</w:t>
      </w:r>
      <w:r w:rsidR="00847991" w:rsidRPr="00F10CD6">
        <w:rPr>
          <w:color w:val="0D0D0D" w:themeColor="text1" w:themeTint="F2"/>
        </w:rPr>
        <w:t>rihodki sektorja država</w:t>
      </w:r>
      <w:bookmarkEnd w:id="9"/>
    </w:p>
    <w:p w:rsidR="00146C3E" w:rsidRPr="00F10CD6" w:rsidRDefault="00146C3E" w:rsidP="00225D74">
      <w:pPr>
        <w:spacing w:after="0"/>
        <w:rPr>
          <w:rFonts w:cs="Arial"/>
          <w:color w:val="0D0D0D" w:themeColor="text1" w:themeTint="F2"/>
        </w:rPr>
      </w:pPr>
    </w:p>
    <w:p w:rsidR="00146C3E" w:rsidRPr="00F10CD6" w:rsidRDefault="00225D74" w:rsidP="00225D74">
      <w:pPr>
        <w:spacing w:after="0" w:line="276" w:lineRule="auto"/>
        <w:rPr>
          <w:rFonts w:cs="Arial"/>
          <w:color w:val="0D0D0D" w:themeColor="text1" w:themeTint="F2"/>
        </w:rPr>
      </w:pPr>
      <w:r w:rsidRPr="00F10CD6">
        <w:rPr>
          <w:rFonts w:cs="Arial"/>
          <w:color w:val="0D0D0D" w:themeColor="text1" w:themeTint="F2"/>
        </w:rPr>
        <w:t xml:space="preserve">Rast javnofinančnih prihodkov je pričakovana tudi na srednji rok, vendar se bo postopoma umirila. V obdobju </w:t>
      </w:r>
      <w:r w:rsidR="008A72A7" w:rsidRPr="00F10CD6">
        <w:rPr>
          <w:rFonts w:cs="Arial"/>
          <w:color w:val="0D0D0D" w:themeColor="text1" w:themeTint="F2"/>
        </w:rPr>
        <w:t xml:space="preserve">od </w:t>
      </w:r>
      <w:r w:rsidRPr="00F10CD6">
        <w:rPr>
          <w:rFonts w:cs="Arial"/>
          <w:color w:val="0D0D0D" w:themeColor="text1" w:themeTint="F2"/>
        </w:rPr>
        <w:t>2020 do 2022 bodo prihodki sektorja država povprečno rasli s stopnjo 3,9  % letno. Medletna rast prihodkov v letu 2020 bo znašala 4,3 %. Največji delež k tej rasti bodo prispevali višji prihodki iz naslova socialnih prispevkov. Povečali se bodo za 6,2 %. Rasli bodo tudi prihodki od davkov (za 4,2 %), vendar bo rast zmernejša. Izmed davčnih prihodkov bodo še naprej najbolj rasli prihodki od davkov na dohodke in premoženje (6,0%), predvsem na račun dohodnine (6,7 %), prihodki od davkov na dohodke pravnih oseb pa bodo višji za 5,4 %. Za 3,2 % bodo višji prihodki od davkov na proizvodnjo in uvoz, predvsem zaradi višjih prihodkov od DDV. Rast prihodkov v letu 2021 se bo še dodatno umirila in bo znašala 3,6 %. Prihodki od socialnih prispevkov bodo višji za 6,0 %. Prihodki od davkov na dohodke in premoženje se bodo povečali za 5,3 %, davki na proizvodnjo in uvoz pa za 3,2 %. V letu 2022 je predvidena nekoliko višja rast prihodkov države (3,9 %). Podobno kot v preteklih letih bodo najhitreje rasli prihodki od socialnih prispevkov (5,5 %). S podobno dinamiko bodo rasli prihodki od davkov na dohodke in premoženje (5,3 %). Rast davkov na proizvodnjo in uvoz bo znašala 2,9 %. V nasprotju s prihodki od davkov in socialnih prispevkov se bodo prihodki od lastnine v obdobju 2020–2022 zmanjševali v povprečju 8,9 % letno. Zmanjšanje bo posledica nižjih prihodkov od obresti kot tudi nižjih prihodkov od razdeljenih dobičkov družb v lasti države</w:t>
      </w:r>
      <w:r w:rsidR="008A72A7" w:rsidRPr="00F10CD6">
        <w:rPr>
          <w:rFonts w:cs="Arial"/>
          <w:color w:val="0D0D0D" w:themeColor="text1" w:themeTint="F2"/>
        </w:rPr>
        <w:t>.</w:t>
      </w:r>
    </w:p>
    <w:p w:rsidR="007B4DD0" w:rsidRPr="00F10CD6" w:rsidRDefault="007B4DD0" w:rsidP="00225D74">
      <w:pPr>
        <w:spacing w:after="0" w:line="276" w:lineRule="auto"/>
        <w:rPr>
          <w:rFonts w:cs="Arial"/>
          <w:color w:val="0D0D0D" w:themeColor="text1" w:themeTint="F2"/>
        </w:rPr>
      </w:pPr>
    </w:p>
    <w:p w:rsidR="000C4CB5" w:rsidRPr="00F10CD6" w:rsidRDefault="000C4CB5" w:rsidP="00867F69">
      <w:pPr>
        <w:pStyle w:val="Caption"/>
        <w:keepNext/>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Slika</w:t>
      </w:r>
      <w:r w:rsidR="001760D3" w:rsidRPr="00F10CD6">
        <w:rPr>
          <w:rFonts w:ascii="Arial" w:hAnsi="Arial" w:cs="Arial"/>
          <w:color w:val="0D0D0D" w:themeColor="text1" w:themeTint="F2"/>
          <w:szCs w:val="22"/>
          <w:lang w:val="sl-SI"/>
        </w:rPr>
        <w:t xml:space="preserve"> 20</w:t>
      </w:r>
      <w:r w:rsidRPr="00F10CD6">
        <w:rPr>
          <w:rFonts w:ascii="Arial" w:hAnsi="Arial" w:cs="Arial"/>
          <w:color w:val="0D0D0D" w:themeColor="text1" w:themeTint="F2"/>
          <w:szCs w:val="22"/>
          <w:lang w:val="sl-SI"/>
        </w:rPr>
        <w:t>: Obremenitve z davki in prispevki</w:t>
      </w:r>
      <w:r w:rsidR="001A38EE" w:rsidRPr="00F10CD6">
        <w:rPr>
          <w:rFonts w:ascii="Arial" w:hAnsi="Arial" w:cs="Arial"/>
          <w:color w:val="0D0D0D" w:themeColor="text1" w:themeTint="F2"/>
          <w:szCs w:val="22"/>
          <w:lang w:val="sl-SI"/>
        </w:rPr>
        <w:t xml:space="preserve"> v </w:t>
      </w:r>
      <w:r w:rsidR="00AD6DC1" w:rsidRPr="00F10CD6">
        <w:rPr>
          <w:rFonts w:ascii="Arial" w:hAnsi="Arial" w:cs="Arial"/>
          <w:color w:val="0D0D0D" w:themeColor="text1" w:themeTint="F2"/>
          <w:szCs w:val="22"/>
          <w:lang w:val="sl-SI"/>
        </w:rPr>
        <w:t>EUR</w:t>
      </w:r>
      <w:r w:rsidR="00E11712" w:rsidRPr="00F10CD6">
        <w:rPr>
          <w:rFonts w:ascii="Arial" w:hAnsi="Arial" w:cs="Arial"/>
          <w:color w:val="0D0D0D" w:themeColor="text1" w:themeTint="F2"/>
          <w:szCs w:val="22"/>
          <w:lang w:val="sl-SI"/>
        </w:rPr>
        <w:t xml:space="preserve"> in v % BDP</w:t>
      </w:r>
    </w:p>
    <w:p w:rsidR="00D17CA3" w:rsidRPr="00F10CD6" w:rsidRDefault="00657372" w:rsidP="00335874">
      <w:pPr>
        <w:spacing w:after="0"/>
        <w:jc w:val="center"/>
        <w:rPr>
          <w:color w:val="0D0D0D" w:themeColor="text1" w:themeTint="F2"/>
          <w:lang w:eastAsia="sl-SI"/>
        </w:rPr>
      </w:pPr>
      <w:r w:rsidRPr="00F10CD6">
        <w:rPr>
          <w:noProof/>
          <w:color w:val="0D0D0D" w:themeColor="text1" w:themeTint="F2"/>
          <w:lang w:val="en-US"/>
        </w:rPr>
        <w:drawing>
          <wp:inline distT="0" distB="0" distL="0" distR="0" wp14:anchorId="5E510DA8" wp14:editId="6685CB55">
            <wp:extent cx="5391150" cy="280035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86232" w:rsidRPr="00F10CD6" w:rsidRDefault="00A86232" w:rsidP="00867F69">
      <w:pPr>
        <w:pStyle w:val="Caption"/>
        <w:keepNext/>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Ministrstvo za finance</w:t>
      </w:r>
    </w:p>
    <w:p w:rsidR="009E7A2E" w:rsidRPr="00F10CD6" w:rsidRDefault="009E7A2E" w:rsidP="001A38EE">
      <w:pPr>
        <w:spacing w:after="0"/>
        <w:rPr>
          <w:rFonts w:cs="Arial"/>
          <w:color w:val="0D0D0D" w:themeColor="text1" w:themeTint="F2"/>
        </w:rPr>
      </w:pPr>
    </w:p>
    <w:p w:rsidR="000C4CB5" w:rsidRPr="00F10CD6" w:rsidRDefault="00146C3E" w:rsidP="000C4CB5">
      <w:pPr>
        <w:pStyle w:val="ListParagraph"/>
        <w:numPr>
          <w:ilvl w:val="0"/>
          <w:numId w:val="1"/>
        </w:numPr>
        <w:spacing w:after="120" w:line="276" w:lineRule="auto"/>
        <w:ind w:left="426" w:hanging="357"/>
        <w:rPr>
          <w:rFonts w:cs="Arial"/>
          <w:color w:val="0D0D0D" w:themeColor="text1" w:themeTint="F2"/>
          <w:u w:val="single"/>
        </w:rPr>
      </w:pPr>
      <w:r w:rsidRPr="00F10CD6">
        <w:rPr>
          <w:rFonts w:cs="Arial"/>
          <w:color w:val="0D0D0D" w:themeColor="text1" w:themeTint="F2"/>
          <w:u w:val="single"/>
        </w:rPr>
        <w:t>Upravljanje (ne)</w:t>
      </w:r>
      <w:r w:rsidR="000C4CB5" w:rsidRPr="00F10CD6">
        <w:rPr>
          <w:rFonts w:cs="Arial"/>
          <w:color w:val="0D0D0D" w:themeColor="text1" w:themeTint="F2"/>
          <w:u w:val="single"/>
        </w:rPr>
        <w:t xml:space="preserve">davčnih </w:t>
      </w:r>
      <w:r w:rsidR="009A24F4" w:rsidRPr="00F10CD6">
        <w:rPr>
          <w:rFonts w:cs="Arial"/>
          <w:color w:val="0D0D0D" w:themeColor="text1" w:themeTint="F2"/>
          <w:u w:val="single"/>
        </w:rPr>
        <w:t xml:space="preserve">(in kapitalskih) </w:t>
      </w:r>
      <w:r w:rsidR="000C4CB5" w:rsidRPr="00F10CD6">
        <w:rPr>
          <w:rFonts w:cs="Arial"/>
          <w:color w:val="0D0D0D" w:themeColor="text1" w:themeTint="F2"/>
          <w:u w:val="single"/>
        </w:rPr>
        <w:t>prihodkov</w:t>
      </w:r>
    </w:p>
    <w:p w:rsidR="00146C3E" w:rsidRPr="00F10CD6" w:rsidRDefault="00146C3E" w:rsidP="005E5222">
      <w:pPr>
        <w:pStyle w:val="besedilo"/>
        <w:rPr>
          <w:color w:val="0D0D0D" w:themeColor="text1" w:themeTint="F2"/>
        </w:rPr>
      </w:pPr>
      <w:r w:rsidRPr="00F10CD6">
        <w:rPr>
          <w:color w:val="0D0D0D" w:themeColor="text1" w:themeTint="F2"/>
        </w:rPr>
        <w:t>Ključna usmeritev pri pripravi sprememb na področju davčne politike je razbremenitev stroškov dela in povečanje razpoložljivega dohodka. Predlog da</w:t>
      </w:r>
      <w:r w:rsidR="000B39D8" w:rsidRPr="00F10CD6">
        <w:rPr>
          <w:color w:val="0D0D0D" w:themeColor="text1" w:themeTint="F2"/>
        </w:rPr>
        <w:t>včne reforme predvideva zvišanje</w:t>
      </w:r>
      <w:r w:rsidRPr="00F10CD6">
        <w:rPr>
          <w:color w:val="0D0D0D" w:themeColor="text1" w:themeTint="F2"/>
        </w:rPr>
        <w:t xml:space="preserve"> splošne in dodatne splošne olajšave ter spremembe dohodninske lestvice tako pri stopnjah kot pri mejah dohodninskih razredov. Dodatno se predlaga razbremenitev regresa z dohodnino in prispevki za socialno varnost. Za zagotavljanje dolgoročne vzdržnosti javnih financ so predlagani tudi ukrepi za prestrukturiranje davčnih dajatev, torej ukrepi za nadomestitev izpada </w:t>
      </w:r>
      <w:r w:rsidRPr="00F10CD6">
        <w:rPr>
          <w:color w:val="0D0D0D" w:themeColor="text1" w:themeTint="F2"/>
        </w:rPr>
        <w:lastRenderedPageBreak/>
        <w:t>na čim bolj nevtralen način. Vladni predlog vsebuje ukrepe v smeri povečanja obremenitve kapitala.</w:t>
      </w:r>
    </w:p>
    <w:p w:rsidR="00146C3E" w:rsidRPr="00F10CD6" w:rsidRDefault="00146C3E" w:rsidP="005E5222">
      <w:pPr>
        <w:pStyle w:val="besedilo"/>
        <w:rPr>
          <w:color w:val="0D0D0D" w:themeColor="text1" w:themeTint="F2"/>
        </w:rPr>
      </w:pPr>
    </w:p>
    <w:p w:rsidR="00146C3E" w:rsidRPr="00F10CD6" w:rsidRDefault="00146C3E" w:rsidP="005E5222">
      <w:pPr>
        <w:pStyle w:val="besedilo"/>
        <w:rPr>
          <w:color w:val="0D0D0D" w:themeColor="text1" w:themeTint="F2"/>
        </w:rPr>
      </w:pPr>
      <w:r w:rsidRPr="00F10CD6">
        <w:rPr>
          <w:color w:val="0D0D0D" w:themeColor="text1" w:themeTint="F2"/>
        </w:rPr>
        <w:t>Za moderno poslovno okolje tudi na davčnem področju potrebujemo ukrepe v smeri informatizacije postopkov in enostavnosti izpolnjevanja obveznosti plačil javnih dajatev, kar se bo zagotavljalo z uvedbo mobilnih aplikacij ter s prenovo davčnih in carinskih IT</w:t>
      </w:r>
      <w:r w:rsidR="008A72A7" w:rsidRPr="00F10CD6">
        <w:rPr>
          <w:color w:val="0D0D0D" w:themeColor="text1" w:themeTint="F2"/>
        </w:rPr>
        <w:t>-</w:t>
      </w:r>
      <w:r w:rsidRPr="00F10CD6">
        <w:rPr>
          <w:color w:val="0D0D0D" w:themeColor="text1" w:themeTint="F2"/>
        </w:rPr>
        <w:t>sistemov. S preprečevanjem zlorab na področju plačevanja javnih dajatev prek zavarovanja davčnih obveznosti pa bomo na dolgi rok vplivali na zmanjševanje zatečenega davčnega dolga in neposredno preprečevali nastanek novega davčnega dolga. Znotraj teh ukrepov bo v prihodnjem obdobju, poleg organizacijskih ukrepov, Slovenija pripravila tudi vse potrebno za prenos določb direktive o določitvi pravil proti praksam izogibanja davkom.</w:t>
      </w:r>
    </w:p>
    <w:p w:rsidR="00146C3E" w:rsidRPr="00F10CD6" w:rsidRDefault="00146C3E" w:rsidP="005E5222">
      <w:pPr>
        <w:pStyle w:val="besedilo"/>
        <w:rPr>
          <w:color w:val="0D0D0D" w:themeColor="text1" w:themeTint="F2"/>
        </w:rPr>
      </w:pPr>
    </w:p>
    <w:p w:rsidR="00146C3E" w:rsidRPr="00F10CD6" w:rsidRDefault="00146C3E" w:rsidP="005E5222">
      <w:pPr>
        <w:pStyle w:val="besedilo"/>
        <w:rPr>
          <w:color w:val="0D0D0D" w:themeColor="text1" w:themeTint="F2"/>
        </w:rPr>
      </w:pPr>
      <w:r w:rsidRPr="00F10CD6">
        <w:rPr>
          <w:color w:val="0D0D0D" w:themeColor="text1" w:themeTint="F2"/>
        </w:rPr>
        <w:t xml:space="preserve">Slovenski državni holding (SDH) je kot centralizirani upravljavec kapitalskih naložb države od </w:t>
      </w:r>
      <w:r w:rsidR="008A72A7" w:rsidRPr="00F10CD6">
        <w:rPr>
          <w:color w:val="0D0D0D" w:themeColor="text1" w:themeTint="F2"/>
        </w:rPr>
        <w:t xml:space="preserve">leta </w:t>
      </w:r>
      <w:r w:rsidRPr="00F10CD6">
        <w:rPr>
          <w:color w:val="0D0D0D" w:themeColor="text1" w:themeTint="F2"/>
        </w:rPr>
        <w:t>2013, ko je državni zbor sprejel seznam 15 družb za privatizacijo in v letu 2015 še Odlok o strategiji upravljanja kapitalskih naložb države, prodal kapitalske naložbe države v 24 družbah, vključujoč Novo Ljubljansko banko (NLB). Poleg tega je KAD v letu 2018 prodal svoj delež v družbi Gorenje. Iz naslova izvedenih privatizacij od leta 2013 je državni proračun prejel skupno 1.043 milijarde evrov kupnin.</w:t>
      </w:r>
    </w:p>
    <w:p w:rsidR="00146C3E" w:rsidRPr="00F10CD6" w:rsidRDefault="00146C3E" w:rsidP="005E5222">
      <w:pPr>
        <w:pStyle w:val="besedilo"/>
        <w:rPr>
          <w:color w:val="0D0D0D" w:themeColor="text1" w:themeTint="F2"/>
        </w:rPr>
      </w:pPr>
    </w:p>
    <w:p w:rsidR="00146C3E" w:rsidRPr="00F10CD6" w:rsidRDefault="00146C3E" w:rsidP="009E7A2E">
      <w:pPr>
        <w:spacing w:after="0" w:line="276" w:lineRule="auto"/>
        <w:rPr>
          <w:rFonts w:cs="Arial"/>
          <w:bCs/>
          <w:color w:val="0D0D0D" w:themeColor="text1" w:themeTint="F2"/>
        </w:rPr>
      </w:pPr>
      <w:r w:rsidRPr="00F10CD6">
        <w:rPr>
          <w:rFonts w:cs="Arial"/>
          <w:bCs/>
          <w:color w:val="0D0D0D" w:themeColor="text1" w:themeTint="F2"/>
        </w:rPr>
        <w:t>Z začetkom kotacije delnic NLB je SDH zaključil prvi korak privatizacije NLB. S tem R</w:t>
      </w:r>
      <w:r w:rsidR="008A72A7" w:rsidRPr="00F10CD6">
        <w:rPr>
          <w:rFonts w:cs="Arial"/>
          <w:bCs/>
          <w:color w:val="0D0D0D" w:themeColor="text1" w:themeTint="F2"/>
        </w:rPr>
        <w:t xml:space="preserve">epublika </w:t>
      </w:r>
      <w:r w:rsidRPr="00F10CD6">
        <w:rPr>
          <w:rFonts w:cs="Arial"/>
          <w:bCs/>
          <w:color w:val="0D0D0D" w:themeColor="text1" w:themeTint="F2"/>
        </w:rPr>
        <w:t>S</w:t>
      </w:r>
      <w:r w:rsidR="008A72A7" w:rsidRPr="00F10CD6">
        <w:rPr>
          <w:rFonts w:cs="Arial"/>
          <w:bCs/>
          <w:color w:val="0D0D0D" w:themeColor="text1" w:themeTint="F2"/>
        </w:rPr>
        <w:t>lovenija</w:t>
      </w:r>
      <w:r w:rsidRPr="00F10CD6">
        <w:rPr>
          <w:rFonts w:cs="Arial"/>
          <w:bCs/>
          <w:color w:val="0D0D0D" w:themeColor="text1" w:themeTint="F2"/>
        </w:rPr>
        <w:t xml:space="preserve"> izpolnjuje tudi prvi del zavez do Evropske komisije v zvezi s privatizacijo NLB, ki so bile dane kot posledica državne pomoči v letu 2013 (in so bile spremenjene v letu 2018). V postopku IPO je bilo prodanih 65 % delnic NLB. Do konca leta 2019 bo skladno z zavezami R</w:t>
      </w:r>
      <w:r w:rsidR="008A72A7" w:rsidRPr="00F10CD6">
        <w:rPr>
          <w:rFonts w:cs="Arial"/>
          <w:bCs/>
          <w:color w:val="0D0D0D" w:themeColor="text1" w:themeTint="F2"/>
        </w:rPr>
        <w:t xml:space="preserve">epublike </w:t>
      </w:r>
      <w:r w:rsidRPr="00F10CD6">
        <w:rPr>
          <w:rFonts w:cs="Arial"/>
          <w:bCs/>
          <w:color w:val="0D0D0D" w:themeColor="text1" w:themeTint="F2"/>
        </w:rPr>
        <w:t>S</w:t>
      </w:r>
      <w:r w:rsidR="008A72A7" w:rsidRPr="00F10CD6">
        <w:rPr>
          <w:rFonts w:cs="Arial"/>
          <w:bCs/>
          <w:color w:val="0D0D0D" w:themeColor="text1" w:themeTint="F2"/>
        </w:rPr>
        <w:t>lovenije</w:t>
      </w:r>
      <w:r w:rsidRPr="00F10CD6">
        <w:rPr>
          <w:rFonts w:cs="Arial"/>
          <w:bCs/>
          <w:color w:val="0D0D0D" w:themeColor="text1" w:themeTint="F2"/>
        </w:rPr>
        <w:t xml:space="preserve"> do Evropske komisije prodan še preostanek delnic do 75 % minus </w:t>
      </w:r>
      <w:r w:rsidR="000B39D8" w:rsidRPr="00F10CD6">
        <w:rPr>
          <w:rFonts w:cs="Arial"/>
          <w:bCs/>
          <w:color w:val="0D0D0D" w:themeColor="text1" w:themeTint="F2"/>
        </w:rPr>
        <w:t>ena delnica. Skladno z zavezami</w:t>
      </w:r>
      <w:r w:rsidRPr="00F10CD6">
        <w:rPr>
          <w:rFonts w:cs="Arial"/>
          <w:bCs/>
          <w:color w:val="0D0D0D" w:themeColor="text1" w:themeTint="F2"/>
        </w:rPr>
        <w:t xml:space="preserve"> je SDH že začel prodajni postopek 100</w:t>
      </w:r>
      <w:r w:rsidR="008A72A7" w:rsidRPr="00F10CD6">
        <w:rPr>
          <w:rFonts w:cs="Arial"/>
          <w:bCs/>
          <w:color w:val="0D0D0D" w:themeColor="text1" w:themeTint="F2"/>
        </w:rPr>
        <w:t>-</w:t>
      </w:r>
      <w:r w:rsidRPr="00F10CD6">
        <w:rPr>
          <w:rFonts w:cs="Arial"/>
          <w:bCs/>
          <w:color w:val="0D0D0D" w:themeColor="text1" w:themeTint="F2"/>
        </w:rPr>
        <w:t>% lastniškega deleža Republike Slovenije v Abanki, ki ga bo zaključil naj</w:t>
      </w:r>
      <w:r w:rsidR="008A72A7" w:rsidRPr="00F10CD6">
        <w:rPr>
          <w:rFonts w:cs="Arial"/>
          <w:bCs/>
          <w:color w:val="0D0D0D" w:themeColor="text1" w:themeTint="F2"/>
        </w:rPr>
        <w:t>poz</w:t>
      </w:r>
      <w:r w:rsidRPr="00F10CD6">
        <w:rPr>
          <w:rFonts w:cs="Arial"/>
          <w:bCs/>
          <w:color w:val="0D0D0D" w:themeColor="text1" w:themeTint="F2"/>
        </w:rPr>
        <w:t xml:space="preserve">neje do 30. 6. 2019. </w:t>
      </w:r>
    </w:p>
    <w:p w:rsidR="00146C3E" w:rsidRPr="00F10CD6" w:rsidRDefault="00146C3E" w:rsidP="009E7A2E">
      <w:pPr>
        <w:pStyle w:val="besedilo"/>
        <w:rPr>
          <w:color w:val="0D0D0D" w:themeColor="text1" w:themeTint="F2"/>
        </w:rPr>
      </w:pPr>
    </w:p>
    <w:p w:rsidR="00146C3E" w:rsidRPr="00F10CD6" w:rsidRDefault="00146C3E" w:rsidP="009E7A2E">
      <w:pPr>
        <w:pStyle w:val="besedilo"/>
        <w:rPr>
          <w:bCs w:val="0"/>
          <w:color w:val="0D0D0D" w:themeColor="text1" w:themeTint="F2"/>
        </w:rPr>
      </w:pPr>
      <w:r w:rsidRPr="00F10CD6">
        <w:rPr>
          <w:color w:val="0D0D0D" w:themeColor="text1" w:themeTint="F2"/>
        </w:rPr>
        <w:t>Primarna naloga SDH je zagotavljanje pogojev za aktivno upravljanje naložb v skladu s strategijo in letnimi načrti upravljanja kapitalskih naložb. Poslovno leto 2017 je bilo uspešno z vidika dividend, saj je bilo v proračun države v letu 2018 vplačano za 446,9 mio evrov dividend</w:t>
      </w:r>
      <w:r w:rsidRPr="00F10CD6">
        <w:rPr>
          <w:bCs w:val="0"/>
          <w:color w:val="0D0D0D" w:themeColor="text1" w:themeTint="F2"/>
        </w:rPr>
        <w:t>.</w:t>
      </w:r>
    </w:p>
    <w:p w:rsidR="00146C3E" w:rsidRPr="00F10CD6" w:rsidRDefault="00146C3E" w:rsidP="00F009C9">
      <w:pPr>
        <w:spacing w:line="276" w:lineRule="auto"/>
        <w:rPr>
          <w:rFonts w:cs="Arial"/>
          <w:bCs/>
          <w:color w:val="0D0D0D" w:themeColor="text1" w:themeTint="F2"/>
        </w:rPr>
      </w:pPr>
    </w:p>
    <w:p w:rsidR="000C4CB5" w:rsidRPr="00F10CD6" w:rsidRDefault="000C4CB5" w:rsidP="00553FED">
      <w:pPr>
        <w:pStyle w:val="Heading2"/>
        <w:numPr>
          <w:ilvl w:val="1"/>
          <w:numId w:val="3"/>
        </w:numPr>
        <w:rPr>
          <w:color w:val="0D0D0D" w:themeColor="text1" w:themeTint="F2"/>
        </w:rPr>
      </w:pPr>
      <w:bookmarkStart w:id="10" w:name="_Toc6923651"/>
      <w:r w:rsidRPr="00F10CD6">
        <w:rPr>
          <w:color w:val="0D0D0D" w:themeColor="text1" w:themeTint="F2"/>
        </w:rPr>
        <w:t>Izdatki sektorja država</w:t>
      </w:r>
      <w:bookmarkEnd w:id="10"/>
    </w:p>
    <w:p w:rsidR="000C4CB5" w:rsidRPr="00F10CD6" w:rsidRDefault="000C4CB5" w:rsidP="000C4CB5">
      <w:pPr>
        <w:spacing w:after="0"/>
        <w:rPr>
          <w:rFonts w:cs="Arial"/>
          <w:bCs/>
          <w:color w:val="0D0D0D" w:themeColor="text1" w:themeTint="F2"/>
        </w:rPr>
      </w:pPr>
    </w:p>
    <w:p w:rsidR="001F1B14" w:rsidRPr="00F10CD6" w:rsidRDefault="009A4333" w:rsidP="00567D58">
      <w:pPr>
        <w:spacing w:line="276" w:lineRule="auto"/>
        <w:rPr>
          <w:rFonts w:cs="Arial"/>
          <w:color w:val="0D0D0D" w:themeColor="text1" w:themeTint="F2"/>
          <w:lang w:eastAsia="sl-SI"/>
        </w:rPr>
      </w:pPr>
      <w:r w:rsidRPr="00F10CD6">
        <w:rPr>
          <w:rFonts w:cs="Arial"/>
          <w:color w:val="0D0D0D" w:themeColor="text1" w:themeTint="F2"/>
          <w:lang w:eastAsia="sl-SI"/>
        </w:rPr>
        <w:t>V</w:t>
      </w:r>
      <w:r w:rsidR="001F1B14" w:rsidRPr="00F10CD6">
        <w:rPr>
          <w:rFonts w:cs="Arial"/>
          <w:color w:val="0D0D0D" w:themeColor="text1" w:themeTint="F2"/>
          <w:lang w:eastAsia="sl-SI"/>
        </w:rPr>
        <w:t xml:space="preserve"> letu 2019 pričakujemo rast izdatkov za </w:t>
      </w:r>
      <w:r w:rsidR="00067B0A" w:rsidRPr="00F10CD6">
        <w:rPr>
          <w:rFonts w:cs="Arial"/>
          <w:color w:val="0D0D0D" w:themeColor="text1" w:themeTint="F2"/>
          <w:lang w:eastAsia="sl-SI"/>
        </w:rPr>
        <w:t>5</w:t>
      </w:r>
      <w:r w:rsidR="001F1B14" w:rsidRPr="00F10CD6">
        <w:rPr>
          <w:rFonts w:cs="Arial"/>
          <w:color w:val="0D0D0D" w:themeColor="text1" w:themeTint="F2"/>
          <w:lang w:eastAsia="sl-SI"/>
        </w:rPr>
        <w:t>,</w:t>
      </w:r>
      <w:r w:rsidR="00067B0A" w:rsidRPr="00F10CD6">
        <w:rPr>
          <w:rFonts w:cs="Arial"/>
          <w:color w:val="0D0D0D" w:themeColor="text1" w:themeTint="F2"/>
          <w:lang w:eastAsia="sl-SI"/>
        </w:rPr>
        <w:t>9</w:t>
      </w:r>
      <w:r w:rsidR="008A72A7" w:rsidRPr="00F10CD6">
        <w:rPr>
          <w:rFonts w:cs="Arial"/>
          <w:color w:val="0D0D0D" w:themeColor="text1" w:themeTint="F2"/>
          <w:lang w:eastAsia="sl-SI"/>
        </w:rPr>
        <w:t> </w:t>
      </w:r>
      <w:r w:rsidR="001F1B14" w:rsidRPr="00F10CD6">
        <w:rPr>
          <w:rFonts w:cs="Arial"/>
          <w:color w:val="0D0D0D" w:themeColor="text1" w:themeTint="F2"/>
          <w:lang w:eastAsia="sl-SI"/>
        </w:rPr>
        <w:t>%</w:t>
      </w:r>
      <w:r w:rsidR="000B39D8" w:rsidRPr="00F10CD6">
        <w:rPr>
          <w:rFonts w:cs="Arial"/>
          <w:color w:val="0D0D0D" w:themeColor="text1" w:themeTint="F2"/>
          <w:lang w:eastAsia="sl-SI"/>
        </w:rPr>
        <w:t>,</w:t>
      </w:r>
      <w:r w:rsidR="001F1B14" w:rsidRPr="00F10CD6">
        <w:rPr>
          <w:rFonts w:cs="Arial"/>
          <w:color w:val="0D0D0D" w:themeColor="text1" w:themeTint="F2"/>
          <w:lang w:eastAsia="sl-SI"/>
        </w:rPr>
        <w:t xml:space="preserve"> </w:t>
      </w:r>
      <w:r w:rsidRPr="00F10CD6">
        <w:rPr>
          <w:rFonts w:cs="Arial"/>
          <w:color w:val="0D0D0D" w:themeColor="text1" w:themeTint="F2"/>
          <w:lang w:eastAsia="sl-SI"/>
        </w:rPr>
        <w:t xml:space="preserve">kar bo znašalo </w:t>
      </w:r>
      <w:r w:rsidR="001F1B14" w:rsidRPr="00F10CD6">
        <w:rPr>
          <w:rFonts w:cs="Arial"/>
          <w:color w:val="0D0D0D" w:themeColor="text1" w:themeTint="F2"/>
          <w:lang w:eastAsia="sl-SI"/>
        </w:rPr>
        <w:t>42,</w:t>
      </w:r>
      <w:r w:rsidR="00067B0A" w:rsidRPr="00F10CD6">
        <w:rPr>
          <w:rFonts w:cs="Arial"/>
          <w:color w:val="0D0D0D" w:themeColor="text1" w:themeTint="F2"/>
          <w:lang w:eastAsia="sl-SI"/>
        </w:rPr>
        <w:t>3</w:t>
      </w:r>
      <w:r w:rsidR="001F1B14" w:rsidRPr="00F10CD6">
        <w:rPr>
          <w:rFonts w:cs="Arial"/>
          <w:color w:val="0D0D0D" w:themeColor="text1" w:themeTint="F2"/>
          <w:lang w:eastAsia="sl-SI"/>
        </w:rPr>
        <w:t xml:space="preserve"> % BDP.  V % BDP ne prihaja do pospešenega zviševanja izdatkov</w:t>
      </w:r>
      <w:r w:rsidRPr="00F10CD6">
        <w:rPr>
          <w:rFonts w:cs="Arial"/>
          <w:color w:val="0D0D0D" w:themeColor="text1" w:themeTint="F2"/>
          <w:lang w:eastAsia="sl-SI"/>
        </w:rPr>
        <w:t>,</w:t>
      </w:r>
      <w:r w:rsidR="00FE2772" w:rsidRPr="00F10CD6">
        <w:rPr>
          <w:rFonts w:cs="Arial"/>
          <w:color w:val="0D0D0D" w:themeColor="text1" w:themeTint="F2"/>
          <w:lang w:eastAsia="sl-SI"/>
        </w:rPr>
        <w:t xml:space="preserve"> </w:t>
      </w:r>
      <w:r w:rsidR="001F1B14" w:rsidRPr="00F10CD6">
        <w:rPr>
          <w:rFonts w:cs="Arial"/>
          <w:color w:val="0D0D0D" w:themeColor="text1" w:themeTint="F2"/>
          <w:lang w:eastAsia="sl-SI"/>
        </w:rPr>
        <w:t>kar kaže na nadaljevanje politik iz leta 2018 na področju</w:t>
      </w:r>
      <w:r w:rsidR="00962E54" w:rsidRPr="00F10CD6">
        <w:rPr>
          <w:rFonts w:cs="Arial"/>
          <w:color w:val="0D0D0D" w:themeColor="text1" w:themeTint="F2"/>
          <w:lang w:eastAsia="sl-SI"/>
        </w:rPr>
        <w:t xml:space="preserve"> </w:t>
      </w:r>
      <w:r w:rsidRPr="00F10CD6">
        <w:rPr>
          <w:rFonts w:cs="Arial"/>
          <w:color w:val="0D0D0D" w:themeColor="text1" w:themeTint="F2"/>
          <w:lang w:eastAsia="sl-SI"/>
        </w:rPr>
        <w:t xml:space="preserve">sredstev </w:t>
      </w:r>
      <w:r w:rsidR="00FE2772" w:rsidRPr="00F10CD6">
        <w:rPr>
          <w:rFonts w:cs="Arial"/>
          <w:color w:val="0D0D0D" w:themeColor="text1" w:themeTint="F2"/>
          <w:lang w:eastAsia="sl-SI"/>
        </w:rPr>
        <w:t>za zaposlene</w:t>
      </w:r>
      <w:r w:rsidR="001F1B14" w:rsidRPr="00F10CD6">
        <w:rPr>
          <w:rFonts w:cs="Arial"/>
          <w:color w:val="0D0D0D" w:themeColor="text1" w:themeTint="F2"/>
          <w:lang w:eastAsia="sl-SI"/>
        </w:rPr>
        <w:t xml:space="preserve"> </w:t>
      </w:r>
      <w:r w:rsidR="00FE2772" w:rsidRPr="00F10CD6">
        <w:rPr>
          <w:rFonts w:cs="Arial"/>
          <w:color w:val="0D0D0D" w:themeColor="text1" w:themeTint="F2"/>
          <w:lang w:eastAsia="sl-SI"/>
        </w:rPr>
        <w:t xml:space="preserve">in </w:t>
      </w:r>
      <w:r w:rsidR="001F1B14" w:rsidRPr="00F10CD6">
        <w:rPr>
          <w:rFonts w:cs="Arial"/>
          <w:color w:val="0D0D0D" w:themeColor="text1" w:themeTint="F2"/>
          <w:lang w:eastAsia="sl-SI"/>
        </w:rPr>
        <w:t>social</w:t>
      </w:r>
      <w:r w:rsidR="00962E54" w:rsidRPr="00F10CD6">
        <w:rPr>
          <w:rFonts w:cs="Arial"/>
          <w:color w:val="0D0D0D" w:themeColor="text1" w:themeTint="F2"/>
          <w:lang w:eastAsia="sl-SI"/>
        </w:rPr>
        <w:t xml:space="preserve">nih </w:t>
      </w:r>
      <w:r w:rsidR="00FE2772" w:rsidRPr="00F10CD6">
        <w:rPr>
          <w:rFonts w:cs="Arial"/>
          <w:color w:val="0D0D0D" w:themeColor="text1" w:themeTint="F2"/>
          <w:lang w:eastAsia="sl-SI"/>
        </w:rPr>
        <w:t>nadomestil</w:t>
      </w:r>
      <w:r w:rsidR="00962E54" w:rsidRPr="00F10CD6">
        <w:rPr>
          <w:rFonts w:cs="Arial"/>
          <w:color w:val="0D0D0D" w:themeColor="text1" w:themeTint="F2"/>
          <w:lang w:eastAsia="sl-SI"/>
        </w:rPr>
        <w:t>, ki</w:t>
      </w:r>
      <w:r w:rsidR="001F1B14" w:rsidRPr="00F10CD6">
        <w:rPr>
          <w:rFonts w:cs="Arial"/>
          <w:color w:val="0D0D0D" w:themeColor="text1" w:themeTint="F2"/>
          <w:lang w:eastAsia="sl-SI"/>
        </w:rPr>
        <w:t xml:space="preserve"> </w:t>
      </w:r>
      <w:r w:rsidR="00962E54" w:rsidRPr="00F10CD6">
        <w:rPr>
          <w:rFonts w:cs="Arial"/>
          <w:color w:val="0D0D0D" w:themeColor="text1" w:themeTint="F2"/>
          <w:lang w:eastAsia="sl-SI"/>
        </w:rPr>
        <w:t>zajema</w:t>
      </w:r>
      <w:r w:rsidRPr="00F10CD6">
        <w:rPr>
          <w:rFonts w:cs="Arial"/>
          <w:color w:val="0D0D0D" w:themeColor="text1" w:themeTint="F2"/>
          <w:lang w:eastAsia="sl-SI"/>
        </w:rPr>
        <w:t>ta</w:t>
      </w:r>
      <w:r w:rsidR="00962E54" w:rsidRPr="00F10CD6">
        <w:rPr>
          <w:rFonts w:cs="Arial"/>
          <w:color w:val="0D0D0D" w:themeColor="text1" w:themeTint="F2"/>
          <w:lang w:eastAsia="sl-SI"/>
        </w:rPr>
        <w:t xml:space="preserve"> zelo široko področje po ESA 2010 (od bolniških nadomestil, denarnih socialnih podpor, ukrepov družinske politike do regresiranja prevozov).</w:t>
      </w:r>
    </w:p>
    <w:p w:rsidR="007B4DD0" w:rsidRDefault="007B4DD0" w:rsidP="009B5300">
      <w:pPr>
        <w:spacing w:after="0" w:line="276" w:lineRule="auto"/>
        <w:rPr>
          <w:rFonts w:cs="Arial"/>
          <w:bCs/>
          <w:color w:val="0D0D0D" w:themeColor="text1" w:themeTint="F2"/>
        </w:rPr>
      </w:pPr>
      <w:r w:rsidRPr="00F10CD6">
        <w:rPr>
          <w:rFonts w:cs="Arial"/>
          <w:color w:val="0D0D0D" w:themeColor="text1" w:themeTint="F2"/>
          <w:lang w:eastAsia="sl-SI"/>
        </w:rPr>
        <w:t xml:space="preserve">Srednjeročno se bo rast izdatkov umirila, gledano relativno v % BDP pa bo negativna. V povprečju bodo od 2020 do 2022 izdatki rastli 3,7%. V letu 2020 se bodo izdatki države povečali za 4,2 %, v deležu BDP pa bodo padli na 41,6 % BDP. Leta 2021 se bodo povečali za 3,2 %, njihov delež v BDP pa bo predstavljal 40,7 % BDP. Podoben trend se bo nadaljeval tudi v letu 2022, ko se bodo izdatki države sicer povečali za 3,8 %, njihov delež pa bo padel na 40,2 % BDP. </w:t>
      </w:r>
      <w:r w:rsidRPr="00F10CD6">
        <w:rPr>
          <w:rFonts w:cs="Arial"/>
          <w:color w:val="0D0D0D" w:themeColor="text1" w:themeTint="F2"/>
        </w:rPr>
        <w:t xml:space="preserve">Rast izdatkov sektorja država bo do konca srednjeročnega obdobja </w:t>
      </w:r>
      <w:r w:rsidRPr="00F10CD6">
        <w:rPr>
          <w:rFonts w:cs="Arial"/>
          <w:bCs/>
          <w:color w:val="0D0D0D" w:themeColor="text1" w:themeTint="F2"/>
        </w:rPr>
        <w:t xml:space="preserve">skladna s ciljem doseganja izboljšanja salda sektorja država ob načrtovanih višjih prihodkih in upoštevanju </w:t>
      </w:r>
      <w:r w:rsidRPr="00F10CD6">
        <w:rPr>
          <w:rFonts w:cs="Arial"/>
          <w:bCs/>
          <w:color w:val="0D0D0D" w:themeColor="text1" w:themeTint="F2"/>
        </w:rPr>
        <w:lastRenderedPageBreak/>
        <w:t>fiskalnega pravila (in delno ustvarjenim prostorom za fiskalne blažilce, ker se strukturni saldo popolnoma uravnoteži v 2022).</w:t>
      </w:r>
    </w:p>
    <w:p w:rsidR="009B5300" w:rsidRPr="00F10CD6" w:rsidRDefault="009B5300" w:rsidP="009B5300">
      <w:pPr>
        <w:spacing w:after="0" w:line="276" w:lineRule="auto"/>
        <w:rPr>
          <w:rFonts w:cs="Arial"/>
          <w:bCs/>
          <w:color w:val="0D0D0D" w:themeColor="text1" w:themeTint="F2"/>
        </w:rPr>
      </w:pPr>
    </w:p>
    <w:p w:rsidR="00B250B5" w:rsidRPr="00F10CD6" w:rsidRDefault="00B250B5" w:rsidP="00867F69">
      <w:pPr>
        <w:pStyle w:val="Caption"/>
        <w:keepNext/>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Slika</w:t>
      </w:r>
      <w:r w:rsidR="00E338B7" w:rsidRPr="00F10CD6">
        <w:rPr>
          <w:rFonts w:ascii="Arial" w:hAnsi="Arial" w:cs="Arial"/>
          <w:color w:val="0D0D0D" w:themeColor="text1" w:themeTint="F2"/>
          <w:szCs w:val="22"/>
          <w:lang w:val="sl-SI"/>
        </w:rPr>
        <w:t xml:space="preserve"> 21</w:t>
      </w:r>
      <w:r w:rsidRPr="00F10CD6">
        <w:rPr>
          <w:rFonts w:ascii="Arial" w:hAnsi="Arial" w:cs="Arial"/>
          <w:color w:val="0D0D0D" w:themeColor="text1" w:themeTint="F2"/>
          <w:szCs w:val="22"/>
          <w:lang w:val="sl-SI"/>
        </w:rPr>
        <w:t>: Ključne komponente izdatkov sektorja država v % BDP</w:t>
      </w:r>
    </w:p>
    <w:p w:rsidR="00BD07FE" w:rsidRPr="00F10CD6" w:rsidRDefault="001F6B32" w:rsidP="00C055B3">
      <w:pPr>
        <w:pStyle w:val="Caption"/>
        <w:keepNext/>
        <w:spacing w:before="0" w:after="0"/>
        <w:jc w:val="center"/>
        <w:rPr>
          <w:rFonts w:ascii="Arial" w:hAnsi="Arial" w:cs="Arial"/>
          <w:color w:val="0D0D0D" w:themeColor="text1" w:themeTint="F2"/>
          <w:sz w:val="20"/>
          <w:szCs w:val="22"/>
          <w:lang w:val="sl-SI"/>
        </w:rPr>
      </w:pPr>
      <w:r w:rsidRPr="00F10CD6">
        <w:rPr>
          <w:noProof/>
          <w:color w:val="0D0D0D" w:themeColor="text1" w:themeTint="F2"/>
          <w:lang w:val="en-US" w:eastAsia="en-US"/>
        </w:rPr>
        <w:drawing>
          <wp:inline distT="0" distB="0" distL="0" distR="0" wp14:anchorId="478FC557" wp14:editId="71926FF2">
            <wp:extent cx="45720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250B5" w:rsidRPr="00F10CD6" w:rsidRDefault="00B250B5" w:rsidP="00C055B3">
      <w:pPr>
        <w:pStyle w:val="Caption"/>
        <w:keepNext/>
        <w:spacing w:before="0" w:after="0"/>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Ministrstvo za finance</w:t>
      </w:r>
    </w:p>
    <w:p w:rsidR="00C055B3" w:rsidRPr="00F10CD6" w:rsidRDefault="00C055B3" w:rsidP="00C055B3">
      <w:pPr>
        <w:spacing w:after="0" w:line="276" w:lineRule="auto"/>
        <w:rPr>
          <w:rFonts w:cs="Arial"/>
          <w:color w:val="0D0D0D" w:themeColor="text1" w:themeTint="F2"/>
          <w:lang w:eastAsia="sl-SI"/>
        </w:rPr>
      </w:pPr>
    </w:p>
    <w:p w:rsidR="000C4CB5" w:rsidRPr="00F10CD6" w:rsidRDefault="000C4CB5" w:rsidP="009B5300">
      <w:pPr>
        <w:pStyle w:val="ListParagraph"/>
        <w:numPr>
          <w:ilvl w:val="0"/>
          <w:numId w:val="22"/>
        </w:numPr>
        <w:spacing w:after="0" w:line="276" w:lineRule="auto"/>
        <w:rPr>
          <w:rFonts w:cs="Arial"/>
          <w:color w:val="0D0D0D" w:themeColor="text1" w:themeTint="F2"/>
          <w:u w:val="single"/>
        </w:rPr>
      </w:pPr>
      <w:r w:rsidRPr="00F10CD6">
        <w:rPr>
          <w:rFonts w:cs="Arial"/>
          <w:color w:val="0D0D0D" w:themeColor="text1" w:themeTint="F2"/>
          <w:u w:val="single"/>
        </w:rPr>
        <w:t xml:space="preserve">Sredstva za zaposlene </w:t>
      </w:r>
    </w:p>
    <w:p w:rsidR="007B4DD0" w:rsidRPr="00F10CD6" w:rsidRDefault="007B4DD0" w:rsidP="007B4DD0">
      <w:pPr>
        <w:spacing w:after="0" w:line="276" w:lineRule="auto"/>
        <w:rPr>
          <w:rFonts w:cs="Arial"/>
          <w:color w:val="0D0D0D" w:themeColor="text1" w:themeTint="F2"/>
        </w:rPr>
      </w:pPr>
    </w:p>
    <w:p w:rsidR="00E40A3A" w:rsidRPr="00F10CD6" w:rsidRDefault="00E40A3A" w:rsidP="003259EE">
      <w:pPr>
        <w:spacing w:line="276" w:lineRule="auto"/>
        <w:rPr>
          <w:rFonts w:cs="Arial"/>
          <w:color w:val="0D0D0D" w:themeColor="text1" w:themeTint="F2"/>
        </w:rPr>
      </w:pPr>
      <w:r w:rsidRPr="00F10CD6">
        <w:rPr>
          <w:rFonts w:cs="Arial"/>
          <w:color w:val="0D0D0D" w:themeColor="text1" w:themeTint="F2"/>
        </w:rPr>
        <w:t xml:space="preserve">Reprezentativni sindikati in nekateri drugi sindikati javnega sektorja so konec leta 2017 napovedali stavko. Pogajanja o razrešitvi stavkovnih zahtev, ki so se </w:t>
      </w:r>
      <w:r w:rsidR="008A72A7" w:rsidRPr="00F10CD6">
        <w:rPr>
          <w:rFonts w:cs="Arial"/>
          <w:color w:val="0D0D0D" w:themeColor="text1" w:themeTint="F2"/>
        </w:rPr>
        <w:t>za</w:t>
      </w:r>
      <w:r w:rsidRPr="00F10CD6">
        <w:rPr>
          <w:rFonts w:cs="Arial"/>
          <w:color w:val="0D0D0D" w:themeColor="text1" w:themeTint="F2"/>
        </w:rPr>
        <w:t xml:space="preserve">čela v začetku leta 2018, so bila prekinjena zaradi odstopa vlade in novih volitev, vendar so se jeseni zaradi obnovljenih stavkovnih zahtev nadaljevala. Vlada se je </w:t>
      </w:r>
      <w:r w:rsidR="008A72A7" w:rsidRPr="00F10CD6">
        <w:rPr>
          <w:rFonts w:cs="Arial"/>
          <w:color w:val="0D0D0D" w:themeColor="text1" w:themeTint="F2"/>
        </w:rPr>
        <w:t xml:space="preserve">v </w:t>
      </w:r>
      <w:r w:rsidRPr="00F10CD6">
        <w:rPr>
          <w:rFonts w:cs="Arial"/>
          <w:color w:val="0D0D0D" w:themeColor="text1" w:themeTint="F2"/>
        </w:rPr>
        <w:t>pogajanj</w:t>
      </w:r>
      <w:r w:rsidR="008A72A7" w:rsidRPr="00F10CD6">
        <w:rPr>
          <w:rFonts w:cs="Arial"/>
          <w:color w:val="0D0D0D" w:themeColor="text1" w:themeTint="F2"/>
        </w:rPr>
        <w:t>ih</w:t>
      </w:r>
      <w:r w:rsidRPr="00F10CD6">
        <w:rPr>
          <w:rFonts w:cs="Arial"/>
          <w:color w:val="0D0D0D" w:themeColor="text1" w:themeTint="F2"/>
        </w:rPr>
        <w:t xml:space="preserve"> uspela dogovoriti z večino sindikatov o razrešitvi njihovih stavkovnih zahtev, ki se nanašajo na plače in druge prejemke javnih uslužbencev in decembra </w:t>
      </w:r>
      <w:r w:rsidR="00E338B7" w:rsidRPr="00F10CD6">
        <w:rPr>
          <w:rFonts w:cs="Arial"/>
          <w:color w:val="0D0D0D" w:themeColor="text1" w:themeTint="F2"/>
        </w:rPr>
        <w:t xml:space="preserve">2018 </w:t>
      </w:r>
      <w:r w:rsidRPr="00F10CD6">
        <w:rPr>
          <w:rFonts w:cs="Arial"/>
          <w:color w:val="0D0D0D" w:themeColor="text1" w:themeTint="F2"/>
        </w:rPr>
        <w:t>podpisala Dogovor o plačah in drugih stroških dela v javnem sektorju. Učinek navedenega dogovora bo realiziran postopno, in sicer v treh letih.</w:t>
      </w:r>
    </w:p>
    <w:p w:rsidR="00962E54" w:rsidRPr="00F10CD6" w:rsidRDefault="00E40A3A" w:rsidP="003259EE">
      <w:pPr>
        <w:pStyle w:val="ListParagraph"/>
        <w:numPr>
          <w:ilvl w:val="0"/>
          <w:numId w:val="15"/>
        </w:numPr>
        <w:spacing w:after="0" w:line="276" w:lineRule="auto"/>
        <w:ind w:left="284" w:hanging="284"/>
        <w:rPr>
          <w:rFonts w:cs="Arial"/>
          <w:color w:val="0D0D0D" w:themeColor="text1" w:themeTint="F2"/>
        </w:rPr>
      </w:pPr>
      <w:r w:rsidRPr="00F10CD6">
        <w:rPr>
          <w:rFonts w:cs="Arial"/>
          <w:color w:val="0D0D0D" w:themeColor="text1" w:themeTint="F2"/>
        </w:rPr>
        <w:t>Sredstva za stroške dela tako v letih 2019–2021 vključujejo rast zaradi:</w:t>
      </w:r>
      <w:r w:rsidR="00595BBE" w:rsidRPr="00F10CD6">
        <w:rPr>
          <w:rFonts w:cs="Arial"/>
          <w:color w:val="0D0D0D" w:themeColor="text1" w:themeTint="F2"/>
        </w:rPr>
        <w:t xml:space="preserve"> </w:t>
      </w:r>
      <w:r w:rsidRPr="00F10CD6">
        <w:rPr>
          <w:rFonts w:cs="Arial"/>
          <w:color w:val="0D0D0D" w:themeColor="text1" w:themeTint="F2"/>
        </w:rPr>
        <w:t xml:space="preserve">rednih napredovanj, ki se </w:t>
      </w:r>
      <w:r w:rsidR="008A72A7" w:rsidRPr="00F10CD6">
        <w:rPr>
          <w:rFonts w:cs="Arial"/>
          <w:color w:val="0D0D0D" w:themeColor="text1" w:themeTint="F2"/>
        </w:rPr>
        <w:t>za</w:t>
      </w:r>
      <w:r w:rsidRPr="00F10CD6">
        <w:rPr>
          <w:rFonts w:cs="Arial"/>
          <w:color w:val="0D0D0D" w:themeColor="text1" w:themeTint="F2"/>
        </w:rPr>
        <w:t>čnejo izplačevati z decembrom vsakega leta,</w:t>
      </w:r>
      <w:r w:rsidR="00595BBE" w:rsidRPr="00F10CD6">
        <w:rPr>
          <w:rFonts w:cs="Arial"/>
          <w:color w:val="0D0D0D" w:themeColor="text1" w:themeTint="F2"/>
        </w:rPr>
        <w:t xml:space="preserve"> </w:t>
      </w:r>
      <w:r w:rsidRPr="00F10CD6">
        <w:rPr>
          <w:rFonts w:cs="Arial"/>
          <w:color w:val="0D0D0D" w:themeColor="text1" w:themeTint="F2"/>
        </w:rPr>
        <w:t xml:space="preserve">sklenjenega </w:t>
      </w:r>
      <w:r w:rsidR="000B39D8" w:rsidRPr="00F10CD6">
        <w:rPr>
          <w:rFonts w:cs="Arial"/>
          <w:color w:val="0D0D0D" w:themeColor="text1" w:themeTint="F2"/>
        </w:rPr>
        <w:t xml:space="preserve">stavkovnega </w:t>
      </w:r>
      <w:r w:rsidRPr="00F10CD6">
        <w:rPr>
          <w:rFonts w:cs="Arial"/>
          <w:color w:val="0D0D0D" w:themeColor="text1" w:themeTint="F2"/>
        </w:rPr>
        <w:t xml:space="preserve">dogovora, na podlagi katerega se povišajo plače večini zaposlenih, </w:t>
      </w:r>
    </w:p>
    <w:p w:rsidR="00962E54" w:rsidRPr="00F10CD6" w:rsidRDefault="00E40A3A" w:rsidP="003259EE">
      <w:pPr>
        <w:pStyle w:val="ListParagraph"/>
        <w:numPr>
          <w:ilvl w:val="0"/>
          <w:numId w:val="15"/>
        </w:numPr>
        <w:spacing w:after="0" w:line="276" w:lineRule="auto"/>
        <w:ind w:left="284" w:hanging="284"/>
        <w:rPr>
          <w:rFonts w:cs="Arial"/>
          <w:color w:val="0D0D0D" w:themeColor="text1" w:themeTint="F2"/>
        </w:rPr>
      </w:pPr>
      <w:r w:rsidRPr="00F10CD6">
        <w:rPr>
          <w:rFonts w:cs="Arial"/>
          <w:color w:val="0D0D0D" w:themeColor="text1" w:themeTint="F2"/>
        </w:rPr>
        <w:t xml:space="preserve">povečajo se dodatki in nekateri drugi izdatki, </w:t>
      </w:r>
      <w:r w:rsidR="00E338B7" w:rsidRPr="00F10CD6">
        <w:rPr>
          <w:rFonts w:cs="Arial"/>
          <w:color w:val="0D0D0D" w:themeColor="text1" w:themeTint="F2"/>
        </w:rPr>
        <w:t xml:space="preserve">hkrati pa še velja omejitev </w:t>
      </w:r>
      <w:r w:rsidRPr="00F10CD6">
        <w:rPr>
          <w:rFonts w:cs="Arial"/>
          <w:color w:val="0D0D0D" w:themeColor="text1" w:themeTint="F2"/>
        </w:rPr>
        <w:t>izplačevanja delovne uspešnost do julija 2020, uveden pa je tudi trajni zamik izplačevanja napredovanj na 1. december tekočega leta,</w:t>
      </w:r>
      <w:r w:rsidRPr="00F10CD6">
        <w:rPr>
          <w:rFonts w:cs="Arial"/>
          <w:color w:val="0D0D0D" w:themeColor="text1" w:themeTint="F2"/>
          <w:sz w:val="14"/>
          <w:szCs w:val="14"/>
        </w:rPr>
        <w:t xml:space="preserve"> </w:t>
      </w:r>
    </w:p>
    <w:p w:rsidR="00E40A3A" w:rsidRPr="00F10CD6" w:rsidRDefault="000B39D8" w:rsidP="003259EE">
      <w:pPr>
        <w:pStyle w:val="ListParagraph"/>
        <w:numPr>
          <w:ilvl w:val="0"/>
          <w:numId w:val="15"/>
        </w:numPr>
        <w:spacing w:after="0" w:line="276" w:lineRule="auto"/>
        <w:ind w:left="284" w:hanging="284"/>
        <w:rPr>
          <w:rFonts w:cs="Arial"/>
          <w:color w:val="0D0D0D" w:themeColor="text1" w:themeTint="F2"/>
        </w:rPr>
      </w:pPr>
      <w:r w:rsidRPr="00F10CD6">
        <w:rPr>
          <w:rFonts w:cs="Arial"/>
          <w:color w:val="0D0D0D" w:themeColor="text1" w:themeTint="F2"/>
        </w:rPr>
        <w:t>višje minimalne plače (jan. 2019</w:t>
      </w:r>
      <w:r w:rsidR="00E40A3A" w:rsidRPr="00F10CD6">
        <w:rPr>
          <w:rFonts w:cs="Arial"/>
          <w:color w:val="0D0D0D" w:themeColor="text1" w:themeTint="F2"/>
        </w:rPr>
        <w:t>), ki vpliva tako na najnižje plače kot tudi na višino regresa za letni dopust vseh zaposlenih v javnem sektorju.</w:t>
      </w:r>
    </w:p>
    <w:p w:rsidR="00E40A3A" w:rsidRPr="00F10CD6" w:rsidRDefault="00E40A3A" w:rsidP="003259EE">
      <w:pPr>
        <w:pStyle w:val="besedilo"/>
        <w:rPr>
          <w:color w:val="0D0D0D" w:themeColor="text1" w:themeTint="F2"/>
        </w:rPr>
      </w:pPr>
    </w:p>
    <w:p w:rsidR="00E40A3A" w:rsidRPr="00F10CD6" w:rsidRDefault="00E40A3A" w:rsidP="003259EE">
      <w:pPr>
        <w:pStyle w:val="besedilo"/>
        <w:rPr>
          <w:color w:val="0D0D0D" w:themeColor="text1" w:themeTint="F2"/>
        </w:rPr>
      </w:pPr>
      <w:r w:rsidRPr="00F10CD6">
        <w:rPr>
          <w:color w:val="0D0D0D" w:themeColor="text1" w:themeTint="F2"/>
        </w:rPr>
        <w:t>Za leto 2022 ni dogovora</w:t>
      </w:r>
      <w:r w:rsidR="00595BBE" w:rsidRPr="00F10CD6">
        <w:rPr>
          <w:color w:val="0D0D0D" w:themeColor="text1" w:themeTint="F2"/>
        </w:rPr>
        <w:t>,</w:t>
      </w:r>
      <w:r w:rsidRPr="00F10CD6">
        <w:rPr>
          <w:color w:val="0D0D0D" w:themeColor="text1" w:themeTint="F2"/>
        </w:rPr>
        <w:t xml:space="preserve"> zato je v projekcijah predvideno povečanje mase sredstev za </w:t>
      </w:r>
      <w:r w:rsidR="000B39D8" w:rsidRPr="00F10CD6">
        <w:rPr>
          <w:color w:val="0D0D0D" w:themeColor="text1" w:themeTint="F2"/>
        </w:rPr>
        <w:t>stroške dela s povprečno rastjo</w:t>
      </w:r>
      <w:r w:rsidRPr="00F10CD6">
        <w:rPr>
          <w:color w:val="0D0D0D" w:themeColor="text1" w:themeTint="F2"/>
        </w:rPr>
        <w:t xml:space="preserve"> tovrstnih sredstev v preteklem letu.</w:t>
      </w:r>
      <w:r w:rsidR="00E338B7" w:rsidRPr="00F10CD6">
        <w:rPr>
          <w:color w:val="0D0D0D" w:themeColor="text1" w:themeTint="F2"/>
        </w:rPr>
        <w:t xml:space="preserve"> </w:t>
      </w:r>
      <w:r w:rsidRPr="00F10CD6">
        <w:rPr>
          <w:color w:val="0D0D0D" w:themeColor="text1" w:themeTint="F2"/>
        </w:rPr>
        <w:t>Določeni ukrepi oziroma znižanja, ki so bila dogovorjena že leta 2012</w:t>
      </w:r>
      <w:r w:rsidR="00595BBE" w:rsidRPr="00F10CD6">
        <w:rPr>
          <w:color w:val="0D0D0D" w:themeColor="text1" w:themeTint="F2"/>
        </w:rPr>
        <w:t>,</w:t>
      </w:r>
      <w:r w:rsidRPr="00F10CD6">
        <w:rPr>
          <w:color w:val="0D0D0D" w:themeColor="text1" w:themeTint="F2"/>
        </w:rPr>
        <w:t xml:space="preserve"> še vedno veljajo, saj naj bi bila trajne narave (npr. prevoz na delo in z dela, prehrana med delom, dodatek za ločeno življenje, dnevnice za službeno pot, znižanje vrednosti plačne lestvice za 8 %</w:t>
      </w:r>
      <w:r w:rsidR="00733A88" w:rsidRPr="00F10CD6">
        <w:rPr>
          <w:color w:val="0D0D0D" w:themeColor="text1" w:themeTint="F2"/>
        </w:rPr>
        <w:t xml:space="preserve"> itd.</w:t>
      </w:r>
      <w:r w:rsidRPr="00F10CD6">
        <w:rPr>
          <w:color w:val="0D0D0D" w:themeColor="text1" w:themeTint="F2"/>
        </w:rPr>
        <w:t xml:space="preserve">). </w:t>
      </w:r>
      <w:r w:rsidR="000B39D8" w:rsidRPr="00F10CD6">
        <w:rPr>
          <w:color w:val="0D0D0D" w:themeColor="text1" w:themeTint="F2"/>
        </w:rPr>
        <w:t xml:space="preserve">Kljub trajni naravi teh ukrepov </w:t>
      </w:r>
      <w:r w:rsidRPr="00F10CD6">
        <w:rPr>
          <w:color w:val="0D0D0D" w:themeColor="text1" w:themeTint="F2"/>
        </w:rPr>
        <w:t>sindikati želijo pogajanja glede vrnitve teh pravic</w:t>
      </w:r>
      <w:r w:rsidR="00E338B7" w:rsidRPr="00F10CD6">
        <w:rPr>
          <w:color w:val="0D0D0D" w:themeColor="text1" w:themeTint="F2"/>
        </w:rPr>
        <w:t>,</w:t>
      </w:r>
      <w:r w:rsidRPr="00F10CD6">
        <w:rPr>
          <w:color w:val="0D0D0D" w:themeColor="text1" w:themeTint="F2"/>
        </w:rPr>
        <w:t xml:space="preserve"> dogovor o določitvi normativov in standardov v nekaterih dejavnostih (sociala, zdravstvo) ter </w:t>
      </w:r>
      <w:r w:rsidR="00E338B7" w:rsidRPr="00F10CD6">
        <w:rPr>
          <w:color w:val="0D0D0D" w:themeColor="text1" w:themeTint="F2"/>
        </w:rPr>
        <w:t xml:space="preserve">uvedbo </w:t>
      </w:r>
      <w:r w:rsidRPr="00F10CD6">
        <w:rPr>
          <w:color w:val="0D0D0D" w:themeColor="text1" w:themeTint="F2"/>
        </w:rPr>
        <w:t xml:space="preserve">mehanizma za </w:t>
      </w:r>
      <w:r w:rsidR="000B39D8" w:rsidRPr="00F10CD6">
        <w:rPr>
          <w:color w:val="0D0D0D" w:themeColor="text1" w:themeTint="F2"/>
        </w:rPr>
        <w:t xml:space="preserve">letno </w:t>
      </w:r>
      <w:r w:rsidRPr="00F10CD6">
        <w:rPr>
          <w:color w:val="0D0D0D" w:themeColor="text1" w:themeTint="F2"/>
        </w:rPr>
        <w:t>usklajevanje plač.</w:t>
      </w:r>
    </w:p>
    <w:p w:rsidR="00224122" w:rsidRPr="00F10CD6" w:rsidRDefault="00224122" w:rsidP="003259EE">
      <w:pPr>
        <w:autoSpaceDE w:val="0"/>
        <w:autoSpaceDN w:val="0"/>
        <w:adjustRightInd w:val="0"/>
        <w:spacing w:after="0" w:line="276" w:lineRule="auto"/>
        <w:rPr>
          <w:rFonts w:cs="Arial"/>
          <w:color w:val="0D0D0D" w:themeColor="text1" w:themeTint="F2"/>
        </w:rPr>
      </w:pPr>
      <w:r w:rsidRPr="00F10CD6">
        <w:rPr>
          <w:rFonts w:cs="Arial"/>
          <w:color w:val="0D0D0D" w:themeColor="text1" w:themeTint="F2"/>
        </w:rPr>
        <w:lastRenderedPageBreak/>
        <w:t xml:space="preserve">Na področju plač v javnem sektorju </w:t>
      </w:r>
      <w:r w:rsidR="00E338B7" w:rsidRPr="00F10CD6">
        <w:rPr>
          <w:rFonts w:cs="Arial"/>
          <w:color w:val="0D0D0D" w:themeColor="text1" w:themeTint="F2"/>
        </w:rPr>
        <w:t>v prihodnje načrtujemo</w:t>
      </w:r>
      <w:r w:rsidRPr="00F10CD6">
        <w:rPr>
          <w:rFonts w:cs="Arial"/>
          <w:color w:val="0D0D0D" w:themeColor="text1" w:themeTint="F2"/>
        </w:rPr>
        <w:t xml:space="preserve"> več povezanosti plačila dela z rezultati dela, večjo avtonomijo </w:t>
      </w:r>
      <w:r w:rsidR="008A72A7" w:rsidRPr="00F10CD6">
        <w:rPr>
          <w:rFonts w:cs="Arial"/>
          <w:color w:val="0D0D0D" w:themeColor="text1" w:themeTint="F2"/>
        </w:rPr>
        <w:t xml:space="preserve">menedžmenta </w:t>
      </w:r>
      <w:r w:rsidRPr="00F10CD6">
        <w:rPr>
          <w:rFonts w:cs="Arial"/>
          <w:color w:val="0D0D0D" w:themeColor="text1" w:themeTint="F2"/>
        </w:rPr>
        <w:t>pri določanju plače in zmanjšanj</w:t>
      </w:r>
      <w:r w:rsidR="008A72A7" w:rsidRPr="00F10CD6">
        <w:rPr>
          <w:rFonts w:cs="Arial"/>
          <w:color w:val="0D0D0D" w:themeColor="text1" w:themeTint="F2"/>
        </w:rPr>
        <w:t>u</w:t>
      </w:r>
      <w:r w:rsidRPr="00F10CD6">
        <w:rPr>
          <w:rFonts w:cs="Arial"/>
          <w:color w:val="0D0D0D" w:themeColor="text1" w:themeTint="F2"/>
        </w:rPr>
        <w:t xml:space="preserve"> razlik v osnovnih plačah javnih uslužbencev za opravljanje istega dela. Prav tako bomo proučili določbe Zakona o sistemu plač v javnem sektorju in Kolektivne pogodbe za javni sektor, ki se nanašajo na ureditev redne delovne uspešnosti</w:t>
      </w:r>
      <w:r w:rsidR="008A72A7" w:rsidRPr="00F10CD6">
        <w:rPr>
          <w:rFonts w:cs="Arial"/>
          <w:color w:val="0D0D0D" w:themeColor="text1" w:themeTint="F2"/>
        </w:rPr>
        <w:t>,</w:t>
      </w:r>
      <w:r w:rsidRPr="00F10CD6">
        <w:rPr>
          <w:rFonts w:cs="Arial"/>
          <w:color w:val="0D0D0D" w:themeColor="text1" w:themeTint="F2"/>
        </w:rPr>
        <w:t xml:space="preserve"> in oblikova</w:t>
      </w:r>
      <w:r w:rsidR="00E338B7" w:rsidRPr="00F10CD6">
        <w:rPr>
          <w:rFonts w:cs="Arial"/>
          <w:color w:val="0D0D0D" w:themeColor="text1" w:themeTint="F2"/>
        </w:rPr>
        <w:t>l</w:t>
      </w:r>
      <w:r w:rsidRPr="00F10CD6">
        <w:rPr>
          <w:rFonts w:cs="Arial"/>
          <w:color w:val="0D0D0D" w:themeColor="text1" w:themeTint="F2"/>
        </w:rPr>
        <w:t>i objektivn</w:t>
      </w:r>
      <w:r w:rsidR="008A72A7" w:rsidRPr="00F10CD6">
        <w:rPr>
          <w:rFonts w:cs="Arial"/>
          <w:color w:val="0D0D0D" w:themeColor="text1" w:themeTint="F2"/>
        </w:rPr>
        <w:t>a</w:t>
      </w:r>
      <w:r w:rsidRPr="00F10CD6">
        <w:rPr>
          <w:rFonts w:cs="Arial"/>
          <w:color w:val="0D0D0D" w:themeColor="text1" w:themeTint="F2"/>
        </w:rPr>
        <w:t xml:space="preserve"> </w:t>
      </w:r>
      <w:r w:rsidR="008A72A7" w:rsidRPr="00F10CD6">
        <w:rPr>
          <w:rFonts w:cs="Arial"/>
          <w:color w:val="0D0D0D" w:themeColor="text1" w:themeTint="F2"/>
        </w:rPr>
        <w:t>merila</w:t>
      </w:r>
      <w:r w:rsidRPr="00F10CD6">
        <w:rPr>
          <w:rFonts w:cs="Arial"/>
          <w:color w:val="0D0D0D" w:themeColor="text1" w:themeTint="F2"/>
        </w:rPr>
        <w:t>, ki bi po eni strani poenostavil</w:t>
      </w:r>
      <w:r w:rsidR="008A72A7" w:rsidRPr="00F10CD6">
        <w:rPr>
          <w:rFonts w:cs="Arial"/>
          <w:color w:val="0D0D0D" w:themeColor="text1" w:themeTint="F2"/>
        </w:rPr>
        <w:t>a</w:t>
      </w:r>
      <w:r w:rsidRPr="00F10CD6">
        <w:rPr>
          <w:rFonts w:cs="Arial"/>
          <w:color w:val="0D0D0D" w:themeColor="text1" w:themeTint="F2"/>
        </w:rPr>
        <w:t xml:space="preserve"> postopek nagrajevanja delovne uspešnosti, po drugi strani pa </w:t>
      </w:r>
      <w:r w:rsidR="00E338B7" w:rsidRPr="00F10CD6">
        <w:rPr>
          <w:rFonts w:cs="Arial"/>
          <w:color w:val="0D0D0D" w:themeColor="text1" w:themeTint="F2"/>
        </w:rPr>
        <w:t xml:space="preserve">nagradili </w:t>
      </w:r>
      <w:r w:rsidRPr="00F10CD6">
        <w:rPr>
          <w:rFonts w:cs="Arial"/>
          <w:color w:val="0D0D0D" w:themeColor="text1" w:themeTint="F2"/>
        </w:rPr>
        <w:t xml:space="preserve"> </w:t>
      </w:r>
      <w:r w:rsidR="00E338B7" w:rsidRPr="00F10CD6">
        <w:rPr>
          <w:rFonts w:cs="Arial"/>
          <w:color w:val="0D0D0D" w:themeColor="text1" w:themeTint="F2"/>
        </w:rPr>
        <w:t>uslužbence</w:t>
      </w:r>
      <w:r w:rsidRPr="00F10CD6">
        <w:rPr>
          <w:rFonts w:cs="Arial"/>
          <w:color w:val="0D0D0D" w:themeColor="text1" w:themeTint="F2"/>
        </w:rPr>
        <w:t xml:space="preserve">, ki dosegajo nadpovprečne rezultate. Prav tako bomo dali večji poudarek usposabljanju vodstvenih delavcev in predstojnikov za učinkovito vodenje. Pripravljen bo pregled sistemov napredovanj in kariernega napredovanja, na </w:t>
      </w:r>
      <w:r w:rsidR="008A72A7" w:rsidRPr="00F10CD6">
        <w:rPr>
          <w:rFonts w:cs="Arial"/>
          <w:color w:val="0D0D0D" w:themeColor="text1" w:themeTint="F2"/>
        </w:rPr>
        <w:t xml:space="preserve">podlagi </w:t>
      </w:r>
      <w:r w:rsidRPr="00F10CD6">
        <w:rPr>
          <w:rFonts w:cs="Arial"/>
          <w:color w:val="0D0D0D" w:themeColor="text1" w:themeTint="F2"/>
        </w:rPr>
        <w:t>česar bodo ugotovljene morebitne neupravičene razlike med dejavnostmi in znotraj dejavnosti ter razlik</w:t>
      </w:r>
      <w:r w:rsidR="008A72A7" w:rsidRPr="00F10CD6">
        <w:rPr>
          <w:rFonts w:cs="Arial"/>
          <w:color w:val="0D0D0D" w:themeColor="text1" w:themeTint="F2"/>
        </w:rPr>
        <w:t>e</w:t>
      </w:r>
      <w:r w:rsidRPr="00F10CD6">
        <w:rPr>
          <w:rFonts w:cs="Arial"/>
          <w:color w:val="0D0D0D" w:themeColor="text1" w:themeTint="F2"/>
        </w:rPr>
        <w:t xml:space="preserve"> v plačah. Nadaljevali bomo usklajevanje s sindikati javnega sektorja v zvezi z </w:t>
      </w:r>
      <w:r w:rsidR="008A72A7" w:rsidRPr="00F10CD6">
        <w:rPr>
          <w:rFonts w:cs="Arial"/>
          <w:color w:val="0D0D0D" w:themeColor="text1" w:themeTint="F2"/>
        </w:rPr>
        <w:t xml:space="preserve">uresničevanjem </w:t>
      </w:r>
      <w:r w:rsidRPr="00F10CD6">
        <w:rPr>
          <w:rFonts w:cs="Arial"/>
          <w:color w:val="0D0D0D" w:themeColor="text1" w:themeTint="F2"/>
        </w:rPr>
        <w:t>zavez iz dogovora in stavkovnih sporazumov</w:t>
      </w:r>
      <w:r w:rsidR="00E338B7" w:rsidRPr="00F10CD6">
        <w:rPr>
          <w:rFonts w:cs="Arial"/>
          <w:color w:val="0D0D0D" w:themeColor="text1" w:themeTint="F2"/>
        </w:rPr>
        <w:t xml:space="preserve"> ter o</w:t>
      </w:r>
      <w:r w:rsidRPr="00F10CD6">
        <w:rPr>
          <w:rFonts w:cs="Arial"/>
          <w:color w:val="0D0D0D" w:themeColor="text1" w:themeTint="F2"/>
        </w:rPr>
        <w:t xml:space="preserve"> temeljnih vprašanjih s področja uslužbenske zakonodaje in sistema plač v javnem sektorju</w:t>
      </w:r>
      <w:r w:rsidR="00E338B7" w:rsidRPr="00F10CD6">
        <w:rPr>
          <w:rFonts w:cs="Arial"/>
          <w:color w:val="0D0D0D" w:themeColor="text1" w:themeTint="F2"/>
        </w:rPr>
        <w:t>.</w:t>
      </w:r>
      <w:r w:rsidRPr="00F10CD6">
        <w:rPr>
          <w:rFonts w:cs="Arial"/>
          <w:color w:val="0D0D0D" w:themeColor="text1" w:themeTint="F2"/>
        </w:rPr>
        <w:t xml:space="preserve"> </w:t>
      </w:r>
    </w:p>
    <w:p w:rsidR="00D57727" w:rsidRPr="00F10CD6" w:rsidRDefault="00D57727" w:rsidP="003259EE">
      <w:pPr>
        <w:autoSpaceDE w:val="0"/>
        <w:autoSpaceDN w:val="0"/>
        <w:adjustRightInd w:val="0"/>
        <w:spacing w:after="0" w:line="276" w:lineRule="auto"/>
        <w:rPr>
          <w:rFonts w:cs="Arial"/>
          <w:color w:val="0D0D0D" w:themeColor="text1" w:themeTint="F2"/>
        </w:rPr>
      </w:pPr>
    </w:p>
    <w:p w:rsidR="000C4CB5" w:rsidRPr="00F10CD6" w:rsidRDefault="000C4CB5" w:rsidP="009B5300">
      <w:pPr>
        <w:pStyle w:val="ListParagraph"/>
        <w:numPr>
          <w:ilvl w:val="0"/>
          <w:numId w:val="23"/>
        </w:numPr>
        <w:spacing w:after="0" w:line="276" w:lineRule="auto"/>
        <w:rPr>
          <w:rFonts w:cs="Arial"/>
          <w:color w:val="0D0D0D" w:themeColor="text1" w:themeTint="F2"/>
          <w:u w:val="single"/>
        </w:rPr>
      </w:pPr>
      <w:r w:rsidRPr="00F10CD6">
        <w:rPr>
          <w:rFonts w:cs="Arial"/>
          <w:color w:val="0D0D0D" w:themeColor="text1" w:themeTint="F2"/>
          <w:u w:val="single"/>
        </w:rPr>
        <w:t>Socialn</w:t>
      </w:r>
      <w:r w:rsidR="0026231F" w:rsidRPr="00F10CD6">
        <w:rPr>
          <w:rFonts w:cs="Arial"/>
          <w:color w:val="0D0D0D" w:themeColor="text1" w:themeTint="F2"/>
          <w:u w:val="single"/>
        </w:rPr>
        <w:t>a</w:t>
      </w:r>
      <w:r w:rsidRPr="00F10CD6">
        <w:rPr>
          <w:rFonts w:cs="Arial"/>
          <w:color w:val="0D0D0D" w:themeColor="text1" w:themeTint="F2"/>
          <w:u w:val="single"/>
        </w:rPr>
        <w:t xml:space="preserve"> </w:t>
      </w:r>
      <w:r w:rsidR="0026231F" w:rsidRPr="00F10CD6">
        <w:rPr>
          <w:rFonts w:cs="Arial"/>
          <w:color w:val="0D0D0D" w:themeColor="text1" w:themeTint="F2"/>
          <w:u w:val="single"/>
        </w:rPr>
        <w:t>nadomestila</w:t>
      </w:r>
    </w:p>
    <w:p w:rsidR="007B4DD0" w:rsidRPr="00F10CD6" w:rsidRDefault="007B4DD0" w:rsidP="003259EE">
      <w:pPr>
        <w:pStyle w:val="besedilo"/>
        <w:rPr>
          <w:color w:val="0D0D0D" w:themeColor="text1" w:themeTint="F2"/>
        </w:rPr>
      </w:pPr>
    </w:p>
    <w:p w:rsidR="005E5222" w:rsidRPr="00F10CD6" w:rsidRDefault="005E5222" w:rsidP="003259EE">
      <w:pPr>
        <w:pStyle w:val="besedilo"/>
        <w:rPr>
          <w:color w:val="0D0D0D" w:themeColor="text1" w:themeTint="F2"/>
        </w:rPr>
      </w:pPr>
      <w:r w:rsidRPr="00F10CD6">
        <w:rPr>
          <w:color w:val="0D0D0D" w:themeColor="text1" w:themeTint="F2"/>
        </w:rPr>
        <w:t>Izdatki za socialne transfer</w:t>
      </w:r>
      <w:r w:rsidR="008A72A7" w:rsidRPr="00F10CD6">
        <w:rPr>
          <w:color w:val="0D0D0D" w:themeColor="text1" w:themeTint="F2"/>
        </w:rPr>
        <w:t>j</w:t>
      </w:r>
      <w:r w:rsidRPr="00F10CD6">
        <w:rPr>
          <w:color w:val="0D0D0D" w:themeColor="text1" w:themeTint="F2"/>
        </w:rPr>
        <w:t>e (brez pokojnin) se bo</w:t>
      </w:r>
      <w:r w:rsidR="00E338B7" w:rsidRPr="00F10CD6">
        <w:rPr>
          <w:color w:val="0D0D0D" w:themeColor="text1" w:themeTint="F2"/>
        </w:rPr>
        <w:t>do</w:t>
      </w:r>
      <w:r w:rsidRPr="00F10CD6">
        <w:rPr>
          <w:color w:val="0D0D0D" w:themeColor="text1" w:themeTint="F2"/>
        </w:rPr>
        <w:t xml:space="preserve"> po oceni v letu 2019 </w:t>
      </w:r>
      <w:r w:rsidR="00E338B7" w:rsidRPr="00F10CD6">
        <w:rPr>
          <w:color w:val="0D0D0D" w:themeColor="text1" w:themeTint="F2"/>
        </w:rPr>
        <w:t xml:space="preserve">povečali </w:t>
      </w:r>
      <w:r w:rsidRPr="00F10CD6">
        <w:rPr>
          <w:color w:val="0D0D0D" w:themeColor="text1" w:themeTint="F2"/>
        </w:rPr>
        <w:t xml:space="preserve">za </w:t>
      </w:r>
      <w:r w:rsidR="00C34A4A" w:rsidRPr="00F10CD6">
        <w:rPr>
          <w:color w:val="0D0D0D" w:themeColor="text1" w:themeTint="F2"/>
        </w:rPr>
        <w:t>6,3</w:t>
      </w:r>
      <w:r w:rsidRPr="00F10CD6">
        <w:rPr>
          <w:color w:val="0D0D0D" w:themeColor="text1" w:themeTint="F2"/>
        </w:rPr>
        <w:t xml:space="preserve"> %, v letu 2020 pa za </w:t>
      </w:r>
      <w:r w:rsidR="00C34A4A" w:rsidRPr="00F10CD6">
        <w:rPr>
          <w:color w:val="0D0D0D" w:themeColor="text1" w:themeTint="F2"/>
        </w:rPr>
        <w:t>2,7</w:t>
      </w:r>
      <w:r w:rsidRPr="00F10CD6">
        <w:rPr>
          <w:color w:val="0D0D0D" w:themeColor="text1" w:themeTint="F2"/>
        </w:rPr>
        <w:t xml:space="preserve"> %. V letih 2021 in 202</w:t>
      </w:r>
      <w:r w:rsidR="00D57727" w:rsidRPr="00F10CD6">
        <w:rPr>
          <w:color w:val="0D0D0D" w:themeColor="text1" w:themeTint="F2"/>
        </w:rPr>
        <w:t>2 je predvidena rast okoli 4 %.</w:t>
      </w:r>
      <w:r w:rsidRPr="00F10CD6">
        <w:rPr>
          <w:color w:val="0D0D0D" w:themeColor="text1" w:themeTint="F2"/>
        </w:rPr>
        <w:t xml:space="preserve"> V letu 2019 je visoka rast posledica sprostitve ukrepov, ki so bili uvedeni ob konsolidaciji javnih financ in določenih sprememb (natančna razlaga v Program</w:t>
      </w:r>
      <w:r w:rsidR="00D57727" w:rsidRPr="00F10CD6">
        <w:rPr>
          <w:color w:val="0D0D0D" w:themeColor="text1" w:themeTint="F2"/>
        </w:rPr>
        <w:t>u</w:t>
      </w:r>
      <w:r w:rsidRPr="00F10CD6">
        <w:rPr>
          <w:color w:val="0D0D0D" w:themeColor="text1" w:themeTint="F2"/>
        </w:rPr>
        <w:t xml:space="preserve"> stabilnosti 2018). Manjše predvidene rasti po </w:t>
      </w:r>
      <w:r w:rsidR="008A72A7" w:rsidRPr="00F10CD6">
        <w:rPr>
          <w:color w:val="0D0D0D" w:themeColor="text1" w:themeTint="F2"/>
        </w:rPr>
        <w:t xml:space="preserve">letu </w:t>
      </w:r>
      <w:r w:rsidRPr="00F10CD6">
        <w:rPr>
          <w:color w:val="0D0D0D" w:themeColor="text1" w:themeTint="F2"/>
        </w:rPr>
        <w:t xml:space="preserve">2020 so med drugim posledica nekaterih ukrepov na področju urejanja trga dela  in socialne aktivacije. </w:t>
      </w:r>
    </w:p>
    <w:p w:rsidR="005E5222" w:rsidRPr="00F10CD6" w:rsidRDefault="005E5222" w:rsidP="003259EE">
      <w:pPr>
        <w:pStyle w:val="besedilo"/>
        <w:rPr>
          <w:color w:val="0D0D0D" w:themeColor="text1" w:themeTint="F2"/>
        </w:rPr>
      </w:pPr>
    </w:p>
    <w:p w:rsidR="005E5222" w:rsidRPr="00F10CD6" w:rsidRDefault="005E5222" w:rsidP="003259EE">
      <w:pPr>
        <w:pStyle w:val="besedilo"/>
        <w:rPr>
          <w:color w:val="0D0D0D" w:themeColor="text1" w:themeTint="F2"/>
        </w:rPr>
      </w:pPr>
      <w:r w:rsidRPr="00F10CD6">
        <w:rPr>
          <w:color w:val="0D0D0D" w:themeColor="text1" w:themeTint="F2"/>
        </w:rPr>
        <w:t>Transfer</w:t>
      </w:r>
      <w:r w:rsidR="008A72A7" w:rsidRPr="00F10CD6">
        <w:rPr>
          <w:color w:val="0D0D0D" w:themeColor="text1" w:themeTint="F2"/>
        </w:rPr>
        <w:t>j</w:t>
      </w:r>
      <w:r w:rsidRPr="00F10CD6">
        <w:rPr>
          <w:color w:val="0D0D0D" w:themeColor="text1" w:themeTint="F2"/>
        </w:rPr>
        <w:t>i nezaposlenim se skladno z izboljšanimi razmerami na trgu dela in predvidenimi ukrepi, kot so zmanjšanje obdobja maksimalnega prejemanja denarnega nadomestila v letu 2019</w:t>
      </w:r>
      <w:r w:rsidR="00595BBE" w:rsidRPr="00F10CD6">
        <w:rPr>
          <w:color w:val="0D0D0D" w:themeColor="text1" w:themeTint="F2"/>
        </w:rPr>
        <w:t>,</w:t>
      </w:r>
      <w:r w:rsidRPr="00F10CD6">
        <w:rPr>
          <w:color w:val="0D0D0D" w:themeColor="text1" w:themeTint="F2"/>
        </w:rPr>
        <w:t xml:space="preserve"> znižajo za </w:t>
      </w:r>
      <w:r w:rsidR="00C34A4A" w:rsidRPr="00F10CD6">
        <w:rPr>
          <w:color w:val="0D0D0D" w:themeColor="text1" w:themeTint="F2"/>
        </w:rPr>
        <w:t>2,9</w:t>
      </w:r>
      <w:r w:rsidRPr="00F10CD6">
        <w:rPr>
          <w:color w:val="0D0D0D" w:themeColor="text1" w:themeTint="F2"/>
        </w:rPr>
        <w:t xml:space="preserve"> %, v 2020 pa za 2</w:t>
      </w:r>
      <w:r w:rsidR="00C34A4A" w:rsidRPr="00F10CD6">
        <w:rPr>
          <w:color w:val="0D0D0D" w:themeColor="text1" w:themeTint="F2"/>
        </w:rPr>
        <w:t>2,5</w:t>
      </w:r>
      <w:r w:rsidR="00D57727" w:rsidRPr="00F10CD6">
        <w:rPr>
          <w:color w:val="0D0D0D" w:themeColor="text1" w:themeTint="F2"/>
        </w:rPr>
        <w:t xml:space="preserve"> </w:t>
      </w:r>
      <w:r w:rsidRPr="00F10CD6">
        <w:rPr>
          <w:color w:val="0D0D0D" w:themeColor="text1" w:themeTint="F2"/>
        </w:rPr>
        <w:t xml:space="preserve">%. </w:t>
      </w:r>
    </w:p>
    <w:p w:rsidR="005E5222" w:rsidRPr="00F10CD6" w:rsidRDefault="005E5222" w:rsidP="003259EE">
      <w:pPr>
        <w:pStyle w:val="besedilo"/>
        <w:rPr>
          <w:color w:val="0D0D0D" w:themeColor="text1" w:themeTint="F2"/>
        </w:rPr>
      </w:pPr>
    </w:p>
    <w:p w:rsidR="005E5222" w:rsidRPr="00F10CD6" w:rsidRDefault="005E5222" w:rsidP="003259EE">
      <w:pPr>
        <w:pStyle w:val="besedilo"/>
        <w:rPr>
          <w:color w:val="0D0D0D" w:themeColor="text1" w:themeTint="F2"/>
        </w:rPr>
      </w:pPr>
      <w:r w:rsidRPr="00F10CD6">
        <w:rPr>
          <w:color w:val="0D0D0D" w:themeColor="text1" w:themeTint="F2"/>
        </w:rPr>
        <w:t>Transferji za zagotavljanje socialne varnosti se bodo v letu 2019 povečali za 2</w:t>
      </w:r>
      <w:r w:rsidR="00C34A4A" w:rsidRPr="00F10CD6">
        <w:rPr>
          <w:color w:val="0D0D0D" w:themeColor="text1" w:themeTint="F2"/>
        </w:rPr>
        <w:t>7,7</w:t>
      </w:r>
      <w:r w:rsidRPr="00F10CD6">
        <w:rPr>
          <w:color w:val="0D0D0D" w:themeColor="text1" w:themeTint="F2"/>
        </w:rPr>
        <w:t xml:space="preserve"> % zaradi </w:t>
      </w:r>
      <w:r w:rsidR="00D57727" w:rsidRPr="00F10CD6">
        <w:rPr>
          <w:color w:val="0D0D0D" w:themeColor="text1" w:themeTint="F2"/>
        </w:rPr>
        <w:t>zvišanja</w:t>
      </w:r>
      <w:r w:rsidRPr="00F10CD6">
        <w:rPr>
          <w:color w:val="0D0D0D" w:themeColor="text1" w:themeTint="F2"/>
        </w:rPr>
        <w:t xml:space="preserve"> minimalnega dohodka. V letu 2020 je zaradi novih ukrepov, kot je sprememba sistema dodatka za aktivnost za prejemnike denarne socialne pomoči, predvideno znižanje transferjev za socialno varnost za 13</w:t>
      </w:r>
      <w:r w:rsidR="00C34A4A" w:rsidRPr="00F10CD6">
        <w:rPr>
          <w:color w:val="0D0D0D" w:themeColor="text1" w:themeTint="F2"/>
        </w:rPr>
        <w:t>,4</w:t>
      </w:r>
      <w:r w:rsidRPr="00F10CD6">
        <w:rPr>
          <w:color w:val="0D0D0D" w:themeColor="text1" w:themeTint="F2"/>
        </w:rPr>
        <w:t xml:space="preserve"> %.</w:t>
      </w:r>
    </w:p>
    <w:p w:rsidR="005E5222" w:rsidRPr="00F10CD6" w:rsidRDefault="005E5222" w:rsidP="003259EE">
      <w:pPr>
        <w:pStyle w:val="besedilo"/>
        <w:rPr>
          <w:color w:val="0D0D0D" w:themeColor="text1" w:themeTint="F2"/>
        </w:rPr>
      </w:pPr>
    </w:p>
    <w:p w:rsidR="005E5222" w:rsidRPr="00F10CD6" w:rsidRDefault="005E5222" w:rsidP="003259EE">
      <w:pPr>
        <w:pStyle w:val="besedilo"/>
        <w:rPr>
          <w:color w:val="0D0D0D" w:themeColor="text1" w:themeTint="F2"/>
        </w:rPr>
      </w:pPr>
      <w:r w:rsidRPr="00F10CD6">
        <w:rPr>
          <w:color w:val="0D0D0D" w:themeColor="text1" w:themeTint="F2"/>
        </w:rPr>
        <w:t xml:space="preserve">Med izdatki za socialne transferje so najobsežnejši izdatki za pokojnine, ki se bodo v letu 2019 povečali za 3,8 % v skladu </w:t>
      </w:r>
      <w:r w:rsidR="00595BBE" w:rsidRPr="00F10CD6">
        <w:rPr>
          <w:color w:val="0D0D0D" w:themeColor="text1" w:themeTint="F2"/>
        </w:rPr>
        <w:t xml:space="preserve">s </w:t>
      </w:r>
      <w:r w:rsidRPr="00F10CD6">
        <w:rPr>
          <w:color w:val="0D0D0D" w:themeColor="text1" w:themeTint="F2"/>
        </w:rPr>
        <w:t xml:space="preserve">predvideno uskladitvijo pokojnin in rastjo števila upokojencev. Dodatno na rast vpliva tudi odločitev za izplačilo letnega dodatka za vse upokojence. V letih </w:t>
      </w:r>
      <w:r w:rsidR="008A72A7" w:rsidRPr="00F10CD6">
        <w:rPr>
          <w:color w:val="0D0D0D" w:themeColor="text1" w:themeTint="F2"/>
        </w:rPr>
        <w:t xml:space="preserve">od </w:t>
      </w:r>
      <w:r w:rsidRPr="00F10CD6">
        <w:rPr>
          <w:color w:val="0D0D0D" w:themeColor="text1" w:themeTint="F2"/>
        </w:rPr>
        <w:t>2020 do 2022 se predvideva okoli 6</w:t>
      </w:r>
      <w:r w:rsidR="008A72A7" w:rsidRPr="00F10CD6">
        <w:rPr>
          <w:color w:val="0D0D0D" w:themeColor="text1" w:themeTint="F2"/>
        </w:rPr>
        <w:t>-</w:t>
      </w:r>
      <w:r w:rsidRPr="00F10CD6">
        <w:rPr>
          <w:color w:val="0D0D0D" w:themeColor="text1" w:themeTint="F2"/>
        </w:rPr>
        <w:t xml:space="preserve">% </w:t>
      </w:r>
      <w:r w:rsidR="00E338B7" w:rsidRPr="00F10CD6">
        <w:rPr>
          <w:color w:val="0D0D0D" w:themeColor="text1" w:themeTint="F2"/>
        </w:rPr>
        <w:t xml:space="preserve">rast </w:t>
      </w:r>
      <w:r w:rsidRPr="00F10CD6">
        <w:rPr>
          <w:color w:val="0D0D0D" w:themeColor="text1" w:themeTint="F2"/>
        </w:rPr>
        <w:t xml:space="preserve">zaradi višje rasti plač, medtem ko </w:t>
      </w:r>
      <w:r w:rsidR="00AC0495" w:rsidRPr="00F10CD6">
        <w:rPr>
          <w:color w:val="0D0D0D" w:themeColor="text1" w:themeTint="F2"/>
        </w:rPr>
        <w:t xml:space="preserve">bo </w:t>
      </w:r>
      <w:r w:rsidRPr="00F10CD6">
        <w:rPr>
          <w:color w:val="0D0D0D" w:themeColor="text1" w:themeTint="F2"/>
        </w:rPr>
        <w:t xml:space="preserve">rast števila upokojencev </w:t>
      </w:r>
      <w:r w:rsidR="00AC0495" w:rsidRPr="00F10CD6">
        <w:rPr>
          <w:color w:val="0D0D0D" w:themeColor="text1" w:themeTint="F2"/>
        </w:rPr>
        <w:t>še naprej umirjena.</w:t>
      </w:r>
    </w:p>
    <w:p w:rsidR="00D57727" w:rsidRPr="00F10CD6" w:rsidRDefault="00D57727" w:rsidP="00D57727">
      <w:pPr>
        <w:pStyle w:val="ListParagraph"/>
        <w:spacing w:after="120" w:line="276" w:lineRule="auto"/>
        <w:ind w:left="426"/>
        <w:rPr>
          <w:rFonts w:cs="Arial"/>
          <w:color w:val="0D0D0D" w:themeColor="text1" w:themeTint="F2"/>
          <w:u w:val="single"/>
        </w:rPr>
      </w:pPr>
    </w:p>
    <w:p w:rsidR="000C4CB5" w:rsidRPr="00F10CD6" w:rsidRDefault="00595BBE" w:rsidP="009B5300">
      <w:pPr>
        <w:pStyle w:val="ListParagraph"/>
        <w:numPr>
          <w:ilvl w:val="0"/>
          <w:numId w:val="24"/>
        </w:numPr>
        <w:spacing w:after="0" w:line="276" w:lineRule="auto"/>
        <w:rPr>
          <w:rFonts w:cs="Arial"/>
          <w:color w:val="0D0D0D" w:themeColor="text1" w:themeTint="F2"/>
          <w:u w:val="single"/>
        </w:rPr>
      </w:pPr>
      <w:r w:rsidRPr="00F10CD6">
        <w:rPr>
          <w:rFonts w:cs="Arial"/>
          <w:color w:val="0D0D0D" w:themeColor="text1" w:themeTint="F2"/>
          <w:u w:val="single"/>
        </w:rPr>
        <w:t xml:space="preserve">Izdatki </w:t>
      </w:r>
      <w:r w:rsidR="000C4CB5" w:rsidRPr="00F10CD6">
        <w:rPr>
          <w:rFonts w:cs="Arial"/>
          <w:color w:val="0D0D0D" w:themeColor="text1" w:themeTint="F2"/>
          <w:u w:val="single"/>
        </w:rPr>
        <w:t xml:space="preserve">za obresti </w:t>
      </w:r>
    </w:p>
    <w:p w:rsidR="007B4DD0" w:rsidRPr="00F10CD6" w:rsidRDefault="007B4DD0" w:rsidP="00D57727">
      <w:pPr>
        <w:spacing w:after="0" w:line="276" w:lineRule="auto"/>
        <w:rPr>
          <w:rFonts w:cs="Arial"/>
          <w:color w:val="0D0D0D" w:themeColor="text1" w:themeTint="F2"/>
        </w:rPr>
      </w:pPr>
    </w:p>
    <w:p w:rsidR="009B5300" w:rsidRDefault="00595BBE" w:rsidP="00D57727">
      <w:pPr>
        <w:spacing w:after="0" w:line="276" w:lineRule="auto"/>
        <w:rPr>
          <w:rFonts w:cs="Arial"/>
          <w:color w:val="0D0D0D" w:themeColor="text1" w:themeTint="F2"/>
        </w:rPr>
      </w:pPr>
      <w:r w:rsidRPr="00F10CD6">
        <w:rPr>
          <w:rFonts w:cs="Arial"/>
          <w:color w:val="0D0D0D" w:themeColor="text1" w:themeTint="F2"/>
        </w:rPr>
        <w:t xml:space="preserve">Izdatki </w:t>
      </w:r>
      <w:r w:rsidR="00224122" w:rsidRPr="00F10CD6">
        <w:rPr>
          <w:rFonts w:cs="Arial"/>
          <w:color w:val="0D0D0D" w:themeColor="text1" w:themeTint="F2"/>
        </w:rPr>
        <w:t xml:space="preserve">države za obresti se znižujejo od leta 2015 naprej, ko so znašali 1.252 milijonov EUR ali 3,2 % BDP. Letno so se </w:t>
      </w:r>
      <w:r w:rsidRPr="00F10CD6">
        <w:rPr>
          <w:rFonts w:cs="Arial"/>
          <w:color w:val="0D0D0D" w:themeColor="text1" w:themeTint="F2"/>
        </w:rPr>
        <w:t xml:space="preserve">izdatki </w:t>
      </w:r>
      <w:r w:rsidR="00224122" w:rsidRPr="00F10CD6">
        <w:rPr>
          <w:rFonts w:cs="Arial"/>
          <w:color w:val="0D0D0D" w:themeColor="text1" w:themeTint="F2"/>
        </w:rPr>
        <w:t xml:space="preserve">za obresti zmanjševali v povprečju za 0,4 odstotne točke BDP in v letu 2018 dosegli 911 milijonov EUR ali 2,0 % BDP. Kot rezultat aktivnega upravljanja dolga je podoben trend pričakovati tudi v prihodnje. Ocenjujemo, da bodo </w:t>
      </w:r>
      <w:r w:rsidRPr="00F10CD6">
        <w:rPr>
          <w:rFonts w:cs="Arial"/>
          <w:color w:val="0D0D0D" w:themeColor="text1" w:themeTint="F2"/>
        </w:rPr>
        <w:t xml:space="preserve">izdatki </w:t>
      </w:r>
      <w:r w:rsidR="00224122" w:rsidRPr="00F10CD6">
        <w:rPr>
          <w:rFonts w:cs="Arial"/>
          <w:color w:val="0D0D0D" w:themeColor="text1" w:themeTint="F2"/>
        </w:rPr>
        <w:t>države za obresti v letu 2019 znašali 795 milijonov EUR ali 1,6 % BDP</w:t>
      </w:r>
      <w:r w:rsidR="00C34A4A" w:rsidRPr="00F10CD6">
        <w:rPr>
          <w:rFonts w:cs="Arial"/>
          <w:color w:val="0D0D0D" w:themeColor="text1" w:themeTint="F2"/>
        </w:rPr>
        <w:t xml:space="preserve"> do leta 2022 pa bi se ta delež znižal na 1,2 % BDP.</w:t>
      </w:r>
    </w:p>
    <w:p w:rsidR="00AB1888" w:rsidRPr="00F10CD6" w:rsidRDefault="00AB1888" w:rsidP="00D57727">
      <w:pPr>
        <w:spacing w:after="0" w:line="276" w:lineRule="auto"/>
        <w:rPr>
          <w:rFonts w:cs="Arial"/>
          <w:color w:val="0D0D0D" w:themeColor="text1" w:themeTint="F2"/>
        </w:rPr>
      </w:pPr>
    </w:p>
    <w:p w:rsidR="000C4CB5" w:rsidRPr="00F10CD6" w:rsidRDefault="000C4CB5" w:rsidP="009B5300">
      <w:pPr>
        <w:pStyle w:val="ListParagraph"/>
        <w:numPr>
          <w:ilvl w:val="0"/>
          <w:numId w:val="25"/>
        </w:numPr>
        <w:spacing w:after="0" w:line="276" w:lineRule="auto"/>
        <w:rPr>
          <w:rFonts w:cs="Arial"/>
          <w:color w:val="0D0D0D" w:themeColor="text1" w:themeTint="F2"/>
          <w:u w:val="single"/>
        </w:rPr>
      </w:pPr>
      <w:r w:rsidRPr="00F10CD6">
        <w:rPr>
          <w:rFonts w:cs="Arial"/>
          <w:color w:val="0D0D0D" w:themeColor="text1" w:themeTint="F2"/>
          <w:u w:val="single"/>
        </w:rPr>
        <w:lastRenderedPageBreak/>
        <w:t xml:space="preserve">Subvencije </w:t>
      </w:r>
    </w:p>
    <w:p w:rsidR="007B4DD0" w:rsidRPr="00F10CD6" w:rsidRDefault="007B4DD0" w:rsidP="00D57727">
      <w:pPr>
        <w:spacing w:after="0" w:line="276" w:lineRule="auto"/>
        <w:rPr>
          <w:rFonts w:cs="Arial"/>
          <w:color w:val="0D0D0D" w:themeColor="text1" w:themeTint="F2"/>
        </w:rPr>
      </w:pPr>
    </w:p>
    <w:p w:rsidR="000C4CB5" w:rsidRPr="00F10CD6" w:rsidRDefault="00710D16" w:rsidP="00D57727">
      <w:pPr>
        <w:spacing w:after="0" w:line="276" w:lineRule="auto"/>
        <w:rPr>
          <w:rFonts w:cs="Arial"/>
          <w:color w:val="0D0D0D" w:themeColor="text1" w:themeTint="F2"/>
        </w:rPr>
      </w:pPr>
      <w:r w:rsidRPr="00F10CD6">
        <w:rPr>
          <w:rFonts w:cs="Arial"/>
          <w:color w:val="0D0D0D" w:themeColor="text1" w:themeTint="F2"/>
        </w:rPr>
        <w:t>Z zagonom črpanja evropskih sredstev so se subvencije države leta 2018 medletno povečale za 8,6 % na 350 milijonov EUR ali 0,8 % BDP.  Povečanje izdatkov za subvencije se pričakuje tudi v letih 2019 (za 4,8 %) in 2020 (za 7,1 %), predvsem na račun uspešnega črpanja evropskih sredstev. Izdatki za subvencije bodo v letu 2021 ostali na ravni iz preteklega leta, v letu 2022 pa se bodo ponovno povečali za 2,6 % in se gibali na ravni 0,7 % BDP.</w:t>
      </w:r>
    </w:p>
    <w:p w:rsidR="000C4CB5" w:rsidRPr="00F10CD6" w:rsidRDefault="000C4CB5" w:rsidP="009B5300">
      <w:pPr>
        <w:pStyle w:val="ListParagraph"/>
        <w:numPr>
          <w:ilvl w:val="0"/>
          <w:numId w:val="26"/>
        </w:numPr>
        <w:spacing w:before="240" w:after="0" w:line="276" w:lineRule="auto"/>
        <w:rPr>
          <w:rFonts w:cs="Arial"/>
          <w:color w:val="0D0D0D" w:themeColor="text1" w:themeTint="F2"/>
          <w:u w:val="single"/>
        </w:rPr>
      </w:pPr>
      <w:r w:rsidRPr="00F10CD6">
        <w:rPr>
          <w:rFonts w:cs="Arial"/>
          <w:color w:val="0D0D0D" w:themeColor="text1" w:themeTint="F2"/>
          <w:u w:val="single"/>
        </w:rPr>
        <w:t xml:space="preserve">Bruto investicije v osnovna sredstva </w:t>
      </w:r>
    </w:p>
    <w:p w:rsidR="00D57727" w:rsidRPr="00F10CD6" w:rsidRDefault="00D57727" w:rsidP="00D57727">
      <w:pPr>
        <w:pStyle w:val="ListParagraph"/>
        <w:spacing w:before="240" w:after="0" w:line="276" w:lineRule="auto"/>
        <w:ind w:left="426"/>
        <w:rPr>
          <w:rFonts w:cs="Arial"/>
          <w:color w:val="0D0D0D" w:themeColor="text1" w:themeTint="F2"/>
          <w:u w:val="single"/>
        </w:rPr>
      </w:pPr>
    </w:p>
    <w:p w:rsidR="00D57727" w:rsidRPr="00F10CD6" w:rsidRDefault="00710D16" w:rsidP="00D57727">
      <w:pPr>
        <w:spacing w:after="0" w:line="276" w:lineRule="auto"/>
        <w:rPr>
          <w:rFonts w:cs="Arial"/>
          <w:color w:val="0D0D0D" w:themeColor="text1" w:themeTint="F2"/>
        </w:rPr>
      </w:pPr>
      <w:r w:rsidRPr="00F10CD6">
        <w:rPr>
          <w:rFonts w:cs="Arial"/>
          <w:color w:val="0D0D0D" w:themeColor="text1" w:themeTint="F2"/>
        </w:rPr>
        <w:t xml:space="preserve">Izdatki države za bruto investicije v osnovna sredstva so se leta 2018 </w:t>
      </w:r>
      <w:r w:rsidR="00B83053" w:rsidRPr="00F10CD6">
        <w:rPr>
          <w:rFonts w:cs="Arial"/>
          <w:color w:val="0D0D0D" w:themeColor="text1" w:themeTint="F2"/>
        </w:rPr>
        <w:t xml:space="preserve">v primerjavi z letom 2017 </w:t>
      </w:r>
      <w:r w:rsidRPr="00F10CD6">
        <w:rPr>
          <w:rFonts w:cs="Arial"/>
          <w:color w:val="0D0D0D" w:themeColor="text1" w:themeTint="F2"/>
        </w:rPr>
        <w:t>povečali za</w:t>
      </w:r>
      <w:r w:rsidR="00595BBE" w:rsidRPr="00F10CD6">
        <w:rPr>
          <w:rFonts w:cs="Arial"/>
          <w:color w:val="0D0D0D" w:themeColor="text1" w:themeTint="F2"/>
        </w:rPr>
        <w:t xml:space="preserve"> </w:t>
      </w:r>
      <w:r w:rsidRPr="00F10CD6">
        <w:rPr>
          <w:rFonts w:cs="Arial"/>
          <w:color w:val="0D0D0D" w:themeColor="text1" w:themeTint="F2"/>
        </w:rPr>
        <w:t>0,5 odstotne točke</w:t>
      </w:r>
      <w:r w:rsidR="00595BBE" w:rsidRPr="00F10CD6">
        <w:rPr>
          <w:rFonts w:cs="Arial"/>
          <w:color w:val="0D0D0D" w:themeColor="text1" w:themeTint="F2"/>
        </w:rPr>
        <w:t xml:space="preserve"> BDP</w:t>
      </w:r>
      <w:r w:rsidRPr="00F10CD6">
        <w:rPr>
          <w:rFonts w:cs="Arial"/>
          <w:color w:val="0D0D0D" w:themeColor="text1" w:themeTint="F2"/>
        </w:rPr>
        <w:t xml:space="preserve"> na 3,6 % BDP. To povečanje lahko delno pripišemo tudi uspešnejšemu črpanju evropskih sredstev in posledično višjim prihodkom iz tega naslova. Rast bruto investicij se bo nadaljevala tudi v letu 2019, ko </w:t>
      </w:r>
      <w:r w:rsidR="008A72A7" w:rsidRPr="00F10CD6">
        <w:rPr>
          <w:rFonts w:cs="Arial"/>
          <w:color w:val="0D0D0D" w:themeColor="text1" w:themeTint="F2"/>
        </w:rPr>
        <w:t xml:space="preserve">se </w:t>
      </w:r>
      <w:r w:rsidRPr="00F10CD6">
        <w:rPr>
          <w:rFonts w:cs="Arial"/>
          <w:color w:val="0D0D0D" w:themeColor="text1" w:themeTint="F2"/>
        </w:rPr>
        <w:t>bo njihov obseg povečal na  4,1 % BDP. Tudi na srednji rok bodo investicije v osnovna sredstva ohranjale podobno raven, v obdobju 2020</w:t>
      </w:r>
      <w:r w:rsidR="001C284E" w:rsidRPr="00F10CD6">
        <w:rPr>
          <w:rFonts w:cs="Arial"/>
          <w:color w:val="0D0D0D" w:themeColor="text1" w:themeTint="F2"/>
        </w:rPr>
        <w:t>–</w:t>
      </w:r>
      <w:r w:rsidRPr="00F10CD6">
        <w:rPr>
          <w:rFonts w:cs="Arial"/>
          <w:color w:val="0D0D0D" w:themeColor="text1" w:themeTint="F2"/>
        </w:rPr>
        <w:t xml:space="preserve">2022 v povprečju 4,1 % BDP. Pri črpanju evropskih sredstev prihaja do določenega zamika, v letu 2020 pa se predvideva tudi </w:t>
      </w:r>
      <w:r w:rsidR="009E7A2E" w:rsidRPr="00F10CD6">
        <w:rPr>
          <w:rFonts w:cs="Arial"/>
          <w:color w:val="0D0D0D" w:themeColor="text1" w:themeTint="F2"/>
        </w:rPr>
        <w:t xml:space="preserve">pospešeno </w:t>
      </w:r>
      <w:r w:rsidRPr="00F10CD6">
        <w:rPr>
          <w:rFonts w:cs="Arial"/>
          <w:color w:val="0D0D0D" w:themeColor="text1" w:themeTint="F2"/>
        </w:rPr>
        <w:t>črpanj</w:t>
      </w:r>
      <w:r w:rsidR="008A72A7" w:rsidRPr="00F10CD6">
        <w:rPr>
          <w:rFonts w:cs="Arial"/>
          <w:color w:val="0D0D0D" w:themeColor="text1" w:themeTint="F2"/>
        </w:rPr>
        <w:t>e</w:t>
      </w:r>
      <w:r w:rsidRPr="00F10CD6">
        <w:rPr>
          <w:rFonts w:cs="Arial"/>
          <w:color w:val="0D0D0D" w:themeColor="text1" w:themeTint="F2"/>
        </w:rPr>
        <w:t xml:space="preserve"> evropskih sredstev </w:t>
      </w:r>
      <w:r w:rsidR="009E7A2E" w:rsidRPr="00F10CD6">
        <w:rPr>
          <w:rFonts w:cs="Arial"/>
          <w:color w:val="0D0D0D" w:themeColor="text1" w:themeTint="F2"/>
        </w:rPr>
        <w:t>zaradi zaključka</w:t>
      </w:r>
      <w:r w:rsidRPr="00F10CD6">
        <w:rPr>
          <w:rFonts w:cs="Arial"/>
          <w:color w:val="0D0D0D" w:themeColor="text1" w:themeTint="F2"/>
        </w:rPr>
        <w:t xml:space="preserve"> finančne perspektive</w:t>
      </w:r>
      <w:r w:rsidR="00D57727" w:rsidRPr="00F10CD6">
        <w:rPr>
          <w:rFonts w:cs="Arial"/>
          <w:color w:val="0D0D0D" w:themeColor="text1" w:themeTint="F2"/>
        </w:rPr>
        <w:t xml:space="preserve"> (2014</w:t>
      </w:r>
      <w:r w:rsidR="001C284E" w:rsidRPr="00F10CD6">
        <w:rPr>
          <w:rFonts w:cs="Arial"/>
          <w:color w:val="0D0D0D" w:themeColor="text1" w:themeTint="F2"/>
        </w:rPr>
        <w:t>–</w:t>
      </w:r>
      <w:r w:rsidR="009E7A2E" w:rsidRPr="00F10CD6">
        <w:rPr>
          <w:rFonts w:cs="Arial"/>
          <w:color w:val="0D0D0D" w:themeColor="text1" w:themeTint="F2"/>
        </w:rPr>
        <w:t>2020)</w:t>
      </w:r>
      <w:r w:rsidRPr="00F10CD6">
        <w:rPr>
          <w:rFonts w:cs="Arial"/>
          <w:color w:val="0D0D0D" w:themeColor="text1" w:themeTint="F2"/>
        </w:rPr>
        <w:t xml:space="preserve">, kar bo </w:t>
      </w:r>
      <w:r w:rsidR="00D57727" w:rsidRPr="00F10CD6">
        <w:rPr>
          <w:rFonts w:cs="Arial"/>
          <w:color w:val="0D0D0D" w:themeColor="text1" w:themeTint="F2"/>
        </w:rPr>
        <w:t>ugod</w:t>
      </w:r>
      <w:r w:rsidR="008A72A7" w:rsidRPr="00F10CD6">
        <w:rPr>
          <w:rFonts w:cs="Arial"/>
          <w:color w:val="0D0D0D" w:themeColor="text1" w:themeTint="F2"/>
        </w:rPr>
        <w:t>no</w:t>
      </w:r>
      <w:r w:rsidR="00D57727" w:rsidRPr="00F10CD6">
        <w:rPr>
          <w:rFonts w:cs="Arial"/>
          <w:color w:val="0D0D0D" w:themeColor="text1" w:themeTint="F2"/>
        </w:rPr>
        <w:t xml:space="preserve"> vpliv</w:t>
      </w:r>
      <w:r w:rsidR="008A72A7" w:rsidRPr="00F10CD6">
        <w:rPr>
          <w:rFonts w:cs="Arial"/>
          <w:color w:val="0D0D0D" w:themeColor="text1" w:themeTint="F2"/>
        </w:rPr>
        <w:t>alo</w:t>
      </w:r>
      <w:r w:rsidR="00D57727" w:rsidRPr="00F10CD6">
        <w:rPr>
          <w:rFonts w:cs="Arial"/>
          <w:color w:val="0D0D0D" w:themeColor="text1" w:themeTint="F2"/>
        </w:rPr>
        <w:t xml:space="preserve"> na rast investicij. </w:t>
      </w:r>
    </w:p>
    <w:p w:rsidR="00D57727" w:rsidRPr="00F10CD6" w:rsidRDefault="00D57727" w:rsidP="00D57727">
      <w:pPr>
        <w:spacing w:after="0" w:line="276" w:lineRule="auto"/>
        <w:rPr>
          <w:rFonts w:cs="Arial"/>
          <w:color w:val="0D0D0D" w:themeColor="text1" w:themeTint="F2"/>
        </w:rPr>
      </w:pPr>
    </w:p>
    <w:p w:rsidR="00D57727" w:rsidRPr="00F10CD6" w:rsidRDefault="00D57727" w:rsidP="009B5300">
      <w:pPr>
        <w:pStyle w:val="ListParagraph"/>
        <w:numPr>
          <w:ilvl w:val="0"/>
          <w:numId w:val="27"/>
        </w:numPr>
        <w:spacing w:after="0" w:line="276" w:lineRule="auto"/>
        <w:rPr>
          <w:rFonts w:cs="Arial"/>
          <w:color w:val="0D0D0D" w:themeColor="text1" w:themeTint="F2"/>
          <w:u w:val="single"/>
        </w:rPr>
      </w:pPr>
      <w:r w:rsidRPr="00F10CD6">
        <w:rPr>
          <w:rFonts w:cs="Arial"/>
          <w:color w:val="0D0D0D" w:themeColor="text1" w:themeTint="F2"/>
          <w:u w:val="single"/>
        </w:rPr>
        <w:t>Napovedi na predpostavki nespremenjene politike</w:t>
      </w:r>
    </w:p>
    <w:p w:rsidR="007B4DD0" w:rsidRPr="00F10CD6" w:rsidRDefault="007B4DD0" w:rsidP="00A82B43">
      <w:pPr>
        <w:pStyle w:val="besedilo"/>
        <w:rPr>
          <w:color w:val="0D0D0D" w:themeColor="text1" w:themeTint="F2"/>
        </w:rPr>
      </w:pPr>
    </w:p>
    <w:p w:rsidR="00A82B43" w:rsidRPr="00F10CD6" w:rsidRDefault="00A82B43" w:rsidP="00A82B43">
      <w:pPr>
        <w:pStyle w:val="besedilo"/>
        <w:rPr>
          <w:color w:val="0D0D0D" w:themeColor="text1" w:themeTint="F2"/>
        </w:rPr>
      </w:pPr>
      <w:r w:rsidRPr="00F10CD6">
        <w:rPr>
          <w:color w:val="0D0D0D" w:themeColor="text1" w:themeTint="F2"/>
        </w:rPr>
        <w:t>Ovrednotene ukrepe v letu 2018, ob predhodnem doseganju izboljšanja salda sektorja država ob načrtovanih višjih prihodkih, lahko z vidika predpostavke nespremenjenih politik od leta 2020 naprej strnemo v spodnjo tabelo, kjer so upoštevani vsi zgoraj navedeni izdatki sektorja država.</w:t>
      </w:r>
      <w:r w:rsidR="00EA70F2">
        <w:rPr>
          <w:color w:val="0D0D0D" w:themeColor="text1" w:themeTint="F2"/>
        </w:rPr>
        <w:t xml:space="preserve"> </w:t>
      </w:r>
      <w:r w:rsidR="00EA70F2" w:rsidRPr="00BB6E3B">
        <w:rPr>
          <w:color w:val="0D0D0D" w:themeColor="text1" w:themeTint="F2"/>
        </w:rPr>
        <w:t>Razlika nastane pri socialnih nadomestilih, in sicer v višini 0,2 % BDP</w:t>
      </w:r>
      <w:r w:rsidR="00C6242D" w:rsidRPr="009B5300">
        <w:rPr>
          <w:color w:val="0D0D0D" w:themeColor="text1" w:themeTint="F2"/>
        </w:rPr>
        <w:t xml:space="preserve"> v letu 2020</w:t>
      </w:r>
      <w:r w:rsidR="00EA70F2" w:rsidRPr="00BB6E3B">
        <w:rPr>
          <w:color w:val="0D0D0D" w:themeColor="text1" w:themeTint="F2"/>
        </w:rPr>
        <w:t>, kar je ravno znesek za katerega naprošamo v klavzuli fleksibilnosti.</w:t>
      </w:r>
    </w:p>
    <w:p w:rsidR="00A82B43" w:rsidRPr="00F10CD6" w:rsidRDefault="00A82B43" w:rsidP="00D705CF">
      <w:pPr>
        <w:spacing w:after="0" w:line="276" w:lineRule="auto"/>
        <w:rPr>
          <w:rFonts w:cs="Arial"/>
          <w:color w:val="0D0D0D" w:themeColor="text1" w:themeTint="F2"/>
          <w:u w:val="single"/>
        </w:rPr>
      </w:pPr>
    </w:p>
    <w:p w:rsidR="002E3C2D" w:rsidRPr="00F10CD6" w:rsidRDefault="002E3C2D" w:rsidP="00C055B3">
      <w:pPr>
        <w:spacing w:after="120"/>
        <w:jc w:val="center"/>
        <w:rPr>
          <w:rFonts w:cs="Arial"/>
          <w:color w:val="0D0D0D" w:themeColor="text1" w:themeTint="F2"/>
        </w:rPr>
      </w:pPr>
      <w:r w:rsidRPr="00F10CD6">
        <w:rPr>
          <w:rFonts w:cs="Arial"/>
          <w:color w:val="0D0D0D" w:themeColor="text1" w:themeTint="F2"/>
        </w:rPr>
        <w:t>Tabela</w:t>
      </w:r>
      <w:r w:rsidR="00FD3539" w:rsidRPr="00F10CD6">
        <w:rPr>
          <w:rFonts w:cs="Arial"/>
          <w:color w:val="0D0D0D" w:themeColor="text1" w:themeTint="F2"/>
        </w:rPr>
        <w:t xml:space="preserve"> 5</w:t>
      </w:r>
      <w:r w:rsidRPr="00F10CD6">
        <w:rPr>
          <w:rFonts w:cs="Arial"/>
          <w:color w:val="0D0D0D" w:themeColor="text1" w:themeTint="F2"/>
        </w:rPr>
        <w:t>: Napovedi na predpostavki nespremenjene politike</w:t>
      </w:r>
    </w:p>
    <w:tbl>
      <w:tblPr>
        <w:tblW w:w="9653" w:type="dxa"/>
        <w:tblInd w:w="70" w:type="dxa"/>
        <w:tblCellMar>
          <w:left w:w="70" w:type="dxa"/>
          <w:right w:w="70" w:type="dxa"/>
        </w:tblCellMar>
        <w:tblLook w:val="04A0" w:firstRow="1" w:lastRow="0" w:firstColumn="1" w:lastColumn="0" w:noHBand="0" w:noVBand="1"/>
      </w:tblPr>
      <w:tblGrid>
        <w:gridCol w:w="426"/>
        <w:gridCol w:w="4110"/>
        <w:gridCol w:w="869"/>
        <w:gridCol w:w="1030"/>
        <w:gridCol w:w="652"/>
        <w:gridCol w:w="641"/>
        <w:gridCol w:w="641"/>
        <w:gridCol w:w="641"/>
        <w:gridCol w:w="643"/>
      </w:tblGrid>
      <w:tr w:rsidR="00F97F4C" w:rsidRPr="00F10CD6" w:rsidTr="00F97F4C">
        <w:trPr>
          <w:trHeight w:val="285"/>
        </w:trPr>
        <w:tc>
          <w:tcPr>
            <w:tcW w:w="426"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w:t>
            </w:r>
          </w:p>
        </w:tc>
        <w:tc>
          <w:tcPr>
            <w:tcW w:w="4110"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 </w:t>
            </w:r>
          </w:p>
        </w:tc>
        <w:tc>
          <w:tcPr>
            <w:tcW w:w="869" w:type="dxa"/>
            <w:tcBorders>
              <w:top w:val="single" w:sz="8" w:space="0" w:color="4472C4"/>
              <w:left w:val="nil"/>
              <w:bottom w:val="nil"/>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ESA</w:t>
            </w:r>
          </w:p>
        </w:tc>
        <w:tc>
          <w:tcPr>
            <w:tcW w:w="1030" w:type="dxa"/>
            <w:tcBorders>
              <w:top w:val="single" w:sz="8" w:space="0" w:color="4472C4"/>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Raven</w:t>
            </w:r>
          </w:p>
        </w:tc>
        <w:tc>
          <w:tcPr>
            <w:tcW w:w="652"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2018</w:t>
            </w:r>
          </w:p>
        </w:tc>
        <w:tc>
          <w:tcPr>
            <w:tcW w:w="641"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2019</w:t>
            </w:r>
          </w:p>
        </w:tc>
        <w:tc>
          <w:tcPr>
            <w:tcW w:w="641"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2020</w:t>
            </w:r>
          </w:p>
        </w:tc>
        <w:tc>
          <w:tcPr>
            <w:tcW w:w="641"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2021</w:t>
            </w:r>
          </w:p>
        </w:tc>
        <w:tc>
          <w:tcPr>
            <w:tcW w:w="643" w:type="dxa"/>
            <w:vMerge w:val="restart"/>
            <w:tcBorders>
              <w:top w:val="single" w:sz="8" w:space="0" w:color="4472C4"/>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2022</w:t>
            </w:r>
          </w:p>
        </w:tc>
      </w:tr>
      <w:tr w:rsidR="00F97F4C" w:rsidRPr="00F10CD6" w:rsidTr="00F97F4C">
        <w:trPr>
          <w:trHeight w:val="300"/>
        </w:trPr>
        <w:tc>
          <w:tcPr>
            <w:tcW w:w="426"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4110"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i/>
                <w:iCs/>
                <w:color w:val="0D0D0D" w:themeColor="text1" w:themeTint="F2"/>
                <w:sz w:val="20"/>
                <w:szCs w:val="20"/>
                <w:lang w:eastAsia="sl-SI"/>
              </w:rPr>
            </w:pPr>
          </w:p>
        </w:tc>
        <w:tc>
          <w:tcPr>
            <w:tcW w:w="869"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koda</w:t>
            </w:r>
          </w:p>
        </w:tc>
        <w:tc>
          <w:tcPr>
            <w:tcW w:w="1030" w:type="dxa"/>
            <w:tcBorders>
              <w:top w:val="nil"/>
              <w:left w:val="nil"/>
              <w:bottom w:val="single" w:sz="8" w:space="0" w:color="4472C4"/>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2018</w:t>
            </w:r>
          </w:p>
        </w:tc>
        <w:tc>
          <w:tcPr>
            <w:tcW w:w="652"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641"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641"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641"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643" w:type="dxa"/>
            <w:vMerge/>
            <w:tcBorders>
              <w:top w:val="single" w:sz="8" w:space="0" w:color="4472C4"/>
              <w:left w:val="nil"/>
              <w:bottom w:val="single" w:sz="8" w:space="0" w:color="4472C4"/>
              <w:right w:val="nil"/>
            </w:tcBorders>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r>
      <w:tr w:rsidR="00F97F4C" w:rsidRPr="00F10CD6" w:rsidTr="00F97F4C">
        <w:trPr>
          <w:trHeight w:val="285"/>
        </w:trPr>
        <w:tc>
          <w:tcPr>
            <w:tcW w:w="426" w:type="dxa"/>
            <w:tcBorders>
              <w:top w:val="nil"/>
              <w:left w:val="nil"/>
              <w:bottom w:val="nil"/>
              <w:right w:val="nil"/>
            </w:tcBorders>
            <w:shd w:val="clear" w:color="000000" w:fill="D0DBF0"/>
            <w:vAlign w:val="center"/>
            <w:hideMark/>
          </w:tcPr>
          <w:p w:rsidR="00F97F4C" w:rsidRPr="00F10CD6" w:rsidRDefault="00F97F4C" w:rsidP="00F97F4C">
            <w:pPr>
              <w:spacing w:after="0"/>
              <w:jc w:val="left"/>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 </w:t>
            </w:r>
          </w:p>
        </w:tc>
        <w:tc>
          <w:tcPr>
            <w:tcW w:w="4110" w:type="dxa"/>
            <w:tcBorders>
              <w:top w:val="nil"/>
              <w:left w:val="nil"/>
              <w:bottom w:val="nil"/>
              <w:right w:val="nil"/>
            </w:tcBorders>
            <w:shd w:val="clear" w:color="000000" w:fill="D0DBF0"/>
            <w:vAlign w:val="center"/>
            <w:hideMark/>
          </w:tcPr>
          <w:p w:rsidR="00F97F4C" w:rsidRPr="00F10CD6" w:rsidRDefault="00F97F4C" w:rsidP="00F97F4C">
            <w:pPr>
              <w:spacing w:after="0"/>
              <w:jc w:val="left"/>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 </w:t>
            </w:r>
          </w:p>
        </w:tc>
        <w:tc>
          <w:tcPr>
            <w:tcW w:w="869" w:type="dxa"/>
            <w:tcBorders>
              <w:top w:val="nil"/>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 </w:t>
            </w:r>
          </w:p>
        </w:tc>
        <w:tc>
          <w:tcPr>
            <w:tcW w:w="1030"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mio EUR</w:t>
            </w:r>
          </w:p>
        </w:tc>
        <w:tc>
          <w:tcPr>
            <w:tcW w:w="3218" w:type="dxa"/>
            <w:gridSpan w:val="5"/>
            <w:tcBorders>
              <w:top w:val="single" w:sz="8" w:space="0" w:color="4472C4"/>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i/>
                <w:iCs/>
                <w:color w:val="0D0D0D" w:themeColor="text1" w:themeTint="F2"/>
                <w:sz w:val="20"/>
                <w:szCs w:val="20"/>
                <w:lang w:eastAsia="sl-SI"/>
              </w:rPr>
            </w:pPr>
            <w:r w:rsidRPr="00F10CD6">
              <w:rPr>
                <w:rFonts w:eastAsia="Times New Roman" w:cs="Arial"/>
                <w:i/>
                <w:iCs/>
                <w:color w:val="0D0D0D" w:themeColor="text1" w:themeTint="F2"/>
                <w:sz w:val="20"/>
                <w:szCs w:val="20"/>
                <w:lang w:eastAsia="sl-SI"/>
              </w:rPr>
              <w:t>v % BDP</w:t>
            </w:r>
          </w:p>
        </w:tc>
      </w:tr>
      <w:tr w:rsidR="00F97F4C" w:rsidRPr="00F10CD6" w:rsidTr="00F97F4C">
        <w:trPr>
          <w:trHeight w:val="285"/>
        </w:trPr>
        <w:tc>
          <w:tcPr>
            <w:tcW w:w="426"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w:t>
            </w:r>
          </w:p>
        </w:tc>
        <w:tc>
          <w:tcPr>
            <w:tcW w:w="4110" w:type="dxa"/>
            <w:tcBorders>
              <w:top w:val="nil"/>
              <w:left w:val="nil"/>
              <w:bottom w:val="nil"/>
              <w:right w:val="nil"/>
            </w:tcBorders>
            <w:shd w:val="clear" w:color="auto" w:fill="auto"/>
            <w:noWrap/>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Skupaj prihodki ob nespremenjeni politiki </w:t>
            </w:r>
          </w:p>
        </w:tc>
        <w:tc>
          <w:tcPr>
            <w:tcW w:w="869" w:type="dxa"/>
            <w:tcBorders>
              <w:top w:val="nil"/>
              <w:left w:val="nil"/>
              <w:bottom w:val="nil"/>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TR</w:t>
            </w:r>
          </w:p>
        </w:tc>
        <w:tc>
          <w:tcPr>
            <w:tcW w:w="1030" w:type="dxa"/>
            <w:tcBorders>
              <w:top w:val="nil"/>
              <w:left w:val="nil"/>
              <w:bottom w:val="nil"/>
              <w:right w:val="nil"/>
            </w:tcBorders>
            <w:shd w:val="clear" w:color="auto" w:fill="auto"/>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19.800,4</w:t>
            </w:r>
          </w:p>
        </w:tc>
        <w:tc>
          <w:tcPr>
            <w:tcW w:w="652"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43,09</w:t>
            </w:r>
          </w:p>
        </w:tc>
        <w:tc>
          <w:tcPr>
            <w:tcW w:w="641"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43,18</w:t>
            </w:r>
          </w:p>
        </w:tc>
        <w:tc>
          <w:tcPr>
            <w:tcW w:w="641"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42,59</w:t>
            </w:r>
          </w:p>
        </w:tc>
        <w:tc>
          <w:tcPr>
            <w:tcW w:w="641"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41,82</w:t>
            </w:r>
          </w:p>
        </w:tc>
        <w:tc>
          <w:tcPr>
            <w:tcW w:w="643" w:type="dxa"/>
            <w:tcBorders>
              <w:top w:val="nil"/>
              <w:left w:val="nil"/>
              <w:bottom w:val="nil"/>
              <w:right w:val="nil"/>
            </w:tcBorders>
            <w:shd w:val="clear" w:color="auto" w:fill="auto"/>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41,35</w:t>
            </w:r>
          </w:p>
        </w:tc>
      </w:tr>
      <w:tr w:rsidR="00F97F4C" w:rsidRPr="00F10CD6" w:rsidTr="00F97F4C">
        <w:trPr>
          <w:trHeight w:val="285"/>
        </w:trPr>
        <w:tc>
          <w:tcPr>
            <w:tcW w:w="426"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a.</w:t>
            </w:r>
          </w:p>
        </w:tc>
        <w:tc>
          <w:tcPr>
            <w:tcW w:w="4110" w:type="dxa"/>
            <w:tcBorders>
              <w:top w:val="nil"/>
              <w:left w:val="nil"/>
              <w:bottom w:val="nil"/>
              <w:right w:val="nil"/>
            </w:tcBorders>
            <w:shd w:val="clear" w:color="000000" w:fill="D0DBF0"/>
            <w:noWrap/>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Davki na proizvodnjo in uvoz</w:t>
            </w:r>
          </w:p>
        </w:tc>
        <w:tc>
          <w:tcPr>
            <w:tcW w:w="869" w:type="dxa"/>
            <w:tcBorders>
              <w:top w:val="nil"/>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D.2</w:t>
            </w:r>
          </w:p>
        </w:tc>
        <w:tc>
          <w:tcPr>
            <w:tcW w:w="1030" w:type="dxa"/>
            <w:tcBorders>
              <w:top w:val="nil"/>
              <w:left w:val="nil"/>
              <w:bottom w:val="nil"/>
              <w:right w:val="nil"/>
            </w:tcBorders>
            <w:shd w:val="clear" w:color="000000" w:fill="D0DBF0"/>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6.464,5</w:t>
            </w:r>
          </w:p>
        </w:tc>
        <w:tc>
          <w:tcPr>
            <w:tcW w:w="652"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14,07</w:t>
            </w:r>
          </w:p>
        </w:tc>
        <w:tc>
          <w:tcPr>
            <w:tcW w:w="641"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14</w:t>
            </w:r>
          </w:p>
        </w:tc>
        <w:tc>
          <w:tcPr>
            <w:tcW w:w="641"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13,67</w:t>
            </w:r>
          </w:p>
        </w:tc>
        <w:tc>
          <w:tcPr>
            <w:tcW w:w="641"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13,37</w:t>
            </w:r>
          </w:p>
        </w:tc>
        <w:tc>
          <w:tcPr>
            <w:tcW w:w="643" w:type="dxa"/>
            <w:tcBorders>
              <w:top w:val="nil"/>
              <w:left w:val="nil"/>
              <w:bottom w:val="nil"/>
              <w:right w:val="nil"/>
            </w:tcBorders>
            <w:shd w:val="clear" w:color="000000" w:fill="D0DBF0"/>
            <w:noWrap/>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13,08</w:t>
            </w:r>
          </w:p>
        </w:tc>
      </w:tr>
      <w:tr w:rsidR="00F97F4C" w:rsidRPr="00F10CD6" w:rsidTr="00F97F4C">
        <w:trPr>
          <w:trHeight w:val="285"/>
        </w:trPr>
        <w:tc>
          <w:tcPr>
            <w:tcW w:w="426"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2.</w:t>
            </w:r>
          </w:p>
        </w:tc>
        <w:tc>
          <w:tcPr>
            <w:tcW w:w="4110" w:type="dxa"/>
            <w:tcBorders>
              <w:top w:val="nil"/>
              <w:left w:val="nil"/>
              <w:bottom w:val="nil"/>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Skupaj odhodki ob nespremenjeni politiki</w:t>
            </w:r>
          </w:p>
        </w:tc>
        <w:tc>
          <w:tcPr>
            <w:tcW w:w="869" w:type="dxa"/>
            <w:tcBorders>
              <w:top w:val="nil"/>
              <w:left w:val="nil"/>
              <w:bottom w:val="nil"/>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TE</w:t>
            </w:r>
          </w:p>
        </w:tc>
        <w:tc>
          <w:tcPr>
            <w:tcW w:w="1030" w:type="dxa"/>
            <w:tcBorders>
              <w:top w:val="nil"/>
              <w:left w:val="nil"/>
              <w:bottom w:val="nil"/>
              <w:right w:val="nil"/>
            </w:tcBorders>
            <w:shd w:val="clear" w:color="auto" w:fill="auto"/>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19.463,8</w:t>
            </w:r>
          </w:p>
        </w:tc>
        <w:tc>
          <w:tcPr>
            <w:tcW w:w="652"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42,36</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42,24</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41,89</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40,95</w:t>
            </w:r>
          </w:p>
        </w:tc>
        <w:tc>
          <w:tcPr>
            <w:tcW w:w="643"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40,44</w:t>
            </w:r>
          </w:p>
        </w:tc>
      </w:tr>
      <w:tr w:rsidR="00F97F4C" w:rsidRPr="00F10CD6" w:rsidTr="00F97F4C">
        <w:trPr>
          <w:trHeight w:val="285"/>
        </w:trPr>
        <w:tc>
          <w:tcPr>
            <w:tcW w:w="426"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a.</w:t>
            </w:r>
          </w:p>
        </w:tc>
        <w:tc>
          <w:tcPr>
            <w:tcW w:w="4110" w:type="dxa"/>
            <w:tcBorders>
              <w:top w:val="nil"/>
              <w:left w:val="nil"/>
              <w:bottom w:val="nil"/>
              <w:right w:val="nil"/>
            </w:tcBorders>
            <w:shd w:val="clear" w:color="000000" w:fill="D0DBF0"/>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Sredstva za zaposlene in vmesno potrošnjo države</w:t>
            </w:r>
          </w:p>
        </w:tc>
        <w:tc>
          <w:tcPr>
            <w:tcW w:w="869" w:type="dxa"/>
            <w:tcBorders>
              <w:top w:val="nil"/>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D.1+P.2</w:t>
            </w:r>
          </w:p>
        </w:tc>
        <w:tc>
          <w:tcPr>
            <w:tcW w:w="1030" w:type="dxa"/>
            <w:tcBorders>
              <w:top w:val="nil"/>
              <w:left w:val="nil"/>
              <w:bottom w:val="nil"/>
              <w:right w:val="nil"/>
            </w:tcBorders>
            <w:shd w:val="clear" w:color="000000" w:fill="D0DBF0"/>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7.909,2</w:t>
            </w:r>
          </w:p>
        </w:tc>
        <w:tc>
          <w:tcPr>
            <w:tcW w:w="652"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17,21</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17,22</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16,94</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16,52</w:t>
            </w:r>
          </w:p>
        </w:tc>
        <w:tc>
          <w:tcPr>
            <w:tcW w:w="643"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16,18</w:t>
            </w:r>
          </w:p>
        </w:tc>
      </w:tr>
      <w:tr w:rsidR="00F97F4C" w:rsidRPr="00F10CD6" w:rsidTr="00F97F4C">
        <w:trPr>
          <w:trHeight w:val="285"/>
        </w:trPr>
        <w:tc>
          <w:tcPr>
            <w:tcW w:w="426"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b.</w:t>
            </w:r>
          </w:p>
        </w:tc>
        <w:tc>
          <w:tcPr>
            <w:tcW w:w="4110" w:type="dxa"/>
            <w:tcBorders>
              <w:top w:val="nil"/>
              <w:left w:val="nil"/>
              <w:bottom w:val="nil"/>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Socialna nadomestila</w:t>
            </w:r>
          </w:p>
        </w:tc>
        <w:tc>
          <w:tcPr>
            <w:tcW w:w="869" w:type="dxa"/>
            <w:tcBorders>
              <w:top w:val="nil"/>
              <w:left w:val="nil"/>
              <w:bottom w:val="nil"/>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p>
        </w:tc>
        <w:tc>
          <w:tcPr>
            <w:tcW w:w="1030" w:type="dxa"/>
            <w:tcBorders>
              <w:top w:val="nil"/>
              <w:left w:val="nil"/>
              <w:bottom w:val="nil"/>
              <w:right w:val="nil"/>
            </w:tcBorders>
            <w:shd w:val="clear" w:color="auto" w:fill="auto"/>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7.592,7</w:t>
            </w:r>
          </w:p>
        </w:tc>
        <w:tc>
          <w:tcPr>
            <w:tcW w:w="652"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16,52</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16,31</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16,4</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16,35</w:t>
            </w:r>
          </w:p>
        </w:tc>
        <w:tc>
          <w:tcPr>
            <w:tcW w:w="643"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16,37</w:t>
            </w:r>
          </w:p>
        </w:tc>
      </w:tr>
      <w:tr w:rsidR="00F97F4C" w:rsidRPr="00F10CD6" w:rsidTr="00F97F4C">
        <w:trPr>
          <w:trHeight w:val="285"/>
        </w:trPr>
        <w:tc>
          <w:tcPr>
            <w:tcW w:w="426"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c.</w:t>
            </w:r>
          </w:p>
        </w:tc>
        <w:tc>
          <w:tcPr>
            <w:tcW w:w="4110" w:type="dxa"/>
            <w:tcBorders>
              <w:top w:val="nil"/>
              <w:left w:val="nil"/>
              <w:bottom w:val="nil"/>
              <w:right w:val="nil"/>
            </w:tcBorders>
            <w:shd w:val="clear" w:color="000000" w:fill="D0DBF0"/>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Izdatki za obresti</w:t>
            </w:r>
          </w:p>
        </w:tc>
        <w:tc>
          <w:tcPr>
            <w:tcW w:w="869" w:type="dxa"/>
            <w:tcBorders>
              <w:top w:val="nil"/>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D.41</w:t>
            </w:r>
          </w:p>
        </w:tc>
        <w:tc>
          <w:tcPr>
            <w:tcW w:w="1030"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910,5</w:t>
            </w:r>
          </w:p>
        </w:tc>
        <w:tc>
          <w:tcPr>
            <w:tcW w:w="652"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1,98</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1,63</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1,47</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1,31</w:t>
            </w:r>
          </w:p>
        </w:tc>
        <w:tc>
          <w:tcPr>
            <w:tcW w:w="643"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1,16</w:t>
            </w:r>
          </w:p>
        </w:tc>
      </w:tr>
      <w:tr w:rsidR="00F97F4C" w:rsidRPr="00F10CD6" w:rsidTr="00F97F4C">
        <w:trPr>
          <w:trHeight w:val="285"/>
        </w:trPr>
        <w:tc>
          <w:tcPr>
            <w:tcW w:w="426"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w:t>
            </w:r>
          </w:p>
        </w:tc>
        <w:tc>
          <w:tcPr>
            <w:tcW w:w="4110" w:type="dxa"/>
            <w:tcBorders>
              <w:top w:val="nil"/>
              <w:left w:val="nil"/>
              <w:bottom w:val="nil"/>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Subvencije</w:t>
            </w:r>
          </w:p>
        </w:tc>
        <w:tc>
          <w:tcPr>
            <w:tcW w:w="869" w:type="dxa"/>
            <w:tcBorders>
              <w:top w:val="nil"/>
              <w:left w:val="nil"/>
              <w:bottom w:val="nil"/>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D.3</w:t>
            </w:r>
          </w:p>
        </w:tc>
        <w:tc>
          <w:tcPr>
            <w:tcW w:w="1030"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349,9</w:t>
            </w:r>
          </w:p>
        </w:tc>
        <w:tc>
          <w:tcPr>
            <w:tcW w:w="652"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0,76</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0,75</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0,76</w:t>
            </w:r>
          </w:p>
        </w:tc>
        <w:tc>
          <w:tcPr>
            <w:tcW w:w="641"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0,72</w:t>
            </w:r>
          </w:p>
        </w:tc>
        <w:tc>
          <w:tcPr>
            <w:tcW w:w="643" w:type="dxa"/>
            <w:tcBorders>
              <w:top w:val="nil"/>
              <w:left w:val="nil"/>
              <w:bottom w:val="nil"/>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0,71</w:t>
            </w:r>
          </w:p>
        </w:tc>
      </w:tr>
      <w:tr w:rsidR="00F97F4C" w:rsidRPr="00F10CD6" w:rsidTr="00F97F4C">
        <w:trPr>
          <w:trHeight w:val="285"/>
        </w:trPr>
        <w:tc>
          <w:tcPr>
            <w:tcW w:w="426"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e.</w:t>
            </w:r>
          </w:p>
        </w:tc>
        <w:tc>
          <w:tcPr>
            <w:tcW w:w="4110" w:type="dxa"/>
            <w:tcBorders>
              <w:top w:val="nil"/>
              <w:left w:val="nil"/>
              <w:bottom w:val="nil"/>
              <w:right w:val="nil"/>
            </w:tcBorders>
            <w:shd w:val="clear" w:color="000000" w:fill="D0DBF0"/>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Bruto investicije v osnovna sredstva</w:t>
            </w:r>
          </w:p>
        </w:tc>
        <w:tc>
          <w:tcPr>
            <w:tcW w:w="869" w:type="dxa"/>
            <w:tcBorders>
              <w:top w:val="nil"/>
              <w:left w:val="nil"/>
              <w:bottom w:val="nil"/>
              <w:right w:val="nil"/>
            </w:tcBorders>
            <w:shd w:val="clear" w:color="000000" w:fill="D0DBF0"/>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P.51</w:t>
            </w:r>
          </w:p>
        </w:tc>
        <w:tc>
          <w:tcPr>
            <w:tcW w:w="1030" w:type="dxa"/>
            <w:tcBorders>
              <w:top w:val="nil"/>
              <w:left w:val="nil"/>
              <w:bottom w:val="nil"/>
              <w:right w:val="nil"/>
            </w:tcBorders>
            <w:shd w:val="clear" w:color="000000" w:fill="D0DBF0"/>
            <w:vAlign w:val="center"/>
            <w:hideMark/>
          </w:tcPr>
          <w:p w:rsidR="00F97F4C" w:rsidRPr="00F10CD6" w:rsidRDefault="00F97F4C" w:rsidP="00A82B43">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1.662,5</w:t>
            </w:r>
          </w:p>
        </w:tc>
        <w:tc>
          <w:tcPr>
            <w:tcW w:w="652"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3,62</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4,13</w:t>
            </w:r>
          </w:p>
        </w:tc>
        <w:tc>
          <w:tcPr>
            <w:tcW w:w="641"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4,06</w:t>
            </w:r>
          </w:p>
        </w:tc>
        <w:tc>
          <w:tcPr>
            <w:tcW w:w="643" w:type="dxa"/>
            <w:tcBorders>
              <w:top w:val="nil"/>
              <w:left w:val="nil"/>
              <w:bottom w:val="nil"/>
              <w:right w:val="nil"/>
            </w:tcBorders>
            <w:shd w:val="clear" w:color="000000" w:fill="D0DBF0"/>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4,1</w:t>
            </w:r>
          </w:p>
        </w:tc>
      </w:tr>
      <w:tr w:rsidR="00F97F4C" w:rsidRPr="00F10CD6" w:rsidTr="00F97F4C">
        <w:trPr>
          <w:trHeight w:val="300"/>
        </w:trPr>
        <w:tc>
          <w:tcPr>
            <w:tcW w:w="426"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3.</w:t>
            </w:r>
          </w:p>
        </w:tc>
        <w:tc>
          <w:tcPr>
            <w:tcW w:w="4110"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lef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Neto posojanje / neto izposojanje</w:t>
            </w:r>
          </w:p>
        </w:tc>
        <w:tc>
          <w:tcPr>
            <w:tcW w:w="869"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center"/>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B.9</w:t>
            </w:r>
          </w:p>
        </w:tc>
        <w:tc>
          <w:tcPr>
            <w:tcW w:w="1030"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336,6</w:t>
            </w:r>
          </w:p>
        </w:tc>
        <w:tc>
          <w:tcPr>
            <w:tcW w:w="652"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0,73</w:t>
            </w:r>
          </w:p>
        </w:tc>
        <w:tc>
          <w:tcPr>
            <w:tcW w:w="641"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0,95</w:t>
            </w:r>
          </w:p>
        </w:tc>
        <w:tc>
          <w:tcPr>
            <w:tcW w:w="641"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0,7</w:t>
            </w:r>
          </w:p>
        </w:tc>
        <w:tc>
          <w:tcPr>
            <w:tcW w:w="641"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0,87</w:t>
            </w:r>
          </w:p>
        </w:tc>
        <w:tc>
          <w:tcPr>
            <w:tcW w:w="643" w:type="dxa"/>
            <w:tcBorders>
              <w:top w:val="nil"/>
              <w:left w:val="nil"/>
              <w:bottom w:val="single" w:sz="8" w:space="0" w:color="4472C4"/>
              <w:right w:val="nil"/>
            </w:tcBorders>
            <w:shd w:val="clear" w:color="auto" w:fill="auto"/>
            <w:vAlign w:val="center"/>
            <w:hideMark/>
          </w:tcPr>
          <w:p w:rsidR="00F97F4C" w:rsidRPr="00F10CD6" w:rsidRDefault="00F97F4C" w:rsidP="00F97F4C">
            <w:pPr>
              <w:spacing w:after="0"/>
              <w:jc w:val="right"/>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0,9</w:t>
            </w:r>
          </w:p>
        </w:tc>
      </w:tr>
    </w:tbl>
    <w:p w:rsidR="007B2B92" w:rsidRPr="00F10CD6" w:rsidRDefault="007B2B92" w:rsidP="00300564">
      <w:pPr>
        <w:spacing w:after="0"/>
        <w:jc w:val="center"/>
        <w:rPr>
          <w:rFonts w:cs="Arial"/>
          <w:color w:val="0D0D0D" w:themeColor="text1" w:themeTint="F2"/>
          <w:sz w:val="20"/>
          <w:szCs w:val="16"/>
        </w:rPr>
      </w:pPr>
      <w:r w:rsidRPr="009B5300">
        <w:rPr>
          <w:color w:val="0D0D0D" w:themeColor="text1" w:themeTint="F2"/>
          <w:sz w:val="20"/>
          <w:szCs w:val="16"/>
        </w:rPr>
        <w:t xml:space="preserve">Vir: </w:t>
      </w:r>
      <w:r w:rsidR="001366DB" w:rsidRPr="009B5300">
        <w:rPr>
          <w:color w:val="0D0D0D" w:themeColor="text1" w:themeTint="F2"/>
          <w:sz w:val="20"/>
          <w:szCs w:val="16"/>
        </w:rPr>
        <w:t>SURS (objava 1</w:t>
      </w:r>
      <w:r w:rsidRPr="009B5300">
        <w:rPr>
          <w:color w:val="0D0D0D" w:themeColor="text1" w:themeTint="F2"/>
          <w:sz w:val="20"/>
          <w:szCs w:val="16"/>
        </w:rPr>
        <w:t>9.</w:t>
      </w:r>
      <w:r w:rsidR="008A72A7" w:rsidRPr="009B5300">
        <w:rPr>
          <w:color w:val="0D0D0D" w:themeColor="text1" w:themeTint="F2"/>
          <w:sz w:val="20"/>
          <w:szCs w:val="16"/>
        </w:rPr>
        <w:t> </w:t>
      </w:r>
      <w:r w:rsidR="001366DB" w:rsidRPr="009B5300">
        <w:rPr>
          <w:color w:val="0D0D0D" w:themeColor="text1" w:themeTint="F2"/>
          <w:sz w:val="20"/>
          <w:szCs w:val="16"/>
        </w:rPr>
        <w:t>4</w:t>
      </w:r>
      <w:r w:rsidRPr="009B5300">
        <w:rPr>
          <w:color w:val="0D0D0D" w:themeColor="text1" w:themeTint="F2"/>
          <w:sz w:val="20"/>
          <w:szCs w:val="16"/>
        </w:rPr>
        <w:t>.</w:t>
      </w:r>
      <w:r w:rsidR="008A72A7" w:rsidRPr="009B5300">
        <w:rPr>
          <w:color w:val="0D0D0D" w:themeColor="text1" w:themeTint="F2"/>
          <w:sz w:val="20"/>
          <w:szCs w:val="16"/>
        </w:rPr>
        <w:t> </w:t>
      </w:r>
      <w:r w:rsidRPr="009B5300">
        <w:rPr>
          <w:color w:val="0D0D0D" w:themeColor="text1" w:themeTint="F2"/>
          <w:sz w:val="20"/>
          <w:szCs w:val="16"/>
        </w:rPr>
        <w:t>2019), projekcije Ministrstva za finance</w:t>
      </w:r>
    </w:p>
    <w:p w:rsidR="00300564" w:rsidRDefault="00300564" w:rsidP="002E3C2D">
      <w:pPr>
        <w:pStyle w:val="besedilo"/>
        <w:rPr>
          <w:color w:val="0D0D0D" w:themeColor="text1" w:themeTint="F2"/>
        </w:rPr>
      </w:pPr>
    </w:p>
    <w:p w:rsidR="002E3C2D" w:rsidRPr="00F10CD6" w:rsidRDefault="002E3C2D" w:rsidP="009B5300">
      <w:pPr>
        <w:pStyle w:val="ListParagraph"/>
        <w:numPr>
          <w:ilvl w:val="0"/>
          <w:numId w:val="28"/>
        </w:numPr>
        <w:spacing w:after="0" w:line="276" w:lineRule="auto"/>
        <w:rPr>
          <w:rFonts w:cs="Arial"/>
          <w:color w:val="0D0D0D" w:themeColor="text1" w:themeTint="F2"/>
          <w:u w:val="single"/>
        </w:rPr>
      </w:pPr>
      <w:r w:rsidRPr="00F10CD6">
        <w:rPr>
          <w:rFonts w:cs="Arial"/>
          <w:color w:val="0D0D0D" w:themeColor="text1" w:themeTint="F2"/>
          <w:u w:val="single"/>
        </w:rPr>
        <w:t xml:space="preserve">Uveljavljanje enkratnih </w:t>
      </w:r>
      <w:r w:rsidR="00AC0495" w:rsidRPr="00F10CD6">
        <w:rPr>
          <w:rFonts w:cs="Arial"/>
          <w:color w:val="0D0D0D" w:themeColor="text1" w:themeTint="F2"/>
          <w:u w:val="single"/>
        </w:rPr>
        <w:t>izdatkov</w:t>
      </w:r>
    </w:p>
    <w:p w:rsidR="007B4DD0" w:rsidRPr="00F10CD6" w:rsidRDefault="007B4DD0" w:rsidP="002E3C2D">
      <w:pPr>
        <w:pStyle w:val="besedilo"/>
        <w:rPr>
          <w:color w:val="0D0D0D" w:themeColor="text1" w:themeTint="F2"/>
        </w:rPr>
      </w:pPr>
    </w:p>
    <w:p w:rsidR="002E3C2D" w:rsidRDefault="002E3C2D" w:rsidP="002E3C2D">
      <w:pPr>
        <w:pStyle w:val="besedilo"/>
        <w:rPr>
          <w:color w:val="0D0D0D" w:themeColor="text1" w:themeTint="F2"/>
        </w:rPr>
      </w:pPr>
      <w:r w:rsidRPr="00F10CD6">
        <w:rPr>
          <w:color w:val="0D0D0D" w:themeColor="text1" w:themeTint="F2"/>
        </w:rPr>
        <w:t>V letu 201</w:t>
      </w:r>
      <w:r w:rsidR="00E40A3A" w:rsidRPr="00F10CD6">
        <w:rPr>
          <w:color w:val="0D0D0D" w:themeColor="text1" w:themeTint="F2"/>
        </w:rPr>
        <w:t>8</w:t>
      </w:r>
      <w:r w:rsidRPr="00F10CD6">
        <w:rPr>
          <w:color w:val="0D0D0D" w:themeColor="text1" w:themeTint="F2"/>
        </w:rPr>
        <w:t xml:space="preserve"> so znašali enkratni </w:t>
      </w:r>
      <w:r w:rsidR="00AC0495" w:rsidRPr="00F10CD6">
        <w:rPr>
          <w:color w:val="0D0D0D" w:themeColor="text1" w:themeTint="F2"/>
        </w:rPr>
        <w:t xml:space="preserve">izdatki </w:t>
      </w:r>
      <w:r w:rsidR="006C6F6E" w:rsidRPr="00F10CD6">
        <w:rPr>
          <w:color w:val="0D0D0D" w:themeColor="text1" w:themeTint="F2"/>
        </w:rPr>
        <w:t>47,7</w:t>
      </w:r>
      <w:r w:rsidRPr="00F10CD6">
        <w:rPr>
          <w:color w:val="0D0D0D" w:themeColor="text1" w:themeTint="F2"/>
        </w:rPr>
        <w:t xml:space="preserve"> mio</w:t>
      </w:r>
      <w:r w:rsidR="00D51ED7" w:rsidRPr="00F10CD6">
        <w:rPr>
          <w:color w:val="0D0D0D" w:themeColor="text1" w:themeTint="F2"/>
        </w:rPr>
        <w:t xml:space="preserve"> EUR</w:t>
      </w:r>
      <w:r w:rsidRPr="00F10CD6">
        <w:rPr>
          <w:color w:val="0D0D0D" w:themeColor="text1" w:themeTint="F2"/>
        </w:rPr>
        <w:t xml:space="preserve"> (</w:t>
      </w:r>
      <w:r w:rsidR="002A58F6" w:rsidRPr="00F10CD6">
        <w:rPr>
          <w:color w:val="0D0D0D" w:themeColor="text1" w:themeTint="F2"/>
        </w:rPr>
        <w:t xml:space="preserve">tožba MOL </w:t>
      </w:r>
      <w:r w:rsidR="006C6F6E" w:rsidRPr="00F10CD6">
        <w:rPr>
          <w:color w:val="0D0D0D" w:themeColor="text1" w:themeTint="F2"/>
        </w:rPr>
        <w:t xml:space="preserve">za </w:t>
      </w:r>
      <w:r w:rsidR="002A58F6" w:rsidRPr="00F10CD6">
        <w:rPr>
          <w:color w:val="0D0D0D" w:themeColor="text1" w:themeTint="F2"/>
        </w:rPr>
        <w:t xml:space="preserve">delež prihodkov </w:t>
      </w:r>
      <w:r w:rsidR="00D57727" w:rsidRPr="00F10CD6">
        <w:rPr>
          <w:color w:val="0D0D0D" w:themeColor="text1" w:themeTint="F2"/>
        </w:rPr>
        <w:t>po Zakonu o glavnem mestu Republike Slovenije</w:t>
      </w:r>
      <w:r w:rsidR="002A58F6" w:rsidRPr="00F10CD6">
        <w:rPr>
          <w:color w:val="0D0D0D" w:themeColor="text1" w:themeTint="F2"/>
        </w:rPr>
        <w:t xml:space="preserve"> in</w:t>
      </w:r>
      <w:r w:rsidR="00D51ED7" w:rsidRPr="00F10CD6">
        <w:rPr>
          <w:color w:val="0D0D0D" w:themeColor="text1" w:themeTint="F2"/>
        </w:rPr>
        <w:t xml:space="preserve"> izplačilo obresti iz naslova</w:t>
      </w:r>
      <w:r w:rsidRPr="00F10CD6">
        <w:rPr>
          <w:color w:val="0D0D0D" w:themeColor="text1" w:themeTint="F2"/>
        </w:rPr>
        <w:t xml:space="preserve"> starih deviznih vlog, </w:t>
      </w:r>
      <w:r w:rsidRPr="00F10CD6">
        <w:rPr>
          <w:color w:val="0D0D0D" w:themeColor="text1" w:themeTint="F2"/>
        </w:rPr>
        <w:lastRenderedPageBreak/>
        <w:t xml:space="preserve">ki so bile v </w:t>
      </w:r>
      <w:r w:rsidR="008A72A7" w:rsidRPr="00F10CD6">
        <w:rPr>
          <w:color w:val="0D0D0D" w:themeColor="text1" w:themeTint="F2"/>
        </w:rPr>
        <w:t xml:space="preserve">devetdesetih </w:t>
      </w:r>
      <w:r w:rsidRPr="00F10CD6">
        <w:rPr>
          <w:color w:val="0D0D0D" w:themeColor="text1" w:themeTint="F2"/>
        </w:rPr>
        <w:t xml:space="preserve">letih </w:t>
      </w:r>
      <w:r w:rsidR="008A72A7" w:rsidRPr="00F10CD6">
        <w:rPr>
          <w:color w:val="0D0D0D" w:themeColor="text1" w:themeTint="F2"/>
        </w:rPr>
        <w:t xml:space="preserve">prejšnjega stoletja </w:t>
      </w:r>
      <w:r w:rsidRPr="00F10CD6">
        <w:rPr>
          <w:color w:val="0D0D0D" w:themeColor="text1" w:themeTint="F2"/>
        </w:rPr>
        <w:t xml:space="preserve">prenesene na hrvaške banke in izplačane varčevalcem). </w:t>
      </w:r>
      <w:r w:rsidR="002A58F6" w:rsidRPr="00F10CD6">
        <w:rPr>
          <w:color w:val="0D0D0D" w:themeColor="text1" w:themeTint="F2"/>
        </w:rPr>
        <w:t>Vlada Republike Slovenije se je seznanila s stanjem odprtih sodnih, izvensodnih, arbitražnih in drugih postopkov, iz katerih izhajajo večja proračunska in druga tveganja (Interno, marec 2019), zato za leto 2019 in naprej ocenjujemo, da se bodo enkratni stroški zaradi vloženih več tožb (denacionalizacija, investicijski spor, zakon o izbrisanih in drugo) ohranili na ravni 0,1 % BDP (poleg plačevanja obresti obveznosti iz naslova deviznih varčevalce</w:t>
      </w:r>
      <w:r w:rsidR="008A72A7" w:rsidRPr="00F10CD6">
        <w:rPr>
          <w:color w:val="0D0D0D" w:themeColor="text1" w:themeTint="F2"/>
        </w:rPr>
        <w:t>v</w:t>
      </w:r>
      <w:r w:rsidR="002A58F6" w:rsidRPr="00F10CD6">
        <w:rPr>
          <w:color w:val="0D0D0D" w:themeColor="text1" w:themeTint="F2"/>
        </w:rPr>
        <w:t xml:space="preserve"> upoštevamo še tožbo glede kmetijskih zemljišč</w:t>
      </w:r>
      <w:r w:rsidR="006C6F6E" w:rsidRPr="00F10CD6">
        <w:rPr>
          <w:color w:val="0D0D0D" w:themeColor="text1" w:themeTint="F2"/>
        </w:rPr>
        <w:t>, spor glede izvedbe investicije</w:t>
      </w:r>
      <w:r w:rsidR="002A58F6" w:rsidRPr="00F10CD6">
        <w:rPr>
          <w:color w:val="0D0D0D" w:themeColor="text1" w:themeTint="F2"/>
        </w:rPr>
        <w:t>).</w:t>
      </w:r>
    </w:p>
    <w:p w:rsidR="009B5300" w:rsidRPr="00F10CD6" w:rsidRDefault="009B5300" w:rsidP="002E3C2D">
      <w:pPr>
        <w:pStyle w:val="besedilo"/>
        <w:rPr>
          <w:color w:val="0D0D0D" w:themeColor="text1" w:themeTint="F2"/>
        </w:rPr>
      </w:pPr>
    </w:p>
    <w:p w:rsidR="00224122" w:rsidRPr="00F10CD6" w:rsidRDefault="002E3C2D" w:rsidP="00224122">
      <w:pPr>
        <w:pStyle w:val="Heading2"/>
        <w:numPr>
          <w:ilvl w:val="1"/>
          <w:numId w:val="3"/>
        </w:numPr>
        <w:rPr>
          <w:color w:val="0D0D0D" w:themeColor="text1" w:themeTint="F2"/>
        </w:rPr>
      </w:pPr>
      <w:bookmarkStart w:id="11" w:name="_Toc6923652"/>
      <w:r w:rsidRPr="00F10CD6">
        <w:rPr>
          <w:color w:val="0D0D0D" w:themeColor="text1" w:themeTint="F2"/>
        </w:rPr>
        <w:t>Primerjava ekonomskih in proračunskih napovedi s Programom stabilnosti 201</w:t>
      </w:r>
      <w:r w:rsidR="00173FDE" w:rsidRPr="00F10CD6">
        <w:rPr>
          <w:color w:val="0D0D0D" w:themeColor="text1" w:themeTint="F2"/>
        </w:rPr>
        <w:t>8</w:t>
      </w:r>
      <w:bookmarkEnd w:id="11"/>
    </w:p>
    <w:p w:rsidR="00305638" w:rsidRPr="00F10CD6" w:rsidRDefault="00305638" w:rsidP="00BA6227">
      <w:pPr>
        <w:spacing w:after="0" w:line="276" w:lineRule="auto"/>
        <w:rPr>
          <w:rFonts w:eastAsia="Batang" w:cs="Arial"/>
          <w:color w:val="0D0D0D" w:themeColor="text1" w:themeTint="F2"/>
          <w:szCs w:val="20"/>
        </w:rPr>
      </w:pPr>
    </w:p>
    <w:p w:rsidR="008D061D" w:rsidRPr="00F10CD6" w:rsidRDefault="00305638" w:rsidP="008D061D">
      <w:pPr>
        <w:pStyle w:val="besedilo"/>
        <w:rPr>
          <w:color w:val="0D0D0D" w:themeColor="text1" w:themeTint="F2"/>
        </w:rPr>
      </w:pPr>
      <w:r w:rsidRPr="00F10CD6">
        <w:rPr>
          <w:color w:val="0D0D0D" w:themeColor="text1" w:themeTint="F2"/>
        </w:rPr>
        <w:t>Napoved rasti BDP je v primerjavi s predhodnim Programom stabilnosti 2018 za celotno programsko obdobje nižja oz</w:t>
      </w:r>
      <w:r w:rsidR="008A72A7" w:rsidRPr="00F10CD6">
        <w:rPr>
          <w:color w:val="0D0D0D" w:themeColor="text1" w:themeTint="F2"/>
        </w:rPr>
        <w:t>iroma</w:t>
      </w:r>
      <w:r w:rsidRPr="00F10CD6">
        <w:rPr>
          <w:color w:val="0D0D0D" w:themeColor="text1" w:themeTint="F2"/>
        </w:rPr>
        <w:t xml:space="preserve"> popravljena navzdol. S spomladansko napovedjo 2019 UMAR pričakuje, da se bo gospodarska rast letos (3,4 %) in v prihodnjih dveh letih (3,1 % in 2,8</w:t>
      </w:r>
      <w:r w:rsidR="009E7A2E" w:rsidRPr="00F10CD6">
        <w:rPr>
          <w:color w:val="0D0D0D" w:themeColor="text1" w:themeTint="F2"/>
        </w:rPr>
        <w:t xml:space="preserve"> %) postopoma umirjala. </w:t>
      </w:r>
      <w:r w:rsidRPr="00F10CD6">
        <w:rPr>
          <w:color w:val="0D0D0D" w:themeColor="text1" w:themeTint="F2"/>
        </w:rPr>
        <w:t xml:space="preserve">Gospodarska rast je bila na račun umirjanja rasti izvozno usmerjenega dela gospodarstva že v letu 2018 nekoliko nižja od predvidene v Programu stabilnosti spomladi 2018. Tveganja za nižjo gospodarsko rast (glede na predhodni program) se povečujejo in izhajajo zlasti iz mednarodnega (zunanjega) okolja. </w:t>
      </w:r>
    </w:p>
    <w:p w:rsidR="00A82B43" w:rsidRPr="00F10CD6" w:rsidRDefault="00A82B43" w:rsidP="008D061D">
      <w:pPr>
        <w:pStyle w:val="besedilo"/>
        <w:rPr>
          <w:color w:val="0D0D0D" w:themeColor="text1" w:themeTint="F2"/>
        </w:rPr>
      </w:pPr>
    </w:p>
    <w:p w:rsidR="00305638" w:rsidRPr="00F10CD6" w:rsidRDefault="00305638" w:rsidP="008D061D">
      <w:pPr>
        <w:pStyle w:val="besedilo"/>
        <w:rPr>
          <w:color w:val="0D0D0D" w:themeColor="text1" w:themeTint="F2"/>
        </w:rPr>
      </w:pPr>
      <w:r w:rsidRPr="00F10CD6">
        <w:rPr>
          <w:color w:val="0D0D0D" w:themeColor="text1" w:themeTint="F2"/>
        </w:rPr>
        <w:t>Projekcije presežka sektorja država so za celotno programsko obdobje višje oz</w:t>
      </w:r>
      <w:r w:rsidR="008A72A7" w:rsidRPr="00F10CD6">
        <w:rPr>
          <w:color w:val="0D0D0D" w:themeColor="text1" w:themeTint="F2"/>
        </w:rPr>
        <w:t>iroma</w:t>
      </w:r>
      <w:r w:rsidRPr="00F10CD6">
        <w:rPr>
          <w:color w:val="0D0D0D" w:themeColor="text1" w:themeTint="F2"/>
        </w:rPr>
        <w:t xml:space="preserve"> ugodnejše od projekcij, predstavljenih v predhodnem Programu stabilnosti 2018; predvsem na račun i) noveliranih makroekonomskih izhodišč s strani UMAR-ja (pomladanska napoved 2019), ter ii) načrtovanja prihodkov in odhodkov na račun sprejetih ukrepov, ki se nanašajo na ekonomsko in socialno politiko. </w:t>
      </w:r>
    </w:p>
    <w:p w:rsidR="003259EE" w:rsidRPr="00F10CD6" w:rsidRDefault="003259EE" w:rsidP="008D061D">
      <w:pPr>
        <w:spacing w:after="0"/>
        <w:jc w:val="center"/>
        <w:rPr>
          <w:rFonts w:cs="Arial"/>
          <w:i/>
          <w:color w:val="0D0D0D" w:themeColor="text1" w:themeTint="F2"/>
        </w:rPr>
      </w:pPr>
    </w:p>
    <w:p w:rsidR="00305638" w:rsidRPr="00F10CD6" w:rsidRDefault="00305638" w:rsidP="008256EF">
      <w:pPr>
        <w:spacing w:after="120"/>
        <w:jc w:val="center"/>
        <w:rPr>
          <w:rFonts w:cs="Arial"/>
          <w:color w:val="0D0D0D" w:themeColor="text1" w:themeTint="F2"/>
        </w:rPr>
      </w:pPr>
      <w:r w:rsidRPr="00F10CD6">
        <w:rPr>
          <w:rFonts w:cs="Arial"/>
          <w:color w:val="0D0D0D" w:themeColor="text1" w:themeTint="F2"/>
        </w:rPr>
        <w:t>Tabela</w:t>
      </w:r>
      <w:r w:rsidR="00FD3539" w:rsidRPr="00F10CD6">
        <w:rPr>
          <w:rFonts w:cs="Arial"/>
          <w:color w:val="0D0D0D" w:themeColor="text1" w:themeTint="F2"/>
        </w:rPr>
        <w:t xml:space="preserve"> 6</w:t>
      </w:r>
      <w:r w:rsidRPr="00F10CD6">
        <w:rPr>
          <w:rFonts w:cs="Arial"/>
          <w:color w:val="0D0D0D" w:themeColor="text1" w:themeTint="F2"/>
        </w:rPr>
        <w:t>: Primerjava napovedi ekonomskih in proračunskih indikatorjev s predhodnim programom</w:t>
      </w:r>
    </w:p>
    <w:tbl>
      <w:tblPr>
        <w:tblStyle w:val="LightShading-Accent1"/>
        <w:tblW w:w="0" w:type="auto"/>
        <w:tblLook w:val="04A0" w:firstRow="1" w:lastRow="0" w:firstColumn="1" w:lastColumn="0" w:noHBand="0" w:noVBand="1"/>
      </w:tblPr>
      <w:tblGrid>
        <w:gridCol w:w="2835"/>
        <w:gridCol w:w="1253"/>
        <w:gridCol w:w="1254"/>
        <w:gridCol w:w="1254"/>
        <w:gridCol w:w="1254"/>
        <w:gridCol w:w="1254"/>
      </w:tblGrid>
      <w:tr w:rsidR="009B5300" w:rsidRPr="00F10CD6" w:rsidTr="009B530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v % BDP</w:t>
            </w:r>
          </w:p>
        </w:tc>
        <w:tc>
          <w:tcPr>
            <w:tcW w:w="1253" w:type="dxa"/>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2018</w:t>
            </w:r>
          </w:p>
        </w:tc>
        <w:tc>
          <w:tcPr>
            <w:tcW w:w="1254" w:type="dxa"/>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2019</w:t>
            </w:r>
          </w:p>
        </w:tc>
        <w:tc>
          <w:tcPr>
            <w:tcW w:w="1254" w:type="dxa"/>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2020</w:t>
            </w:r>
          </w:p>
        </w:tc>
        <w:tc>
          <w:tcPr>
            <w:tcW w:w="1254" w:type="dxa"/>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2021</w:t>
            </w:r>
          </w:p>
        </w:tc>
        <w:tc>
          <w:tcPr>
            <w:tcW w:w="1254" w:type="dxa"/>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2022</w:t>
            </w: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i/>
                <w:color w:val="0D0D0D" w:themeColor="text1" w:themeTint="F2"/>
                <w:sz w:val="20"/>
                <w:szCs w:val="20"/>
              </w:rPr>
            </w:pPr>
            <w:r w:rsidRPr="00F10CD6">
              <w:rPr>
                <w:rFonts w:cs="Arial"/>
                <w:b w:val="0"/>
                <w:i/>
                <w:color w:val="0D0D0D" w:themeColor="text1" w:themeTint="F2"/>
                <w:sz w:val="20"/>
                <w:szCs w:val="20"/>
              </w:rPr>
              <w:t>1. Rast BDP</w:t>
            </w:r>
          </w:p>
        </w:tc>
        <w:tc>
          <w:tcPr>
            <w:tcW w:w="1253"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2018</w:t>
            </w:r>
          </w:p>
        </w:tc>
        <w:tc>
          <w:tcPr>
            <w:tcW w:w="1253"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5,1</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3,8</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3,2</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3,0</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3,0</w:t>
            </w: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2019</w:t>
            </w:r>
          </w:p>
        </w:tc>
        <w:tc>
          <w:tcPr>
            <w:tcW w:w="1253"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4,5</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3,4</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2,8</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2,7</w:t>
            </w: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Razlika</w:t>
            </w:r>
          </w:p>
        </w:tc>
        <w:tc>
          <w:tcPr>
            <w:tcW w:w="1253"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0,6</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0,4</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0,1</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0,2</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0,3</w:t>
            </w: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8A72A7">
            <w:pPr>
              <w:jc w:val="left"/>
              <w:rPr>
                <w:rFonts w:cs="Arial"/>
                <w:b w:val="0"/>
                <w:i/>
                <w:color w:val="0D0D0D" w:themeColor="text1" w:themeTint="F2"/>
                <w:sz w:val="20"/>
                <w:szCs w:val="20"/>
              </w:rPr>
            </w:pPr>
            <w:r w:rsidRPr="00F10CD6">
              <w:rPr>
                <w:rFonts w:cs="Arial"/>
                <w:b w:val="0"/>
                <w:i/>
                <w:color w:val="0D0D0D" w:themeColor="text1" w:themeTint="F2"/>
                <w:sz w:val="20"/>
                <w:szCs w:val="20"/>
              </w:rPr>
              <w:t>2. Saldo sektorja držav</w:t>
            </w:r>
            <w:r w:rsidR="008A72A7" w:rsidRPr="00F10CD6">
              <w:rPr>
                <w:rFonts w:cs="Arial"/>
                <w:b w:val="0"/>
                <w:i/>
                <w:color w:val="0D0D0D" w:themeColor="text1" w:themeTint="F2"/>
                <w:sz w:val="20"/>
                <w:szCs w:val="20"/>
              </w:rPr>
              <w:t>a</w:t>
            </w:r>
          </w:p>
        </w:tc>
        <w:tc>
          <w:tcPr>
            <w:tcW w:w="1253"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2018</w:t>
            </w:r>
          </w:p>
        </w:tc>
        <w:tc>
          <w:tcPr>
            <w:tcW w:w="1253"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0,4</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0,2</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0,6</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0,9</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2019</w:t>
            </w:r>
          </w:p>
        </w:tc>
        <w:tc>
          <w:tcPr>
            <w:tcW w:w="1253" w:type="dxa"/>
          </w:tcPr>
          <w:p w:rsidR="00305638" w:rsidRPr="00F10CD6" w:rsidRDefault="00305638" w:rsidP="00EB5A5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ED540A" w:rsidRPr="00F10CD6">
              <w:rPr>
                <w:rFonts w:cs="Arial"/>
                <w:color w:val="0D0D0D" w:themeColor="text1" w:themeTint="F2"/>
                <w:sz w:val="20"/>
                <w:szCs w:val="20"/>
              </w:rPr>
              <w:t>7</w:t>
            </w:r>
          </w:p>
        </w:tc>
        <w:tc>
          <w:tcPr>
            <w:tcW w:w="1254" w:type="dxa"/>
          </w:tcPr>
          <w:p w:rsidR="00305638" w:rsidRPr="00F10CD6" w:rsidRDefault="00305638" w:rsidP="0002737E">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02737E" w:rsidRPr="00F10CD6">
              <w:rPr>
                <w:rFonts w:cs="Arial"/>
                <w:color w:val="0D0D0D" w:themeColor="text1" w:themeTint="F2"/>
                <w:sz w:val="20"/>
                <w:szCs w:val="20"/>
              </w:rPr>
              <w:t>9</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1,0</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1,1</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1,2</w:t>
            </w: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Razlika</w:t>
            </w:r>
          </w:p>
        </w:tc>
        <w:tc>
          <w:tcPr>
            <w:tcW w:w="1253" w:type="dxa"/>
          </w:tcPr>
          <w:p w:rsidR="00305638" w:rsidRPr="00F10CD6" w:rsidRDefault="00305638" w:rsidP="00EB5A5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ED540A" w:rsidRPr="00F10CD6">
              <w:rPr>
                <w:rFonts w:cs="Arial"/>
                <w:color w:val="0D0D0D" w:themeColor="text1" w:themeTint="F2"/>
                <w:sz w:val="20"/>
                <w:szCs w:val="20"/>
              </w:rPr>
              <w:t>3</w:t>
            </w:r>
          </w:p>
        </w:tc>
        <w:tc>
          <w:tcPr>
            <w:tcW w:w="1254" w:type="dxa"/>
          </w:tcPr>
          <w:p w:rsidR="00305638" w:rsidRPr="00F10CD6" w:rsidRDefault="00305638" w:rsidP="0002737E">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r w:rsidR="0002737E" w:rsidRPr="00F10CD6">
              <w:rPr>
                <w:rFonts w:cs="Arial"/>
                <w:color w:val="0D0D0D" w:themeColor="text1" w:themeTint="F2"/>
                <w:sz w:val="20"/>
                <w:szCs w:val="20"/>
              </w:rPr>
              <w:t>7</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0,4</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0,2</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8A72A7">
            <w:pPr>
              <w:jc w:val="left"/>
              <w:rPr>
                <w:rFonts w:cs="Arial"/>
                <w:b w:val="0"/>
                <w:i/>
                <w:color w:val="0D0D0D" w:themeColor="text1" w:themeTint="F2"/>
                <w:sz w:val="20"/>
                <w:szCs w:val="20"/>
              </w:rPr>
            </w:pPr>
            <w:r w:rsidRPr="00F10CD6">
              <w:rPr>
                <w:rFonts w:cs="Arial"/>
                <w:b w:val="0"/>
                <w:i/>
                <w:color w:val="0D0D0D" w:themeColor="text1" w:themeTint="F2"/>
                <w:sz w:val="20"/>
                <w:szCs w:val="20"/>
              </w:rPr>
              <w:t>3. Dolg sektorja držav</w:t>
            </w:r>
            <w:r w:rsidR="008A72A7" w:rsidRPr="00F10CD6">
              <w:rPr>
                <w:rFonts w:cs="Arial"/>
                <w:b w:val="0"/>
                <w:i/>
                <w:color w:val="0D0D0D" w:themeColor="text1" w:themeTint="F2"/>
                <w:sz w:val="20"/>
                <w:szCs w:val="20"/>
              </w:rPr>
              <w:t>a</w:t>
            </w:r>
          </w:p>
        </w:tc>
        <w:tc>
          <w:tcPr>
            <w:tcW w:w="1253"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2018</w:t>
            </w:r>
          </w:p>
        </w:tc>
        <w:tc>
          <w:tcPr>
            <w:tcW w:w="1253"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69,3</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65,2</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61,5</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58,3</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r>
      <w:tr w:rsidR="009B5300" w:rsidRPr="00F10CD6" w:rsidTr="009B53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Program stabilnosti 2019</w:t>
            </w:r>
          </w:p>
        </w:tc>
        <w:tc>
          <w:tcPr>
            <w:tcW w:w="1253"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70,1</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65,4</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61,3</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57,9</w:t>
            </w:r>
          </w:p>
        </w:tc>
        <w:tc>
          <w:tcPr>
            <w:tcW w:w="1254"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54,7</w:t>
            </w:r>
          </w:p>
        </w:tc>
      </w:tr>
      <w:tr w:rsidR="009B5300" w:rsidRPr="00F10CD6" w:rsidTr="009B5300">
        <w:trPr>
          <w:trHeight w:val="300"/>
        </w:trPr>
        <w:tc>
          <w:tcPr>
            <w:cnfStyle w:val="001000000000" w:firstRow="0" w:lastRow="0" w:firstColumn="1" w:lastColumn="0" w:oddVBand="0" w:evenVBand="0" w:oddHBand="0" w:evenHBand="0" w:firstRowFirstColumn="0" w:firstRowLastColumn="0" w:lastRowFirstColumn="0" w:lastRowLastColumn="0"/>
            <w:tcW w:w="2835" w:type="dxa"/>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Razlika</w:t>
            </w:r>
          </w:p>
        </w:tc>
        <w:tc>
          <w:tcPr>
            <w:tcW w:w="1253"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0,8</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0,2</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0,2</w:t>
            </w:r>
          </w:p>
        </w:tc>
        <w:tc>
          <w:tcPr>
            <w:tcW w:w="1254" w:type="dxa"/>
          </w:tcPr>
          <w:p w:rsidR="00305638" w:rsidRPr="00F10CD6" w:rsidRDefault="001C284E"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0,4</w:t>
            </w:r>
          </w:p>
        </w:tc>
        <w:tc>
          <w:tcPr>
            <w:tcW w:w="1254"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r>
    </w:tbl>
    <w:p w:rsidR="00305638" w:rsidRPr="00F10CD6" w:rsidRDefault="008D061D" w:rsidP="008256EF">
      <w:pPr>
        <w:spacing w:before="120" w:after="0"/>
        <w:jc w:val="center"/>
        <w:rPr>
          <w:rFonts w:cs="Arial"/>
          <w:color w:val="0D0D0D" w:themeColor="text1" w:themeTint="F2"/>
          <w:sz w:val="20"/>
        </w:rPr>
      </w:pPr>
      <w:r w:rsidRPr="00F10CD6">
        <w:rPr>
          <w:rFonts w:cs="Arial"/>
          <w:color w:val="0D0D0D" w:themeColor="text1" w:themeTint="F2"/>
          <w:sz w:val="20"/>
        </w:rPr>
        <w:t>Vir: SURS, UMAR, MF RS</w:t>
      </w:r>
    </w:p>
    <w:p w:rsidR="008D061D" w:rsidRPr="00F10CD6" w:rsidRDefault="008D061D" w:rsidP="008D061D">
      <w:pPr>
        <w:spacing w:after="0"/>
        <w:jc w:val="center"/>
        <w:rPr>
          <w:rFonts w:cs="Arial"/>
          <w:i/>
          <w:color w:val="0D0D0D" w:themeColor="text1" w:themeTint="F2"/>
        </w:rPr>
      </w:pPr>
    </w:p>
    <w:p w:rsidR="008D061D" w:rsidRPr="00F10CD6" w:rsidRDefault="00305638" w:rsidP="00A676D9">
      <w:pPr>
        <w:spacing w:after="0" w:line="276" w:lineRule="auto"/>
        <w:rPr>
          <w:rFonts w:eastAsia="Batang" w:cs="Arial"/>
          <w:color w:val="0D0D0D" w:themeColor="text1" w:themeTint="F2"/>
        </w:rPr>
      </w:pPr>
      <w:r w:rsidRPr="00F10CD6">
        <w:rPr>
          <w:rFonts w:eastAsia="Batang" w:cs="Arial"/>
          <w:color w:val="0D0D0D" w:themeColor="text1" w:themeTint="F2"/>
        </w:rPr>
        <w:t xml:space="preserve">V zadnjih (jesenskih) napovedih za leto 2018 je večina institucij rahlo podcenila realno gospodarsko rast. Le dve instituciji sta pripravili povsem točno napoved. V pomladanski napovedi iz leta 2017 so institucije pričakovale, da bo gospodarska rast v letu 2018 v povprečju znašala malo pod 3 %, pri čemer sta bili napovedi domačih institucij (UMAR in BS) v povprečju </w:t>
      </w:r>
      <w:r w:rsidRPr="00F10CD6">
        <w:rPr>
          <w:rFonts w:eastAsia="Batang" w:cs="Arial"/>
          <w:color w:val="0D0D0D" w:themeColor="text1" w:themeTint="F2"/>
        </w:rPr>
        <w:lastRenderedPageBreak/>
        <w:t>nekoliko bolj optimistični od tujih. Do pomladi 2018 so se napovedi institucij za tekoče leto zvišale predvsem n</w:t>
      </w:r>
      <w:r w:rsidR="00957272" w:rsidRPr="00F10CD6">
        <w:rPr>
          <w:rFonts w:eastAsia="Batang" w:cs="Arial"/>
          <w:color w:val="0D0D0D" w:themeColor="text1" w:themeTint="F2"/>
        </w:rPr>
        <w:t>a račun dveh glavnih dejavnikov</w:t>
      </w:r>
      <w:r w:rsidRPr="00F10CD6">
        <w:rPr>
          <w:rFonts w:eastAsia="Batang" w:cs="Arial"/>
          <w:color w:val="0D0D0D" w:themeColor="text1" w:themeTint="F2"/>
        </w:rPr>
        <w:t>, tj. ugodnih gibanj izvoza in domače potrošnje. Najnižjo gospodarsko rast je napovedal WIIW (3,9 %), najvišjo pa UMAR (5,1 %). BS je bila z napako v  višini 0,1 o.</w:t>
      </w:r>
      <w:r w:rsidR="008A72A7" w:rsidRPr="00F10CD6">
        <w:rPr>
          <w:rFonts w:eastAsia="Batang" w:cs="Arial"/>
          <w:color w:val="0D0D0D" w:themeColor="text1" w:themeTint="F2"/>
        </w:rPr>
        <w:t> </w:t>
      </w:r>
      <w:r w:rsidRPr="00F10CD6">
        <w:rPr>
          <w:rFonts w:eastAsia="Batang" w:cs="Arial"/>
          <w:color w:val="0D0D0D" w:themeColor="text1" w:themeTint="F2"/>
        </w:rPr>
        <w:t xml:space="preserve">t. najbližje dejanski vrednosti. V povprečju so se napovedi gospodarske rasti za leto 2018 gibale okoli 4,4 %, kar je zelo blizu dejanske vrednosti, ki je znašala 4,5 %. Povsem točni zadnji napovedi za leto 2018 sta pripravili MDS in WIIW, napake ostalih institucij pa so se gibale </w:t>
      </w:r>
      <w:r w:rsidR="00957272" w:rsidRPr="00F10CD6">
        <w:rPr>
          <w:rFonts w:eastAsia="Batang" w:cs="Arial"/>
          <w:color w:val="0D0D0D" w:themeColor="text1" w:themeTint="F2"/>
        </w:rPr>
        <w:t>v</w:t>
      </w:r>
      <w:r w:rsidRPr="00F10CD6">
        <w:rPr>
          <w:rFonts w:eastAsia="Batang" w:cs="Arial"/>
          <w:color w:val="0D0D0D" w:themeColor="text1" w:themeTint="F2"/>
        </w:rPr>
        <w:t xml:space="preserve"> intervalu  med </w:t>
      </w:r>
      <w:r w:rsidR="001C284E" w:rsidRPr="00F10CD6">
        <w:rPr>
          <w:rFonts w:eastAsia="Batang" w:cs="Arial"/>
          <w:color w:val="0D0D0D" w:themeColor="text1" w:themeTint="F2"/>
        </w:rPr>
        <w:t>–</w:t>
      </w:r>
      <w:r w:rsidRPr="00F10CD6">
        <w:rPr>
          <w:rFonts w:eastAsia="Batang" w:cs="Arial"/>
          <w:color w:val="0D0D0D" w:themeColor="text1" w:themeTint="F2"/>
        </w:rPr>
        <w:t xml:space="preserve">0,1 in </w:t>
      </w:r>
      <w:r w:rsidR="001C284E" w:rsidRPr="00F10CD6">
        <w:rPr>
          <w:rFonts w:eastAsia="Batang" w:cs="Arial"/>
          <w:color w:val="0D0D0D" w:themeColor="text1" w:themeTint="F2"/>
        </w:rPr>
        <w:t>–</w:t>
      </w:r>
      <w:r w:rsidRPr="00F10CD6">
        <w:rPr>
          <w:rFonts w:eastAsia="Batang" w:cs="Arial"/>
          <w:color w:val="0D0D0D" w:themeColor="text1" w:themeTint="F2"/>
        </w:rPr>
        <w:t>0,3 o.</w:t>
      </w:r>
      <w:r w:rsidR="008A72A7" w:rsidRPr="00F10CD6">
        <w:rPr>
          <w:rFonts w:eastAsia="Batang" w:cs="Arial"/>
          <w:color w:val="0D0D0D" w:themeColor="text1" w:themeTint="F2"/>
        </w:rPr>
        <w:t> </w:t>
      </w:r>
      <w:r w:rsidRPr="00F10CD6">
        <w:rPr>
          <w:rFonts w:eastAsia="Batang" w:cs="Arial"/>
          <w:color w:val="0D0D0D" w:themeColor="text1" w:themeTint="F2"/>
        </w:rPr>
        <w:t>t</w:t>
      </w:r>
      <w:r w:rsidR="00A676D9" w:rsidRPr="00F10CD6">
        <w:rPr>
          <w:rFonts w:eastAsia="Batang" w:cs="Arial"/>
          <w:color w:val="0D0D0D" w:themeColor="text1" w:themeTint="F2"/>
        </w:rPr>
        <w:t>.</w:t>
      </w:r>
    </w:p>
    <w:p w:rsidR="007B4DD0" w:rsidRPr="00F10CD6" w:rsidRDefault="007B4DD0" w:rsidP="00A676D9">
      <w:pPr>
        <w:spacing w:after="0" w:line="276" w:lineRule="auto"/>
        <w:rPr>
          <w:rFonts w:eastAsia="Batang" w:cs="Arial"/>
          <w:color w:val="0D0D0D" w:themeColor="text1" w:themeTint="F2"/>
        </w:rPr>
      </w:pPr>
    </w:p>
    <w:p w:rsidR="007B4DD0" w:rsidRPr="00F10CD6" w:rsidRDefault="007B4DD0" w:rsidP="007B4DD0">
      <w:pPr>
        <w:spacing w:after="0" w:line="276" w:lineRule="auto"/>
        <w:rPr>
          <w:rFonts w:eastAsia="Batang" w:cs="Arial"/>
          <w:color w:val="0D0D0D" w:themeColor="text1" w:themeTint="F2"/>
        </w:rPr>
      </w:pPr>
      <w:r w:rsidRPr="00F10CD6">
        <w:rPr>
          <w:rFonts w:eastAsia="Batang" w:cs="Arial"/>
          <w:color w:val="0D0D0D" w:themeColor="text1" w:themeTint="F2"/>
        </w:rPr>
        <w:t>Evropska komisija je v vmesni zimski napovedi 2019 ocenila 4,4-odstotno gospodarsko rast za leto 2018. Napoved rasti BDP je bila tako enaka oceni iz Noveliranega osnutka proračunskega načrta 2019, ki je temeljil na UMAR-jevi jesenski napovedi 2018. V letih 2019 in 2020 naj bi po pričakovanjih Komisije BDP Slovenije zrasel za 3,1 % oziroma za 2,8 % predvsem na račun potrošnje, ki naj bi se ob zaposlovanju in nadaljnji rasti plač krepila. Obenem Komisija napoveduje tudi ohranjanje stabilne ravni naložb podjetij in nadaljnjo rast javnih naložb, med drugim ob podpori sredstev EU.</w:t>
      </w:r>
    </w:p>
    <w:p w:rsidR="00A676D9" w:rsidRPr="00F10CD6" w:rsidRDefault="00A676D9" w:rsidP="00A676D9">
      <w:pPr>
        <w:spacing w:after="0" w:line="276" w:lineRule="auto"/>
        <w:rPr>
          <w:rFonts w:eastAsia="Batang" w:cs="Arial"/>
          <w:color w:val="0D0D0D" w:themeColor="text1" w:themeTint="F2"/>
        </w:rPr>
      </w:pPr>
    </w:p>
    <w:p w:rsidR="00305638" w:rsidRPr="00F10CD6" w:rsidRDefault="00305638" w:rsidP="00AD54AF">
      <w:pPr>
        <w:spacing w:after="120"/>
        <w:jc w:val="center"/>
        <w:rPr>
          <w:rFonts w:cs="Arial"/>
          <w:bCs/>
          <w:color w:val="0D0D0D" w:themeColor="text1" w:themeTint="F2"/>
        </w:rPr>
      </w:pPr>
      <w:r w:rsidRPr="00F10CD6">
        <w:rPr>
          <w:rFonts w:cs="Arial"/>
          <w:bCs/>
          <w:color w:val="0D0D0D" w:themeColor="text1" w:themeTint="F2"/>
        </w:rPr>
        <w:t>Tabela</w:t>
      </w:r>
      <w:r w:rsidR="00FD3539" w:rsidRPr="00F10CD6">
        <w:rPr>
          <w:rFonts w:cs="Arial"/>
          <w:bCs/>
          <w:color w:val="0D0D0D" w:themeColor="text1" w:themeTint="F2"/>
        </w:rPr>
        <w:t xml:space="preserve"> 7</w:t>
      </w:r>
      <w:r w:rsidRPr="00F10CD6">
        <w:rPr>
          <w:rFonts w:cs="Arial"/>
          <w:bCs/>
          <w:color w:val="0D0D0D" w:themeColor="text1" w:themeTint="F2"/>
        </w:rPr>
        <w:t>: Napake pri napovedih realnih gospodarskih rasti posameznih institucij za leto 2018 glede na re</w:t>
      </w:r>
      <w:r w:rsidR="00867F69" w:rsidRPr="00F10CD6">
        <w:rPr>
          <w:rFonts w:cs="Arial"/>
          <w:bCs/>
          <w:color w:val="0D0D0D" w:themeColor="text1" w:themeTint="F2"/>
        </w:rPr>
        <w:t xml:space="preserve">alizacijo (4,5 %) </w:t>
      </w:r>
    </w:p>
    <w:tbl>
      <w:tblPr>
        <w:tblStyle w:val="LightShading-Accent1"/>
        <w:tblW w:w="9072" w:type="dxa"/>
        <w:jc w:val="center"/>
        <w:tblLayout w:type="fixed"/>
        <w:tblLook w:val="04A0" w:firstRow="1" w:lastRow="0" w:firstColumn="1" w:lastColumn="0" w:noHBand="0" w:noVBand="1"/>
      </w:tblPr>
      <w:tblGrid>
        <w:gridCol w:w="1242"/>
        <w:gridCol w:w="993"/>
        <w:gridCol w:w="992"/>
        <w:gridCol w:w="992"/>
        <w:gridCol w:w="992"/>
        <w:gridCol w:w="993"/>
        <w:gridCol w:w="992"/>
        <w:gridCol w:w="992"/>
        <w:gridCol w:w="884"/>
      </w:tblGrid>
      <w:tr w:rsidR="00305638" w:rsidRPr="00F10CD6" w:rsidTr="00300564">
        <w:trPr>
          <w:cnfStyle w:val="100000000000" w:firstRow="1" w:lastRow="0" w:firstColumn="0" w:lastColumn="0" w:oddVBand="0" w:evenVBand="0" w:oddHBand="0" w:evenHBand="0" w:firstRowFirstColumn="0" w:firstRowLastColumn="0" w:lastRowFirstColumn="0" w:lastRowLastColumn="0"/>
          <w:trHeight w:val="699"/>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vAlign w:val="bottom"/>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Realizacija 2018:</w:t>
            </w:r>
          </w:p>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4,5 %</w:t>
            </w:r>
          </w:p>
          <w:p w:rsidR="00305638" w:rsidRPr="00F10CD6" w:rsidRDefault="00305638" w:rsidP="0023395F">
            <w:pPr>
              <w:jc w:val="left"/>
              <w:rPr>
                <w:rFonts w:cs="Arial"/>
                <w:b w:val="0"/>
                <w:color w:val="0D0D0D" w:themeColor="text1" w:themeTint="F2"/>
                <w:sz w:val="20"/>
                <w:szCs w:val="20"/>
              </w:rPr>
            </w:pPr>
          </w:p>
        </w:tc>
        <w:tc>
          <w:tcPr>
            <w:tcW w:w="1985" w:type="dxa"/>
            <w:gridSpan w:val="2"/>
            <w:tcBorders>
              <w:left w:val="single" w:sz="4" w:space="0" w:color="auto"/>
              <w:right w:val="single" w:sz="4" w:space="0" w:color="auto"/>
            </w:tcBorders>
            <w:vAlign w:val="center"/>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Pomladanska napoved 2017 za leto 2018</w:t>
            </w:r>
          </w:p>
        </w:tc>
        <w:tc>
          <w:tcPr>
            <w:tcW w:w="1984" w:type="dxa"/>
            <w:gridSpan w:val="2"/>
            <w:tcBorders>
              <w:left w:val="single" w:sz="4" w:space="0" w:color="auto"/>
              <w:right w:val="single" w:sz="4" w:space="0" w:color="auto"/>
            </w:tcBorders>
            <w:vAlign w:val="center"/>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Jesenska napoved</w:t>
            </w:r>
          </w:p>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2017 za leto 2018</w:t>
            </w:r>
          </w:p>
        </w:tc>
        <w:tc>
          <w:tcPr>
            <w:tcW w:w="1985" w:type="dxa"/>
            <w:gridSpan w:val="2"/>
            <w:tcBorders>
              <w:left w:val="single" w:sz="4" w:space="0" w:color="auto"/>
              <w:right w:val="single" w:sz="4" w:space="0" w:color="auto"/>
            </w:tcBorders>
            <w:vAlign w:val="center"/>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Pomladanska napoved 2018 za leto 2018</w:t>
            </w:r>
          </w:p>
        </w:tc>
        <w:tc>
          <w:tcPr>
            <w:tcW w:w="1876" w:type="dxa"/>
            <w:gridSpan w:val="2"/>
            <w:tcBorders>
              <w:left w:val="single" w:sz="4" w:space="0" w:color="auto"/>
            </w:tcBorders>
            <w:vAlign w:val="center"/>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Jesenska napoved</w:t>
            </w:r>
          </w:p>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2018 za leto 2018</w:t>
            </w:r>
          </w:p>
        </w:tc>
      </w:tr>
      <w:tr w:rsidR="00305638" w:rsidRPr="00F10CD6" w:rsidTr="003005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Napoved</w:t>
            </w:r>
          </w:p>
        </w:tc>
        <w:tc>
          <w:tcPr>
            <w:tcW w:w="992" w:type="dxa"/>
            <w:tcBorders>
              <w:righ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 xml:space="preserve">Napaka </w:t>
            </w:r>
          </w:p>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v o.</w:t>
            </w:r>
            <w:r w:rsidR="008A72A7" w:rsidRPr="00F10CD6">
              <w:rPr>
                <w:rFonts w:cs="Arial"/>
                <w:color w:val="0D0D0D" w:themeColor="text1" w:themeTint="F2"/>
                <w:sz w:val="18"/>
                <w:szCs w:val="18"/>
              </w:rPr>
              <w:t> </w:t>
            </w:r>
            <w:r w:rsidRPr="00F10CD6">
              <w:rPr>
                <w:rFonts w:cs="Arial"/>
                <w:color w:val="0D0D0D" w:themeColor="text1" w:themeTint="F2"/>
                <w:sz w:val="18"/>
                <w:szCs w:val="18"/>
              </w:rPr>
              <w:t>t.</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Napoved</w:t>
            </w:r>
          </w:p>
        </w:tc>
        <w:tc>
          <w:tcPr>
            <w:tcW w:w="992" w:type="dxa"/>
            <w:tcBorders>
              <w:righ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 xml:space="preserve">Napaka </w:t>
            </w:r>
          </w:p>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v o.</w:t>
            </w:r>
            <w:r w:rsidR="008A72A7" w:rsidRPr="00F10CD6">
              <w:rPr>
                <w:rFonts w:cs="Arial"/>
                <w:color w:val="0D0D0D" w:themeColor="text1" w:themeTint="F2"/>
                <w:sz w:val="18"/>
                <w:szCs w:val="18"/>
              </w:rPr>
              <w:t> </w:t>
            </w:r>
            <w:r w:rsidRPr="00F10CD6">
              <w:rPr>
                <w:rFonts w:cs="Arial"/>
                <w:color w:val="0D0D0D" w:themeColor="text1" w:themeTint="F2"/>
                <w:sz w:val="18"/>
                <w:szCs w:val="18"/>
              </w:rPr>
              <w:t>t.</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Napoved</w:t>
            </w:r>
          </w:p>
        </w:tc>
        <w:tc>
          <w:tcPr>
            <w:tcW w:w="992" w:type="dxa"/>
            <w:tcBorders>
              <w:righ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 xml:space="preserve">Napaka </w:t>
            </w:r>
          </w:p>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v o.</w:t>
            </w:r>
            <w:r w:rsidR="008A72A7" w:rsidRPr="00F10CD6">
              <w:rPr>
                <w:rFonts w:cs="Arial"/>
                <w:color w:val="0D0D0D" w:themeColor="text1" w:themeTint="F2"/>
                <w:sz w:val="18"/>
                <w:szCs w:val="18"/>
              </w:rPr>
              <w:t> </w:t>
            </w:r>
            <w:r w:rsidRPr="00F10CD6">
              <w:rPr>
                <w:rFonts w:cs="Arial"/>
                <w:color w:val="0D0D0D" w:themeColor="text1" w:themeTint="F2"/>
                <w:sz w:val="18"/>
                <w:szCs w:val="18"/>
              </w:rPr>
              <w:t>t.</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Napoved</w:t>
            </w:r>
          </w:p>
        </w:tc>
        <w:tc>
          <w:tcPr>
            <w:tcW w:w="884" w:type="dxa"/>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8"/>
                <w:szCs w:val="18"/>
              </w:rPr>
            </w:pPr>
            <w:r w:rsidRPr="00F10CD6">
              <w:rPr>
                <w:rFonts w:cs="Arial"/>
                <w:color w:val="0D0D0D" w:themeColor="text1" w:themeTint="F2"/>
                <w:sz w:val="18"/>
                <w:szCs w:val="18"/>
              </w:rPr>
              <w:t>Napaka v o.</w:t>
            </w:r>
            <w:r w:rsidR="008A72A7" w:rsidRPr="00F10CD6">
              <w:rPr>
                <w:rFonts w:cs="Arial"/>
                <w:color w:val="0D0D0D" w:themeColor="text1" w:themeTint="F2"/>
                <w:sz w:val="18"/>
                <w:szCs w:val="18"/>
              </w:rPr>
              <w:t> </w:t>
            </w:r>
            <w:r w:rsidRPr="00F10CD6">
              <w:rPr>
                <w:rFonts w:cs="Arial"/>
                <w:color w:val="0D0D0D" w:themeColor="text1" w:themeTint="F2"/>
                <w:sz w:val="18"/>
                <w:szCs w:val="18"/>
              </w:rPr>
              <w:t>t.</w:t>
            </w:r>
          </w:p>
        </w:tc>
      </w:tr>
      <w:tr w:rsidR="009B5300" w:rsidRPr="00F10CD6" w:rsidTr="00D705CF">
        <w:trPr>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UMAR</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3,2</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1,3</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3,9</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0,6</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5,1</w:t>
            </w:r>
          </w:p>
        </w:tc>
        <w:tc>
          <w:tcPr>
            <w:tcW w:w="992" w:type="dxa"/>
            <w:tcBorders>
              <w:righ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0,6</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4,4</w:t>
            </w:r>
          </w:p>
        </w:tc>
        <w:tc>
          <w:tcPr>
            <w:tcW w:w="884" w:type="dxa"/>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0,1</w:t>
            </w:r>
          </w:p>
        </w:tc>
      </w:tr>
      <w:tr w:rsidR="009B5300" w:rsidRPr="00F10CD6" w:rsidTr="00D705C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BS</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1,4</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4,2</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0,3</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4,6</w:t>
            </w:r>
          </w:p>
        </w:tc>
        <w:tc>
          <w:tcPr>
            <w:tcW w:w="992" w:type="dxa"/>
            <w:tcBorders>
              <w:righ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0,1</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4,2</w:t>
            </w:r>
          </w:p>
        </w:tc>
        <w:tc>
          <w:tcPr>
            <w:tcW w:w="884" w:type="dxa"/>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0,3</w:t>
            </w:r>
          </w:p>
        </w:tc>
      </w:tr>
      <w:tr w:rsidR="009B5300" w:rsidRPr="00F10CD6" w:rsidTr="00D705CF">
        <w:trPr>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EK</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1,4</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4,0</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0,5</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4,7</w:t>
            </w:r>
          </w:p>
        </w:tc>
        <w:tc>
          <w:tcPr>
            <w:tcW w:w="992" w:type="dxa"/>
            <w:tcBorders>
              <w:righ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0,2</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4,3</w:t>
            </w:r>
          </w:p>
        </w:tc>
        <w:tc>
          <w:tcPr>
            <w:tcW w:w="884" w:type="dxa"/>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0,2</w:t>
            </w:r>
          </w:p>
        </w:tc>
      </w:tr>
      <w:tr w:rsidR="009B5300" w:rsidRPr="00F10CD6" w:rsidTr="00D705C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IMF</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2,0</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2,5</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2,5</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2,0</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4,0</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0,5</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4,5</w:t>
            </w:r>
          </w:p>
        </w:tc>
        <w:tc>
          <w:tcPr>
            <w:tcW w:w="884" w:type="dxa"/>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p>
        </w:tc>
      </w:tr>
      <w:tr w:rsidR="009B5300" w:rsidRPr="00F10CD6" w:rsidTr="00D705CF">
        <w:trPr>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WIIW</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2,9</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1,6</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3,9</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0,6</w:t>
            </w:r>
          </w:p>
        </w:tc>
        <w:tc>
          <w:tcPr>
            <w:tcW w:w="993"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3,9</w:t>
            </w:r>
          </w:p>
        </w:tc>
        <w:tc>
          <w:tcPr>
            <w:tcW w:w="992" w:type="dxa"/>
            <w:tcBorders>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0,6</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4,5</w:t>
            </w:r>
          </w:p>
        </w:tc>
        <w:tc>
          <w:tcPr>
            <w:tcW w:w="884" w:type="dxa"/>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w:t>
            </w:r>
          </w:p>
        </w:tc>
      </w:tr>
      <w:tr w:rsidR="009B5300" w:rsidRPr="00F10CD6" w:rsidTr="00D705C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OECD</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1,4</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4,3</w:t>
            </w:r>
          </w:p>
        </w:tc>
        <w:tc>
          <w:tcPr>
            <w:tcW w:w="992" w:type="dxa"/>
            <w:tcBorders>
              <w:right w:val="single" w:sz="4" w:space="0" w:color="auto"/>
            </w:tcBorders>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0,2</w:t>
            </w:r>
          </w:p>
        </w:tc>
        <w:tc>
          <w:tcPr>
            <w:tcW w:w="993"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5,0</w:t>
            </w:r>
          </w:p>
        </w:tc>
        <w:tc>
          <w:tcPr>
            <w:tcW w:w="992" w:type="dxa"/>
            <w:tcBorders>
              <w:righ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0,5</w:t>
            </w:r>
          </w:p>
        </w:tc>
        <w:tc>
          <w:tcPr>
            <w:tcW w:w="992" w:type="dxa"/>
            <w:tcBorders>
              <w:left w:val="single" w:sz="4" w:space="0" w:color="auto"/>
            </w:tcBorders>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4,4</w:t>
            </w:r>
          </w:p>
        </w:tc>
        <w:tc>
          <w:tcPr>
            <w:tcW w:w="884" w:type="dxa"/>
          </w:tcPr>
          <w:p w:rsidR="00305638" w:rsidRPr="00F10CD6" w:rsidRDefault="00406EA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0,1</w:t>
            </w:r>
          </w:p>
        </w:tc>
      </w:tr>
      <w:tr w:rsidR="009B5300" w:rsidRPr="00F10CD6" w:rsidTr="00D705CF">
        <w:trPr>
          <w:trHeight w:val="283"/>
          <w:jc w:val="center"/>
        </w:trPr>
        <w:tc>
          <w:tcPr>
            <w:cnfStyle w:val="001000000000" w:firstRow="0" w:lastRow="0" w:firstColumn="1" w:lastColumn="0" w:oddVBand="0" w:evenVBand="0" w:oddHBand="0" w:evenHBand="0" w:firstRowFirstColumn="0" w:firstRowLastColumn="0" w:lastRowFirstColumn="0" w:lastRowLastColumn="0"/>
            <w:tcW w:w="1242" w:type="dxa"/>
            <w:tcBorders>
              <w:bottom w:val="single" w:sz="8" w:space="0" w:color="4F81BD" w:themeColor="accent1"/>
              <w:right w:val="single" w:sz="4" w:space="0" w:color="auto"/>
            </w:tcBorders>
          </w:tcPr>
          <w:p w:rsidR="00305638" w:rsidRPr="00F10CD6" w:rsidRDefault="00305638" w:rsidP="0023395F">
            <w:pPr>
              <w:jc w:val="left"/>
              <w:rPr>
                <w:rFonts w:cs="Arial"/>
                <w:b w:val="0"/>
                <w:color w:val="0D0D0D" w:themeColor="text1" w:themeTint="F2"/>
                <w:sz w:val="20"/>
                <w:szCs w:val="20"/>
              </w:rPr>
            </w:pPr>
            <w:r w:rsidRPr="00F10CD6">
              <w:rPr>
                <w:rFonts w:cs="Arial"/>
                <w:b w:val="0"/>
                <w:color w:val="0D0D0D" w:themeColor="text1" w:themeTint="F2"/>
                <w:sz w:val="20"/>
                <w:szCs w:val="20"/>
              </w:rPr>
              <w:t>Consensus</w:t>
            </w:r>
          </w:p>
        </w:tc>
        <w:tc>
          <w:tcPr>
            <w:tcW w:w="993" w:type="dxa"/>
            <w:tcBorders>
              <w:left w:val="single" w:sz="4" w:space="0" w:color="auto"/>
              <w:bottom w:val="single" w:sz="8" w:space="0" w:color="4F81BD" w:themeColor="accent1"/>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2,5</w:t>
            </w:r>
          </w:p>
        </w:tc>
        <w:tc>
          <w:tcPr>
            <w:tcW w:w="992" w:type="dxa"/>
            <w:tcBorders>
              <w:bottom w:val="single" w:sz="8" w:space="0" w:color="4F81BD" w:themeColor="accent1"/>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2,0</w:t>
            </w:r>
          </w:p>
        </w:tc>
        <w:tc>
          <w:tcPr>
            <w:tcW w:w="992" w:type="dxa"/>
            <w:tcBorders>
              <w:left w:val="single" w:sz="4" w:space="0" w:color="auto"/>
              <w:bottom w:val="single" w:sz="8" w:space="0" w:color="4F81BD" w:themeColor="accent1"/>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3,0</w:t>
            </w:r>
          </w:p>
        </w:tc>
        <w:tc>
          <w:tcPr>
            <w:tcW w:w="992" w:type="dxa"/>
            <w:tcBorders>
              <w:bottom w:val="single" w:sz="8" w:space="0" w:color="4F81BD" w:themeColor="accent1"/>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1,5</w:t>
            </w:r>
          </w:p>
        </w:tc>
        <w:tc>
          <w:tcPr>
            <w:tcW w:w="993" w:type="dxa"/>
            <w:tcBorders>
              <w:left w:val="single" w:sz="4" w:space="0" w:color="auto"/>
              <w:bottom w:val="single" w:sz="8" w:space="0" w:color="4F81BD" w:themeColor="accent1"/>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4,1</w:t>
            </w:r>
          </w:p>
        </w:tc>
        <w:tc>
          <w:tcPr>
            <w:tcW w:w="992" w:type="dxa"/>
            <w:tcBorders>
              <w:bottom w:val="single" w:sz="8" w:space="0" w:color="4F81BD" w:themeColor="accent1"/>
              <w:right w:val="single" w:sz="4" w:space="0" w:color="auto"/>
            </w:tcBorders>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0,4</w:t>
            </w:r>
          </w:p>
        </w:tc>
        <w:tc>
          <w:tcPr>
            <w:tcW w:w="992" w:type="dxa"/>
            <w:tcBorders>
              <w:left w:val="single" w:sz="4" w:space="0" w:color="auto"/>
            </w:tcBorders>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4,4</w:t>
            </w:r>
          </w:p>
        </w:tc>
        <w:tc>
          <w:tcPr>
            <w:tcW w:w="884" w:type="dxa"/>
          </w:tcPr>
          <w:p w:rsidR="00305638" w:rsidRPr="00F10CD6" w:rsidRDefault="00406EA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305638" w:rsidRPr="00F10CD6">
              <w:rPr>
                <w:rFonts w:cs="Arial"/>
                <w:color w:val="0D0D0D" w:themeColor="text1" w:themeTint="F2"/>
                <w:sz w:val="20"/>
                <w:szCs w:val="20"/>
              </w:rPr>
              <w:t>0,1</w:t>
            </w:r>
          </w:p>
        </w:tc>
      </w:tr>
    </w:tbl>
    <w:p w:rsidR="00305638" w:rsidRPr="00F10CD6" w:rsidRDefault="00305638" w:rsidP="00AD54AF">
      <w:pPr>
        <w:spacing w:before="120" w:after="0"/>
        <w:jc w:val="center"/>
        <w:rPr>
          <w:rFonts w:cs="Arial"/>
          <w:bCs/>
          <w:color w:val="0D0D0D" w:themeColor="text1" w:themeTint="F2"/>
          <w:sz w:val="20"/>
        </w:rPr>
      </w:pPr>
      <w:r w:rsidRPr="00F10CD6">
        <w:rPr>
          <w:rFonts w:cs="Arial"/>
          <w:bCs/>
          <w:color w:val="0D0D0D" w:themeColor="text1" w:themeTint="F2"/>
          <w:sz w:val="20"/>
        </w:rPr>
        <w:t xml:space="preserve">Vir: </w:t>
      </w:r>
      <w:r w:rsidR="008A72A7" w:rsidRPr="00F10CD6">
        <w:rPr>
          <w:rFonts w:cs="Arial"/>
          <w:bCs/>
          <w:color w:val="0D0D0D" w:themeColor="text1" w:themeTint="F2"/>
          <w:sz w:val="20"/>
        </w:rPr>
        <w:t>N</w:t>
      </w:r>
      <w:r w:rsidRPr="00F10CD6">
        <w:rPr>
          <w:rFonts w:cs="Arial"/>
          <w:bCs/>
          <w:color w:val="0D0D0D" w:themeColor="text1" w:themeTint="F2"/>
          <w:sz w:val="20"/>
        </w:rPr>
        <w:t>apovedi posamez</w:t>
      </w:r>
      <w:r w:rsidR="00A676D9" w:rsidRPr="00F10CD6">
        <w:rPr>
          <w:rFonts w:cs="Arial"/>
          <w:bCs/>
          <w:color w:val="0D0D0D" w:themeColor="text1" w:themeTint="F2"/>
          <w:sz w:val="20"/>
        </w:rPr>
        <w:t>nih institucij, preračuni UMAR</w:t>
      </w:r>
    </w:p>
    <w:p w:rsidR="008A72A7" w:rsidRPr="00F10CD6" w:rsidRDefault="008A72A7" w:rsidP="00867F69">
      <w:pPr>
        <w:spacing w:after="0" w:line="276" w:lineRule="auto"/>
        <w:rPr>
          <w:rFonts w:eastAsia="Batang" w:cs="Arial"/>
          <w:color w:val="0D0D0D" w:themeColor="text1" w:themeTint="F2"/>
        </w:rPr>
      </w:pPr>
    </w:p>
    <w:p w:rsidR="00F42256" w:rsidRPr="00F10CD6" w:rsidRDefault="00F42256" w:rsidP="00F42256">
      <w:pPr>
        <w:pStyle w:val="besedilo"/>
        <w:rPr>
          <w:rFonts w:eastAsia="Batang"/>
          <w:color w:val="0D0D0D" w:themeColor="text1" w:themeTint="F2"/>
        </w:rPr>
      </w:pPr>
      <w:r w:rsidRPr="00F10CD6">
        <w:rPr>
          <w:rFonts w:eastAsia="Batang"/>
          <w:color w:val="0D0D0D" w:themeColor="text1" w:themeTint="F2"/>
        </w:rPr>
        <w:t>Za tekoče leto 2019 so zadnje napovedi glede presežka sektorja država tako Evropske komisije (0,4 % BDP) kot tudi napovedi iz Noveliranega osnutka proračunskega načrta 2019 (0,55 % BDP) manj optimistične v primerjavi z zadnjo oceno Programa stabilnosti 2019, ki napoveduje presežek sektorja država v višini 0,8 % BDP.</w:t>
      </w:r>
    </w:p>
    <w:p w:rsidR="00F42256" w:rsidRPr="00F10CD6" w:rsidRDefault="00F42256" w:rsidP="00867F69">
      <w:pPr>
        <w:spacing w:after="0" w:line="276" w:lineRule="auto"/>
        <w:rPr>
          <w:rFonts w:eastAsia="Batang" w:cs="Arial"/>
          <w:color w:val="0D0D0D" w:themeColor="text1" w:themeTint="F2"/>
        </w:rPr>
      </w:pPr>
    </w:p>
    <w:p w:rsidR="009B5300" w:rsidRDefault="009B5300">
      <w:pPr>
        <w:spacing w:line="276" w:lineRule="auto"/>
        <w:jc w:val="left"/>
        <w:rPr>
          <w:rFonts w:eastAsia="Batang" w:cs="Arial"/>
          <w:color w:val="0D0D0D" w:themeColor="text1" w:themeTint="F2"/>
        </w:rPr>
      </w:pPr>
      <w:r>
        <w:rPr>
          <w:rFonts w:eastAsia="Batang" w:cs="Arial"/>
          <w:color w:val="0D0D0D" w:themeColor="text1" w:themeTint="F2"/>
        </w:rPr>
        <w:br w:type="page"/>
      </w:r>
    </w:p>
    <w:p w:rsidR="00305638" w:rsidRPr="00F10CD6" w:rsidRDefault="00305638" w:rsidP="008D061D">
      <w:pPr>
        <w:spacing w:after="0"/>
        <w:jc w:val="center"/>
        <w:rPr>
          <w:rFonts w:cs="Arial"/>
          <w:bCs/>
          <w:i/>
          <w:color w:val="0D0D0D" w:themeColor="text1" w:themeTint="F2"/>
        </w:rPr>
      </w:pPr>
      <w:r w:rsidRPr="00F10CD6">
        <w:rPr>
          <w:rFonts w:eastAsia="Batang" w:cs="Arial"/>
          <w:color w:val="0D0D0D" w:themeColor="text1" w:themeTint="F2"/>
        </w:rPr>
        <w:lastRenderedPageBreak/>
        <w:t>Tabela</w:t>
      </w:r>
      <w:r w:rsidR="00FD3539" w:rsidRPr="00F10CD6">
        <w:rPr>
          <w:rFonts w:eastAsia="Batang" w:cs="Arial"/>
          <w:color w:val="0D0D0D" w:themeColor="text1" w:themeTint="F2"/>
        </w:rPr>
        <w:t xml:space="preserve"> 8</w:t>
      </w:r>
      <w:r w:rsidRPr="00F10CD6">
        <w:rPr>
          <w:rFonts w:eastAsia="Batang" w:cs="Arial"/>
          <w:color w:val="0D0D0D" w:themeColor="text1" w:themeTint="F2"/>
        </w:rPr>
        <w:t>: Primerjava napovedi Programa stabilnosti 2019 z zadnjo (zimsko oz</w:t>
      </w:r>
      <w:r w:rsidR="008A72A7" w:rsidRPr="00F10CD6">
        <w:rPr>
          <w:rFonts w:eastAsia="Batang" w:cs="Arial"/>
          <w:color w:val="0D0D0D" w:themeColor="text1" w:themeTint="F2"/>
        </w:rPr>
        <w:t>iroma</w:t>
      </w:r>
      <w:r w:rsidRPr="00F10CD6">
        <w:rPr>
          <w:rFonts w:eastAsia="Batang" w:cs="Arial"/>
          <w:color w:val="0D0D0D" w:themeColor="text1" w:themeTint="F2"/>
        </w:rPr>
        <w:t xml:space="preserve"> jesensko) napovedjo EK in </w:t>
      </w:r>
      <w:r w:rsidRPr="00F10CD6">
        <w:rPr>
          <w:rFonts w:cs="Arial"/>
          <w:bCs/>
          <w:i/>
          <w:color w:val="0D0D0D" w:themeColor="text1" w:themeTint="F2"/>
        </w:rPr>
        <w:t>z napovedjo iz Noveliranega osnutka proračunskega načrta 2019</w:t>
      </w:r>
    </w:p>
    <w:p w:rsidR="006A3F9F" w:rsidRPr="00F10CD6" w:rsidRDefault="006A3F9F" w:rsidP="008D061D">
      <w:pPr>
        <w:spacing w:after="0"/>
        <w:jc w:val="center"/>
        <w:rPr>
          <w:rFonts w:cs="Arial"/>
          <w:bCs/>
          <w:i/>
          <w:color w:val="0D0D0D" w:themeColor="text1" w:themeTint="F2"/>
        </w:rPr>
      </w:pPr>
    </w:p>
    <w:tbl>
      <w:tblPr>
        <w:tblStyle w:val="LightShading-Accent1"/>
        <w:tblW w:w="5000" w:type="pct"/>
        <w:tblLook w:val="04A0" w:firstRow="1" w:lastRow="0" w:firstColumn="1" w:lastColumn="0" w:noHBand="0" w:noVBand="1"/>
      </w:tblPr>
      <w:tblGrid>
        <w:gridCol w:w="434"/>
        <w:gridCol w:w="3990"/>
        <w:gridCol w:w="1269"/>
        <w:gridCol w:w="1273"/>
        <w:gridCol w:w="1275"/>
        <w:gridCol w:w="1273"/>
      </w:tblGrid>
      <w:tr w:rsidR="00305638" w:rsidRPr="00F10CD6" w:rsidTr="0030563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color w:val="0D0D0D" w:themeColor="text1" w:themeTint="F2"/>
                <w:sz w:val="20"/>
                <w:szCs w:val="20"/>
              </w:rPr>
            </w:pPr>
            <w:r w:rsidRPr="00F10CD6">
              <w:rPr>
                <w:rFonts w:cs="Arial"/>
                <w:b w:val="0"/>
                <w:color w:val="0D0D0D" w:themeColor="text1" w:themeTint="F2"/>
                <w:sz w:val="20"/>
                <w:szCs w:val="20"/>
              </w:rPr>
              <w:t> </w:t>
            </w:r>
          </w:p>
        </w:tc>
        <w:tc>
          <w:tcPr>
            <w:tcW w:w="2097" w:type="pct"/>
            <w:hideMark/>
          </w:tcPr>
          <w:p w:rsidR="00305638" w:rsidRPr="00F10CD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 xml:space="preserve">v % BDP </w:t>
            </w:r>
          </w:p>
        </w:tc>
        <w:tc>
          <w:tcPr>
            <w:tcW w:w="667" w:type="pct"/>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2018</w:t>
            </w:r>
          </w:p>
        </w:tc>
        <w:tc>
          <w:tcPr>
            <w:tcW w:w="669" w:type="pct"/>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2019</w:t>
            </w:r>
          </w:p>
        </w:tc>
        <w:tc>
          <w:tcPr>
            <w:tcW w:w="670" w:type="pct"/>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2020</w:t>
            </w:r>
          </w:p>
        </w:tc>
        <w:tc>
          <w:tcPr>
            <w:tcW w:w="669" w:type="pct"/>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20"/>
                <w:szCs w:val="20"/>
              </w:rPr>
            </w:pPr>
            <w:r w:rsidRPr="00F10CD6">
              <w:rPr>
                <w:rFonts w:cs="Arial"/>
                <w:b w:val="0"/>
                <w:color w:val="0D0D0D" w:themeColor="text1" w:themeTint="F2"/>
                <w:sz w:val="20"/>
                <w:szCs w:val="20"/>
              </w:rPr>
              <w:t>2021</w:t>
            </w: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1.</w:t>
            </w:r>
          </w:p>
        </w:tc>
        <w:tc>
          <w:tcPr>
            <w:tcW w:w="2097" w:type="pct"/>
            <w:hideMark/>
          </w:tcPr>
          <w:p w:rsidR="00305638" w:rsidRPr="00F10CD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Rast BDP</w:t>
            </w:r>
          </w:p>
        </w:tc>
        <w:tc>
          <w:tcPr>
            <w:tcW w:w="667"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70"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A72A7">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 xml:space="preserve">DBP 2019 </w:t>
            </w:r>
            <w:r w:rsidR="00406EA8" w:rsidRPr="00F10CD6">
              <w:rPr>
                <w:rFonts w:cs="Arial"/>
                <w:color w:val="0D0D0D" w:themeColor="text1" w:themeTint="F2"/>
                <w:sz w:val="20"/>
                <w:szCs w:val="20"/>
              </w:rPr>
              <w:t>–</w:t>
            </w:r>
            <w:r w:rsidRPr="00F10CD6">
              <w:rPr>
                <w:rFonts w:cs="Arial"/>
                <w:color w:val="0D0D0D" w:themeColor="text1" w:themeTint="F2"/>
                <w:sz w:val="20"/>
                <w:szCs w:val="20"/>
              </w:rPr>
              <w:t xml:space="preserve"> noveliran (</w:t>
            </w:r>
            <w:r w:rsidR="008A72A7" w:rsidRPr="00F10CD6">
              <w:rPr>
                <w:rFonts w:cs="Arial"/>
                <w:color w:val="0D0D0D" w:themeColor="text1" w:themeTint="F2"/>
                <w:sz w:val="20"/>
                <w:szCs w:val="20"/>
              </w:rPr>
              <w:t>j</w:t>
            </w:r>
            <w:r w:rsidRPr="00F10CD6">
              <w:rPr>
                <w:rFonts w:cs="Arial"/>
                <w:color w:val="0D0D0D" w:themeColor="text1" w:themeTint="F2"/>
                <w:sz w:val="20"/>
                <w:szCs w:val="20"/>
              </w:rPr>
              <w:t>anuar 2019)</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4,4</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3,7</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PS 2019 (pomlad 2019)</w:t>
            </w:r>
          </w:p>
        </w:tc>
        <w:tc>
          <w:tcPr>
            <w:tcW w:w="667"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4,5</w:t>
            </w:r>
          </w:p>
        </w:tc>
        <w:tc>
          <w:tcPr>
            <w:tcW w:w="669"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3,4</w:t>
            </w:r>
          </w:p>
        </w:tc>
        <w:tc>
          <w:tcPr>
            <w:tcW w:w="670"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3,1</w:t>
            </w:r>
          </w:p>
        </w:tc>
        <w:tc>
          <w:tcPr>
            <w:tcW w:w="669"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2,8</w:t>
            </w: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EC (zima 2019)</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4,4</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3,1</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2,8</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2.</w:t>
            </w:r>
          </w:p>
        </w:tc>
        <w:tc>
          <w:tcPr>
            <w:tcW w:w="2097" w:type="pct"/>
            <w:hideMark/>
          </w:tcPr>
          <w:p w:rsidR="00305638" w:rsidRPr="00F10CD6" w:rsidRDefault="00EB5A5D" w:rsidP="008A72A7">
            <w:pPr>
              <w:jc w:val="left"/>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 xml:space="preserve">Saldo </w:t>
            </w:r>
            <w:r w:rsidR="00305638" w:rsidRPr="00F10CD6">
              <w:rPr>
                <w:rFonts w:cs="Arial"/>
                <w:i/>
                <w:color w:val="0D0D0D" w:themeColor="text1" w:themeTint="F2"/>
                <w:sz w:val="20"/>
                <w:szCs w:val="20"/>
              </w:rPr>
              <w:t>sektorja držav</w:t>
            </w:r>
            <w:r w:rsidR="008A72A7" w:rsidRPr="00F10CD6">
              <w:rPr>
                <w:rFonts w:cs="Arial"/>
                <w:i/>
                <w:color w:val="0D0D0D" w:themeColor="text1" w:themeTint="F2"/>
                <w:sz w:val="20"/>
                <w:szCs w:val="20"/>
              </w:rPr>
              <w:t>a</w:t>
            </w:r>
          </w:p>
        </w:tc>
        <w:tc>
          <w:tcPr>
            <w:tcW w:w="667"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70"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A72A7">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 xml:space="preserve">DBP 2019 </w:t>
            </w:r>
            <w:r w:rsidR="00406EA8" w:rsidRPr="00F10CD6">
              <w:rPr>
                <w:rFonts w:cs="Arial"/>
                <w:color w:val="0D0D0D" w:themeColor="text1" w:themeTint="F2"/>
                <w:sz w:val="20"/>
                <w:szCs w:val="20"/>
              </w:rPr>
              <w:t>–</w:t>
            </w:r>
            <w:r w:rsidRPr="00F10CD6">
              <w:rPr>
                <w:rFonts w:cs="Arial"/>
                <w:color w:val="0D0D0D" w:themeColor="text1" w:themeTint="F2"/>
                <w:sz w:val="20"/>
                <w:szCs w:val="20"/>
              </w:rPr>
              <w:t xml:space="preserve"> noveliran (</w:t>
            </w:r>
            <w:r w:rsidR="008A72A7" w:rsidRPr="00F10CD6">
              <w:rPr>
                <w:rFonts w:cs="Arial"/>
                <w:color w:val="0D0D0D" w:themeColor="text1" w:themeTint="F2"/>
                <w:sz w:val="20"/>
                <w:szCs w:val="20"/>
              </w:rPr>
              <w:t>j</w:t>
            </w:r>
            <w:r w:rsidRPr="00F10CD6">
              <w:rPr>
                <w:rFonts w:cs="Arial"/>
                <w:color w:val="0D0D0D" w:themeColor="text1" w:themeTint="F2"/>
                <w:sz w:val="20"/>
                <w:szCs w:val="20"/>
              </w:rPr>
              <w:t>anuar 2019)</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0,8</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0,55</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PS 2019 (pomlad 2019)</w:t>
            </w:r>
          </w:p>
        </w:tc>
        <w:tc>
          <w:tcPr>
            <w:tcW w:w="667" w:type="pct"/>
          </w:tcPr>
          <w:p w:rsidR="00305638" w:rsidRPr="00F10CD6" w:rsidRDefault="00305638" w:rsidP="00EB5A5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w:t>
            </w:r>
            <w:r w:rsidR="00ED540A" w:rsidRPr="00F10CD6">
              <w:rPr>
                <w:rFonts w:cs="Arial"/>
                <w:i/>
                <w:color w:val="0D0D0D" w:themeColor="text1" w:themeTint="F2"/>
                <w:sz w:val="20"/>
                <w:szCs w:val="20"/>
              </w:rPr>
              <w:t>7</w:t>
            </w:r>
          </w:p>
        </w:tc>
        <w:tc>
          <w:tcPr>
            <w:tcW w:w="669" w:type="pct"/>
          </w:tcPr>
          <w:p w:rsidR="00305638" w:rsidRPr="00F10CD6" w:rsidRDefault="00305638" w:rsidP="00F97F4C">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w:t>
            </w:r>
            <w:r w:rsidR="00F97F4C" w:rsidRPr="00F10CD6">
              <w:rPr>
                <w:rFonts w:cs="Arial"/>
                <w:i/>
                <w:color w:val="0D0D0D" w:themeColor="text1" w:themeTint="F2"/>
                <w:sz w:val="20"/>
                <w:szCs w:val="20"/>
              </w:rPr>
              <w:t>9</w:t>
            </w:r>
          </w:p>
        </w:tc>
        <w:tc>
          <w:tcPr>
            <w:tcW w:w="670"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1,0</w:t>
            </w:r>
          </w:p>
        </w:tc>
        <w:tc>
          <w:tcPr>
            <w:tcW w:w="669"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1,1</w:t>
            </w: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EC (jesen 2018)</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0,5</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0,4</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0,2</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3.</w:t>
            </w:r>
          </w:p>
        </w:tc>
        <w:tc>
          <w:tcPr>
            <w:tcW w:w="2097" w:type="pct"/>
            <w:hideMark/>
          </w:tcPr>
          <w:p w:rsidR="00305638" w:rsidRPr="00F10CD6" w:rsidRDefault="00305638" w:rsidP="008A72A7">
            <w:pPr>
              <w:jc w:val="left"/>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Dolg sektorja držav</w:t>
            </w:r>
            <w:r w:rsidR="008A72A7" w:rsidRPr="00F10CD6">
              <w:rPr>
                <w:rFonts w:cs="Arial"/>
                <w:i/>
                <w:color w:val="0D0D0D" w:themeColor="text1" w:themeTint="F2"/>
                <w:sz w:val="20"/>
                <w:szCs w:val="20"/>
              </w:rPr>
              <w:t>a</w:t>
            </w:r>
          </w:p>
        </w:tc>
        <w:tc>
          <w:tcPr>
            <w:tcW w:w="667"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70"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 xml:space="preserve">DBP 2019 </w:t>
            </w:r>
            <w:r w:rsidR="00406EA8" w:rsidRPr="00F10CD6">
              <w:rPr>
                <w:rFonts w:cs="Arial"/>
                <w:color w:val="0D0D0D" w:themeColor="text1" w:themeTint="F2"/>
                <w:sz w:val="20"/>
                <w:szCs w:val="20"/>
              </w:rPr>
              <w:t>–</w:t>
            </w:r>
            <w:r w:rsidRPr="00F10CD6">
              <w:rPr>
                <w:rFonts w:cs="Arial"/>
                <w:color w:val="0D0D0D" w:themeColor="text1" w:themeTint="F2"/>
                <w:sz w:val="20"/>
                <w:szCs w:val="20"/>
              </w:rPr>
              <w:t xml:space="preserve"> noveliran (</w:t>
            </w:r>
            <w:r w:rsidR="008A72A7" w:rsidRPr="00F10CD6">
              <w:rPr>
                <w:rFonts w:cs="Arial"/>
                <w:color w:val="0D0D0D" w:themeColor="text1" w:themeTint="F2"/>
                <w:sz w:val="20"/>
                <w:szCs w:val="20"/>
              </w:rPr>
              <w:t>j</w:t>
            </w:r>
            <w:r w:rsidRPr="00F10CD6">
              <w:rPr>
                <w:rFonts w:cs="Arial"/>
                <w:color w:val="0D0D0D" w:themeColor="text1" w:themeTint="F2"/>
                <w:sz w:val="20"/>
                <w:szCs w:val="20"/>
              </w:rPr>
              <w:t>anuar 2019)</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70,3</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66,0</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PS 2019 (pomlad 2019)</w:t>
            </w:r>
          </w:p>
        </w:tc>
        <w:tc>
          <w:tcPr>
            <w:tcW w:w="667"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70,1</w:t>
            </w:r>
          </w:p>
        </w:tc>
        <w:tc>
          <w:tcPr>
            <w:tcW w:w="669"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65,4</w:t>
            </w:r>
          </w:p>
        </w:tc>
        <w:tc>
          <w:tcPr>
            <w:tcW w:w="670"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61,3</w:t>
            </w:r>
          </w:p>
        </w:tc>
        <w:tc>
          <w:tcPr>
            <w:tcW w:w="669" w:type="pct"/>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57,9</w:t>
            </w:r>
          </w:p>
        </w:tc>
      </w:tr>
      <w:tr w:rsidR="00305638" w:rsidRPr="00F10CD6"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F10CD6" w:rsidRDefault="00305638" w:rsidP="008D061D">
            <w:pPr>
              <w:jc w:val="center"/>
              <w:rPr>
                <w:rFonts w:cs="Arial"/>
                <w:b w:val="0"/>
                <w:i/>
                <w:color w:val="0D0D0D" w:themeColor="text1" w:themeTint="F2"/>
                <w:sz w:val="20"/>
                <w:szCs w:val="20"/>
              </w:rPr>
            </w:pPr>
            <w:r w:rsidRPr="00F10CD6">
              <w:rPr>
                <w:rFonts w:cs="Arial"/>
                <w:b w:val="0"/>
                <w:i/>
                <w:color w:val="0D0D0D" w:themeColor="text1" w:themeTint="F2"/>
                <w:sz w:val="20"/>
                <w:szCs w:val="20"/>
              </w:rPr>
              <w:t> </w:t>
            </w:r>
          </w:p>
        </w:tc>
        <w:tc>
          <w:tcPr>
            <w:tcW w:w="2097" w:type="pct"/>
            <w:hideMark/>
          </w:tcPr>
          <w:p w:rsidR="00305638" w:rsidRPr="00F10CD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EC (jesen 2018)</w:t>
            </w:r>
          </w:p>
        </w:tc>
        <w:tc>
          <w:tcPr>
            <w:tcW w:w="667"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70,2</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66,3</w:t>
            </w:r>
          </w:p>
        </w:tc>
        <w:tc>
          <w:tcPr>
            <w:tcW w:w="670"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r w:rsidRPr="00F10CD6">
              <w:rPr>
                <w:rFonts w:cs="Arial"/>
                <w:i/>
                <w:color w:val="0D0D0D" w:themeColor="text1" w:themeTint="F2"/>
                <w:sz w:val="20"/>
                <w:szCs w:val="20"/>
              </w:rPr>
              <w:t>62,6</w:t>
            </w:r>
          </w:p>
        </w:tc>
        <w:tc>
          <w:tcPr>
            <w:tcW w:w="669" w:type="pct"/>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0D0D0D" w:themeColor="text1" w:themeTint="F2"/>
                <w:sz w:val="20"/>
                <w:szCs w:val="20"/>
              </w:rPr>
            </w:pPr>
          </w:p>
        </w:tc>
      </w:tr>
    </w:tbl>
    <w:p w:rsidR="00305638" w:rsidRPr="00F10CD6" w:rsidRDefault="00305638" w:rsidP="008D061D">
      <w:pPr>
        <w:pStyle w:val="besedilo"/>
        <w:jc w:val="center"/>
        <w:rPr>
          <w:i/>
          <w:color w:val="0D0D0D" w:themeColor="text1" w:themeTint="F2"/>
        </w:rPr>
      </w:pPr>
      <w:r w:rsidRPr="00F10CD6">
        <w:rPr>
          <w:i/>
          <w:color w:val="0D0D0D" w:themeColor="text1" w:themeTint="F2"/>
        </w:rPr>
        <w:t>Vir: SURS, UMAR, EK, MF RS.</w:t>
      </w:r>
    </w:p>
    <w:p w:rsidR="00305638" w:rsidRPr="00F10CD6" w:rsidRDefault="00305638" w:rsidP="008D061D">
      <w:pPr>
        <w:pStyle w:val="besedilo"/>
        <w:rPr>
          <w:rFonts w:eastAsia="Batang"/>
          <w:color w:val="0D0D0D" w:themeColor="text1" w:themeTint="F2"/>
        </w:rPr>
      </w:pPr>
    </w:p>
    <w:p w:rsidR="00484F15" w:rsidRPr="00F10CD6" w:rsidRDefault="00083C23" w:rsidP="00553FED">
      <w:pPr>
        <w:pStyle w:val="Heading2"/>
        <w:numPr>
          <w:ilvl w:val="1"/>
          <w:numId w:val="3"/>
        </w:numPr>
        <w:rPr>
          <w:color w:val="0D0D0D" w:themeColor="text1" w:themeTint="F2"/>
        </w:rPr>
      </w:pPr>
      <w:bookmarkStart w:id="12" w:name="_Toc6923653"/>
      <w:r w:rsidRPr="00F10CD6">
        <w:rPr>
          <w:color w:val="0D0D0D" w:themeColor="text1" w:themeTint="F2"/>
        </w:rPr>
        <w:t>Dolg sektorja držav</w:t>
      </w:r>
      <w:r w:rsidR="008A72A7" w:rsidRPr="00F10CD6">
        <w:rPr>
          <w:color w:val="0D0D0D" w:themeColor="text1" w:themeTint="F2"/>
        </w:rPr>
        <w:t>a</w:t>
      </w:r>
      <w:bookmarkEnd w:id="12"/>
    </w:p>
    <w:p w:rsidR="00534D98" w:rsidRPr="00F10CD6" w:rsidRDefault="00534D98" w:rsidP="00534D98">
      <w:pPr>
        <w:pStyle w:val="NormalSP"/>
        <w:rPr>
          <w:rFonts w:cs="Arial"/>
          <w:color w:val="0D0D0D" w:themeColor="text1" w:themeTint="F2"/>
          <w:lang w:val="sl-SI"/>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 xml:space="preserve">Konsolidirani dolg sektorja država je konec leta 2018 znašal 32.232 milijonov EUR ali 70,1 % BDP, kar je za 373 milijonov več kot leto prej, ko je znašal 31.859 milijonov EUR ali 74,1 % BDP. Najbolj se je  zvišal dolg enot centralne države, ki je konec leta 2018 znašal 31.651  milijonov EUR ali 68,9 % BDP, leto prej pa 31.292 milijonov EUR ali 72,8 % BDP. Dolg enot lokalne države je konec leta 2018 znašal  806 milijonov EUR ali 1,8 % BDP, leto prej pa 27 milijonov EUR manj, to je 778 milijonov EUR ali 1,8 % BDP. Skladi socialne varnosti so bili konec leta 2018 zadolženi v višini 0,6 milijona EUR.  </w:t>
      </w:r>
    </w:p>
    <w:p w:rsidR="00063ACD" w:rsidRPr="00F10CD6" w:rsidRDefault="00063ACD" w:rsidP="00300564">
      <w:pPr>
        <w:pStyle w:val="besedilo"/>
        <w:rPr>
          <w:rFonts w:eastAsia="Batang"/>
          <w:color w:val="0D0D0D" w:themeColor="text1" w:themeTint="F2"/>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 xml:space="preserve">Republika Slovenija se lahko na podlagi spremembe Zakona o javnih financah iz leta 2008, ki omogoča, da se državni proračun lahko predfinancira v višini obsega zapadlih glavnic v prihodnjih dveh proračunskih letih, zadolži preko obsega zadolževanja za financiranje primanjkljaja bilance prihodkov in odhodkov in primanjkljaja računa finančnih terjatev in naložb ter odplačil glavnic dolga tekočega leta. Republika Slovenija je v letu 2018 ob upoštevanju omejitev s strani Pravila o dolgu, zaradi ugodnih tržnih razmer na dolžniških kapitalskih trgih izkoristila možnost predfinanciranja, in sicer v višini 570 milijonov EUR. </w:t>
      </w:r>
    </w:p>
    <w:p w:rsidR="00063ACD" w:rsidRPr="00F10CD6" w:rsidRDefault="00063ACD" w:rsidP="00063ACD">
      <w:pPr>
        <w:pStyle w:val="NormalSP"/>
        <w:rPr>
          <w:rFonts w:cs="Arial"/>
          <w:color w:val="0D0D0D" w:themeColor="text1" w:themeTint="F2"/>
          <w:highlight w:val="yellow"/>
          <w:lang w:val="sl-SI"/>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Dolg države je dosegel svojo najvišjo vrednost leta 2015 v višini 82,6 % BDP in se nato v obdobju do leta 2018 znižal na 70,1 % BDP. Načrtuje se, da se bo v programskem obdobju do leta 2022 dolg znižal pod maastrichtsko raven 60 % BDP. V oceni stanja dolga za leto 2019 je upoštevana kupnina iz naslova privatizacije Nove Ljubljanske banke d.d. prejeta v letu 2018. Drugi potencialni privatizacijski prilivi v projekciji niso upoštevani. V projekciji je upoštevano zniževanje predfinanciranja državnega proračuna, kar pomeni zniževanje denarnih rezerv. Dinamika zniževanja dolga v prihodnjih letih v razmerju do BDP bo predvsem odvisna od gibanja BDP in salda B-bilance državnega proračuna. Zadolženost lokalne ravni države bo predvidoma ostala na ravni blizu 2 % BDP.</w:t>
      </w:r>
    </w:p>
    <w:p w:rsidR="00F42256" w:rsidRPr="00F10CD6" w:rsidRDefault="00F42256" w:rsidP="00A955DD">
      <w:pPr>
        <w:pStyle w:val="NormalSP"/>
        <w:rPr>
          <w:rFonts w:cs="Arial"/>
          <w:color w:val="0D0D0D" w:themeColor="text1" w:themeTint="F2"/>
          <w:highlight w:val="yellow"/>
          <w:lang w:val="sl-SI"/>
        </w:rPr>
      </w:pPr>
    </w:p>
    <w:p w:rsidR="009B5300" w:rsidRDefault="009B5300" w:rsidP="007B4DD0">
      <w:pPr>
        <w:spacing w:after="120"/>
        <w:jc w:val="center"/>
        <w:rPr>
          <w:rFonts w:eastAsia="Batang" w:cs="Arial"/>
          <w:color w:val="0D0D0D" w:themeColor="text1" w:themeTint="F2"/>
        </w:rPr>
      </w:pPr>
    </w:p>
    <w:p w:rsidR="00A955DD" w:rsidRPr="00F10CD6" w:rsidRDefault="00A955DD" w:rsidP="007B4DD0">
      <w:pPr>
        <w:spacing w:after="120"/>
        <w:jc w:val="center"/>
        <w:rPr>
          <w:rFonts w:eastAsia="Batang" w:cs="Arial"/>
          <w:color w:val="0D0D0D" w:themeColor="text1" w:themeTint="F2"/>
        </w:rPr>
      </w:pPr>
      <w:r w:rsidRPr="00F10CD6">
        <w:rPr>
          <w:rFonts w:eastAsia="Batang" w:cs="Arial"/>
          <w:color w:val="0D0D0D" w:themeColor="text1" w:themeTint="F2"/>
        </w:rPr>
        <w:lastRenderedPageBreak/>
        <w:t xml:space="preserve">Tabela </w:t>
      </w:r>
      <w:r w:rsidR="00A676D9" w:rsidRPr="00F10CD6">
        <w:rPr>
          <w:rFonts w:eastAsia="Batang" w:cs="Arial"/>
          <w:color w:val="0D0D0D" w:themeColor="text1" w:themeTint="F2"/>
        </w:rPr>
        <w:t xml:space="preserve">9: </w:t>
      </w:r>
      <w:r w:rsidRPr="00F10CD6">
        <w:rPr>
          <w:rFonts w:eastAsia="Batang" w:cs="Arial"/>
          <w:color w:val="0D0D0D" w:themeColor="text1" w:themeTint="F2"/>
        </w:rPr>
        <w:t>Dolg sektor država</w:t>
      </w:r>
    </w:p>
    <w:tbl>
      <w:tblPr>
        <w:tblStyle w:val="LightShading-Accent1"/>
        <w:tblW w:w="5000" w:type="pct"/>
        <w:tblLook w:val="0000" w:firstRow="0" w:lastRow="0" w:firstColumn="0" w:lastColumn="0" w:noHBand="0" w:noVBand="0"/>
      </w:tblPr>
      <w:tblGrid>
        <w:gridCol w:w="3476"/>
        <w:gridCol w:w="1118"/>
        <w:gridCol w:w="938"/>
        <w:gridCol w:w="1172"/>
        <w:gridCol w:w="993"/>
        <w:gridCol w:w="938"/>
        <w:gridCol w:w="879"/>
      </w:tblGrid>
      <w:tr w:rsidR="00643993" w:rsidRPr="00F10CD6" w:rsidTr="00C055B3">
        <w:trPr>
          <w:cnfStyle w:val="000000100000" w:firstRow="0" w:lastRow="0" w:firstColumn="0" w:lastColumn="0" w:oddVBand="0" w:evenVBand="0" w:oddHBand="1" w:evenHBand="0" w:firstRowFirstColumn="0" w:firstRowLastColumn="0" w:lastRowFirstColumn="0" w:lastRowLastColumn="0"/>
          <w:trHeight w:val="383"/>
        </w:trPr>
        <w:tc>
          <w:tcPr>
            <w:cnfStyle w:val="000010000000" w:firstRow="0" w:lastRow="0" w:firstColumn="0" w:lastColumn="0" w:oddVBand="1" w:evenVBand="0" w:oddHBand="0" w:evenHBand="0" w:firstRowFirstColumn="0" w:firstRowLastColumn="0" w:lastRowFirstColumn="0" w:lastRowLastColumn="0"/>
            <w:tcW w:w="1834" w:type="pct"/>
            <w:tcBorders>
              <w:top w:val="single" w:sz="8" w:space="0" w:color="4F81BD" w:themeColor="accent1"/>
              <w:bottom w:val="single" w:sz="4" w:space="0" w:color="auto"/>
            </w:tcBorders>
            <w:noWrap/>
          </w:tcPr>
          <w:p w:rsidR="00643993" w:rsidRPr="00F10CD6" w:rsidRDefault="00643993" w:rsidP="00C055B3">
            <w:pPr>
              <w:jc w:val="right"/>
              <w:rPr>
                <w:rFonts w:eastAsia="Arial Unicode MS" w:cs="Arial"/>
                <w:b/>
                <w:bCs/>
                <w:color w:val="0D0D0D" w:themeColor="text1" w:themeTint="F2"/>
                <w:sz w:val="20"/>
                <w:szCs w:val="20"/>
              </w:rPr>
            </w:pPr>
          </w:p>
        </w:tc>
        <w:tc>
          <w:tcPr>
            <w:tcW w:w="596" w:type="pct"/>
            <w:tcBorders>
              <w:top w:val="single" w:sz="8" w:space="0" w:color="4F81BD" w:themeColor="accent1"/>
              <w:bottom w:val="single" w:sz="4" w:space="0" w:color="auto"/>
            </w:tcBorders>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ESA</w:t>
            </w:r>
          </w:p>
          <w:p w:rsidR="00643993" w:rsidRPr="00F10CD6" w:rsidRDefault="00DD4D35" w:rsidP="00DD4D35">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k</w:t>
            </w:r>
            <w:r w:rsidR="00643993" w:rsidRPr="00F10CD6">
              <w:rPr>
                <w:rFonts w:cs="Arial"/>
                <w:color w:val="0D0D0D" w:themeColor="text1" w:themeTint="F2"/>
                <w:sz w:val="20"/>
                <w:szCs w:val="20"/>
              </w:rPr>
              <w:t>oda</w:t>
            </w:r>
          </w:p>
        </w:tc>
        <w:tc>
          <w:tcPr>
            <w:cnfStyle w:val="000010000000" w:firstRow="0" w:lastRow="0" w:firstColumn="0" w:lastColumn="0" w:oddVBand="1" w:evenVBand="0" w:oddHBand="0" w:evenHBand="0" w:firstRowFirstColumn="0" w:firstRowLastColumn="0" w:lastRowFirstColumn="0" w:lastRowLastColumn="0"/>
            <w:tcW w:w="501" w:type="pct"/>
            <w:tcBorders>
              <w:top w:val="single" w:sz="8" w:space="0" w:color="4F81BD" w:themeColor="accent1"/>
              <w:bottom w:val="single" w:sz="4" w:space="0" w:color="auto"/>
            </w:tcBorders>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2018</w:t>
            </w:r>
          </w:p>
        </w:tc>
        <w:tc>
          <w:tcPr>
            <w:tcW w:w="566" w:type="pct"/>
            <w:tcBorders>
              <w:top w:val="single" w:sz="8" w:space="0" w:color="4F81BD" w:themeColor="accent1"/>
              <w:bottom w:val="single" w:sz="4" w:space="0" w:color="auto"/>
            </w:tcBorders>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2019</w:t>
            </w:r>
          </w:p>
        </w:tc>
        <w:tc>
          <w:tcPr>
            <w:cnfStyle w:val="000010000000" w:firstRow="0" w:lastRow="0" w:firstColumn="0" w:lastColumn="0" w:oddVBand="1" w:evenVBand="0" w:oddHBand="0" w:evenHBand="0" w:firstRowFirstColumn="0" w:firstRowLastColumn="0" w:lastRowFirstColumn="0" w:lastRowLastColumn="0"/>
            <w:tcW w:w="530" w:type="pct"/>
            <w:tcBorders>
              <w:top w:val="single" w:sz="8" w:space="0" w:color="4F81BD" w:themeColor="accent1"/>
              <w:bottom w:val="single" w:sz="4" w:space="0" w:color="auto"/>
            </w:tcBorders>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2020</w:t>
            </w:r>
          </w:p>
        </w:tc>
        <w:tc>
          <w:tcPr>
            <w:tcW w:w="501" w:type="pct"/>
            <w:tcBorders>
              <w:top w:val="single" w:sz="8" w:space="0" w:color="4F81BD" w:themeColor="accent1"/>
              <w:bottom w:val="single" w:sz="4" w:space="0" w:color="auto"/>
            </w:tcBorders>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2021</w:t>
            </w:r>
          </w:p>
        </w:tc>
        <w:tc>
          <w:tcPr>
            <w:cnfStyle w:val="000010000000" w:firstRow="0" w:lastRow="0" w:firstColumn="0" w:lastColumn="0" w:oddVBand="1" w:evenVBand="0" w:oddHBand="0" w:evenHBand="0" w:firstRowFirstColumn="0" w:firstRowLastColumn="0" w:lastRowFirstColumn="0" w:lastRowLastColumn="0"/>
            <w:tcW w:w="470" w:type="pct"/>
            <w:tcBorders>
              <w:top w:val="single" w:sz="8" w:space="0" w:color="4F81BD" w:themeColor="accent1"/>
              <w:bottom w:val="single" w:sz="4" w:space="0" w:color="auto"/>
            </w:tcBorders>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2022</w:t>
            </w:r>
          </w:p>
        </w:tc>
      </w:tr>
      <w:tr w:rsidR="00643993" w:rsidRPr="00F10CD6"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tcBorders>
              <w:top w:val="single" w:sz="4" w:space="0" w:color="auto"/>
            </w:tcBorders>
            <w:shd w:val="clear" w:color="auto" w:fill="FFFFFF" w:themeFill="background1"/>
            <w:noWrap/>
          </w:tcPr>
          <w:p w:rsidR="00643993" w:rsidRPr="00F10CD6" w:rsidRDefault="00643993" w:rsidP="00C055B3">
            <w:pPr>
              <w:jc w:val="left"/>
              <w:rPr>
                <w:rFonts w:eastAsia="Arial Unicode MS" w:cs="Arial"/>
                <w:b/>
                <w:bCs/>
                <w:color w:val="0D0D0D" w:themeColor="text1" w:themeTint="F2"/>
                <w:sz w:val="20"/>
                <w:szCs w:val="20"/>
              </w:rPr>
            </w:pPr>
          </w:p>
        </w:tc>
        <w:tc>
          <w:tcPr>
            <w:tcW w:w="596" w:type="pct"/>
            <w:tcBorders>
              <w:top w:val="single" w:sz="4" w:space="0" w:color="auto"/>
            </w:tcBorders>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Borders>
              <w:top w:val="single" w:sz="4" w:space="0" w:color="auto"/>
            </w:tcBorders>
            <w:shd w:val="clear" w:color="auto" w:fill="FFFFFF" w:themeFill="background1"/>
          </w:tcPr>
          <w:p w:rsidR="00643993" w:rsidRPr="00F10CD6" w:rsidRDefault="00643993" w:rsidP="00C055B3">
            <w:pPr>
              <w:jc w:val="right"/>
              <w:rPr>
                <w:rFonts w:cs="Arial"/>
                <w:color w:val="0D0D0D" w:themeColor="text1" w:themeTint="F2"/>
                <w:sz w:val="20"/>
                <w:szCs w:val="20"/>
              </w:rPr>
            </w:pPr>
          </w:p>
        </w:tc>
        <w:tc>
          <w:tcPr>
            <w:tcW w:w="566" w:type="pct"/>
            <w:tcBorders>
              <w:top w:val="single" w:sz="4" w:space="0" w:color="auto"/>
            </w:tcBorders>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v mio EUR</w:t>
            </w:r>
          </w:p>
        </w:tc>
        <w:tc>
          <w:tcPr>
            <w:cnfStyle w:val="000010000000" w:firstRow="0" w:lastRow="0" w:firstColumn="0" w:lastColumn="0" w:oddVBand="1" w:evenVBand="0" w:oddHBand="0" w:evenHBand="0" w:firstRowFirstColumn="0" w:firstRowLastColumn="0" w:lastRowFirstColumn="0" w:lastRowLastColumn="0"/>
            <w:tcW w:w="530" w:type="pct"/>
            <w:tcBorders>
              <w:top w:val="single" w:sz="4" w:space="0" w:color="auto"/>
            </w:tcBorders>
            <w:shd w:val="clear" w:color="auto" w:fill="FFFFFF" w:themeFill="background1"/>
            <w:noWrap/>
          </w:tcPr>
          <w:p w:rsidR="00643993" w:rsidRPr="00F10CD6" w:rsidRDefault="00643993" w:rsidP="00C055B3">
            <w:pPr>
              <w:jc w:val="right"/>
              <w:rPr>
                <w:rFonts w:cs="Arial"/>
                <w:color w:val="0D0D0D" w:themeColor="text1" w:themeTint="F2"/>
                <w:sz w:val="20"/>
                <w:szCs w:val="20"/>
              </w:rPr>
            </w:pPr>
          </w:p>
        </w:tc>
        <w:tc>
          <w:tcPr>
            <w:tcW w:w="501" w:type="pct"/>
            <w:tcBorders>
              <w:top w:val="single" w:sz="4" w:space="0" w:color="auto"/>
            </w:tcBorders>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470" w:type="pct"/>
            <w:tcBorders>
              <w:top w:val="single" w:sz="4" w:space="0" w:color="auto"/>
            </w:tcBorders>
            <w:shd w:val="clear" w:color="auto" w:fill="FFFFFF" w:themeFill="background1"/>
          </w:tcPr>
          <w:p w:rsidR="00643993" w:rsidRPr="00F10CD6" w:rsidRDefault="00643993" w:rsidP="00C055B3">
            <w:pPr>
              <w:jc w:val="right"/>
              <w:rPr>
                <w:rFonts w:cs="Arial"/>
                <w:color w:val="0D0D0D" w:themeColor="text1" w:themeTint="F2"/>
                <w:sz w:val="20"/>
                <w:szCs w:val="20"/>
              </w:rPr>
            </w:pPr>
          </w:p>
        </w:tc>
      </w:tr>
      <w:tr w:rsidR="00643993" w:rsidRPr="00F10CD6"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1. Raven bruto dolga</w:t>
            </w:r>
          </w:p>
        </w:tc>
        <w:tc>
          <w:tcPr>
            <w:tcW w:w="59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32.232</w:t>
            </w:r>
          </w:p>
        </w:tc>
        <w:tc>
          <w:tcPr>
            <w:tcW w:w="56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31.910</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31.634</w:t>
            </w:r>
          </w:p>
        </w:tc>
        <w:tc>
          <w:tcPr>
            <w:tcW w:w="501"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31.546</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31.314</w:t>
            </w:r>
          </w:p>
        </w:tc>
      </w:tr>
      <w:tr w:rsidR="00643993" w:rsidRPr="00F10CD6" w:rsidTr="00C055B3">
        <w:trPr>
          <w:trHeight w:val="137"/>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2. BDP</w:t>
            </w:r>
          </w:p>
        </w:tc>
        <w:tc>
          <w:tcPr>
            <w:tcW w:w="596"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45.948</w:t>
            </w:r>
          </w:p>
        </w:tc>
        <w:tc>
          <w:tcPr>
            <w:tcW w:w="566"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48.797</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51.578</w:t>
            </w:r>
          </w:p>
        </w:tc>
        <w:tc>
          <w:tcPr>
            <w:tcW w:w="501"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54.443</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F10CD6" w:rsidRDefault="00643993" w:rsidP="00C055B3">
            <w:pPr>
              <w:jc w:val="right"/>
              <w:rPr>
                <w:rFonts w:cs="Arial"/>
                <w:color w:val="0D0D0D" w:themeColor="text1" w:themeTint="F2"/>
                <w:sz w:val="20"/>
                <w:szCs w:val="20"/>
              </w:rPr>
            </w:pPr>
            <w:r w:rsidRPr="00F10CD6">
              <w:rPr>
                <w:rFonts w:cs="Arial"/>
                <w:color w:val="0D0D0D" w:themeColor="text1" w:themeTint="F2"/>
                <w:sz w:val="20"/>
                <w:szCs w:val="20"/>
              </w:rPr>
              <w:t>57.224</w:t>
            </w:r>
          </w:p>
        </w:tc>
      </w:tr>
      <w:tr w:rsidR="00643993" w:rsidRPr="00F10CD6"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F10CD6" w:rsidRDefault="00643993" w:rsidP="00C055B3">
            <w:pPr>
              <w:jc w:val="left"/>
              <w:rPr>
                <w:rFonts w:eastAsia="Arial Unicode MS" w:cs="Arial"/>
                <w:bCs/>
                <w:color w:val="0D0D0D" w:themeColor="text1" w:themeTint="F2"/>
                <w:sz w:val="20"/>
                <w:szCs w:val="20"/>
              </w:rPr>
            </w:pPr>
          </w:p>
        </w:tc>
        <w:tc>
          <w:tcPr>
            <w:tcW w:w="59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F10CD6" w:rsidRDefault="00643993" w:rsidP="00C055B3">
            <w:pPr>
              <w:jc w:val="right"/>
              <w:rPr>
                <w:rFonts w:cs="Arial"/>
                <w:color w:val="0D0D0D" w:themeColor="text1" w:themeTint="F2"/>
                <w:sz w:val="20"/>
                <w:szCs w:val="20"/>
              </w:rPr>
            </w:pPr>
          </w:p>
        </w:tc>
        <w:tc>
          <w:tcPr>
            <w:tcW w:w="56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v % BDP</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F10CD6" w:rsidRDefault="00643993" w:rsidP="00C055B3">
            <w:pPr>
              <w:jc w:val="right"/>
              <w:rPr>
                <w:rFonts w:cs="Arial"/>
                <w:color w:val="0D0D0D" w:themeColor="text1" w:themeTint="F2"/>
                <w:sz w:val="20"/>
                <w:szCs w:val="20"/>
              </w:rPr>
            </w:pPr>
          </w:p>
        </w:tc>
        <w:tc>
          <w:tcPr>
            <w:tcW w:w="501"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470" w:type="pct"/>
          </w:tcPr>
          <w:p w:rsidR="00643993" w:rsidRPr="00F10CD6" w:rsidRDefault="00643993" w:rsidP="00C055B3">
            <w:pPr>
              <w:jc w:val="right"/>
              <w:rPr>
                <w:rFonts w:cs="Arial"/>
                <w:color w:val="0D0D0D" w:themeColor="text1" w:themeTint="F2"/>
                <w:sz w:val="20"/>
                <w:szCs w:val="20"/>
              </w:rPr>
            </w:pPr>
          </w:p>
        </w:tc>
      </w:tr>
      <w:tr w:rsidR="00643993" w:rsidRPr="00F10CD6"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3. Raven bruto dolga</w:t>
            </w:r>
          </w:p>
        </w:tc>
        <w:tc>
          <w:tcPr>
            <w:tcW w:w="596"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70,1</w:t>
            </w:r>
          </w:p>
        </w:tc>
        <w:tc>
          <w:tcPr>
            <w:tcW w:w="566" w:type="pct"/>
            <w:shd w:val="clear" w:color="auto" w:fill="FFFFFF" w:themeFill="background1"/>
            <w:noWrap/>
          </w:tcPr>
          <w:p w:rsidR="00643993" w:rsidRPr="00F10CD6"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65,4</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61,3</w:t>
            </w:r>
          </w:p>
        </w:tc>
        <w:tc>
          <w:tcPr>
            <w:tcW w:w="501" w:type="pct"/>
            <w:shd w:val="clear" w:color="auto" w:fill="FFFFFF" w:themeFill="background1"/>
            <w:noWrap/>
          </w:tcPr>
          <w:p w:rsidR="00643993" w:rsidRPr="00F10CD6"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57,9</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54,7</w:t>
            </w:r>
          </w:p>
        </w:tc>
      </w:tr>
      <w:tr w:rsidR="00643993" w:rsidRPr="00F10CD6"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4. Spremembe bruto dolga</w:t>
            </w:r>
          </w:p>
        </w:tc>
        <w:tc>
          <w:tcPr>
            <w:tcW w:w="59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F10CD6" w:rsidRDefault="00406EA8" w:rsidP="00C055B3">
            <w:pPr>
              <w:jc w:val="center"/>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3,9</w:t>
            </w:r>
          </w:p>
        </w:tc>
        <w:tc>
          <w:tcPr>
            <w:tcW w:w="566" w:type="pct"/>
            <w:noWrap/>
          </w:tcPr>
          <w:p w:rsidR="00643993" w:rsidRPr="00F10CD6" w:rsidRDefault="00406EA8"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4,7</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F10CD6" w:rsidRDefault="00406EA8" w:rsidP="00C055B3">
            <w:pPr>
              <w:jc w:val="center"/>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4,1</w:t>
            </w:r>
          </w:p>
        </w:tc>
        <w:tc>
          <w:tcPr>
            <w:tcW w:w="501" w:type="pct"/>
            <w:noWrap/>
          </w:tcPr>
          <w:p w:rsidR="00643993" w:rsidRPr="00F10CD6" w:rsidRDefault="00406EA8"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3,4</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F10CD6" w:rsidRDefault="00406EA8" w:rsidP="00C055B3">
            <w:pPr>
              <w:jc w:val="center"/>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3,2</w:t>
            </w:r>
          </w:p>
        </w:tc>
      </w:tr>
      <w:tr w:rsidR="00643993" w:rsidRPr="00F10CD6"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5. Primarni saldo</w:t>
            </w:r>
          </w:p>
        </w:tc>
        <w:tc>
          <w:tcPr>
            <w:tcW w:w="596"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F10CD6" w:rsidRDefault="00643993" w:rsidP="00063ACD">
            <w:pPr>
              <w:jc w:val="center"/>
              <w:rPr>
                <w:rFonts w:cs="Arial"/>
                <w:color w:val="0D0D0D" w:themeColor="text1" w:themeTint="F2"/>
                <w:sz w:val="20"/>
                <w:szCs w:val="20"/>
              </w:rPr>
            </w:pPr>
            <w:r w:rsidRPr="00F10CD6">
              <w:rPr>
                <w:rFonts w:cs="Arial"/>
                <w:color w:val="0D0D0D" w:themeColor="text1" w:themeTint="F2"/>
                <w:sz w:val="20"/>
                <w:szCs w:val="20"/>
              </w:rPr>
              <w:t>2,</w:t>
            </w:r>
            <w:r w:rsidR="00063ACD" w:rsidRPr="00F10CD6">
              <w:rPr>
                <w:rFonts w:cs="Arial"/>
                <w:color w:val="0D0D0D" w:themeColor="text1" w:themeTint="F2"/>
                <w:sz w:val="20"/>
                <w:szCs w:val="20"/>
              </w:rPr>
              <w:t>7</w:t>
            </w:r>
          </w:p>
        </w:tc>
        <w:tc>
          <w:tcPr>
            <w:tcW w:w="566" w:type="pct"/>
            <w:shd w:val="clear" w:color="auto" w:fill="FFFFFF" w:themeFill="background1"/>
            <w:noWrap/>
          </w:tcPr>
          <w:p w:rsidR="00643993" w:rsidRPr="00F10CD6"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2,0</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2,3</w:t>
            </w:r>
          </w:p>
        </w:tc>
        <w:tc>
          <w:tcPr>
            <w:tcW w:w="501" w:type="pct"/>
            <w:shd w:val="clear" w:color="auto" w:fill="FFFFFF" w:themeFill="background1"/>
            <w:noWrap/>
          </w:tcPr>
          <w:p w:rsidR="00643993" w:rsidRPr="00F10CD6"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2,5</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2,2</w:t>
            </w:r>
          </w:p>
        </w:tc>
      </w:tr>
      <w:tr w:rsidR="00643993" w:rsidRPr="00F10CD6"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F10CD6" w:rsidRDefault="00643993" w:rsidP="00C055B3">
            <w:pPr>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6. Obresti</w:t>
            </w:r>
          </w:p>
        </w:tc>
        <w:tc>
          <w:tcPr>
            <w:tcW w:w="59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EDP D.41</w:t>
            </w:r>
          </w:p>
        </w:tc>
        <w:tc>
          <w:tcPr>
            <w:cnfStyle w:val="000010000000" w:firstRow="0" w:lastRow="0" w:firstColumn="0" w:lastColumn="0" w:oddVBand="1" w:evenVBand="0" w:oddHBand="0" w:evenHBand="0" w:firstRowFirstColumn="0" w:firstRowLastColumn="0" w:lastRowFirstColumn="0" w:lastRowLastColumn="0"/>
            <w:tcW w:w="501" w:type="pct"/>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2,0</w:t>
            </w:r>
          </w:p>
        </w:tc>
        <w:tc>
          <w:tcPr>
            <w:tcW w:w="566" w:type="pct"/>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1,6</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1,5</w:t>
            </w:r>
          </w:p>
        </w:tc>
        <w:tc>
          <w:tcPr>
            <w:tcW w:w="501" w:type="pct"/>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1,3</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1,2</w:t>
            </w:r>
          </w:p>
        </w:tc>
      </w:tr>
      <w:tr w:rsidR="00643993" w:rsidRPr="00F10CD6"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7. Prilagoditve (SFA)</w:t>
            </w:r>
          </w:p>
        </w:tc>
        <w:tc>
          <w:tcPr>
            <w:tcW w:w="596" w:type="pct"/>
            <w:shd w:val="clear" w:color="auto" w:fill="FFFFFF" w:themeFill="background1"/>
            <w:noWrap/>
          </w:tcPr>
          <w:p w:rsidR="00643993" w:rsidRPr="00F10CD6"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F10CD6" w:rsidRDefault="00063ACD" w:rsidP="00C055B3">
            <w:pPr>
              <w:jc w:val="center"/>
              <w:rPr>
                <w:rFonts w:cs="Arial"/>
                <w:color w:val="0D0D0D" w:themeColor="text1" w:themeTint="F2"/>
                <w:sz w:val="20"/>
                <w:szCs w:val="20"/>
              </w:rPr>
            </w:pPr>
            <w:r w:rsidRPr="00F10CD6">
              <w:rPr>
                <w:rFonts w:cs="Arial"/>
                <w:color w:val="0D0D0D" w:themeColor="text1" w:themeTint="F2"/>
                <w:sz w:val="20"/>
                <w:szCs w:val="20"/>
              </w:rPr>
              <w:t>1,5</w:t>
            </w:r>
          </w:p>
        </w:tc>
        <w:tc>
          <w:tcPr>
            <w:tcW w:w="566" w:type="pct"/>
            <w:shd w:val="clear" w:color="auto" w:fill="FFFFFF" w:themeFill="background1"/>
            <w:noWrap/>
          </w:tcPr>
          <w:p w:rsidR="00643993" w:rsidRPr="00F10CD6" w:rsidRDefault="00406EA8"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w:t>
            </w:r>
            <w:r w:rsidR="00643993" w:rsidRPr="00F10CD6">
              <w:rPr>
                <w:rFonts w:cs="Arial"/>
                <w:color w:val="0D0D0D" w:themeColor="text1" w:themeTint="F2"/>
                <w:sz w:val="20"/>
                <w:szCs w:val="20"/>
              </w:rPr>
              <w:t>0,3</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0,3</w:t>
            </w:r>
          </w:p>
        </w:tc>
        <w:tc>
          <w:tcPr>
            <w:tcW w:w="501" w:type="pct"/>
            <w:shd w:val="clear" w:color="auto" w:fill="FFFFFF" w:themeFill="background1"/>
            <w:noWrap/>
          </w:tcPr>
          <w:p w:rsidR="00643993" w:rsidRPr="00F10CD6"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1,0</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0,6</w:t>
            </w:r>
          </w:p>
        </w:tc>
      </w:tr>
      <w:tr w:rsidR="00643993" w:rsidRPr="00F10CD6"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F10CD6" w:rsidRDefault="00643993" w:rsidP="00C055B3">
            <w:pPr>
              <w:jc w:val="left"/>
              <w:rPr>
                <w:rFonts w:eastAsia="Arial Unicode MS" w:cs="Arial"/>
                <w:bCs/>
                <w:color w:val="0D0D0D" w:themeColor="text1" w:themeTint="F2"/>
                <w:sz w:val="20"/>
                <w:szCs w:val="20"/>
              </w:rPr>
            </w:pPr>
            <w:r w:rsidRPr="00F10CD6">
              <w:rPr>
                <w:rFonts w:eastAsia="Arial Unicode MS" w:cs="Arial"/>
                <w:bCs/>
                <w:color w:val="0D0D0D" w:themeColor="text1" w:themeTint="F2"/>
                <w:sz w:val="20"/>
                <w:szCs w:val="20"/>
              </w:rPr>
              <w:t>Implicitna obrestna mera</w:t>
            </w:r>
          </w:p>
        </w:tc>
        <w:tc>
          <w:tcPr>
            <w:tcW w:w="596" w:type="pct"/>
            <w:noWrap/>
          </w:tcPr>
          <w:p w:rsidR="00643993" w:rsidRPr="00F10CD6"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2,9</w:t>
            </w:r>
          </w:p>
        </w:tc>
        <w:tc>
          <w:tcPr>
            <w:tcW w:w="566" w:type="pct"/>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2,5</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2,4</w:t>
            </w:r>
          </w:p>
        </w:tc>
        <w:tc>
          <w:tcPr>
            <w:tcW w:w="501" w:type="pct"/>
            <w:noWrap/>
          </w:tcPr>
          <w:p w:rsidR="00643993" w:rsidRPr="00F10CD6"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2,3</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F10CD6" w:rsidRDefault="00643993" w:rsidP="00C055B3">
            <w:pPr>
              <w:jc w:val="center"/>
              <w:rPr>
                <w:rFonts w:cs="Arial"/>
                <w:color w:val="0D0D0D" w:themeColor="text1" w:themeTint="F2"/>
                <w:sz w:val="20"/>
                <w:szCs w:val="20"/>
              </w:rPr>
            </w:pPr>
            <w:r w:rsidRPr="00F10CD6">
              <w:rPr>
                <w:rFonts w:cs="Arial"/>
                <w:color w:val="0D0D0D" w:themeColor="text1" w:themeTint="F2"/>
                <w:sz w:val="20"/>
                <w:szCs w:val="20"/>
              </w:rPr>
              <w:t>2,1</w:t>
            </w:r>
          </w:p>
        </w:tc>
      </w:tr>
    </w:tbl>
    <w:p w:rsidR="00A955DD" w:rsidRPr="00F10CD6" w:rsidRDefault="00A955DD" w:rsidP="00A676D9">
      <w:pPr>
        <w:spacing w:after="0"/>
        <w:jc w:val="center"/>
        <w:rPr>
          <w:rFonts w:eastAsia="Batang" w:cs="Arial"/>
          <w:color w:val="0D0D0D" w:themeColor="text1" w:themeTint="F2"/>
          <w:sz w:val="20"/>
        </w:rPr>
      </w:pPr>
      <w:r w:rsidRPr="00F10CD6">
        <w:rPr>
          <w:rFonts w:eastAsia="Batang" w:cs="Arial"/>
          <w:color w:val="0D0D0D" w:themeColor="text1" w:themeTint="F2"/>
          <w:sz w:val="20"/>
        </w:rPr>
        <w:t>Vir: Ministrstvo za finance, Direktorat za zakladništvo</w:t>
      </w:r>
    </w:p>
    <w:p w:rsidR="009B5300" w:rsidRDefault="009B5300" w:rsidP="00300564">
      <w:pPr>
        <w:pStyle w:val="besedilo"/>
        <w:rPr>
          <w:rFonts w:eastAsia="Batang"/>
          <w:color w:val="0D0D0D" w:themeColor="text1" w:themeTint="F2"/>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Države članice, ki so izstopile iz postopka presežnega javnofinančnega primanjkljaja, morajo izpolnjevati pravilo glede zmanjševanja presežnega dolga, tj. dolga nad 60 % BDP. Predpisana je potrebna hitrost zmanjševanja dolga. Pogoja "zadostna mera zmanjševanja" in "zadovoljiva hitrost" sta opredeljena v Uredbi 1467/97 in izpolnjena, če se presežni dolg, upoštevajoč tri leta, ki sledijo referenčni vrednosti, v povprečju znižuje s hitrostjo 1/20 letno, t. i. razvoj dolga s pogledom nazaj (angl. backward-looking measure). Regulativa nato tudi natančneje specificira, kako se bo presojala zadovoljiva hitrost zmanjševanja dolga v prehodnem obdobju, upoštevaje korekcijo cikla (angl. Cyclically adjusted debt/GDP ratio) in razvoj dolga s pogledom naprej (angl. forward-looking measure), ko se v izračun vzamejo podatki Evropske komisije brez spremembe politik.</w:t>
      </w:r>
    </w:p>
    <w:p w:rsidR="00300564" w:rsidRPr="00F10CD6" w:rsidRDefault="00300564" w:rsidP="00300564">
      <w:pPr>
        <w:pStyle w:val="besedilo"/>
        <w:rPr>
          <w:rFonts w:eastAsia="Batang"/>
          <w:color w:val="0D0D0D" w:themeColor="text1" w:themeTint="F2"/>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Z doseženim primanjkljajem v višini 2,9 % BDP v letu 2015 je Republika Slovenija izstopila iz postopka presežnega primanjkljaja, zato je od vključno leta 2016 naprej obvezana, upoštevaje doseženi najvišji nivo dolga v višini 82,6 % BDP v letu 2015, zniževati presežni dolg (22,6 % BDP) v skladu s pravili EU. Obdobje 2016–2018 velja za prehodno, z določenimi specifikami regulative glede hitrosti zniževanja dolga. Republika Slovenija izpolnjuje pravilo o dolgu od leta 2016 naprej, saj je bilo tedaj načrtovano razmerje dolg sektorja država/BDP za leto 2018 nižje od izračunanega potrebnega razmerja po »forward-looking« principu, kjer je potrebno za izračun uporabiti podatke Evropske komisije, tj. brez spremembe politik (podatki podatkovne baze AMECO). Kot prikazuje spodnja slika Republika Slovenija od leta 2017 izpolnjuje pravilo o dolgu z vidika »backward-looking« principa, saj je razmerje dolg sektorja država/BDP (svetlo modra barva) nižje od zahtevanega (črna krivulja). Zahtevano ciklično prilagojeno razmerje je v prehodnem obdobju (2016-2018) od leta 2017 (rdeča barva) višje od realiziranega. Poleg tega je ciklično prilagojeno razmerje med dolgom sektorja država/BDP nižje od razmerja dolg sektor država/BDP z vidika »backward-looking« principa kar pomeni skladnost tudi po tem kriteriju. Republika Slovenija je tako prehodno obdobje 2016–2018 uspešno zaključila v okviru posebnih zahtev Pravila o dolgu.</w:t>
      </w:r>
    </w:p>
    <w:p w:rsidR="00063ACD" w:rsidRPr="00F10CD6" w:rsidRDefault="00063ACD" w:rsidP="00300564">
      <w:pPr>
        <w:pStyle w:val="besedilo"/>
        <w:rPr>
          <w:rFonts w:eastAsia="Batang"/>
          <w:color w:val="0D0D0D" w:themeColor="text1" w:themeTint="F2"/>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Republika Slovenija tudi po prehodnem obdobju, ko dolg sektor država v % BDP znaša nad 60 %, načrtuje zniževanje svoje zadolženosti skladno s Pravilom o dolgu, kar prikazuje spodnja slika.</w:t>
      </w:r>
    </w:p>
    <w:p w:rsidR="004A6FD3" w:rsidRPr="00F10CD6" w:rsidRDefault="004A6FD3" w:rsidP="004A6FD3">
      <w:pPr>
        <w:spacing w:after="0" w:line="276" w:lineRule="auto"/>
        <w:rPr>
          <w:rFonts w:cs="Arial"/>
          <w:color w:val="0D0D0D" w:themeColor="text1" w:themeTint="F2"/>
          <w:lang w:eastAsia="sl-SI"/>
        </w:rPr>
      </w:pPr>
    </w:p>
    <w:p w:rsidR="009B5300" w:rsidRDefault="009B5300" w:rsidP="004A6FD3">
      <w:pPr>
        <w:spacing w:after="0" w:line="276" w:lineRule="auto"/>
        <w:jc w:val="center"/>
        <w:rPr>
          <w:rFonts w:cs="Arial"/>
          <w:color w:val="0D0D0D" w:themeColor="text1" w:themeTint="F2"/>
          <w:lang w:eastAsia="sl-SI"/>
        </w:rPr>
      </w:pPr>
    </w:p>
    <w:p w:rsidR="00A955DD" w:rsidRPr="00F10CD6" w:rsidRDefault="004A6FD3" w:rsidP="004A6FD3">
      <w:pPr>
        <w:spacing w:after="0" w:line="276" w:lineRule="auto"/>
        <w:jc w:val="center"/>
        <w:rPr>
          <w:rFonts w:cs="Arial"/>
          <w:color w:val="0D0D0D" w:themeColor="text1" w:themeTint="F2"/>
          <w:sz w:val="20"/>
          <w:szCs w:val="24"/>
          <w:highlight w:val="yellow"/>
          <w:lang w:eastAsia="sl-SI"/>
        </w:rPr>
      </w:pPr>
      <w:r w:rsidRPr="00F10CD6">
        <w:rPr>
          <w:rFonts w:cs="Arial"/>
          <w:color w:val="0D0D0D" w:themeColor="text1" w:themeTint="F2"/>
          <w:lang w:eastAsia="sl-SI"/>
        </w:rPr>
        <w:lastRenderedPageBreak/>
        <w:t>Slika</w:t>
      </w:r>
      <w:r w:rsidR="00A955DD" w:rsidRPr="00F10CD6">
        <w:rPr>
          <w:rFonts w:cs="Arial"/>
          <w:color w:val="0D0D0D" w:themeColor="text1" w:themeTint="F2"/>
          <w:lang w:eastAsia="sl-SI"/>
        </w:rPr>
        <w:t xml:space="preserve"> </w:t>
      </w:r>
      <w:r w:rsidRPr="00F10CD6">
        <w:rPr>
          <w:rFonts w:cs="Arial"/>
          <w:color w:val="0D0D0D" w:themeColor="text1" w:themeTint="F2"/>
          <w:lang w:eastAsia="sl-SI"/>
        </w:rPr>
        <w:t>22:</w:t>
      </w:r>
      <w:r w:rsidR="00A955DD" w:rsidRPr="00F10CD6">
        <w:rPr>
          <w:rFonts w:cs="Arial"/>
          <w:color w:val="0D0D0D" w:themeColor="text1" w:themeTint="F2"/>
          <w:lang w:eastAsia="sl-SI"/>
        </w:rPr>
        <w:t xml:space="preserve"> Razvoj dolga sektorja država z vidika Pravila o dolgu Pakta stabilnosti in rasti</w:t>
      </w:r>
    </w:p>
    <w:p w:rsidR="00A955DD" w:rsidRPr="00F10CD6" w:rsidRDefault="00A955DD" w:rsidP="00367070">
      <w:pPr>
        <w:spacing w:after="0"/>
        <w:jc w:val="center"/>
        <w:rPr>
          <w:rFonts w:cs="Arial"/>
          <w:color w:val="0D0D0D" w:themeColor="text1" w:themeTint="F2"/>
          <w:lang w:eastAsia="sl-SI"/>
        </w:rPr>
      </w:pPr>
      <w:r w:rsidRPr="00F10CD6">
        <w:rPr>
          <w:noProof/>
          <w:color w:val="0D0D0D" w:themeColor="text1" w:themeTint="F2"/>
          <w:lang w:val="en-US"/>
        </w:rPr>
        <w:drawing>
          <wp:inline distT="0" distB="0" distL="0" distR="0" wp14:anchorId="66AAEA60" wp14:editId="45EE4FF3">
            <wp:extent cx="5162550" cy="322897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63ACD" w:rsidRPr="00F10CD6" w:rsidRDefault="00A955DD" w:rsidP="009B5300">
      <w:pPr>
        <w:spacing w:after="0" w:line="276" w:lineRule="auto"/>
        <w:jc w:val="center"/>
        <w:rPr>
          <w:rFonts w:cs="Arial"/>
          <w:color w:val="0D0D0D" w:themeColor="text1" w:themeTint="F2"/>
          <w:sz w:val="20"/>
          <w:lang w:eastAsia="sl-SI"/>
        </w:rPr>
      </w:pPr>
      <w:r w:rsidRPr="00F10CD6">
        <w:rPr>
          <w:rFonts w:cs="Arial"/>
          <w:color w:val="0D0D0D" w:themeColor="text1" w:themeTint="F2"/>
          <w:sz w:val="20"/>
          <w:lang w:eastAsia="sl-SI"/>
        </w:rPr>
        <w:t>Vir: Ministrstvo za fina</w:t>
      </w:r>
      <w:r w:rsidR="004A6FD3" w:rsidRPr="00F10CD6">
        <w:rPr>
          <w:rFonts w:cs="Arial"/>
          <w:color w:val="0D0D0D" w:themeColor="text1" w:themeTint="F2"/>
          <w:sz w:val="20"/>
          <w:lang w:eastAsia="sl-SI"/>
        </w:rPr>
        <w:t>nce, Direktorat za zakladništvo</w:t>
      </w:r>
    </w:p>
    <w:p w:rsidR="009B5300" w:rsidRDefault="009B5300" w:rsidP="00300564">
      <w:pPr>
        <w:pStyle w:val="besedilo"/>
        <w:rPr>
          <w:rFonts w:eastAsia="Batang"/>
          <w:color w:val="0D0D0D" w:themeColor="text1" w:themeTint="F2"/>
        </w:rPr>
      </w:pPr>
    </w:p>
    <w:p w:rsidR="00063ACD" w:rsidRPr="00F10CD6" w:rsidRDefault="00063ACD" w:rsidP="00300564">
      <w:pPr>
        <w:pStyle w:val="besedilo"/>
        <w:rPr>
          <w:rFonts w:eastAsia="Batang"/>
          <w:color w:val="0D0D0D" w:themeColor="text1" w:themeTint="F2"/>
        </w:rPr>
      </w:pPr>
      <w:r w:rsidRPr="00F10CD6">
        <w:rPr>
          <w:rFonts w:eastAsia="Batang"/>
          <w:color w:val="0D0D0D" w:themeColor="text1" w:themeTint="F2"/>
        </w:rPr>
        <w:t>Spodnja slika prikazuje, da je Slovenija ena izmed tistih držav evrskega območja, ki svoj dolg sektor država v razmerju do BDP znižuje kot druga najhitreje (takoj za Irsko), in sicer z 82,6 % BDP v letu 2015 na ocenjenih 70,2 % BDP v letu 2018, če za leto 2018 vzamemo podatke Evropske komisije iz podatkovne baze AMECO.</w:t>
      </w:r>
    </w:p>
    <w:p w:rsidR="00AB58C8" w:rsidRPr="00F10CD6" w:rsidRDefault="00AB58C8" w:rsidP="00415789">
      <w:pPr>
        <w:pStyle w:val="besedilo"/>
        <w:rPr>
          <w:color w:val="0D0D0D" w:themeColor="text1" w:themeTint="F2"/>
          <w:lang w:eastAsia="sl-SI"/>
        </w:rPr>
      </w:pPr>
    </w:p>
    <w:p w:rsidR="00231E7D" w:rsidRPr="00F10CD6" w:rsidRDefault="00231E7D" w:rsidP="00AB58C8">
      <w:pPr>
        <w:pStyle w:val="Caption"/>
        <w:keepNext/>
        <w:spacing w:before="0" w:after="0"/>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Slika</w:t>
      </w:r>
      <w:r w:rsidR="00AC0495" w:rsidRPr="00F10CD6">
        <w:rPr>
          <w:rFonts w:ascii="Arial" w:hAnsi="Arial" w:cs="Arial"/>
          <w:color w:val="0D0D0D" w:themeColor="text1" w:themeTint="F2"/>
          <w:szCs w:val="22"/>
          <w:lang w:val="sl-SI"/>
        </w:rPr>
        <w:t xml:space="preserve"> 23</w:t>
      </w:r>
      <w:r w:rsidRPr="00F10CD6">
        <w:rPr>
          <w:rFonts w:ascii="Arial" w:hAnsi="Arial" w:cs="Arial"/>
          <w:color w:val="0D0D0D" w:themeColor="text1" w:themeTint="F2"/>
          <w:szCs w:val="22"/>
          <w:lang w:val="sl-SI"/>
        </w:rPr>
        <w:t>: Dinamika sprememb dolga sektor država v evr</w:t>
      </w:r>
      <w:r w:rsidR="008A72A7" w:rsidRPr="00F10CD6">
        <w:rPr>
          <w:rFonts w:ascii="Arial" w:hAnsi="Arial" w:cs="Arial"/>
          <w:color w:val="0D0D0D" w:themeColor="text1" w:themeTint="F2"/>
          <w:szCs w:val="22"/>
          <w:lang w:val="sl-SI"/>
        </w:rPr>
        <w:t>skem</w:t>
      </w:r>
      <w:r w:rsidRPr="00F10CD6">
        <w:rPr>
          <w:rFonts w:ascii="Arial" w:hAnsi="Arial" w:cs="Arial"/>
          <w:color w:val="0D0D0D" w:themeColor="text1" w:themeTint="F2"/>
          <w:szCs w:val="22"/>
          <w:lang w:val="sl-SI"/>
        </w:rPr>
        <w:t xml:space="preserve"> območju v obdobju 2015–E2018 </w:t>
      </w:r>
    </w:p>
    <w:p w:rsidR="00231E7D" w:rsidRPr="00F10CD6" w:rsidRDefault="00231E7D" w:rsidP="00AB58C8">
      <w:pPr>
        <w:pStyle w:val="Caption"/>
        <w:keepNext/>
        <w:spacing w:before="0" w:after="0"/>
        <w:jc w:val="center"/>
        <w:rPr>
          <w:rFonts w:ascii="Arial" w:hAnsi="Arial" w:cs="Arial"/>
          <w:i/>
          <w:color w:val="0D0D0D" w:themeColor="text1" w:themeTint="F2"/>
          <w:szCs w:val="22"/>
          <w:lang w:val="sl-SI"/>
        </w:rPr>
      </w:pPr>
      <w:r w:rsidRPr="00F10CD6">
        <w:rPr>
          <w:rFonts w:ascii="Arial" w:hAnsi="Arial" w:cs="Arial"/>
          <w:i/>
          <w:noProof/>
          <w:color w:val="0D0D0D" w:themeColor="text1" w:themeTint="F2"/>
          <w:szCs w:val="22"/>
          <w:lang w:val="en-US" w:eastAsia="en-US"/>
        </w:rPr>
        <w:drawing>
          <wp:inline distT="0" distB="0" distL="0" distR="0" wp14:anchorId="627DE668" wp14:editId="12FD086A">
            <wp:extent cx="5676181" cy="3019245"/>
            <wp:effectExtent l="0" t="0" r="127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31E7D" w:rsidRPr="00F10CD6" w:rsidRDefault="00231E7D" w:rsidP="00867F69">
      <w:pPr>
        <w:pStyle w:val="Caption"/>
        <w:keepNext/>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 xml:space="preserve">Vir: Eurostat za 2015, podatkovna baza </w:t>
      </w:r>
      <w:r w:rsidR="008A72A7" w:rsidRPr="00F10CD6">
        <w:rPr>
          <w:rFonts w:ascii="Arial" w:hAnsi="Arial" w:cs="Arial"/>
          <w:color w:val="0D0D0D" w:themeColor="text1" w:themeTint="F2"/>
          <w:sz w:val="20"/>
          <w:szCs w:val="22"/>
          <w:lang w:val="sl-SI"/>
        </w:rPr>
        <w:t xml:space="preserve">EK AMECO </w:t>
      </w:r>
      <w:r w:rsidRPr="00F10CD6">
        <w:rPr>
          <w:rFonts w:ascii="Arial" w:hAnsi="Arial" w:cs="Arial"/>
          <w:color w:val="0D0D0D" w:themeColor="text1" w:themeTint="F2"/>
          <w:sz w:val="20"/>
          <w:szCs w:val="22"/>
          <w:lang w:val="sl-SI"/>
        </w:rPr>
        <w:t>za 2018, 27.</w:t>
      </w:r>
      <w:r w:rsidR="008A72A7" w:rsidRPr="00F10CD6">
        <w:rPr>
          <w:rFonts w:ascii="Arial" w:hAnsi="Arial" w:cs="Arial"/>
          <w:color w:val="0D0D0D" w:themeColor="text1" w:themeTint="F2"/>
          <w:sz w:val="20"/>
          <w:szCs w:val="22"/>
          <w:lang w:val="sl-SI"/>
        </w:rPr>
        <w:t> </w:t>
      </w:r>
      <w:r w:rsidRPr="00F10CD6">
        <w:rPr>
          <w:rFonts w:ascii="Arial" w:hAnsi="Arial" w:cs="Arial"/>
          <w:color w:val="0D0D0D" w:themeColor="text1" w:themeTint="F2"/>
          <w:sz w:val="20"/>
          <w:szCs w:val="22"/>
          <w:lang w:val="sl-SI"/>
        </w:rPr>
        <w:t>3.</w:t>
      </w:r>
      <w:r w:rsidR="008A72A7" w:rsidRPr="00F10CD6">
        <w:rPr>
          <w:rFonts w:ascii="Arial" w:hAnsi="Arial" w:cs="Arial"/>
          <w:color w:val="0D0D0D" w:themeColor="text1" w:themeTint="F2"/>
          <w:sz w:val="20"/>
          <w:szCs w:val="22"/>
          <w:lang w:val="sl-SI"/>
        </w:rPr>
        <w:t> </w:t>
      </w:r>
      <w:r w:rsidRPr="00F10CD6">
        <w:rPr>
          <w:rFonts w:ascii="Arial" w:hAnsi="Arial" w:cs="Arial"/>
          <w:color w:val="0D0D0D" w:themeColor="text1" w:themeTint="F2"/>
          <w:sz w:val="20"/>
          <w:szCs w:val="22"/>
          <w:lang w:val="sl-SI"/>
        </w:rPr>
        <w:t>2019</w:t>
      </w:r>
    </w:p>
    <w:p w:rsidR="00305638" w:rsidRDefault="00305638" w:rsidP="00305638">
      <w:pPr>
        <w:spacing w:after="0"/>
        <w:rPr>
          <w:rFonts w:cs="Arial"/>
          <w:color w:val="0D0D0D" w:themeColor="text1" w:themeTint="F2"/>
        </w:rPr>
      </w:pPr>
    </w:p>
    <w:p w:rsidR="009B5300" w:rsidRDefault="009B5300" w:rsidP="00305638">
      <w:pPr>
        <w:spacing w:after="0"/>
        <w:rPr>
          <w:rFonts w:cs="Arial"/>
          <w:color w:val="0D0D0D" w:themeColor="text1" w:themeTint="F2"/>
        </w:rPr>
      </w:pPr>
    </w:p>
    <w:p w:rsidR="009B5300" w:rsidRPr="00F10CD6" w:rsidRDefault="009B5300" w:rsidP="00305638">
      <w:pPr>
        <w:spacing w:after="0"/>
        <w:rPr>
          <w:rFonts w:cs="Arial"/>
          <w:color w:val="0D0D0D" w:themeColor="text1" w:themeTint="F2"/>
        </w:rPr>
      </w:pPr>
    </w:p>
    <w:p w:rsidR="00305638" w:rsidRPr="00F10CD6" w:rsidRDefault="00305638" w:rsidP="009B5300">
      <w:pPr>
        <w:pStyle w:val="ListParagraph"/>
        <w:numPr>
          <w:ilvl w:val="0"/>
          <w:numId w:val="29"/>
        </w:numPr>
        <w:spacing w:after="0" w:line="276" w:lineRule="auto"/>
        <w:rPr>
          <w:rFonts w:cs="Arial"/>
          <w:color w:val="0D0D0D" w:themeColor="text1" w:themeTint="F2"/>
          <w:u w:val="single"/>
        </w:rPr>
      </w:pPr>
      <w:r w:rsidRPr="00F10CD6">
        <w:rPr>
          <w:rFonts w:cs="Arial"/>
          <w:color w:val="0D0D0D" w:themeColor="text1" w:themeTint="F2"/>
          <w:u w:val="single"/>
        </w:rPr>
        <w:lastRenderedPageBreak/>
        <w:t>Poroštva</w:t>
      </w:r>
    </w:p>
    <w:p w:rsidR="00516B56" w:rsidRPr="00F10CD6" w:rsidRDefault="00516B56" w:rsidP="008D061D">
      <w:pPr>
        <w:pStyle w:val="besedilo"/>
        <w:rPr>
          <w:color w:val="0D0D0D" w:themeColor="text1" w:themeTint="F2"/>
        </w:rPr>
      </w:pPr>
    </w:p>
    <w:p w:rsidR="00305638" w:rsidRDefault="00305638" w:rsidP="008D061D">
      <w:pPr>
        <w:pStyle w:val="besedilo"/>
        <w:rPr>
          <w:color w:val="0D0D0D" w:themeColor="text1" w:themeTint="F2"/>
        </w:rPr>
      </w:pPr>
      <w:r w:rsidRPr="00F10CD6">
        <w:rPr>
          <w:color w:val="0D0D0D" w:themeColor="text1" w:themeTint="F2"/>
        </w:rPr>
        <w:t>Dajanje poroštev Republike Slovenije je v skladu z ustavo možno le na podlagi zakona. V sistemu izdajanja poroštev Republike Slovenije sta se razvila dva tipa poroštvenih zakonov. Splošni poroštveni zakon ureja dajanje poroštev širšemu krogu prejemnikov</w:t>
      </w:r>
      <w:r w:rsidR="00AC0495" w:rsidRPr="00F10CD6">
        <w:rPr>
          <w:color w:val="0D0D0D" w:themeColor="text1" w:themeTint="F2"/>
        </w:rPr>
        <w:t xml:space="preserve"> (</w:t>
      </w:r>
      <w:r w:rsidRPr="00F10CD6">
        <w:rPr>
          <w:color w:val="0D0D0D" w:themeColor="text1" w:themeTint="F2"/>
        </w:rPr>
        <w:t>na primer Zakon o pomoči za reševanje in prestrukturiranje gospodarskih družb in zadrug v težavah</w:t>
      </w:r>
      <w:r w:rsidR="00AC0495" w:rsidRPr="00F10CD6">
        <w:rPr>
          <w:color w:val="0D0D0D" w:themeColor="text1" w:themeTint="F2"/>
        </w:rPr>
        <w:t>)</w:t>
      </w:r>
      <w:r w:rsidRPr="00F10CD6">
        <w:rPr>
          <w:color w:val="0D0D0D" w:themeColor="text1" w:themeTint="F2"/>
        </w:rPr>
        <w:t>. Poseben poroštveni zakon je namenjen natančno določenemu prejemniku</w:t>
      </w:r>
      <w:r w:rsidR="00AC0495" w:rsidRPr="00F10CD6">
        <w:rPr>
          <w:color w:val="0D0D0D" w:themeColor="text1" w:themeTint="F2"/>
        </w:rPr>
        <w:t xml:space="preserve"> (</w:t>
      </w:r>
      <w:r w:rsidRPr="00F10CD6">
        <w:rPr>
          <w:color w:val="0D0D0D" w:themeColor="text1" w:themeTint="F2"/>
        </w:rPr>
        <w:t>na primer poroštveni zakoni za obveznosti Družbe za avtoceste v Republiki Sloveniji, d. d., poroštveni zakon za obveznosti Slovenskega državnega holdinga, d. d.</w:t>
      </w:r>
      <w:r w:rsidR="008A72A7" w:rsidRPr="00F10CD6">
        <w:rPr>
          <w:color w:val="0D0D0D" w:themeColor="text1" w:themeTint="F2"/>
        </w:rPr>
        <w:t>,</w:t>
      </w:r>
      <w:r w:rsidRPr="00F10CD6">
        <w:rPr>
          <w:color w:val="0D0D0D" w:themeColor="text1" w:themeTint="F2"/>
        </w:rPr>
        <w:t xml:space="preserve"> idr</w:t>
      </w:r>
      <w:r w:rsidR="007E711C" w:rsidRPr="00F10CD6">
        <w:rPr>
          <w:color w:val="0D0D0D" w:themeColor="text1" w:themeTint="F2"/>
        </w:rPr>
        <w:t>.</w:t>
      </w:r>
      <w:r w:rsidR="00AC0495" w:rsidRPr="00F10CD6">
        <w:rPr>
          <w:color w:val="0D0D0D" w:themeColor="text1" w:themeTint="F2"/>
        </w:rPr>
        <w:t>)</w:t>
      </w:r>
      <w:r w:rsidR="008A72A7" w:rsidRPr="00F10CD6">
        <w:rPr>
          <w:color w:val="0D0D0D" w:themeColor="text1" w:themeTint="F2"/>
        </w:rPr>
        <w:t>.</w:t>
      </w:r>
      <w:r w:rsidR="00AC0495" w:rsidRPr="00F10CD6">
        <w:rPr>
          <w:color w:val="0D0D0D" w:themeColor="text1" w:themeTint="F2"/>
        </w:rPr>
        <w:t xml:space="preserve"> </w:t>
      </w:r>
      <w:r w:rsidRPr="00F10CD6">
        <w:rPr>
          <w:color w:val="0D0D0D" w:themeColor="text1" w:themeTint="F2"/>
        </w:rPr>
        <w:t xml:space="preserve">Republika Slovenija lahko izda državno poroštvo osebam iz javnega ali zasebnega sektorja. Pri zasebnem sektorju so bila poroštva v največji meri dana podjetjem v težavah. Za ta poroštva je bila značilna tudi relativno visoka stopnja unovčenja, medtem ko pri poroštvih, danih osebam javnega sektorja, do unovčitev ne prihaja. Izdajanje državnih poroštev Republike Slovenije je urejeno z določbami v sistemskem zakonu, letno kvoto za izdajo državnih poroštev pa določa vsakokratni zakon, ki ureja izvrševanje proračuna, s tem da lahko država izda poroštva tudi izven te kvote, </w:t>
      </w:r>
      <w:r w:rsidR="008D061D" w:rsidRPr="00F10CD6">
        <w:rPr>
          <w:color w:val="0D0D0D" w:themeColor="text1" w:themeTint="F2"/>
        </w:rPr>
        <w:t xml:space="preserve">če posamezni zakon to dopušča. </w:t>
      </w:r>
      <w:r w:rsidRPr="00F10CD6">
        <w:rPr>
          <w:color w:val="0D0D0D" w:themeColor="text1" w:themeTint="F2"/>
        </w:rPr>
        <w:t>Stanje poroštev Republike Slovenije na dan 31. 12. 2018 znaša 5.831 mio EUR, od tega stanje državnih poroštev za obveznosti finančnega sektorja (S 12) 669 mio EUR.</w:t>
      </w:r>
    </w:p>
    <w:p w:rsidR="009B5300" w:rsidRPr="00F10CD6" w:rsidRDefault="009B5300" w:rsidP="008D061D">
      <w:pPr>
        <w:pStyle w:val="besedilo"/>
        <w:rPr>
          <w:color w:val="0D0D0D" w:themeColor="text1" w:themeTint="F2"/>
        </w:rPr>
      </w:pPr>
    </w:p>
    <w:p w:rsidR="00305638" w:rsidRPr="00F10CD6" w:rsidRDefault="00305638" w:rsidP="009B5300">
      <w:pPr>
        <w:pStyle w:val="Caption"/>
        <w:keepNext/>
        <w:spacing w:before="0"/>
        <w:jc w:val="center"/>
        <w:rPr>
          <w:rFonts w:ascii="Arial" w:hAnsi="Arial" w:cs="Arial"/>
          <w:color w:val="0D0D0D" w:themeColor="text1" w:themeTint="F2"/>
          <w:szCs w:val="22"/>
          <w:lang w:val="sl-SI"/>
        </w:rPr>
      </w:pPr>
      <w:r w:rsidRPr="00F10CD6">
        <w:rPr>
          <w:rFonts w:ascii="Arial" w:hAnsi="Arial" w:cs="Arial"/>
          <w:color w:val="0D0D0D" w:themeColor="text1" w:themeTint="F2"/>
          <w:szCs w:val="22"/>
          <w:lang w:val="sl-SI"/>
        </w:rPr>
        <w:t xml:space="preserve">Slika </w:t>
      </w:r>
      <w:r w:rsidR="00AC0495" w:rsidRPr="00F10CD6">
        <w:rPr>
          <w:rFonts w:ascii="Arial" w:hAnsi="Arial" w:cs="Arial"/>
          <w:color w:val="0D0D0D" w:themeColor="text1" w:themeTint="F2"/>
          <w:szCs w:val="22"/>
          <w:lang w:val="sl-SI"/>
        </w:rPr>
        <w:t>24</w:t>
      </w:r>
      <w:r w:rsidRPr="00F10CD6">
        <w:rPr>
          <w:rFonts w:ascii="Arial" w:hAnsi="Arial" w:cs="Arial"/>
          <w:color w:val="0D0D0D" w:themeColor="text1" w:themeTint="F2"/>
          <w:szCs w:val="22"/>
          <w:lang w:val="sl-SI"/>
        </w:rPr>
        <w:t>: Stanje poroštev Republike Slovenije 2010</w:t>
      </w:r>
      <w:r w:rsidR="00A442F4" w:rsidRPr="00F10CD6">
        <w:rPr>
          <w:rFonts w:ascii="Arial" w:hAnsi="Arial" w:cs="Arial"/>
          <w:color w:val="0D0D0D" w:themeColor="text1" w:themeTint="F2"/>
          <w:szCs w:val="22"/>
          <w:lang w:val="sl-SI"/>
        </w:rPr>
        <w:t>–</w:t>
      </w:r>
      <w:r w:rsidRPr="00F10CD6">
        <w:rPr>
          <w:rFonts w:ascii="Arial" w:hAnsi="Arial" w:cs="Arial"/>
          <w:color w:val="0D0D0D" w:themeColor="text1" w:themeTint="F2"/>
          <w:szCs w:val="22"/>
          <w:lang w:val="sl-SI"/>
        </w:rPr>
        <w:t>2018</w:t>
      </w:r>
    </w:p>
    <w:p w:rsidR="00305638" w:rsidRPr="00F10CD6" w:rsidRDefault="00305638" w:rsidP="00867F69">
      <w:pPr>
        <w:pStyle w:val="Caption"/>
        <w:keepNext/>
        <w:jc w:val="center"/>
        <w:rPr>
          <w:rFonts w:ascii="Arial" w:hAnsi="Arial" w:cs="Arial"/>
          <w:i/>
          <w:color w:val="0D0D0D" w:themeColor="text1" w:themeTint="F2"/>
          <w:szCs w:val="22"/>
          <w:lang w:val="sl-SI"/>
        </w:rPr>
      </w:pPr>
      <w:r w:rsidRPr="00F10CD6">
        <w:rPr>
          <w:rFonts w:ascii="Arial" w:hAnsi="Arial" w:cs="Arial"/>
          <w:i/>
          <w:noProof/>
          <w:color w:val="0D0D0D" w:themeColor="text1" w:themeTint="F2"/>
          <w:szCs w:val="22"/>
          <w:lang w:val="en-US" w:eastAsia="en-US"/>
        </w:rPr>
        <w:drawing>
          <wp:inline distT="0" distB="0" distL="0" distR="0" wp14:anchorId="10387BD0" wp14:editId="61F2A1F8">
            <wp:extent cx="5836257" cy="3554233"/>
            <wp:effectExtent l="0" t="0" r="0" b="8255"/>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42256" w:rsidRPr="00F10CD6" w:rsidRDefault="00486CA2" w:rsidP="009B5300">
      <w:pPr>
        <w:pStyle w:val="Caption"/>
        <w:keepNext/>
        <w:spacing w:after="0"/>
        <w:jc w:val="center"/>
        <w:rPr>
          <w:rFonts w:ascii="Arial" w:hAnsi="Arial" w:cs="Arial"/>
          <w:color w:val="0D0D0D" w:themeColor="text1" w:themeTint="F2"/>
          <w:sz w:val="20"/>
          <w:szCs w:val="22"/>
          <w:lang w:val="sl-SI"/>
        </w:rPr>
      </w:pPr>
      <w:r w:rsidRPr="00F10CD6">
        <w:rPr>
          <w:rFonts w:ascii="Arial" w:hAnsi="Arial" w:cs="Arial"/>
          <w:color w:val="0D0D0D" w:themeColor="text1" w:themeTint="F2"/>
          <w:sz w:val="20"/>
          <w:szCs w:val="22"/>
          <w:lang w:val="sl-SI"/>
        </w:rPr>
        <w:t>Vir: MF RS</w:t>
      </w:r>
    </w:p>
    <w:p w:rsidR="009B5300" w:rsidRDefault="009B5300" w:rsidP="009B5300">
      <w:pPr>
        <w:pStyle w:val="besedilo"/>
        <w:rPr>
          <w:color w:val="0D0D0D" w:themeColor="text1" w:themeTint="F2"/>
        </w:rPr>
      </w:pPr>
    </w:p>
    <w:p w:rsidR="009B5300" w:rsidRDefault="009B5300" w:rsidP="009B5300">
      <w:pPr>
        <w:pStyle w:val="besedilo"/>
        <w:rPr>
          <w:color w:val="0D0D0D" w:themeColor="text1" w:themeTint="F2"/>
        </w:rPr>
      </w:pPr>
      <w:r w:rsidRPr="00F10CD6">
        <w:rPr>
          <w:color w:val="0D0D0D" w:themeColor="text1" w:themeTint="F2"/>
        </w:rPr>
        <w:t xml:space="preserve">Podatki prikazujejo oceno stanja poroštev Republike Slovenije konec leta, ki je narejena ob določenih predpostavkah glede odplačil obstoječih in odobritvah novih poroštev. Načrtovana kvota novih poroštev za leto 2019, skladno z zakonom o izvrševanju proračuna, znaša 500 milijonov evrov in ločeno za poroštva SID banke, d. d., 350 milijonov evrov. Realizacija preteklih let kaže, da je izkoriščenost kvote nizka, saj je bila v letu 2015 5,7 % in v letu 2016 14,8 %. V zadnjih dveh letih kvota ni bila izrabljena, saj so bila v letu 2017 vsa poroštva izdana </w:t>
      </w:r>
      <w:r w:rsidRPr="00F10CD6">
        <w:rPr>
          <w:color w:val="0D0D0D" w:themeColor="text1" w:themeTint="F2"/>
        </w:rPr>
        <w:lastRenderedPageBreak/>
        <w:t xml:space="preserve">za refinanciranje obstoječih obveznosti, medtem ko v letu 2018 ni bilo izdanih državnih poroštev. Prav tako ni bila izrabljena kvota, namenjena SID banki, d. d. </w:t>
      </w:r>
    </w:p>
    <w:p w:rsidR="009B5300" w:rsidRPr="00F10CD6" w:rsidRDefault="009B5300" w:rsidP="009B5300">
      <w:pPr>
        <w:pStyle w:val="besedilo"/>
        <w:rPr>
          <w:color w:val="0D0D0D" w:themeColor="text1" w:themeTint="F2"/>
        </w:rPr>
      </w:pPr>
    </w:p>
    <w:p w:rsidR="00305638" w:rsidRPr="00F10CD6" w:rsidRDefault="008D061D" w:rsidP="006D10E0">
      <w:pPr>
        <w:spacing w:after="120"/>
        <w:jc w:val="center"/>
        <w:rPr>
          <w:rFonts w:eastAsia="Batang" w:cs="Arial"/>
          <w:color w:val="0D0D0D" w:themeColor="text1" w:themeTint="F2"/>
        </w:rPr>
      </w:pPr>
      <w:r w:rsidRPr="00F10CD6">
        <w:rPr>
          <w:rFonts w:eastAsia="Batang" w:cs="Arial"/>
          <w:color w:val="0D0D0D" w:themeColor="text1" w:themeTint="F2"/>
        </w:rPr>
        <w:t>Tabela</w:t>
      </w:r>
      <w:r w:rsidR="00FD3539" w:rsidRPr="00F10CD6">
        <w:rPr>
          <w:rFonts w:eastAsia="Batang" w:cs="Arial"/>
          <w:color w:val="0D0D0D" w:themeColor="text1" w:themeTint="F2"/>
        </w:rPr>
        <w:t xml:space="preserve"> 10</w:t>
      </w:r>
      <w:r w:rsidR="00305638" w:rsidRPr="00F10CD6">
        <w:rPr>
          <w:rFonts w:eastAsia="Batang" w:cs="Arial"/>
          <w:color w:val="0D0D0D" w:themeColor="text1" w:themeTint="F2"/>
        </w:rPr>
        <w:t>: Projekcija stanja poroštev Republike Slovenije za obdobje 2019–2022</w:t>
      </w:r>
    </w:p>
    <w:tbl>
      <w:tblPr>
        <w:tblStyle w:val="LightShading-Accent1"/>
        <w:tblW w:w="9039" w:type="dxa"/>
        <w:tblLayout w:type="fixed"/>
        <w:tblLook w:val="04A0" w:firstRow="1" w:lastRow="0" w:firstColumn="1" w:lastColumn="0" w:noHBand="0" w:noVBand="1"/>
      </w:tblPr>
      <w:tblGrid>
        <w:gridCol w:w="1526"/>
        <w:gridCol w:w="1020"/>
        <w:gridCol w:w="964"/>
        <w:gridCol w:w="1020"/>
        <w:gridCol w:w="823"/>
        <w:gridCol w:w="1020"/>
        <w:gridCol w:w="823"/>
        <w:gridCol w:w="957"/>
        <w:gridCol w:w="886"/>
      </w:tblGrid>
      <w:tr w:rsidR="00FD3539" w:rsidRPr="00F10CD6" w:rsidTr="009F2B0F">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F10CD6" w:rsidRDefault="00305638" w:rsidP="008D061D">
            <w:pPr>
              <w:jc w:val="center"/>
              <w:rPr>
                <w:rFonts w:eastAsia="Batang" w:cs="Arial"/>
                <w:b w:val="0"/>
                <w:bCs w:val="0"/>
                <w:i/>
                <w:color w:val="0D0D0D" w:themeColor="text1" w:themeTint="F2"/>
                <w:sz w:val="20"/>
                <w:szCs w:val="20"/>
              </w:rPr>
            </w:pPr>
            <w:r w:rsidRPr="00F10CD6">
              <w:rPr>
                <w:rFonts w:eastAsia="Batang" w:cs="Arial"/>
                <w:b w:val="0"/>
                <w:bCs w:val="0"/>
                <w:i/>
                <w:color w:val="0D0D0D" w:themeColor="text1" w:themeTint="F2"/>
                <w:sz w:val="20"/>
                <w:szCs w:val="20"/>
              </w:rPr>
              <w:t> </w:t>
            </w:r>
          </w:p>
        </w:tc>
        <w:tc>
          <w:tcPr>
            <w:tcW w:w="1984" w:type="dxa"/>
            <w:gridSpan w:val="2"/>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Stanje na dan 31.</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12.</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2019*</w:t>
            </w:r>
          </w:p>
        </w:tc>
        <w:tc>
          <w:tcPr>
            <w:tcW w:w="1843" w:type="dxa"/>
            <w:gridSpan w:val="2"/>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Stanje na dan 31.</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12.</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2020*</w:t>
            </w:r>
          </w:p>
        </w:tc>
        <w:tc>
          <w:tcPr>
            <w:tcW w:w="1843" w:type="dxa"/>
            <w:gridSpan w:val="2"/>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Stanje na dan 31.</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12.</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2021*</w:t>
            </w:r>
          </w:p>
        </w:tc>
        <w:tc>
          <w:tcPr>
            <w:tcW w:w="1843" w:type="dxa"/>
            <w:gridSpan w:val="2"/>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Stanje na dan 31.</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12.</w:t>
            </w:r>
            <w:r w:rsidR="00A442F4" w:rsidRPr="00F10CD6">
              <w:rPr>
                <w:rFonts w:eastAsia="Batang" w:cs="Arial"/>
                <w:b w:val="0"/>
                <w:bCs w:val="0"/>
                <w:color w:val="0D0D0D" w:themeColor="text1" w:themeTint="F2"/>
                <w:sz w:val="20"/>
                <w:szCs w:val="20"/>
              </w:rPr>
              <w:t> </w:t>
            </w:r>
            <w:r w:rsidRPr="00F10CD6">
              <w:rPr>
                <w:rFonts w:eastAsia="Batang" w:cs="Arial"/>
                <w:b w:val="0"/>
                <w:bCs w:val="0"/>
                <w:color w:val="0D0D0D" w:themeColor="text1" w:themeTint="F2"/>
                <w:sz w:val="20"/>
                <w:szCs w:val="20"/>
              </w:rPr>
              <w:t>2022*</w:t>
            </w:r>
          </w:p>
        </w:tc>
      </w:tr>
      <w:tr w:rsidR="00FD3539" w:rsidRPr="00F10CD6" w:rsidTr="009F2B0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F10CD6" w:rsidRDefault="00305638" w:rsidP="008D061D">
            <w:pPr>
              <w:jc w:val="center"/>
              <w:rPr>
                <w:rFonts w:eastAsia="Batang" w:cs="Arial"/>
                <w:b w:val="0"/>
                <w:bCs w:val="0"/>
                <w:i/>
                <w:color w:val="0D0D0D" w:themeColor="text1" w:themeTint="F2"/>
                <w:sz w:val="20"/>
                <w:szCs w:val="20"/>
              </w:rPr>
            </w:pPr>
            <w:r w:rsidRPr="00F10CD6">
              <w:rPr>
                <w:rFonts w:eastAsia="Batang" w:cs="Arial"/>
                <w:b w:val="0"/>
                <w:bCs w:val="0"/>
                <w:i/>
                <w:color w:val="0D0D0D" w:themeColor="text1" w:themeTint="F2"/>
                <w:sz w:val="20"/>
                <w:szCs w:val="20"/>
              </w:rPr>
              <w:t> </w:t>
            </w:r>
          </w:p>
        </w:tc>
        <w:tc>
          <w:tcPr>
            <w:tcW w:w="1020" w:type="dxa"/>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mio EUR</w:t>
            </w:r>
          </w:p>
        </w:tc>
        <w:tc>
          <w:tcPr>
            <w:tcW w:w="964" w:type="dxa"/>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 BDP</w:t>
            </w:r>
          </w:p>
        </w:tc>
        <w:tc>
          <w:tcPr>
            <w:tcW w:w="1020" w:type="dxa"/>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mio EUR</w:t>
            </w:r>
          </w:p>
        </w:tc>
        <w:tc>
          <w:tcPr>
            <w:tcW w:w="823" w:type="dxa"/>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 BDP</w:t>
            </w:r>
          </w:p>
        </w:tc>
        <w:tc>
          <w:tcPr>
            <w:tcW w:w="1020" w:type="dxa"/>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mio EUR</w:t>
            </w:r>
          </w:p>
        </w:tc>
        <w:tc>
          <w:tcPr>
            <w:tcW w:w="823" w:type="dxa"/>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 BDP</w:t>
            </w:r>
          </w:p>
        </w:tc>
        <w:tc>
          <w:tcPr>
            <w:tcW w:w="957" w:type="dxa"/>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v mio EUR</w:t>
            </w:r>
          </w:p>
        </w:tc>
        <w:tc>
          <w:tcPr>
            <w:tcW w:w="886" w:type="dxa"/>
            <w:hideMark/>
          </w:tcPr>
          <w:p w:rsidR="00305638" w:rsidRPr="00F10CD6" w:rsidRDefault="00305638" w:rsidP="009F2B0F">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 xml:space="preserve">v </w:t>
            </w:r>
            <w:r w:rsidR="009F2B0F" w:rsidRPr="00F10CD6">
              <w:rPr>
                <w:rFonts w:eastAsia="Batang" w:cs="Arial"/>
                <w:bCs/>
                <w:color w:val="0D0D0D" w:themeColor="text1" w:themeTint="F2"/>
                <w:sz w:val="20"/>
                <w:szCs w:val="20"/>
              </w:rPr>
              <w:t>% BDP</w:t>
            </w:r>
          </w:p>
        </w:tc>
      </w:tr>
      <w:tr w:rsidR="00FD3539" w:rsidRPr="00F10CD6" w:rsidTr="009F2B0F">
        <w:trPr>
          <w:trHeight w:hRule="exact" w:val="357"/>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F10CD6" w:rsidRDefault="00305638" w:rsidP="00FD3539">
            <w:pPr>
              <w:jc w:val="left"/>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Poroštva RS</w:t>
            </w:r>
          </w:p>
        </w:tc>
        <w:tc>
          <w:tcPr>
            <w:tcW w:w="1020"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5.379</w:t>
            </w:r>
          </w:p>
        </w:tc>
        <w:tc>
          <w:tcPr>
            <w:tcW w:w="964" w:type="dxa"/>
          </w:tcPr>
          <w:p w:rsidR="00305638" w:rsidRPr="00F10CD6"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11,0</w:t>
            </w:r>
          </w:p>
        </w:tc>
        <w:tc>
          <w:tcPr>
            <w:tcW w:w="1020"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5.033</w:t>
            </w:r>
          </w:p>
        </w:tc>
        <w:tc>
          <w:tcPr>
            <w:tcW w:w="823" w:type="dxa"/>
          </w:tcPr>
          <w:p w:rsidR="00305638" w:rsidRPr="00F10CD6"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9,8</w:t>
            </w:r>
          </w:p>
        </w:tc>
        <w:tc>
          <w:tcPr>
            <w:tcW w:w="1020"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4.660</w:t>
            </w:r>
          </w:p>
        </w:tc>
        <w:tc>
          <w:tcPr>
            <w:tcW w:w="823" w:type="dxa"/>
          </w:tcPr>
          <w:p w:rsidR="00305638" w:rsidRPr="00F10CD6"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8,6</w:t>
            </w:r>
          </w:p>
        </w:tc>
        <w:tc>
          <w:tcPr>
            <w:tcW w:w="957" w:type="dxa"/>
          </w:tcPr>
          <w:p w:rsidR="00305638" w:rsidRPr="00F10CD6"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4.194</w:t>
            </w:r>
          </w:p>
        </w:tc>
        <w:tc>
          <w:tcPr>
            <w:tcW w:w="886" w:type="dxa"/>
          </w:tcPr>
          <w:p w:rsidR="00305638" w:rsidRPr="00F10CD6"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7,7</w:t>
            </w:r>
          </w:p>
        </w:tc>
      </w:tr>
      <w:tr w:rsidR="00FD3539" w:rsidRPr="00F10CD6" w:rsidTr="009F2B0F">
        <w:trPr>
          <w:cnfStyle w:val="000000100000" w:firstRow="0" w:lastRow="0" w:firstColumn="0" w:lastColumn="0" w:oddVBand="0" w:evenVBand="0" w:oddHBand="1" w:evenHBand="0" w:firstRowFirstColumn="0" w:firstRowLastColumn="0" w:lastRowFirstColumn="0" w:lastRowLastColumn="0"/>
          <w:trHeight w:hRule="exact" w:val="419"/>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F10CD6" w:rsidRDefault="00305638" w:rsidP="00FD3539">
            <w:pPr>
              <w:jc w:val="left"/>
              <w:rPr>
                <w:rFonts w:eastAsia="Batang" w:cs="Arial"/>
                <w:b w:val="0"/>
                <w:bCs w:val="0"/>
                <w:color w:val="0D0D0D" w:themeColor="text1" w:themeTint="F2"/>
                <w:sz w:val="20"/>
                <w:szCs w:val="20"/>
              </w:rPr>
            </w:pPr>
            <w:r w:rsidRPr="00F10CD6">
              <w:rPr>
                <w:rFonts w:eastAsia="Batang" w:cs="Arial"/>
                <w:b w:val="0"/>
                <w:bCs w:val="0"/>
                <w:color w:val="0D0D0D" w:themeColor="text1" w:themeTint="F2"/>
                <w:sz w:val="20"/>
                <w:szCs w:val="20"/>
              </w:rPr>
              <w:t>v tem: finančni sektor*</w:t>
            </w:r>
          </w:p>
        </w:tc>
        <w:tc>
          <w:tcPr>
            <w:tcW w:w="1020"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669</w:t>
            </w:r>
          </w:p>
        </w:tc>
        <w:tc>
          <w:tcPr>
            <w:tcW w:w="964" w:type="dxa"/>
          </w:tcPr>
          <w:p w:rsidR="00305638" w:rsidRPr="00F10CD6"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1,4</w:t>
            </w:r>
          </w:p>
        </w:tc>
        <w:tc>
          <w:tcPr>
            <w:tcW w:w="1020"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669</w:t>
            </w:r>
          </w:p>
        </w:tc>
        <w:tc>
          <w:tcPr>
            <w:tcW w:w="823" w:type="dxa"/>
          </w:tcPr>
          <w:p w:rsidR="00305638" w:rsidRPr="00F10CD6"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1,3</w:t>
            </w:r>
          </w:p>
        </w:tc>
        <w:tc>
          <w:tcPr>
            <w:tcW w:w="1020"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669</w:t>
            </w:r>
          </w:p>
        </w:tc>
        <w:tc>
          <w:tcPr>
            <w:tcW w:w="823" w:type="dxa"/>
          </w:tcPr>
          <w:p w:rsidR="00305638" w:rsidRPr="00F10CD6"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1,2</w:t>
            </w:r>
          </w:p>
        </w:tc>
        <w:tc>
          <w:tcPr>
            <w:tcW w:w="957" w:type="dxa"/>
          </w:tcPr>
          <w:p w:rsidR="00305638" w:rsidRPr="00F10CD6"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669</w:t>
            </w:r>
          </w:p>
        </w:tc>
        <w:tc>
          <w:tcPr>
            <w:tcW w:w="886" w:type="dxa"/>
          </w:tcPr>
          <w:p w:rsidR="00305638" w:rsidRPr="00F10CD6"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0D0D0D" w:themeColor="text1" w:themeTint="F2"/>
                <w:sz w:val="20"/>
                <w:szCs w:val="20"/>
              </w:rPr>
            </w:pPr>
            <w:r w:rsidRPr="00F10CD6">
              <w:rPr>
                <w:rFonts w:eastAsia="Batang" w:cs="Arial"/>
                <w:bCs/>
                <w:color w:val="0D0D0D" w:themeColor="text1" w:themeTint="F2"/>
                <w:sz w:val="20"/>
                <w:szCs w:val="20"/>
              </w:rPr>
              <w:t>1,2</w:t>
            </w:r>
          </w:p>
        </w:tc>
      </w:tr>
    </w:tbl>
    <w:p w:rsidR="00305638" w:rsidRPr="00F10CD6" w:rsidRDefault="00305638" w:rsidP="006D10E0">
      <w:pPr>
        <w:spacing w:after="0"/>
        <w:jc w:val="left"/>
        <w:rPr>
          <w:rFonts w:eastAsia="Batang" w:cs="Arial"/>
          <w:color w:val="0D0D0D" w:themeColor="text1" w:themeTint="F2"/>
          <w:sz w:val="20"/>
        </w:rPr>
      </w:pPr>
      <w:r w:rsidRPr="00F10CD6">
        <w:rPr>
          <w:rFonts w:eastAsia="Batang" w:cs="Arial"/>
          <w:color w:val="0D0D0D" w:themeColor="text1" w:themeTint="F2"/>
          <w:sz w:val="20"/>
        </w:rPr>
        <w:t>Opomba: *Skladno s klasifikacijo SKIS so vključene pravne osebe s SKIS oznako S 12.</w:t>
      </w:r>
    </w:p>
    <w:p w:rsidR="007E711C" w:rsidRPr="00F10CD6" w:rsidRDefault="007E711C" w:rsidP="003259EE">
      <w:pPr>
        <w:spacing w:after="0"/>
        <w:jc w:val="center"/>
        <w:rPr>
          <w:rFonts w:eastAsia="Batang" w:cs="Arial"/>
          <w:color w:val="0D0D0D" w:themeColor="text1" w:themeTint="F2"/>
          <w:sz w:val="20"/>
        </w:rPr>
      </w:pPr>
      <w:r w:rsidRPr="00F10CD6">
        <w:rPr>
          <w:rFonts w:eastAsia="Batang" w:cs="Arial"/>
          <w:color w:val="0D0D0D" w:themeColor="text1" w:themeTint="F2"/>
          <w:sz w:val="20"/>
        </w:rPr>
        <w:t>Vir: MF RS</w:t>
      </w:r>
    </w:p>
    <w:p w:rsidR="008D061D" w:rsidRPr="00F10CD6" w:rsidRDefault="008D061D" w:rsidP="0023395F">
      <w:pPr>
        <w:pStyle w:val="besedilo"/>
        <w:rPr>
          <w:color w:val="0D0D0D" w:themeColor="text1" w:themeTint="F2"/>
          <w:highlight w:val="yellow"/>
        </w:rPr>
      </w:pPr>
    </w:p>
    <w:p w:rsidR="00305638" w:rsidRPr="00F10CD6" w:rsidRDefault="00305638" w:rsidP="0023395F">
      <w:pPr>
        <w:pStyle w:val="besedilo"/>
        <w:rPr>
          <w:color w:val="0D0D0D" w:themeColor="text1" w:themeTint="F2"/>
        </w:rPr>
      </w:pPr>
      <w:r w:rsidRPr="00F10CD6">
        <w:rPr>
          <w:color w:val="0D0D0D" w:themeColor="text1" w:themeTint="F2"/>
        </w:rPr>
        <w:t>Za unovčitev državnih poroštev Republike Slovenije po Zakonu o jamstveni shemi RS za fizične osebe in Zakonu o pomoči za reševanje in prestrukturiranje gospodarskih družb v težavah je b</w:t>
      </w:r>
      <w:r w:rsidR="000331FE" w:rsidRPr="00F10CD6">
        <w:rPr>
          <w:color w:val="0D0D0D" w:themeColor="text1" w:themeTint="F2"/>
        </w:rPr>
        <w:t>ilo v letu 2017 porabljenih 0,5</w:t>
      </w:r>
      <w:r w:rsidRPr="00F10CD6">
        <w:rPr>
          <w:color w:val="0D0D0D" w:themeColor="text1" w:themeTint="F2"/>
        </w:rPr>
        <w:t xml:space="preserve"> milijona evrov, medtem ko v letu 2018 unovčitev ni bilo. Za leto 2019 se ocenjuje poraba sreds</w:t>
      </w:r>
      <w:r w:rsidR="008D061D" w:rsidRPr="00F10CD6">
        <w:rPr>
          <w:color w:val="0D0D0D" w:themeColor="text1" w:themeTint="F2"/>
        </w:rPr>
        <w:t xml:space="preserve">tev v višini 3 milijone evrov. </w:t>
      </w:r>
    </w:p>
    <w:p w:rsidR="006E4856" w:rsidRPr="00F10CD6" w:rsidRDefault="000D2567" w:rsidP="000813C0">
      <w:pPr>
        <w:pStyle w:val="Heading1"/>
        <w:rPr>
          <w:color w:val="0D0D0D" w:themeColor="text1" w:themeTint="F2"/>
        </w:rPr>
      </w:pPr>
      <w:bookmarkStart w:id="13" w:name="_Toc6923654"/>
      <w:r w:rsidRPr="00F10CD6">
        <w:rPr>
          <w:color w:val="0D0D0D" w:themeColor="text1" w:themeTint="F2"/>
        </w:rPr>
        <w:t xml:space="preserve">FISKALNA TVEGANJA IN </w:t>
      </w:r>
      <w:r w:rsidR="006E4856" w:rsidRPr="00F10CD6">
        <w:rPr>
          <w:color w:val="0D0D0D" w:themeColor="text1" w:themeTint="F2"/>
        </w:rPr>
        <w:t>ANALIZA OBČUTLJIVOSTI</w:t>
      </w:r>
      <w:bookmarkEnd w:id="13"/>
    </w:p>
    <w:p w:rsidR="000D2567" w:rsidRPr="00F10CD6" w:rsidRDefault="000D2567" w:rsidP="00BA6227">
      <w:pPr>
        <w:pStyle w:val="Default"/>
        <w:spacing w:line="276" w:lineRule="auto"/>
        <w:rPr>
          <w:rFonts w:ascii="Arial" w:hAnsi="Arial" w:cs="Arial"/>
          <w:color w:val="0D0D0D" w:themeColor="text1" w:themeTint="F2"/>
          <w:sz w:val="22"/>
          <w:szCs w:val="22"/>
        </w:rPr>
      </w:pPr>
    </w:p>
    <w:p w:rsidR="009B2C44" w:rsidRPr="00F10CD6" w:rsidRDefault="009B2C44" w:rsidP="009B2C44">
      <w:pPr>
        <w:pStyle w:val="besedilo"/>
        <w:rPr>
          <w:color w:val="0D0D0D" w:themeColor="text1" w:themeTint="F2"/>
        </w:rPr>
      </w:pPr>
      <w:r w:rsidRPr="00F10CD6">
        <w:rPr>
          <w:color w:val="0D0D0D" w:themeColor="text1" w:themeTint="F2"/>
        </w:rPr>
        <w:t xml:space="preserve">Tveganja nižje gospodarske rasti kot v osnovni napovedi so povezana s tveganji v globalnem in evrskem gospodarskem prostoru, ki so se od lanskih napovedi nekoliko okrepila. </w:t>
      </w:r>
    </w:p>
    <w:p w:rsidR="000D2567" w:rsidRPr="00F10CD6" w:rsidRDefault="000D2567" w:rsidP="000D2567">
      <w:pPr>
        <w:pStyle w:val="Default"/>
        <w:jc w:val="both"/>
        <w:rPr>
          <w:rFonts w:ascii="Arial" w:hAnsi="Arial" w:cs="Arial"/>
          <w:color w:val="0D0D0D" w:themeColor="text1" w:themeTint="F2"/>
          <w:sz w:val="22"/>
          <w:szCs w:val="22"/>
        </w:rPr>
      </w:pPr>
    </w:p>
    <w:p w:rsidR="000D2567" w:rsidRPr="00F10CD6" w:rsidRDefault="000D2567" w:rsidP="009B2C44">
      <w:pPr>
        <w:pStyle w:val="Default"/>
        <w:spacing w:line="276" w:lineRule="auto"/>
        <w:jc w:val="both"/>
        <w:rPr>
          <w:rFonts w:ascii="Arial" w:hAnsi="Arial" w:cs="Arial"/>
          <w:color w:val="0D0D0D" w:themeColor="text1" w:themeTint="F2"/>
          <w:sz w:val="22"/>
          <w:szCs w:val="22"/>
        </w:rPr>
      </w:pPr>
      <w:r w:rsidRPr="00F10CD6">
        <w:rPr>
          <w:rFonts w:ascii="Arial" w:hAnsi="Arial" w:cs="Arial"/>
          <w:color w:val="0D0D0D" w:themeColor="text1" w:themeTint="F2"/>
          <w:sz w:val="22"/>
          <w:szCs w:val="22"/>
        </w:rPr>
        <w:t xml:space="preserve">Glavna negativna tveganja iz mednarodnega okolja so povezana z negotovostjo glede izida pogajanj in časom </w:t>
      </w:r>
      <w:r w:rsidR="008A72A7" w:rsidRPr="00F10CD6">
        <w:rPr>
          <w:rFonts w:ascii="Arial" w:hAnsi="Arial" w:cs="Arial"/>
          <w:color w:val="0D0D0D" w:themeColor="text1" w:themeTint="F2"/>
          <w:sz w:val="22"/>
          <w:szCs w:val="22"/>
        </w:rPr>
        <w:t>b</w:t>
      </w:r>
      <w:r w:rsidRPr="00F10CD6">
        <w:rPr>
          <w:rFonts w:ascii="Arial" w:hAnsi="Arial" w:cs="Arial"/>
          <w:color w:val="0D0D0D" w:themeColor="text1" w:themeTint="F2"/>
          <w:sz w:val="22"/>
          <w:szCs w:val="22"/>
        </w:rPr>
        <w:t xml:space="preserve">rexita, z nadaljevanjem protekcionističnih ukrepov v ZDA in njenih trgovinskih partneric, s hitrejšim zaostrovanjem pogojev financiranja na svetovnih trgih od pričakovanih, s politično negotovostjo v nekaterih državah EU ter visoko negotovostjo glede ukrepov prihodnje nove administracije v EU. </w:t>
      </w:r>
    </w:p>
    <w:p w:rsidR="009B2C44" w:rsidRPr="00F10CD6" w:rsidRDefault="009B2C44" w:rsidP="009B2C44">
      <w:pPr>
        <w:pStyle w:val="Default"/>
        <w:spacing w:line="276" w:lineRule="auto"/>
        <w:jc w:val="both"/>
        <w:rPr>
          <w:rFonts w:ascii="Arial" w:hAnsi="Arial" w:cs="Arial"/>
          <w:color w:val="0D0D0D" w:themeColor="text1" w:themeTint="F2"/>
          <w:sz w:val="22"/>
          <w:szCs w:val="22"/>
        </w:rPr>
      </w:pPr>
    </w:p>
    <w:p w:rsidR="009B2C44" w:rsidRPr="00F10CD6" w:rsidRDefault="009B2C44" w:rsidP="009B2C44">
      <w:pPr>
        <w:pStyle w:val="Default"/>
        <w:spacing w:line="276" w:lineRule="auto"/>
        <w:jc w:val="both"/>
        <w:rPr>
          <w:rFonts w:ascii="Arial" w:hAnsi="Arial" w:cs="Arial"/>
          <w:color w:val="0D0D0D" w:themeColor="text1" w:themeTint="F2"/>
          <w:sz w:val="22"/>
          <w:szCs w:val="22"/>
        </w:rPr>
      </w:pPr>
      <w:r w:rsidRPr="00F10CD6">
        <w:rPr>
          <w:rFonts w:ascii="Arial" w:hAnsi="Arial" w:cs="Arial"/>
          <w:color w:val="0D0D0D" w:themeColor="text1" w:themeTint="F2"/>
          <w:sz w:val="22"/>
          <w:szCs w:val="22"/>
        </w:rPr>
        <w:t>Dejavniki v domačem okolju pa so pretežno pozitivni in bi lahko vplivali na nekoliko višjo gospodarsko kot v osnovnem scenariju, predvsem na višjo zasebno potrošnjo v primeru sprejetja ukrepov ekonomske politike (npr. pri pokojninah, plačah ali davčni politiki), ki bi pomenili višjo rast razpoložljivega dohodka gospodinjstev (UMAR, 2019). Obstajajo tudi določena tveganja specifične narave, ki so podrobneje opredeljena v naslednjem poglavju.</w:t>
      </w:r>
    </w:p>
    <w:p w:rsidR="006D5A66" w:rsidRPr="00F10CD6" w:rsidRDefault="006D5A66" w:rsidP="009B2C44">
      <w:pPr>
        <w:pStyle w:val="Default"/>
        <w:spacing w:line="276" w:lineRule="auto"/>
        <w:jc w:val="both"/>
        <w:rPr>
          <w:rFonts w:ascii="Arial" w:hAnsi="Arial" w:cs="Arial"/>
          <w:color w:val="0D0D0D" w:themeColor="text1" w:themeTint="F2"/>
          <w:sz w:val="22"/>
          <w:szCs w:val="22"/>
        </w:rPr>
      </w:pPr>
    </w:p>
    <w:p w:rsidR="006D5A66" w:rsidRPr="00F10CD6" w:rsidRDefault="006D5A66" w:rsidP="006D5A66">
      <w:pPr>
        <w:pStyle w:val="Default"/>
        <w:spacing w:line="276" w:lineRule="auto"/>
        <w:jc w:val="both"/>
        <w:rPr>
          <w:rFonts w:ascii="Arial" w:hAnsi="Arial" w:cs="Arial"/>
          <w:color w:val="0D0D0D" w:themeColor="text1" w:themeTint="F2"/>
          <w:sz w:val="22"/>
          <w:szCs w:val="22"/>
        </w:rPr>
      </w:pPr>
      <w:r w:rsidRPr="00F10CD6">
        <w:rPr>
          <w:rFonts w:ascii="Arial" w:hAnsi="Arial" w:cs="Arial"/>
          <w:color w:val="0D0D0D" w:themeColor="text1" w:themeTint="F2"/>
          <w:sz w:val="22"/>
          <w:szCs w:val="22"/>
        </w:rPr>
        <w:t>Realizacija tveganj iz mednarodnega okolja bi vplivala predvsem na nižjo gospodarsko rast in s tem na javnofinančne prihodke, medtem ko bi realizacija tveganj v domačem okolju predvsem zviševala javnofinančne izdatke (</w:t>
      </w:r>
      <w:r w:rsidR="008A72A7" w:rsidRPr="00F10CD6">
        <w:rPr>
          <w:rFonts w:ascii="Arial" w:hAnsi="Arial" w:cs="Arial"/>
          <w:color w:val="0D0D0D" w:themeColor="text1" w:themeTint="F2"/>
          <w:sz w:val="22"/>
          <w:szCs w:val="22"/>
        </w:rPr>
        <w:t xml:space="preserve">zlasti </w:t>
      </w:r>
      <w:r w:rsidRPr="00F10CD6">
        <w:rPr>
          <w:rFonts w:ascii="Arial" w:hAnsi="Arial" w:cs="Arial"/>
          <w:color w:val="0D0D0D" w:themeColor="text1" w:themeTint="F2"/>
          <w:sz w:val="22"/>
          <w:szCs w:val="22"/>
        </w:rPr>
        <w:t>v obliki posamičnih enkratnih izdatkov). Morebitno spremembo nominalne gospodarske rasti in spremembo obrestne mere od osnovne napovedi podrobneje analiziramo v poglavju 4.1. in 4.2.</w:t>
      </w:r>
    </w:p>
    <w:p w:rsidR="000D2567" w:rsidRPr="00F10CD6" w:rsidRDefault="000D2567" w:rsidP="00516B56">
      <w:pPr>
        <w:rPr>
          <w:color w:val="0D0D0D" w:themeColor="text1" w:themeTint="F2"/>
        </w:rPr>
      </w:pPr>
    </w:p>
    <w:p w:rsidR="00A91893" w:rsidRPr="00F10CD6" w:rsidRDefault="00A91893" w:rsidP="00A91893">
      <w:pPr>
        <w:pStyle w:val="ListParagraph"/>
        <w:keepNext/>
        <w:keepLines/>
        <w:numPr>
          <w:ilvl w:val="0"/>
          <w:numId w:val="4"/>
        </w:numPr>
        <w:spacing w:before="200" w:after="0"/>
        <w:contextualSpacing w:val="0"/>
        <w:outlineLvl w:val="1"/>
        <w:rPr>
          <w:rFonts w:eastAsiaTheme="majorEastAsia" w:cs="Arial"/>
          <w:b/>
          <w:bCs/>
          <w:vanish/>
          <w:color w:val="0D0D0D" w:themeColor="text1" w:themeTint="F2"/>
        </w:rPr>
      </w:pPr>
      <w:bookmarkStart w:id="14" w:name="_Toc6406920"/>
      <w:bookmarkStart w:id="15" w:name="_Toc6923655"/>
      <w:bookmarkEnd w:id="14"/>
      <w:bookmarkEnd w:id="15"/>
    </w:p>
    <w:p w:rsidR="00A91893" w:rsidRPr="00F10CD6" w:rsidRDefault="00A91893" w:rsidP="00A91893">
      <w:pPr>
        <w:pStyle w:val="ListParagraph"/>
        <w:keepNext/>
        <w:keepLines/>
        <w:numPr>
          <w:ilvl w:val="0"/>
          <w:numId w:val="4"/>
        </w:numPr>
        <w:spacing w:before="200" w:after="0"/>
        <w:contextualSpacing w:val="0"/>
        <w:outlineLvl w:val="1"/>
        <w:rPr>
          <w:rFonts w:eastAsiaTheme="majorEastAsia" w:cs="Arial"/>
          <w:b/>
          <w:bCs/>
          <w:vanish/>
          <w:color w:val="0D0D0D" w:themeColor="text1" w:themeTint="F2"/>
        </w:rPr>
      </w:pPr>
      <w:bookmarkStart w:id="16" w:name="_Toc6406921"/>
      <w:bookmarkStart w:id="17" w:name="_Toc6923656"/>
      <w:bookmarkEnd w:id="16"/>
      <w:bookmarkEnd w:id="17"/>
    </w:p>
    <w:p w:rsidR="00A91893" w:rsidRPr="00F10CD6" w:rsidRDefault="00A91893" w:rsidP="00A91893">
      <w:pPr>
        <w:pStyle w:val="ListParagraph"/>
        <w:keepNext/>
        <w:keepLines/>
        <w:numPr>
          <w:ilvl w:val="0"/>
          <w:numId w:val="4"/>
        </w:numPr>
        <w:spacing w:before="200" w:after="0"/>
        <w:contextualSpacing w:val="0"/>
        <w:outlineLvl w:val="1"/>
        <w:rPr>
          <w:rFonts w:eastAsiaTheme="majorEastAsia" w:cs="Arial"/>
          <w:b/>
          <w:bCs/>
          <w:vanish/>
          <w:color w:val="0D0D0D" w:themeColor="text1" w:themeTint="F2"/>
        </w:rPr>
      </w:pPr>
      <w:bookmarkStart w:id="18" w:name="_Toc6406922"/>
      <w:bookmarkStart w:id="19" w:name="_Toc6923657"/>
      <w:bookmarkEnd w:id="18"/>
      <w:bookmarkEnd w:id="19"/>
    </w:p>
    <w:p w:rsidR="00A91893" w:rsidRPr="00F10CD6" w:rsidRDefault="00A91893" w:rsidP="00A91893">
      <w:pPr>
        <w:pStyle w:val="ListParagraph"/>
        <w:keepNext/>
        <w:keepLines/>
        <w:numPr>
          <w:ilvl w:val="0"/>
          <w:numId w:val="4"/>
        </w:numPr>
        <w:spacing w:before="200" w:after="0"/>
        <w:contextualSpacing w:val="0"/>
        <w:outlineLvl w:val="1"/>
        <w:rPr>
          <w:rFonts w:eastAsiaTheme="majorEastAsia" w:cs="Arial"/>
          <w:b/>
          <w:bCs/>
          <w:vanish/>
          <w:color w:val="0D0D0D" w:themeColor="text1" w:themeTint="F2"/>
        </w:rPr>
      </w:pPr>
      <w:bookmarkStart w:id="20" w:name="_Toc6406923"/>
      <w:bookmarkStart w:id="21" w:name="_Toc6923658"/>
      <w:bookmarkEnd w:id="20"/>
      <w:bookmarkEnd w:id="21"/>
    </w:p>
    <w:p w:rsidR="000D2567" w:rsidRPr="00F10CD6" w:rsidRDefault="000D2567" w:rsidP="00A91893">
      <w:pPr>
        <w:pStyle w:val="Heading2"/>
        <w:rPr>
          <w:color w:val="0D0D0D" w:themeColor="text1" w:themeTint="F2"/>
        </w:rPr>
      </w:pPr>
      <w:bookmarkStart w:id="22" w:name="_Toc6923659"/>
      <w:r w:rsidRPr="00F10CD6">
        <w:rPr>
          <w:color w:val="0D0D0D" w:themeColor="text1" w:themeTint="F2"/>
        </w:rPr>
        <w:t>Tveganja za fiskalno napoved</w:t>
      </w:r>
      <w:bookmarkEnd w:id="22"/>
      <w:r w:rsidRPr="00F10CD6">
        <w:rPr>
          <w:color w:val="0D0D0D" w:themeColor="text1" w:themeTint="F2"/>
        </w:rPr>
        <w:t xml:space="preserve"> </w:t>
      </w:r>
    </w:p>
    <w:p w:rsidR="000D2567" w:rsidRPr="00F10CD6" w:rsidRDefault="000D2567" w:rsidP="000D2567">
      <w:pPr>
        <w:pStyle w:val="Default"/>
        <w:rPr>
          <w:color w:val="0D0D0D" w:themeColor="text1" w:themeTint="F2"/>
          <w:szCs w:val="22"/>
        </w:rPr>
      </w:pPr>
    </w:p>
    <w:p w:rsidR="000D2567" w:rsidRPr="00F10CD6" w:rsidRDefault="000D2567" w:rsidP="000D2567">
      <w:pPr>
        <w:pStyle w:val="Default"/>
        <w:rPr>
          <w:rFonts w:ascii="Arial" w:hAnsi="Arial" w:cs="Arial"/>
          <w:color w:val="0D0D0D" w:themeColor="text1" w:themeTint="F2"/>
          <w:sz w:val="22"/>
          <w:szCs w:val="22"/>
        </w:rPr>
      </w:pPr>
      <w:r w:rsidRPr="00F10CD6">
        <w:rPr>
          <w:rFonts w:ascii="Arial" w:hAnsi="Arial" w:cs="Arial"/>
          <w:color w:val="0D0D0D" w:themeColor="text1" w:themeTint="F2"/>
          <w:sz w:val="22"/>
          <w:szCs w:val="22"/>
        </w:rPr>
        <w:t>Podroben pregled ključnih negativnih tveganj, ki bi lahko ogrozila zastavljene cilje javnih financ v kratkoročnem obdobju, ocena verjetnosti realizacije tveganj in morebiten vpliv na javne finance je podan v spodnji tabeli.</w:t>
      </w:r>
    </w:p>
    <w:p w:rsidR="002C6945" w:rsidRPr="00F10CD6" w:rsidRDefault="002C6945" w:rsidP="006D5A66">
      <w:pPr>
        <w:pStyle w:val="Default"/>
        <w:spacing w:line="276" w:lineRule="auto"/>
        <w:jc w:val="both"/>
        <w:rPr>
          <w:rFonts w:ascii="Arial" w:hAnsi="Arial" w:cs="Arial"/>
          <w:color w:val="0D0D0D" w:themeColor="text1" w:themeTint="F2"/>
          <w:sz w:val="22"/>
          <w:szCs w:val="22"/>
        </w:rPr>
      </w:pPr>
    </w:p>
    <w:p w:rsidR="000D2567" w:rsidRPr="00F10CD6" w:rsidRDefault="000D2567" w:rsidP="009B2C44">
      <w:pPr>
        <w:spacing w:after="120"/>
        <w:jc w:val="center"/>
        <w:rPr>
          <w:rFonts w:eastAsia="Batang" w:cs="Arial"/>
          <w:color w:val="0D0D0D" w:themeColor="text1" w:themeTint="F2"/>
        </w:rPr>
      </w:pPr>
      <w:r w:rsidRPr="00F10CD6">
        <w:rPr>
          <w:rFonts w:eastAsia="Batang" w:cs="Arial"/>
          <w:color w:val="0D0D0D" w:themeColor="text1" w:themeTint="F2"/>
        </w:rPr>
        <w:lastRenderedPageBreak/>
        <w:t>Tabela</w:t>
      </w:r>
      <w:r w:rsidR="009B2C44" w:rsidRPr="00F10CD6">
        <w:rPr>
          <w:rFonts w:eastAsia="Batang" w:cs="Arial"/>
          <w:color w:val="0D0D0D" w:themeColor="text1" w:themeTint="F2"/>
        </w:rPr>
        <w:t xml:space="preserve"> 11</w:t>
      </w:r>
      <w:r w:rsidRPr="00F10CD6">
        <w:rPr>
          <w:rFonts w:eastAsia="Batang" w:cs="Arial"/>
          <w:color w:val="0D0D0D" w:themeColor="text1" w:themeTint="F2"/>
        </w:rPr>
        <w:t>: Matrika ocene negativnih tveganj za realizacijo javnofinančnih ciljev</w:t>
      </w:r>
    </w:p>
    <w:tbl>
      <w:tblPr>
        <w:tblStyle w:val="ListTable2-Accent11"/>
        <w:tblW w:w="9508" w:type="dxa"/>
        <w:tblLook w:val="04A0" w:firstRow="1" w:lastRow="0" w:firstColumn="1" w:lastColumn="0" w:noHBand="0" w:noVBand="1"/>
      </w:tblPr>
      <w:tblGrid>
        <w:gridCol w:w="2835"/>
        <w:gridCol w:w="1117"/>
        <w:gridCol w:w="3175"/>
        <w:gridCol w:w="2381"/>
      </w:tblGrid>
      <w:tr w:rsidR="00644FF1" w:rsidRPr="00F10CD6" w:rsidTr="009B530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B5366A">
            <w:pPr>
              <w:jc w:val="center"/>
              <w:rPr>
                <w:rFonts w:eastAsia="Times New Roman" w:cs="Arial"/>
                <w:b w:val="0"/>
                <w:bCs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 xml:space="preserve">Tveganje </w:t>
            </w:r>
          </w:p>
        </w:tc>
        <w:tc>
          <w:tcPr>
            <w:tcW w:w="1117" w:type="dxa"/>
            <w:hideMark/>
          </w:tcPr>
          <w:p w:rsidR="00912031" w:rsidRPr="00F10CD6" w:rsidRDefault="00912031" w:rsidP="00B5366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 xml:space="preserve">Verjetnost </w:t>
            </w:r>
          </w:p>
        </w:tc>
        <w:tc>
          <w:tcPr>
            <w:tcW w:w="3175" w:type="dxa"/>
            <w:hideMark/>
          </w:tcPr>
          <w:p w:rsidR="00912031" w:rsidRPr="00F10CD6" w:rsidRDefault="00912031" w:rsidP="00B5366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 xml:space="preserve">Vpliv </w:t>
            </w:r>
          </w:p>
        </w:tc>
        <w:tc>
          <w:tcPr>
            <w:tcW w:w="2381" w:type="dxa"/>
            <w:hideMark/>
          </w:tcPr>
          <w:p w:rsidR="00912031" w:rsidRPr="00F10CD6" w:rsidRDefault="00912031" w:rsidP="00B5366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Ocena morebitnih finančnih posledic</w:t>
            </w:r>
          </w:p>
        </w:tc>
      </w:tr>
      <w:tr w:rsidR="00644FF1" w:rsidRPr="00F10CD6" w:rsidTr="009B53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B5366A">
            <w:pPr>
              <w:jc w:val="left"/>
              <w:rPr>
                <w:rFonts w:eastAsia="Times New Roman" w:cs="Arial"/>
                <w:b w:val="0"/>
                <w:bCs w:val="0"/>
                <w:i/>
                <w:color w:val="0D0D0D" w:themeColor="text1" w:themeTint="F2"/>
                <w:sz w:val="20"/>
                <w:szCs w:val="20"/>
                <w:lang w:eastAsia="sl-SI"/>
              </w:rPr>
            </w:pPr>
            <w:r w:rsidRPr="00F10CD6">
              <w:rPr>
                <w:rFonts w:eastAsia="Times New Roman" w:cs="Arial"/>
                <w:b w:val="0"/>
                <w:i/>
                <w:color w:val="0D0D0D" w:themeColor="text1" w:themeTint="F2"/>
                <w:sz w:val="20"/>
                <w:szCs w:val="20"/>
                <w:lang w:eastAsia="sl-SI"/>
              </w:rPr>
              <w:t xml:space="preserve">Mednarodno okolje </w:t>
            </w:r>
          </w:p>
        </w:tc>
        <w:tc>
          <w:tcPr>
            <w:tcW w:w="1117"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20"/>
                <w:szCs w:val="20"/>
                <w:lang w:eastAsia="sl-SI"/>
              </w:rPr>
            </w:pPr>
            <w:r w:rsidRPr="00F10CD6">
              <w:rPr>
                <w:rFonts w:eastAsia="Times New Roman" w:cs="Arial"/>
                <w:i/>
                <w:color w:val="0D0D0D" w:themeColor="text1" w:themeTint="F2"/>
                <w:sz w:val="20"/>
                <w:szCs w:val="20"/>
                <w:lang w:eastAsia="sl-SI"/>
              </w:rPr>
              <w:t> </w:t>
            </w:r>
          </w:p>
        </w:tc>
        <w:tc>
          <w:tcPr>
            <w:tcW w:w="3175"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20"/>
                <w:szCs w:val="20"/>
                <w:lang w:eastAsia="sl-SI"/>
              </w:rPr>
            </w:pPr>
            <w:r w:rsidRPr="00F10CD6">
              <w:rPr>
                <w:rFonts w:eastAsia="Times New Roman" w:cs="Arial"/>
                <w:i/>
                <w:color w:val="0D0D0D" w:themeColor="text1" w:themeTint="F2"/>
                <w:sz w:val="20"/>
                <w:szCs w:val="20"/>
                <w:lang w:eastAsia="sl-SI"/>
              </w:rPr>
              <w:t> </w:t>
            </w:r>
          </w:p>
        </w:tc>
        <w:tc>
          <w:tcPr>
            <w:tcW w:w="2381" w:type="dxa"/>
            <w:noWrap/>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D0D0D" w:themeColor="text1" w:themeTint="F2"/>
                <w:sz w:val="20"/>
                <w:szCs w:val="20"/>
                <w:lang w:eastAsia="sl-SI"/>
              </w:rPr>
            </w:pPr>
            <w:r w:rsidRPr="00F10CD6">
              <w:rPr>
                <w:rFonts w:ascii="Calibri" w:eastAsia="Times New Roman" w:hAnsi="Calibri" w:cs="Times New Roman"/>
                <w:i/>
                <w:color w:val="0D0D0D" w:themeColor="text1" w:themeTint="F2"/>
                <w:sz w:val="20"/>
                <w:szCs w:val="20"/>
                <w:lang w:eastAsia="sl-SI"/>
              </w:rPr>
              <w:t> </w:t>
            </w:r>
          </w:p>
        </w:tc>
      </w:tr>
      <w:tr w:rsidR="00644FF1" w:rsidRPr="00F10CD6" w:rsidTr="00BB6E3B">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hideMark/>
          </w:tcPr>
          <w:p w:rsidR="00912031" w:rsidRPr="00F10CD6" w:rsidRDefault="00912031" w:rsidP="00912031">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Negotovost glede izida pogajanj in časa brexita</w:t>
            </w:r>
            <w:r w:rsidR="00644FF1">
              <w:rPr>
                <w:rFonts w:eastAsia="Times New Roman" w:cs="Arial"/>
                <w:b w:val="0"/>
                <w:color w:val="0D0D0D" w:themeColor="text1" w:themeTint="F2"/>
                <w:sz w:val="20"/>
                <w:szCs w:val="20"/>
                <w:lang w:eastAsia="sl-SI"/>
              </w:rPr>
              <w:t>; protekcionistični ukrepi ZDA</w:t>
            </w:r>
          </w:p>
        </w:tc>
        <w:tc>
          <w:tcPr>
            <w:tcW w:w="1117"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Srednja </w:t>
            </w:r>
          </w:p>
        </w:tc>
        <w:tc>
          <w:tcPr>
            <w:tcW w:w="3175" w:type="dxa"/>
            <w:shd w:val="clear" w:color="auto" w:fill="auto"/>
            <w:hideMark/>
          </w:tcPr>
          <w:p w:rsidR="00912031" w:rsidRPr="00F10CD6" w:rsidRDefault="00912031" w:rsidP="004115F8">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Posredne negativne posledice za slovensko gospodarstvo</w:t>
            </w:r>
            <w:r w:rsidR="00644FF1">
              <w:rPr>
                <w:rFonts w:eastAsia="Times New Roman" w:cs="Arial"/>
                <w:color w:val="0D0D0D" w:themeColor="text1" w:themeTint="F2"/>
                <w:sz w:val="20"/>
                <w:szCs w:val="20"/>
                <w:lang w:eastAsia="sl-SI"/>
              </w:rPr>
              <w:t xml:space="preserve"> in izvoz, potencialni vpliv na javne finance zaradi vplačil v EU proračun.</w:t>
            </w:r>
          </w:p>
        </w:tc>
        <w:tc>
          <w:tcPr>
            <w:tcW w:w="2381" w:type="dxa"/>
            <w:shd w:val="clear" w:color="auto" w:fill="auto"/>
            <w:noWrap/>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D0D0D" w:themeColor="text1" w:themeTint="F2"/>
                <w:sz w:val="20"/>
                <w:szCs w:val="20"/>
                <w:lang w:eastAsia="sl-SI"/>
              </w:rPr>
            </w:pPr>
            <w:r w:rsidRPr="00F10CD6">
              <w:rPr>
                <w:rFonts w:ascii="Calibri" w:eastAsia="Times New Roman" w:hAnsi="Calibri" w:cs="Times New Roman"/>
                <w:color w:val="0D0D0D" w:themeColor="text1" w:themeTint="F2"/>
                <w:sz w:val="20"/>
                <w:szCs w:val="20"/>
                <w:lang w:eastAsia="sl-SI"/>
              </w:rPr>
              <w:t> </w:t>
            </w:r>
          </w:p>
        </w:tc>
      </w:tr>
      <w:tr w:rsidR="00BB6E3B" w:rsidRPr="00F10CD6" w:rsidTr="00BB6E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2567C3" w:rsidRDefault="00912031" w:rsidP="004115F8">
            <w:pPr>
              <w:jc w:val="left"/>
              <w:rPr>
                <w:rFonts w:eastAsia="Times New Roman" w:cs="Arial"/>
                <w:b w:val="0"/>
                <w:color w:val="0D0D0D" w:themeColor="text1" w:themeTint="F2"/>
                <w:sz w:val="20"/>
                <w:szCs w:val="20"/>
                <w:lang w:eastAsia="sl-SI"/>
              </w:rPr>
            </w:pPr>
            <w:r w:rsidRPr="002567C3">
              <w:rPr>
                <w:rFonts w:eastAsia="Times New Roman" w:cs="Arial"/>
                <w:b w:val="0"/>
                <w:color w:val="0D0D0D" w:themeColor="text1" w:themeTint="F2"/>
                <w:sz w:val="20"/>
                <w:szCs w:val="20"/>
                <w:lang w:eastAsia="sl-SI"/>
              </w:rPr>
              <w:t xml:space="preserve">Politična negotovost </w:t>
            </w:r>
            <w:r w:rsidR="00644FF1" w:rsidRPr="002567C3">
              <w:rPr>
                <w:rFonts w:eastAsia="Times New Roman" w:cs="Arial"/>
                <w:b w:val="0"/>
                <w:color w:val="0D0D0D" w:themeColor="text1" w:themeTint="F2"/>
                <w:sz w:val="20"/>
                <w:szCs w:val="20"/>
                <w:lang w:eastAsia="sl-SI"/>
              </w:rPr>
              <w:t>in evropske volitve v EU</w:t>
            </w:r>
          </w:p>
        </w:tc>
        <w:tc>
          <w:tcPr>
            <w:tcW w:w="1117" w:type="dxa"/>
            <w:hideMark/>
          </w:tcPr>
          <w:p w:rsidR="00912031" w:rsidRPr="002567C3"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2567C3">
              <w:rPr>
                <w:rFonts w:eastAsia="Times New Roman" w:cs="Arial"/>
                <w:color w:val="0D0D0D" w:themeColor="text1" w:themeTint="F2"/>
                <w:sz w:val="20"/>
                <w:szCs w:val="20"/>
                <w:lang w:eastAsia="sl-SI"/>
              </w:rPr>
              <w:t xml:space="preserve">Srednja </w:t>
            </w:r>
          </w:p>
        </w:tc>
        <w:tc>
          <w:tcPr>
            <w:tcW w:w="3175" w:type="dxa"/>
            <w:hideMark/>
          </w:tcPr>
          <w:p w:rsidR="00912031" w:rsidRPr="00F10CD6" w:rsidRDefault="00644FF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2567C3">
              <w:rPr>
                <w:rFonts w:eastAsia="Times New Roman" w:cs="Arial"/>
                <w:color w:val="0D0D0D" w:themeColor="text1" w:themeTint="F2"/>
                <w:sz w:val="20"/>
                <w:szCs w:val="20"/>
                <w:lang w:eastAsia="sl-SI"/>
              </w:rPr>
              <w:t>Negotovost glede politične agende prihodnje nove administracije v državah člani</w:t>
            </w:r>
            <w:r w:rsidR="002567C3">
              <w:rPr>
                <w:rFonts w:eastAsia="Times New Roman" w:cs="Arial"/>
                <w:color w:val="0D0D0D" w:themeColor="text1" w:themeTint="F2"/>
                <w:sz w:val="20"/>
                <w:szCs w:val="20"/>
                <w:lang w:eastAsia="sl-SI"/>
              </w:rPr>
              <w:t>ca</w:t>
            </w:r>
            <w:r w:rsidRPr="002567C3">
              <w:rPr>
                <w:rFonts w:eastAsia="Times New Roman" w:cs="Arial"/>
                <w:color w:val="0D0D0D" w:themeColor="text1" w:themeTint="F2"/>
                <w:sz w:val="20"/>
                <w:szCs w:val="20"/>
                <w:lang w:eastAsia="sl-SI"/>
              </w:rPr>
              <w:t>h EU.</w:t>
            </w:r>
          </w:p>
        </w:tc>
        <w:tc>
          <w:tcPr>
            <w:tcW w:w="2381"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D0D0D" w:themeColor="text1" w:themeTint="F2"/>
                <w:sz w:val="20"/>
                <w:szCs w:val="20"/>
                <w:lang w:eastAsia="sl-SI"/>
              </w:rPr>
            </w:pPr>
            <w:r w:rsidRPr="00F10CD6">
              <w:rPr>
                <w:rFonts w:ascii="Calibri" w:eastAsia="Times New Roman" w:hAnsi="Calibri" w:cs="Times New Roman"/>
                <w:color w:val="0D0D0D" w:themeColor="text1" w:themeTint="F2"/>
                <w:sz w:val="20"/>
                <w:szCs w:val="20"/>
                <w:lang w:eastAsia="sl-SI"/>
              </w:rPr>
              <w:t> </w:t>
            </w:r>
          </w:p>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D0D0D" w:themeColor="text1" w:themeTint="F2"/>
                <w:sz w:val="20"/>
                <w:szCs w:val="20"/>
                <w:lang w:eastAsia="sl-SI"/>
              </w:rPr>
            </w:pPr>
          </w:p>
        </w:tc>
      </w:tr>
      <w:tr w:rsidR="00644FF1" w:rsidRPr="00F10CD6" w:rsidTr="009B5300">
        <w:trPr>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B5366A">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 xml:space="preserve">Posledice sprememb v denarni politiki ECB </w:t>
            </w:r>
            <w:r w:rsidR="00644FF1">
              <w:rPr>
                <w:rFonts w:eastAsia="Times New Roman" w:cs="Arial"/>
                <w:b w:val="0"/>
                <w:color w:val="0D0D0D" w:themeColor="text1" w:themeTint="F2"/>
                <w:sz w:val="20"/>
                <w:szCs w:val="20"/>
                <w:lang w:eastAsia="sl-SI"/>
              </w:rPr>
              <w:t>in sprememba pogojev financiranja</w:t>
            </w:r>
          </w:p>
        </w:tc>
        <w:tc>
          <w:tcPr>
            <w:tcW w:w="1117" w:type="dxa"/>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Nizka</w:t>
            </w:r>
            <w:r w:rsidR="00644FF1">
              <w:rPr>
                <w:rFonts w:eastAsia="Times New Roman" w:cs="Arial"/>
                <w:color w:val="0D0D0D" w:themeColor="text1" w:themeTint="F2"/>
                <w:sz w:val="20"/>
                <w:szCs w:val="20"/>
                <w:lang w:eastAsia="sl-SI"/>
              </w:rPr>
              <w:t>/ Srednja</w:t>
            </w:r>
          </w:p>
        </w:tc>
        <w:tc>
          <w:tcPr>
            <w:tcW w:w="3175" w:type="dxa"/>
            <w:hideMark/>
          </w:tcPr>
          <w:p w:rsidR="00912031" w:rsidRPr="00F10CD6" w:rsidRDefault="00912031" w:rsidP="00912031">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Zviševanje referenčne obrestne mere ECB bi imelo negativne posledice na gospodarsko rast v Sloveniji</w:t>
            </w:r>
            <w:r w:rsidR="00644FF1">
              <w:rPr>
                <w:rFonts w:eastAsia="Times New Roman" w:cs="Arial"/>
                <w:color w:val="0D0D0D" w:themeColor="text1" w:themeTint="F2"/>
                <w:sz w:val="20"/>
                <w:szCs w:val="20"/>
                <w:lang w:eastAsia="sl-SI"/>
              </w:rPr>
              <w:t xml:space="preserve"> in upravljanje dolga.</w:t>
            </w:r>
          </w:p>
        </w:tc>
        <w:tc>
          <w:tcPr>
            <w:tcW w:w="2381" w:type="dxa"/>
            <w:noWrap/>
            <w:hideMark/>
          </w:tcPr>
          <w:p w:rsidR="00912031" w:rsidRPr="00F10CD6" w:rsidRDefault="00644FF1" w:rsidP="00B5366A">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D0D0D" w:themeColor="text1" w:themeTint="F2"/>
                <w:sz w:val="20"/>
                <w:szCs w:val="20"/>
                <w:lang w:eastAsia="sl-SI"/>
              </w:rPr>
            </w:pPr>
            <w:r w:rsidRPr="00F10CD6">
              <w:rPr>
                <w:rFonts w:eastAsia="Times New Roman" w:cs="Arial"/>
                <w:color w:val="0D0D0D" w:themeColor="text1" w:themeTint="F2"/>
                <w:sz w:val="20"/>
                <w:szCs w:val="20"/>
                <w:lang w:eastAsia="sl-SI"/>
              </w:rPr>
              <w:t>Vpliv spremenjene obrest</w:t>
            </w:r>
            <w:r w:rsidR="00353050">
              <w:rPr>
                <w:rFonts w:eastAsia="Times New Roman" w:cs="Arial"/>
                <w:color w:val="0D0D0D" w:themeColor="text1" w:themeTint="F2"/>
                <w:sz w:val="20"/>
                <w:szCs w:val="20"/>
                <w:lang w:eastAsia="sl-SI"/>
              </w:rPr>
              <w:t>n</w:t>
            </w:r>
            <w:r w:rsidRPr="00F10CD6">
              <w:rPr>
                <w:rFonts w:eastAsia="Times New Roman" w:cs="Arial"/>
                <w:color w:val="0D0D0D" w:themeColor="text1" w:themeTint="F2"/>
                <w:sz w:val="20"/>
                <w:szCs w:val="20"/>
                <w:lang w:eastAsia="sl-SI"/>
              </w:rPr>
              <w:t>e mere na dolg v poglavju 4.3.</w:t>
            </w:r>
          </w:p>
        </w:tc>
      </w:tr>
      <w:tr w:rsidR="00644FF1" w:rsidRPr="00F10CD6" w:rsidTr="009B53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vAlign w:val="bottom"/>
            <w:hideMark/>
          </w:tcPr>
          <w:p w:rsidR="00912031" w:rsidRPr="00F10CD6" w:rsidRDefault="00912031" w:rsidP="00B5366A">
            <w:pPr>
              <w:jc w:val="left"/>
              <w:rPr>
                <w:rFonts w:eastAsia="Times New Roman" w:cs="Arial"/>
                <w:b w:val="0"/>
                <w:bCs w:val="0"/>
                <w:i/>
                <w:color w:val="0D0D0D" w:themeColor="text1" w:themeTint="F2"/>
                <w:sz w:val="20"/>
                <w:szCs w:val="20"/>
                <w:lang w:eastAsia="sl-SI"/>
              </w:rPr>
            </w:pPr>
            <w:r w:rsidRPr="00F10CD6">
              <w:rPr>
                <w:rFonts w:eastAsia="Times New Roman" w:cs="Arial"/>
                <w:b w:val="0"/>
                <w:i/>
                <w:color w:val="0D0D0D" w:themeColor="text1" w:themeTint="F2"/>
                <w:sz w:val="20"/>
                <w:szCs w:val="20"/>
                <w:lang w:eastAsia="sl-SI"/>
              </w:rPr>
              <w:t xml:space="preserve">Domače okolje </w:t>
            </w:r>
          </w:p>
        </w:tc>
        <w:tc>
          <w:tcPr>
            <w:tcW w:w="1117" w:type="dxa"/>
            <w:vAlign w:val="bottom"/>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20"/>
                <w:szCs w:val="20"/>
                <w:lang w:eastAsia="sl-SI"/>
              </w:rPr>
            </w:pPr>
            <w:r w:rsidRPr="00F10CD6">
              <w:rPr>
                <w:rFonts w:eastAsia="Times New Roman" w:cs="Arial"/>
                <w:bCs/>
                <w:i/>
                <w:color w:val="0D0D0D" w:themeColor="text1" w:themeTint="F2"/>
                <w:sz w:val="20"/>
                <w:szCs w:val="20"/>
                <w:lang w:eastAsia="sl-SI"/>
              </w:rPr>
              <w:t> </w:t>
            </w:r>
          </w:p>
        </w:tc>
        <w:tc>
          <w:tcPr>
            <w:tcW w:w="3175" w:type="dxa"/>
            <w:vAlign w:val="bottom"/>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20"/>
                <w:szCs w:val="20"/>
                <w:lang w:eastAsia="sl-SI"/>
              </w:rPr>
            </w:pPr>
            <w:r w:rsidRPr="00F10CD6">
              <w:rPr>
                <w:rFonts w:eastAsia="Times New Roman" w:cs="Arial"/>
                <w:bCs/>
                <w:i/>
                <w:color w:val="0D0D0D" w:themeColor="text1" w:themeTint="F2"/>
                <w:sz w:val="20"/>
                <w:szCs w:val="20"/>
                <w:lang w:eastAsia="sl-SI"/>
              </w:rPr>
              <w:t> </w:t>
            </w:r>
          </w:p>
        </w:tc>
        <w:tc>
          <w:tcPr>
            <w:tcW w:w="2381" w:type="dxa"/>
            <w:noWrap/>
            <w:vAlign w:val="bottom"/>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D0D0D" w:themeColor="text1" w:themeTint="F2"/>
                <w:sz w:val="20"/>
                <w:szCs w:val="20"/>
                <w:lang w:eastAsia="sl-SI"/>
              </w:rPr>
            </w:pPr>
            <w:r w:rsidRPr="00F10CD6">
              <w:rPr>
                <w:rFonts w:ascii="Calibri" w:eastAsia="Times New Roman" w:hAnsi="Calibri" w:cs="Times New Roman"/>
                <w:i/>
                <w:color w:val="0D0D0D" w:themeColor="text1" w:themeTint="F2"/>
                <w:sz w:val="20"/>
                <w:szCs w:val="20"/>
                <w:lang w:eastAsia="sl-SI"/>
              </w:rPr>
              <w:t> </w:t>
            </w:r>
          </w:p>
        </w:tc>
      </w:tr>
      <w:tr w:rsidR="00644FF1" w:rsidRPr="00F10CD6" w:rsidTr="009B5300">
        <w:trPr>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912031">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Napovedi črpanja sredstev EU</w:t>
            </w:r>
          </w:p>
        </w:tc>
        <w:tc>
          <w:tcPr>
            <w:tcW w:w="1117" w:type="dxa"/>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Srednja</w:t>
            </w:r>
          </w:p>
        </w:tc>
        <w:tc>
          <w:tcPr>
            <w:tcW w:w="3175" w:type="dxa"/>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Odmiki od napovedanega neposredno vplivajo na izdatke in prihodke. Nižja realizacija znižuje pritisk na zgornjo mejo izdatkov, v naslednji letih pa povečuje pritisk na znižanje nacionalnih izdatkov, da le ti ostanejo znotraj sprejetega Okvirja.</w:t>
            </w:r>
          </w:p>
        </w:tc>
        <w:tc>
          <w:tcPr>
            <w:tcW w:w="2381" w:type="dxa"/>
            <w:noWrap/>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D0D0D" w:themeColor="text1" w:themeTint="F2"/>
                <w:sz w:val="20"/>
                <w:szCs w:val="20"/>
                <w:lang w:eastAsia="sl-SI"/>
              </w:rPr>
            </w:pPr>
            <w:r w:rsidRPr="00F10CD6">
              <w:rPr>
                <w:rFonts w:ascii="Calibri" w:eastAsia="Times New Roman" w:hAnsi="Calibri" w:cs="Times New Roman"/>
                <w:color w:val="0D0D0D" w:themeColor="text1" w:themeTint="F2"/>
                <w:sz w:val="20"/>
                <w:szCs w:val="20"/>
                <w:lang w:eastAsia="sl-SI"/>
              </w:rPr>
              <w:t> </w:t>
            </w:r>
          </w:p>
        </w:tc>
      </w:tr>
      <w:tr w:rsidR="00644FF1" w:rsidRPr="00F10CD6" w:rsidTr="009B53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B5366A">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Naravne nesreče</w:t>
            </w:r>
          </w:p>
        </w:tc>
        <w:tc>
          <w:tcPr>
            <w:tcW w:w="1117"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Nizka</w:t>
            </w:r>
          </w:p>
        </w:tc>
        <w:tc>
          <w:tcPr>
            <w:tcW w:w="3175"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Povečanje javnofinančnih izdatkov. </w:t>
            </w:r>
          </w:p>
        </w:tc>
        <w:tc>
          <w:tcPr>
            <w:tcW w:w="2381"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Za te namene je oblikovana proračunska rezerva, ki deluje kot Proračunski sklad.</w:t>
            </w:r>
          </w:p>
        </w:tc>
      </w:tr>
      <w:tr w:rsidR="00644FF1" w:rsidRPr="00F10CD6" w:rsidTr="009B5300">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hideMark/>
          </w:tcPr>
          <w:p w:rsidR="00912031" w:rsidRPr="00F10CD6" w:rsidRDefault="00912031" w:rsidP="00B5366A">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Sprostitev omejitve višine odškodnin za izbrisane iz Registra stalnega prebivalstva</w:t>
            </w:r>
          </w:p>
        </w:tc>
        <w:tc>
          <w:tcPr>
            <w:tcW w:w="1117"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Srednja </w:t>
            </w:r>
          </w:p>
        </w:tc>
        <w:tc>
          <w:tcPr>
            <w:tcW w:w="3175"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Povečanje javnofinančnih izdatkov. </w:t>
            </w:r>
          </w:p>
        </w:tc>
        <w:tc>
          <w:tcPr>
            <w:tcW w:w="2381"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Finančni učinki so odvisni od posameznih pravno priznanih škod </w:t>
            </w:r>
          </w:p>
          <w:p w:rsidR="00912031" w:rsidRPr="00F10CD6" w:rsidRDefault="00912031" w:rsidP="00912031">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in zamudnih obresti. Tako v tem trenutku ni mogoče podati natančnejše ocene.</w:t>
            </w:r>
          </w:p>
        </w:tc>
      </w:tr>
      <w:tr w:rsidR="00644FF1" w:rsidRPr="00F10CD6" w:rsidTr="00BB6E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hideMark/>
          </w:tcPr>
          <w:p w:rsidR="00912031" w:rsidRPr="00F10CD6" w:rsidRDefault="00912031" w:rsidP="00B5366A">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Prisilna izpolnitev pravnomočnih sodb glede prenesenih deviznih vlog LB na Hrvaškem</w:t>
            </w:r>
          </w:p>
        </w:tc>
        <w:tc>
          <w:tcPr>
            <w:tcW w:w="1117"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Srednja </w:t>
            </w:r>
          </w:p>
        </w:tc>
        <w:tc>
          <w:tcPr>
            <w:tcW w:w="3175" w:type="dxa"/>
            <w:hideMark/>
          </w:tcPr>
          <w:p w:rsidR="00912031" w:rsidRPr="00F10CD6" w:rsidRDefault="00912031" w:rsidP="008F6439">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V tem primeru bodo negativne finančne posledice NLB nadomeščene s strani Sklada RS za nasledstvo (Sklad)</w:t>
            </w:r>
            <w:r w:rsidR="004D2ECF">
              <w:rPr>
                <w:rFonts w:eastAsia="Times New Roman" w:cs="Arial"/>
                <w:color w:val="0D0D0D" w:themeColor="text1" w:themeTint="F2"/>
                <w:sz w:val="20"/>
                <w:szCs w:val="20"/>
                <w:lang w:eastAsia="sl-SI"/>
              </w:rPr>
              <w:t xml:space="preserve">. </w:t>
            </w:r>
            <w:r w:rsidR="004D2ECF" w:rsidRPr="00C3436D">
              <w:rPr>
                <w:rFonts w:eastAsia="Times New Roman" w:cs="Arial"/>
                <w:color w:val="0D0D0D" w:themeColor="text1" w:themeTint="F2"/>
                <w:sz w:val="20"/>
                <w:szCs w:val="20"/>
                <w:lang w:eastAsia="sl-SI"/>
              </w:rPr>
              <w:t xml:space="preserve">Urejeno </w:t>
            </w:r>
            <w:r w:rsidR="008F6439" w:rsidRPr="00BB6E3B">
              <w:rPr>
                <w:rFonts w:eastAsia="Times New Roman" w:cs="Arial"/>
                <w:color w:val="0D0D0D" w:themeColor="text1" w:themeTint="F2"/>
                <w:sz w:val="20"/>
                <w:szCs w:val="20"/>
                <w:lang w:eastAsia="sl-SI"/>
              </w:rPr>
              <w:t>v</w:t>
            </w:r>
            <w:r w:rsidR="004D2ECF" w:rsidRPr="00C3436D">
              <w:rPr>
                <w:rFonts w:eastAsia="Times New Roman" w:cs="Arial"/>
                <w:color w:val="0D0D0D" w:themeColor="text1" w:themeTint="F2"/>
                <w:sz w:val="20"/>
                <w:szCs w:val="20"/>
                <w:lang w:eastAsia="sl-SI"/>
              </w:rPr>
              <w:t xml:space="preserve"> </w:t>
            </w:r>
            <w:r w:rsidR="008F6439" w:rsidRPr="00BB6E3B">
              <w:rPr>
                <w:rFonts w:eastAsia="Times New Roman" w:cs="Arial"/>
                <w:color w:val="0D0D0D" w:themeColor="text1" w:themeTint="F2"/>
                <w:sz w:val="20"/>
                <w:szCs w:val="20"/>
                <w:lang w:eastAsia="sl-SI"/>
              </w:rPr>
              <w:t xml:space="preserve">Zakonu za zaščito vrednosti kapitalske naložbe Republike Slovenije v Novi Ljubljanski banki d.d., Ljubljana (ZVKNNLB), </w:t>
            </w:r>
            <w:r w:rsidR="008F6439" w:rsidRPr="00BB6E3B">
              <w:rPr>
                <w:rFonts w:cs="Arial"/>
                <w:color w:val="000000"/>
                <w:sz w:val="18"/>
                <w:szCs w:val="18"/>
              </w:rPr>
              <w:t>sprejetem 19. julija 2018.</w:t>
            </w:r>
          </w:p>
        </w:tc>
        <w:tc>
          <w:tcPr>
            <w:tcW w:w="2381" w:type="dxa"/>
            <w:hideMark/>
          </w:tcPr>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Ocena finančnih posledic je negotova, ker je negotovo, v </w:t>
            </w:r>
          </w:p>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kakšnem obsegu bodo izvršene prisilne izterjave na podlagi</w:t>
            </w:r>
          </w:p>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pravnomočnih sodnih odločb sodišč Republike Hrvaške </w:t>
            </w:r>
          </w:p>
          <w:p w:rsidR="00912031" w:rsidRPr="00F10CD6" w:rsidRDefault="00912031" w:rsidP="00B5366A">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glede prenesenih deviznih vlog. </w:t>
            </w:r>
          </w:p>
        </w:tc>
      </w:tr>
      <w:tr w:rsidR="00644FF1" w:rsidRPr="00F10CD6" w:rsidTr="00BB6E3B">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hideMark/>
          </w:tcPr>
          <w:p w:rsidR="00912031" w:rsidRPr="00F10CD6" w:rsidRDefault="00912031" w:rsidP="00B5366A">
            <w:pPr>
              <w:jc w:val="left"/>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Morebitno izplačilo odškodnin nekdanjim imetnikom kvalificiranih obveznosti bank s strani Banke Slovenije</w:t>
            </w:r>
          </w:p>
        </w:tc>
        <w:tc>
          <w:tcPr>
            <w:tcW w:w="1117"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Nizka</w:t>
            </w:r>
          </w:p>
        </w:tc>
        <w:tc>
          <w:tcPr>
            <w:tcW w:w="3175" w:type="dxa"/>
            <w:shd w:val="clear" w:color="auto" w:fill="auto"/>
            <w:hideMark/>
          </w:tcPr>
          <w:p w:rsidR="008F6439" w:rsidRPr="00BB6E3B" w:rsidRDefault="00912031" w:rsidP="008F6439">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Če bo sodišče ugotovilo, da nekdanjim imetnikom pripada odškodnina, bo to izplačala Banka Slovenije do višine za ta namen oblikovanih rezervacij in splošnih rezerv</w:t>
            </w:r>
            <w:r w:rsidR="004D2ECF">
              <w:rPr>
                <w:rFonts w:eastAsia="Times New Roman" w:cs="Arial"/>
                <w:color w:val="0D0D0D" w:themeColor="text1" w:themeTint="F2"/>
                <w:sz w:val="20"/>
                <w:szCs w:val="20"/>
                <w:lang w:eastAsia="sl-SI"/>
              </w:rPr>
              <w:t xml:space="preserve"> </w:t>
            </w:r>
            <w:r w:rsidR="004D2ECF" w:rsidRPr="00C3436D">
              <w:rPr>
                <w:rFonts w:eastAsia="Times New Roman" w:cs="Arial"/>
                <w:color w:val="0D0D0D" w:themeColor="text1" w:themeTint="F2"/>
                <w:sz w:val="20"/>
                <w:szCs w:val="20"/>
                <w:lang w:eastAsia="sl-SI"/>
              </w:rPr>
              <w:t>(</w:t>
            </w:r>
            <w:r w:rsidR="008F6439" w:rsidRPr="00BB6E3B">
              <w:rPr>
                <w:rFonts w:eastAsia="Times New Roman" w:cs="Arial"/>
                <w:color w:val="0D0D0D" w:themeColor="text1" w:themeTint="F2"/>
                <w:sz w:val="20"/>
                <w:szCs w:val="20"/>
                <w:lang w:eastAsia="sl-SI"/>
              </w:rPr>
              <w:t>Zakon</w:t>
            </w:r>
          </w:p>
          <w:p w:rsidR="00912031" w:rsidRPr="00F10CD6" w:rsidRDefault="008F6439" w:rsidP="00AA0E6D">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BB6E3B">
              <w:rPr>
                <w:rFonts w:eastAsia="Times New Roman" w:cs="Arial"/>
                <w:color w:val="0D0D0D" w:themeColor="text1" w:themeTint="F2"/>
                <w:sz w:val="20"/>
                <w:szCs w:val="20"/>
                <w:lang w:eastAsia="sl-SI"/>
              </w:rPr>
              <w:t>o postopku sodnega varstva nekdanjih imetnikov kvalificiranih obveznosti bank</w:t>
            </w:r>
            <w:r w:rsidR="004D2ECF" w:rsidRPr="00C3436D">
              <w:rPr>
                <w:rFonts w:eastAsia="Times New Roman" w:cs="Arial"/>
                <w:color w:val="0D0D0D" w:themeColor="text1" w:themeTint="F2"/>
                <w:sz w:val="20"/>
                <w:szCs w:val="20"/>
                <w:lang w:eastAsia="sl-SI"/>
              </w:rPr>
              <w:t xml:space="preserve">, </w:t>
            </w:r>
            <w:r w:rsidR="004D2ECF" w:rsidRPr="00BB6E3B">
              <w:rPr>
                <w:rFonts w:eastAsia="Times New Roman" w:cs="Arial"/>
                <w:color w:val="0D0D0D" w:themeColor="text1" w:themeTint="F2"/>
                <w:sz w:val="20"/>
                <w:szCs w:val="20"/>
                <w:lang w:eastAsia="sl-SI"/>
              </w:rPr>
              <w:t>sprej</w:t>
            </w:r>
            <w:r w:rsidR="004115F8" w:rsidRPr="00BB6E3B">
              <w:rPr>
                <w:rFonts w:eastAsia="Times New Roman" w:cs="Arial"/>
                <w:color w:val="0D0D0D" w:themeColor="text1" w:themeTint="F2"/>
                <w:sz w:val="20"/>
                <w:szCs w:val="20"/>
                <w:lang w:eastAsia="sl-SI"/>
              </w:rPr>
              <w:t>e</w:t>
            </w:r>
            <w:r w:rsidR="004D2ECF" w:rsidRPr="00C3436D">
              <w:rPr>
                <w:rFonts w:eastAsia="Times New Roman" w:cs="Arial"/>
                <w:color w:val="0D0D0D" w:themeColor="text1" w:themeTint="F2"/>
                <w:sz w:val="20"/>
                <w:szCs w:val="20"/>
                <w:lang w:eastAsia="sl-SI"/>
              </w:rPr>
              <w:t>t na vladi</w:t>
            </w:r>
            <w:r w:rsidR="00E868BE" w:rsidRPr="00BB6E3B">
              <w:rPr>
                <w:rFonts w:eastAsia="Times New Roman" w:cs="Arial"/>
                <w:color w:val="0D0D0D" w:themeColor="text1" w:themeTint="F2"/>
                <w:sz w:val="20"/>
                <w:szCs w:val="20"/>
                <w:lang w:eastAsia="sl-SI"/>
              </w:rPr>
              <w:t xml:space="preserve"> </w:t>
            </w:r>
            <w:r w:rsidR="00AA0E6D">
              <w:rPr>
                <w:rFonts w:eastAsia="Times New Roman" w:cs="Arial"/>
                <w:color w:val="0D0D0D" w:themeColor="text1" w:themeTint="F2"/>
                <w:sz w:val="20"/>
                <w:szCs w:val="20"/>
                <w:lang w:eastAsia="sl-SI"/>
              </w:rPr>
              <w:t xml:space="preserve">9. aprila </w:t>
            </w:r>
            <w:r w:rsidR="00E868BE" w:rsidRPr="00BB6E3B">
              <w:rPr>
                <w:rFonts w:eastAsia="Times New Roman" w:cs="Arial"/>
                <w:color w:val="0D0D0D" w:themeColor="text1" w:themeTint="F2"/>
                <w:sz w:val="20"/>
                <w:szCs w:val="20"/>
                <w:lang w:eastAsia="sl-SI"/>
              </w:rPr>
              <w:t>2019).</w:t>
            </w:r>
          </w:p>
        </w:tc>
        <w:tc>
          <w:tcPr>
            <w:tcW w:w="2381" w:type="dxa"/>
            <w:shd w:val="clear" w:color="auto" w:fill="auto"/>
            <w:hideMark/>
          </w:tcPr>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 xml:space="preserve">V tem trenutku ni mogoče podati natančnejše številčne </w:t>
            </w:r>
          </w:p>
          <w:p w:rsidR="00912031" w:rsidRPr="00F10CD6" w:rsidRDefault="00912031" w:rsidP="00B5366A">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20"/>
                <w:szCs w:val="20"/>
                <w:lang w:eastAsia="sl-SI"/>
              </w:rPr>
            </w:pPr>
            <w:r w:rsidRPr="00F10CD6">
              <w:rPr>
                <w:rFonts w:eastAsia="Times New Roman" w:cs="Arial"/>
                <w:color w:val="0D0D0D" w:themeColor="text1" w:themeTint="F2"/>
                <w:sz w:val="20"/>
                <w:szCs w:val="20"/>
                <w:lang w:eastAsia="sl-SI"/>
              </w:rPr>
              <w:t>ocene finančnih sredstev za državni proračun.</w:t>
            </w:r>
          </w:p>
        </w:tc>
      </w:tr>
    </w:tbl>
    <w:p w:rsidR="001F576B" w:rsidRPr="00F10CD6" w:rsidRDefault="001F576B" w:rsidP="00516B56">
      <w:pPr>
        <w:spacing w:line="259" w:lineRule="auto"/>
        <w:jc w:val="left"/>
        <w:rPr>
          <w:color w:val="0D0D0D" w:themeColor="text1" w:themeTint="F2"/>
          <w:sz w:val="12"/>
        </w:rPr>
      </w:pPr>
    </w:p>
    <w:p w:rsidR="00A91893" w:rsidRPr="00F10CD6" w:rsidRDefault="00A91893" w:rsidP="00A91893">
      <w:pPr>
        <w:pStyle w:val="ListParagraph"/>
        <w:keepNext/>
        <w:keepLines/>
        <w:numPr>
          <w:ilvl w:val="1"/>
          <w:numId w:val="18"/>
        </w:numPr>
        <w:spacing w:before="480" w:after="0"/>
        <w:contextualSpacing w:val="0"/>
        <w:outlineLvl w:val="0"/>
        <w:rPr>
          <w:rFonts w:eastAsiaTheme="majorEastAsia" w:cs="Arial"/>
          <w:b/>
          <w:bCs/>
          <w:vanish/>
          <w:color w:val="0D0D0D" w:themeColor="text1" w:themeTint="F2"/>
        </w:rPr>
      </w:pPr>
      <w:bookmarkStart w:id="23" w:name="_Toc6406925"/>
      <w:bookmarkStart w:id="24" w:name="_Toc6923660"/>
      <w:bookmarkStart w:id="25" w:name="_Toc418065196"/>
      <w:bookmarkStart w:id="26" w:name="_Toc386443430"/>
      <w:bookmarkStart w:id="27" w:name="_Toc251942529"/>
      <w:bookmarkStart w:id="28" w:name="_Toc251935149"/>
      <w:bookmarkStart w:id="29" w:name="_Toc251935152"/>
      <w:bookmarkStart w:id="30" w:name="_Toc251942532"/>
      <w:bookmarkStart w:id="31" w:name="_Toc386443433"/>
      <w:bookmarkEnd w:id="23"/>
      <w:bookmarkEnd w:id="24"/>
    </w:p>
    <w:p w:rsidR="007379EF" w:rsidRPr="00F10CD6" w:rsidRDefault="007379EF" w:rsidP="00A91893">
      <w:pPr>
        <w:pStyle w:val="Heading2"/>
        <w:numPr>
          <w:ilvl w:val="1"/>
          <w:numId w:val="18"/>
        </w:numPr>
        <w:rPr>
          <w:color w:val="0D0D0D" w:themeColor="text1" w:themeTint="F2"/>
        </w:rPr>
      </w:pPr>
      <w:bookmarkStart w:id="32" w:name="_Toc6923661"/>
      <w:r w:rsidRPr="00F10CD6">
        <w:rPr>
          <w:color w:val="0D0D0D" w:themeColor="text1" w:themeTint="F2"/>
        </w:rPr>
        <w:t xml:space="preserve">Analiza občutljivosti salda sektorja država na spremembe </w:t>
      </w:r>
      <w:bookmarkEnd w:id="25"/>
      <w:bookmarkEnd w:id="26"/>
      <w:bookmarkEnd w:id="27"/>
      <w:bookmarkEnd w:id="28"/>
      <w:r w:rsidR="0037132D" w:rsidRPr="00F10CD6">
        <w:rPr>
          <w:color w:val="0D0D0D" w:themeColor="text1" w:themeTint="F2"/>
        </w:rPr>
        <w:t>BDP</w:t>
      </w:r>
      <w:bookmarkEnd w:id="32"/>
    </w:p>
    <w:p w:rsidR="00305638" w:rsidRPr="00F10CD6" w:rsidRDefault="00305638" w:rsidP="008D061D">
      <w:pPr>
        <w:pStyle w:val="besedilo"/>
        <w:rPr>
          <w:color w:val="0D0D0D" w:themeColor="text1" w:themeTint="F2"/>
        </w:rPr>
      </w:pPr>
    </w:p>
    <w:p w:rsidR="00C37F08" w:rsidRPr="00F10CD6" w:rsidRDefault="00C37F08" w:rsidP="00C37F08">
      <w:pPr>
        <w:pStyle w:val="besedilo"/>
        <w:tabs>
          <w:tab w:val="left" w:pos="1560"/>
        </w:tabs>
        <w:rPr>
          <w:color w:val="0D0D0D" w:themeColor="text1" w:themeTint="F2"/>
        </w:rPr>
      </w:pPr>
      <w:r w:rsidRPr="00F10CD6">
        <w:rPr>
          <w:color w:val="0D0D0D" w:themeColor="text1" w:themeTint="F2"/>
        </w:rPr>
        <w:t>Analiza občutljivosti prikazuje vpliv nihanja v gospodarski rasti na saldo sektorja država. Predpostavljena sta dva alternativna scenarija. V pr</w:t>
      </w:r>
      <w:r w:rsidR="003623E1" w:rsidRPr="00F10CD6">
        <w:rPr>
          <w:color w:val="0D0D0D" w:themeColor="text1" w:themeTint="F2"/>
        </w:rPr>
        <w:t>vem scenariju je v obdobju 2019–</w:t>
      </w:r>
      <w:r w:rsidRPr="00F10CD6">
        <w:rPr>
          <w:color w:val="0D0D0D" w:themeColor="text1" w:themeTint="F2"/>
        </w:rPr>
        <w:t>2022 predpostavljena 1 odstotno točko višja oziroma 1 odstotno točko nižja rast nominalnega BDP od osnovne napovedi (uporabljene v Programu stabilnosti 2019) na letni ravni linearno v vseh letih. V drugem primeru pa je predpostavljena nominalna rast višja oziroma nižja za 0,5 odstotne točke.</w:t>
      </w:r>
    </w:p>
    <w:p w:rsidR="00C37F08" w:rsidRPr="00F10CD6" w:rsidRDefault="00C37F08" w:rsidP="00C37F08">
      <w:pPr>
        <w:pStyle w:val="besedilo"/>
        <w:rPr>
          <w:color w:val="0D0D0D" w:themeColor="text1" w:themeTint="F2"/>
        </w:rPr>
      </w:pPr>
    </w:p>
    <w:p w:rsidR="00C37F08" w:rsidRPr="00F10CD6" w:rsidRDefault="00C37F08" w:rsidP="00C37F08">
      <w:pPr>
        <w:pStyle w:val="besedilo"/>
        <w:rPr>
          <w:color w:val="0D0D0D" w:themeColor="text1" w:themeTint="F2"/>
        </w:rPr>
      </w:pPr>
      <w:r w:rsidRPr="00F10CD6">
        <w:rPr>
          <w:color w:val="0D0D0D" w:themeColor="text1" w:themeTint="F2"/>
        </w:rPr>
        <w:t>V primeru 0,5 odstotne točke višje nominalne rasti BDP od predvidene, ob predpostavki nespremenjenih politik,  bi se saldo sektorja država izboljšal za 0,13 o.t. v letu 2019 in bi tako znašal 0,94 % BDP, v letu 2022 pa 1,72 % BDP. V nasprotnem primeru pa poslabšal za 0,13 o.t. in znašal 0,68 % BDP. V letu 2022 bi še vedno beležili presežek v višini 0,55 % BDP.</w:t>
      </w:r>
    </w:p>
    <w:p w:rsidR="00C37F08" w:rsidRPr="00F10CD6" w:rsidRDefault="00C37F08" w:rsidP="00C37F08">
      <w:pPr>
        <w:pStyle w:val="besedilo"/>
        <w:rPr>
          <w:color w:val="0D0D0D" w:themeColor="text1" w:themeTint="F2"/>
        </w:rPr>
      </w:pPr>
    </w:p>
    <w:p w:rsidR="00C37F08" w:rsidRPr="00F10CD6" w:rsidRDefault="00C37F08" w:rsidP="00C37F08">
      <w:pPr>
        <w:pStyle w:val="besedilo"/>
        <w:rPr>
          <w:color w:val="0D0D0D" w:themeColor="text1" w:themeTint="F2"/>
        </w:rPr>
      </w:pPr>
      <w:r w:rsidRPr="00F10CD6">
        <w:rPr>
          <w:color w:val="0D0D0D" w:themeColor="text1" w:themeTint="F2"/>
        </w:rPr>
        <w:t>V drugem primeru višje rasti za 1 odstotno točko bi se predvideni presežek v letu 2019 izboljšal za 0,26 odstotne točke, in bi dosegel 1,07 % BDP. Tako bi ob omenjeni predpostavkah leta 2022 beležili 2,3 % BDP presežka. V nasprotnem primeru nižje nominalne rasti za 1 % točko pa bil presežek v letu 2022 nižji za 1,12 odstotne točke in bi se približeval uravnoteže</w:t>
      </w:r>
      <w:r w:rsidR="00416BDF">
        <w:rPr>
          <w:color w:val="0D0D0D" w:themeColor="text1" w:themeTint="F2"/>
        </w:rPr>
        <w:t>ne</w:t>
      </w:r>
      <w:r w:rsidRPr="00F10CD6">
        <w:rPr>
          <w:color w:val="0D0D0D" w:themeColor="text1" w:themeTint="F2"/>
        </w:rPr>
        <w:t>mu saldu. Odstopanja se z leti povečujejo, kar je med drugim posledica učinka šoka preteklega leta.</w:t>
      </w:r>
    </w:p>
    <w:p w:rsidR="009B5300" w:rsidRDefault="009B5300" w:rsidP="00C37F08">
      <w:pPr>
        <w:pStyle w:val="Default"/>
        <w:spacing w:after="120"/>
        <w:jc w:val="center"/>
        <w:rPr>
          <w:rFonts w:ascii="Arial" w:hAnsi="Arial" w:cs="Arial"/>
          <w:bCs/>
          <w:color w:val="0D0D0D" w:themeColor="text1" w:themeTint="F2"/>
          <w:sz w:val="22"/>
          <w:szCs w:val="22"/>
        </w:rPr>
      </w:pPr>
    </w:p>
    <w:p w:rsidR="00C37F08" w:rsidRPr="00F10CD6" w:rsidRDefault="00C37F08" w:rsidP="00C37F08">
      <w:pPr>
        <w:pStyle w:val="Default"/>
        <w:spacing w:after="120"/>
        <w:jc w:val="center"/>
        <w:rPr>
          <w:rFonts w:ascii="Arial" w:hAnsi="Arial" w:cs="Arial"/>
          <w:bCs/>
          <w:color w:val="0D0D0D" w:themeColor="text1" w:themeTint="F2"/>
          <w:sz w:val="22"/>
          <w:szCs w:val="22"/>
        </w:rPr>
      </w:pPr>
      <w:r w:rsidRPr="00F10CD6">
        <w:rPr>
          <w:rFonts w:ascii="Arial" w:hAnsi="Arial" w:cs="Arial"/>
          <w:bCs/>
          <w:color w:val="0D0D0D" w:themeColor="text1" w:themeTint="F2"/>
          <w:sz w:val="22"/>
          <w:szCs w:val="22"/>
        </w:rPr>
        <w:t>Slika 25: Občutljivost salda sektorja država glede na gibanje BDP v odstotnih točkah</w:t>
      </w:r>
      <w:r w:rsidRPr="00F10CD6">
        <w:rPr>
          <w:rStyle w:val="FootnoteReference"/>
          <w:rFonts w:ascii="Arial" w:hAnsi="Arial" w:cs="Arial"/>
          <w:bCs/>
          <w:color w:val="0D0D0D" w:themeColor="text1" w:themeTint="F2"/>
          <w:sz w:val="22"/>
          <w:szCs w:val="22"/>
        </w:rPr>
        <w:footnoteReference w:id="14"/>
      </w:r>
      <w:r w:rsidRPr="00F10CD6">
        <w:rPr>
          <w:rFonts w:ascii="Arial" w:hAnsi="Arial" w:cs="Arial"/>
          <w:bCs/>
          <w:color w:val="0D0D0D" w:themeColor="text1" w:themeTint="F2"/>
          <w:sz w:val="22"/>
          <w:szCs w:val="22"/>
        </w:rPr>
        <w:t xml:space="preserve"> </w:t>
      </w:r>
    </w:p>
    <w:p w:rsidR="00C37F08" w:rsidRPr="00F10CD6" w:rsidRDefault="00C37F08" w:rsidP="003623E1">
      <w:pPr>
        <w:spacing w:after="120"/>
        <w:ind w:left="1200" w:hanging="1200"/>
        <w:jc w:val="center"/>
        <w:rPr>
          <w:rFonts w:cs="Arial"/>
          <w:b/>
          <w:bCs/>
          <w:color w:val="0D0D0D" w:themeColor="text1" w:themeTint="F2"/>
        </w:rPr>
      </w:pPr>
      <w:r w:rsidRPr="00F10CD6">
        <w:rPr>
          <w:noProof/>
          <w:color w:val="0D0D0D" w:themeColor="text1" w:themeTint="F2"/>
          <w:lang w:val="en-US"/>
        </w:rPr>
        <w:drawing>
          <wp:inline distT="0" distB="0" distL="0" distR="0" wp14:anchorId="04EBBA38" wp14:editId="6253A326">
            <wp:extent cx="5033175" cy="2846567"/>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37F08" w:rsidRPr="00F10CD6" w:rsidRDefault="00C37F08" w:rsidP="00516B56">
      <w:pPr>
        <w:shd w:val="clear" w:color="auto" w:fill="FFFFFF"/>
        <w:spacing w:after="0" w:line="270" w:lineRule="atLeast"/>
        <w:jc w:val="center"/>
        <w:rPr>
          <w:rFonts w:cs="Arial"/>
          <w:color w:val="0D0D0D" w:themeColor="text1" w:themeTint="F2"/>
          <w:spacing w:val="5"/>
          <w:sz w:val="20"/>
          <w:szCs w:val="14"/>
        </w:rPr>
      </w:pPr>
      <w:r w:rsidRPr="00F10CD6">
        <w:rPr>
          <w:rFonts w:cs="Arial"/>
          <w:color w:val="0D0D0D" w:themeColor="text1" w:themeTint="F2"/>
          <w:spacing w:val="5"/>
          <w:sz w:val="20"/>
          <w:szCs w:val="14"/>
        </w:rPr>
        <w:t>Vir: Ministrstvo za finance</w:t>
      </w:r>
    </w:p>
    <w:p w:rsidR="00516B56" w:rsidRDefault="00516B56" w:rsidP="00516B56">
      <w:pPr>
        <w:shd w:val="clear" w:color="auto" w:fill="FFFFFF"/>
        <w:spacing w:after="0" w:line="270" w:lineRule="atLeast"/>
        <w:jc w:val="center"/>
        <w:rPr>
          <w:rFonts w:cs="Arial"/>
          <w:color w:val="0D0D0D" w:themeColor="text1" w:themeTint="F2"/>
          <w:spacing w:val="5"/>
          <w:sz w:val="20"/>
          <w:szCs w:val="14"/>
        </w:rPr>
      </w:pPr>
    </w:p>
    <w:p w:rsidR="009B5300" w:rsidRPr="00F10CD6" w:rsidRDefault="009B5300" w:rsidP="00516B56">
      <w:pPr>
        <w:shd w:val="clear" w:color="auto" w:fill="FFFFFF"/>
        <w:spacing w:after="0" w:line="270" w:lineRule="atLeast"/>
        <w:jc w:val="center"/>
        <w:rPr>
          <w:rFonts w:cs="Arial"/>
          <w:color w:val="0D0D0D" w:themeColor="text1" w:themeTint="F2"/>
          <w:spacing w:val="5"/>
          <w:sz w:val="20"/>
          <w:szCs w:val="14"/>
        </w:rPr>
      </w:pPr>
    </w:p>
    <w:p w:rsidR="00B237D3" w:rsidRPr="00F10CD6" w:rsidRDefault="00B237D3" w:rsidP="00553FED">
      <w:pPr>
        <w:pStyle w:val="Heading2"/>
        <w:numPr>
          <w:ilvl w:val="1"/>
          <w:numId w:val="3"/>
        </w:numPr>
        <w:rPr>
          <w:color w:val="0D0D0D" w:themeColor="text1" w:themeTint="F2"/>
        </w:rPr>
      </w:pPr>
      <w:bookmarkStart w:id="33" w:name="_Toc6923662"/>
      <w:r w:rsidRPr="00F10CD6">
        <w:rPr>
          <w:color w:val="0D0D0D" w:themeColor="text1" w:themeTint="F2"/>
        </w:rPr>
        <w:lastRenderedPageBreak/>
        <w:t>Analiza občutljivosti dolga</w:t>
      </w:r>
      <w:bookmarkEnd w:id="33"/>
    </w:p>
    <w:p w:rsidR="00B237D3" w:rsidRPr="00F10CD6" w:rsidRDefault="00B237D3" w:rsidP="00516B56">
      <w:pPr>
        <w:spacing w:after="0"/>
        <w:rPr>
          <w:rFonts w:cs="Arial"/>
          <w:color w:val="0D0D0D" w:themeColor="text1" w:themeTint="F2"/>
        </w:rPr>
      </w:pPr>
    </w:p>
    <w:p w:rsidR="003623E1" w:rsidRPr="00F10CD6" w:rsidRDefault="003623E1" w:rsidP="003623E1">
      <w:pPr>
        <w:pStyle w:val="NormalSP"/>
        <w:rPr>
          <w:rFonts w:eastAsiaTheme="minorHAnsi" w:cs="Arial"/>
          <w:bCs/>
          <w:color w:val="0D0D0D" w:themeColor="text1" w:themeTint="F2"/>
          <w:sz w:val="22"/>
          <w:szCs w:val="22"/>
          <w:lang w:val="sl-SI" w:eastAsia="en-US"/>
        </w:rPr>
      </w:pPr>
      <w:r w:rsidRPr="00F10CD6">
        <w:rPr>
          <w:rFonts w:eastAsiaTheme="minorHAnsi" w:cs="Arial"/>
          <w:bCs/>
          <w:color w:val="0D0D0D" w:themeColor="text1" w:themeTint="F2"/>
          <w:sz w:val="22"/>
          <w:szCs w:val="22"/>
          <w:lang w:val="sl-SI" w:eastAsia="en-US"/>
        </w:rPr>
        <w:t>Osnovno izhodišče za višino stroškov zadolževanja in refinanciranja obstoječega dolga predstavlja denarna politika kvantitativnega sproščanja ECB (program PSPP), raven ključne referenčne obrestne mere ECB in velikost primanjkljaja državnega proračuna. V analizi občutljivosti predpostavljamo, da bo ECB referenčno obrestno mero do konca leta 2019 ohranila na sedanjem nivoju 0,00 %, morebiten dvig, ki bi sčasoma sledil, pa bo postopen, kot je bilo tudi zniževanje. Vpliv časovne strukture obrestnih mer je že vgrajen v osnovnem scenariju, v analizi občutljivosti pa je dodatno upoštevan pribitek v višini 0,5 odstotne točke.</w:t>
      </w:r>
    </w:p>
    <w:p w:rsidR="003623E1" w:rsidRPr="00F10CD6" w:rsidRDefault="003623E1" w:rsidP="003623E1">
      <w:pPr>
        <w:pStyle w:val="NormalSP"/>
        <w:rPr>
          <w:rFonts w:eastAsiaTheme="minorHAnsi" w:cs="Arial"/>
          <w:bCs/>
          <w:color w:val="0D0D0D" w:themeColor="text1" w:themeTint="F2"/>
          <w:sz w:val="22"/>
          <w:szCs w:val="22"/>
          <w:lang w:val="sl-SI" w:eastAsia="en-US"/>
        </w:rPr>
      </w:pPr>
    </w:p>
    <w:p w:rsidR="003623E1" w:rsidRPr="00F10CD6" w:rsidRDefault="003623E1" w:rsidP="003623E1">
      <w:pPr>
        <w:pStyle w:val="NormalSP"/>
        <w:rPr>
          <w:rFonts w:eastAsiaTheme="minorHAnsi" w:cs="Arial"/>
          <w:bCs/>
          <w:color w:val="0D0D0D" w:themeColor="text1" w:themeTint="F2"/>
          <w:sz w:val="22"/>
          <w:szCs w:val="22"/>
          <w:lang w:val="sl-SI" w:eastAsia="en-US"/>
        </w:rPr>
      </w:pPr>
      <w:r w:rsidRPr="00F10CD6">
        <w:rPr>
          <w:rFonts w:eastAsiaTheme="minorHAnsi" w:cs="Arial"/>
          <w:bCs/>
          <w:color w:val="0D0D0D" w:themeColor="text1" w:themeTint="F2"/>
          <w:sz w:val="22"/>
          <w:szCs w:val="22"/>
          <w:lang w:val="sl-SI" w:eastAsia="en-US"/>
        </w:rPr>
        <w:t xml:space="preserve">V primeru, da bi se obrestna mera na dolg državnega proračuna v letu 2019 zvišala za 0,5 odstotne točke, bi to impliciralo povečanje stroškov novega zadolževanja, izraženo v deležu BDP, za 0,0165 odstotne točke v letu 2020 in 0,0294 odstotne točke v letu 2021. Dolg državnega proračuna, izražen v deležu BDP, bi se v tem primeru v letu 2019 povečal za 0,0174 odstotne točke, v letu 2020 za 0,0310 odstotne točke in v letu 2021 za 0,0523 odstotne točke. V primeru višje ravni primanjkljaja države v letu 2019 za 1 odstotno točko bi se strošek zadolževanja države, izražen v deležu BDP, povečal za 0,0112 odstotne točke v letu 2020 in 0,0106 odstotne točke v letu 2021. </w:t>
      </w:r>
    </w:p>
    <w:p w:rsidR="00516B56" w:rsidRPr="00F10CD6" w:rsidRDefault="00516B56" w:rsidP="003623E1">
      <w:pPr>
        <w:pStyle w:val="NormalSP"/>
        <w:rPr>
          <w:rFonts w:eastAsiaTheme="minorHAnsi" w:cs="Arial"/>
          <w:bCs/>
          <w:color w:val="0D0D0D" w:themeColor="text1" w:themeTint="F2"/>
          <w:sz w:val="22"/>
          <w:szCs w:val="22"/>
          <w:lang w:val="sl-SI" w:eastAsia="en-US"/>
        </w:rPr>
      </w:pPr>
    </w:p>
    <w:p w:rsidR="00305638" w:rsidRPr="00F10CD6" w:rsidRDefault="00305638" w:rsidP="00305638">
      <w:pPr>
        <w:pStyle w:val="Caption"/>
        <w:spacing w:before="0"/>
        <w:jc w:val="center"/>
        <w:rPr>
          <w:rFonts w:ascii="Arial" w:hAnsi="Arial" w:cs="Arial"/>
          <w:bCs/>
          <w:color w:val="0D0D0D" w:themeColor="text1" w:themeTint="F2"/>
          <w:lang w:val="sl-SI"/>
        </w:rPr>
      </w:pPr>
      <w:r w:rsidRPr="00F10CD6">
        <w:rPr>
          <w:rFonts w:ascii="Arial" w:hAnsi="Arial" w:cs="Arial"/>
          <w:bCs/>
          <w:color w:val="0D0D0D" w:themeColor="text1" w:themeTint="F2"/>
          <w:lang w:val="sl-SI"/>
        </w:rPr>
        <w:t xml:space="preserve">Tabela </w:t>
      </w:r>
      <w:r w:rsidR="00415789" w:rsidRPr="00F10CD6">
        <w:rPr>
          <w:rFonts w:ascii="Arial" w:hAnsi="Arial" w:cs="Arial"/>
          <w:bCs/>
          <w:color w:val="0D0D0D" w:themeColor="text1" w:themeTint="F2"/>
          <w:lang w:val="sl-SI"/>
        </w:rPr>
        <w:t>12</w:t>
      </w:r>
      <w:r w:rsidRPr="00F10CD6">
        <w:rPr>
          <w:rFonts w:ascii="Arial" w:hAnsi="Arial" w:cs="Arial"/>
          <w:bCs/>
          <w:color w:val="0D0D0D" w:themeColor="text1" w:themeTint="F2"/>
          <w:lang w:val="sl-SI"/>
        </w:rPr>
        <w:t xml:space="preserve">: </w:t>
      </w:r>
      <w:r w:rsidRPr="00F10CD6">
        <w:rPr>
          <w:rFonts w:ascii="Arial" w:hAnsi="Arial" w:cs="Arial"/>
          <w:bCs/>
          <w:color w:val="0D0D0D" w:themeColor="text1" w:themeTint="F2"/>
          <w:lang w:val="sl-SI" w:eastAsia="en-US"/>
        </w:rPr>
        <w:t>Občutljivost plačil obresti in višine dolga proračuna države na spremembe  izbranih makroekonomskih spremenljivk (v % BDP)</w:t>
      </w:r>
    </w:p>
    <w:tbl>
      <w:tblPr>
        <w:tblStyle w:val="LightShading-Accent1"/>
        <w:tblW w:w="5000" w:type="pct"/>
        <w:tblLayout w:type="fixed"/>
        <w:tblLook w:val="04A0" w:firstRow="1" w:lastRow="0" w:firstColumn="1" w:lastColumn="0" w:noHBand="0" w:noVBand="1"/>
      </w:tblPr>
      <w:tblGrid>
        <w:gridCol w:w="802"/>
        <w:gridCol w:w="1319"/>
        <w:gridCol w:w="1463"/>
        <w:gridCol w:w="1319"/>
        <w:gridCol w:w="1467"/>
        <w:gridCol w:w="1608"/>
        <w:gridCol w:w="1536"/>
      </w:tblGrid>
      <w:tr w:rsidR="00305638" w:rsidRPr="00F10CD6" w:rsidTr="00305638">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vMerge w:val="restart"/>
            <w:noWrap/>
          </w:tcPr>
          <w:p w:rsidR="00305638" w:rsidRPr="00F10CD6" w:rsidRDefault="00305638" w:rsidP="00305638">
            <w:pPr>
              <w:jc w:val="center"/>
              <w:rPr>
                <w:rFonts w:cs="Arial"/>
                <w:b w:val="0"/>
                <w:color w:val="0D0D0D" w:themeColor="text1" w:themeTint="F2"/>
                <w:sz w:val="20"/>
                <w:szCs w:val="20"/>
              </w:rPr>
            </w:pPr>
          </w:p>
        </w:tc>
        <w:tc>
          <w:tcPr>
            <w:tcW w:w="1462" w:type="pct"/>
            <w:gridSpan w:val="2"/>
            <w:noWrap/>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F10CD6">
              <w:rPr>
                <w:rFonts w:cs="Arial"/>
                <w:b w:val="0"/>
                <w:color w:val="0D0D0D" w:themeColor="text1" w:themeTint="F2"/>
                <w:sz w:val="20"/>
                <w:szCs w:val="20"/>
              </w:rPr>
              <w:t>Sprememba obrestne mere</w:t>
            </w:r>
          </w:p>
        </w:tc>
        <w:tc>
          <w:tcPr>
            <w:tcW w:w="1464" w:type="pct"/>
            <w:gridSpan w:val="2"/>
            <w:noWrap/>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F10CD6">
              <w:rPr>
                <w:rFonts w:cs="Arial"/>
                <w:b w:val="0"/>
                <w:color w:val="0D0D0D" w:themeColor="text1" w:themeTint="F2"/>
                <w:sz w:val="20"/>
                <w:szCs w:val="20"/>
              </w:rPr>
              <w:t>Sprememba primanjkljaja</w:t>
            </w:r>
          </w:p>
        </w:tc>
        <w:tc>
          <w:tcPr>
            <w:tcW w:w="1652" w:type="pct"/>
            <w:gridSpan w:val="2"/>
            <w:noWrap/>
            <w:hideMark/>
          </w:tcPr>
          <w:p w:rsidR="00305638" w:rsidRPr="00F10CD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0D0D0D" w:themeColor="text1" w:themeTint="F2"/>
                <w:sz w:val="20"/>
                <w:szCs w:val="20"/>
              </w:rPr>
            </w:pPr>
            <w:r w:rsidRPr="00F10CD6">
              <w:rPr>
                <w:rFonts w:cs="Arial"/>
                <w:b w:val="0"/>
                <w:color w:val="0D0D0D" w:themeColor="text1" w:themeTint="F2"/>
                <w:sz w:val="20"/>
                <w:szCs w:val="20"/>
              </w:rPr>
              <w:t>Sprememba obrestne mere in primanjkljaja</w:t>
            </w: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vMerge/>
            <w:hideMark/>
          </w:tcPr>
          <w:p w:rsidR="00305638" w:rsidRPr="00F10CD6" w:rsidRDefault="00305638" w:rsidP="00305638">
            <w:pPr>
              <w:rPr>
                <w:rFonts w:cs="Arial"/>
                <w:b w:val="0"/>
                <w:color w:val="0D0D0D" w:themeColor="text1" w:themeTint="F2"/>
                <w:sz w:val="20"/>
                <w:szCs w:val="20"/>
              </w:rPr>
            </w:pP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Obresti</w:t>
            </w:r>
          </w:p>
        </w:tc>
        <w:tc>
          <w:tcPr>
            <w:tcW w:w="769"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Dolg</w:t>
            </w: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Obresti</w:t>
            </w:r>
          </w:p>
        </w:tc>
        <w:tc>
          <w:tcPr>
            <w:tcW w:w="771"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Dolg</w:t>
            </w:r>
          </w:p>
        </w:tc>
        <w:tc>
          <w:tcPr>
            <w:tcW w:w="845"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Obresti</w:t>
            </w:r>
          </w:p>
        </w:tc>
        <w:tc>
          <w:tcPr>
            <w:tcW w:w="807"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20"/>
                <w:szCs w:val="20"/>
              </w:rPr>
            </w:pPr>
            <w:r w:rsidRPr="00F10CD6">
              <w:rPr>
                <w:rFonts w:cs="Arial"/>
                <w:bCs/>
                <w:color w:val="0D0D0D" w:themeColor="text1" w:themeTint="F2"/>
                <w:sz w:val="20"/>
                <w:szCs w:val="20"/>
              </w:rPr>
              <w:t>Dolg</w:t>
            </w:r>
          </w:p>
        </w:tc>
      </w:tr>
      <w:tr w:rsidR="00305638" w:rsidRPr="00F10CD6"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F10CD6" w:rsidRDefault="00305638" w:rsidP="00305638">
            <w:pPr>
              <w:jc w:val="center"/>
              <w:rPr>
                <w:rFonts w:cs="Arial"/>
                <w:b w:val="0"/>
                <w:color w:val="0D0D0D" w:themeColor="text1" w:themeTint="F2"/>
                <w:sz w:val="20"/>
                <w:szCs w:val="20"/>
              </w:rPr>
            </w:pPr>
            <w:r w:rsidRPr="00F10CD6">
              <w:rPr>
                <w:rFonts w:cs="Arial"/>
                <w:b w:val="0"/>
                <w:color w:val="0D0D0D" w:themeColor="text1" w:themeTint="F2"/>
                <w:sz w:val="20"/>
                <w:szCs w:val="20"/>
              </w:rPr>
              <w:t>Leto</w:t>
            </w:r>
          </w:p>
        </w:tc>
        <w:tc>
          <w:tcPr>
            <w:tcW w:w="4578" w:type="pct"/>
            <w:gridSpan w:val="6"/>
            <w:noWrap/>
            <w:vAlign w:val="center"/>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V odstotnih točkah</w:t>
            </w: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F10CD6" w:rsidRDefault="00305638" w:rsidP="00305638">
            <w:pPr>
              <w:jc w:val="center"/>
              <w:rPr>
                <w:rFonts w:cs="Arial"/>
                <w:b w:val="0"/>
                <w:color w:val="0D0D0D" w:themeColor="text1" w:themeTint="F2"/>
                <w:sz w:val="20"/>
                <w:szCs w:val="20"/>
              </w:rPr>
            </w:pPr>
            <w:r w:rsidRPr="00F10CD6">
              <w:rPr>
                <w:rFonts w:cs="Arial"/>
                <w:b w:val="0"/>
                <w:color w:val="0D0D0D" w:themeColor="text1" w:themeTint="F2"/>
                <w:sz w:val="20"/>
                <w:szCs w:val="20"/>
              </w:rPr>
              <w:t>2019</w:t>
            </w: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0,0000</w:t>
            </w:r>
          </w:p>
        </w:tc>
        <w:tc>
          <w:tcPr>
            <w:tcW w:w="769"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0,0174</w:t>
            </w: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0,0000</w:t>
            </w:r>
          </w:p>
        </w:tc>
        <w:tc>
          <w:tcPr>
            <w:tcW w:w="771"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1,0000</w:t>
            </w:r>
          </w:p>
        </w:tc>
        <w:tc>
          <w:tcPr>
            <w:tcW w:w="845"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0,0000</w:t>
            </w:r>
          </w:p>
        </w:tc>
        <w:tc>
          <w:tcPr>
            <w:tcW w:w="807"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1,0174</w:t>
            </w:r>
          </w:p>
        </w:tc>
      </w:tr>
      <w:tr w:rsidR="00305638" w:rsidRPr="00F10CD6"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F10CD6" w:rsidRDefault="00305638" w:rsidP="00305638">
            <w:pPr>
              <w:jc w:val="center"/>
              <w:rPr>
                <w:rFonts w:cs="Arial"/>
                <w:b w:val="0"/>
                <w:color w:val="0D0D0D" w:themeColor="text1" w:themeTint="F2"/>
                <w:sz w:val="20"/>
                <w:szCs w:val="20"/>
              </w:rPr>
            </w:pPr>
            <w:r w:rsidRPr="00F10CD6">
              <w:rPr>
                <w:rFonts w:cs="Arial"/>
                <w:b w:val="0"/>
                <w:color w:val="0D0D0D" w:themeColor="text1" w:themeTint="F2"/>
                <w:sz w:val="20"/>
                <w:szCs w:val="20"/>
              </w:rPr>
              <w:t>2020</w:t>
            </w:r>
          </w:p>
        </w:tc>
        <w:tc>
          <w:tcPr>
            <w:tcW w:w="693"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0,0165</w:t>
            </w:r>
          </w:p>
        </w:tc>
        <w:tc>
          <w:tcPr>
            <w:tcW w:w="769"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0,0310</w:t>
            </w:r>
          </w:p>
        </w:tc>
        <w:tc>
          <w:tcPr>
            <w:tcW w:w="693"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0,0112</w:t>
            </w:r>
          </w:p>
        </w:tc>
        <w:tc>
          <w:tcPr>
            <w:tcW w:w="771"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0,9461</w:t>
            </w:r>
          </w:p>
        </w:tc>
        <w:tc>
          <w:tcPr>
            <w:tcW w:w="845"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0,0277</w:t>
            </w:r>
          </w:p>
        </w:tc>
        <w:tc>
          <w:tcPr>
            <w:tcW w:w="807"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0,9771</w:t>
            </w:r>
          </w:p>
        </w:tc>
      </w:tr>
      <w:tr w:rsidR="00305638" w:rsidRPr="00F10CD6"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F10CD6" w:rsidRDefault="00305638" w:rsidP="00305638">
            <w:pPr>
              <w:jc w:val="center"/>
              <w:rPr>
                <w:rFonts w:cs="Arial"/>
                <w:b w:val="0"/>
                <w:color w:val="0D0D0D" w:themeColor="text1" w:themeTint="F2"/>
                <w:sz w:val="20"/>
                <w:szCs w:val="20"/>
              </w:rPr>
            </w:pPr>
            <w:r w:rsidRPr="00F10CD6">
              <w:rPr>
                <w:rFonts w:cs="Arial"/>
                <w:b w:val="0"/>
                <w:color w:val="0D0D0D" w:themeColor="text1" w:themeTint="F2"/>
                <w:sz w:val="20"/>
                <w:szCs w:val="20"/>
              </w:rPr>
              <w:t>2021</w:t>
            </w: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0,0294</w:t>
            </w:r>
          </w:p>
        </w:tc>
        <w:tc>
          <w:tcPr>
            <w:tcW w:w="769"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0,0523</w:t>
            </w:r>
          </w:p>
        </w:tc>
        <w:tc>
          <w:tcPr>
            <w:tcW w:w="693"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0,0106</w:t>
            </w:r>
          </w:p>
        </w:tc>
        <w:tc>
          <w:tcPr>
            <w:tcW w:w="771"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0,8963</w:t>
            </w:r>
          </w:p>
        </w:tc>
        <w:tc>
          <w:tcPr>
            <w:tcW w:w="845"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0,0400</w:t>
            </w:r>
          </w:p>
        </w:tc>
        <w:tc>
          <w:tcPr>
            <w:tcW w:w="807" w:type="pct"/>
            <w:noWrap/>
            <w:hideMark/>
          </w:tcPr>
          <w:p w:rsidR="00305638" w:rsidRPr="00F10CD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0,9486</w:t>
            </w:r>
          </w:p>
        </w:tc>
      </w:tr>
      <w:tr w:rsidR="00305638" w:rsidRPr="00F10CD6"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F10CD6" w:rsidRDefault="00305638" w:rsidP="00305638">
            <w:pPr>
              <w:jc w:val="center"/>
              <w:rPr>
                <w:rFonts w:cs="Arial"/>
                <w:b w:val="0"/>
                <w:color w:val="0D0D0D" w:themeColor="text1" w:themeTint="F2"/>
                <w:sz w:val="20"/>
                <w:szCs w:val="20"/>
              </w:rPr>
            </w:pPr>
            <w:r w:rsidRPr="00F10CD6">
              <w:rPr>
                <w:rFonts w:cs="Arial"/>
                <w:b w:val="0"/>
                <w:color w:val="0D0D0D" w:themeColor="text1" w:themeTint="F2"/>
                <w:sz w:val="20"/>
                <w:szCs w:val="20"/>
              </w:rPr>
              <w:t>2022</w:t>
            </w:r>
          </w:p>
        </w:tc>
        <w:tc>
          <w:tcPr>
            <w:tcW w:w="693"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0,0498</w:t>
            </w:r>
          </w:p>
        </w:tc>
        <w:tc>
          <w:tcPr>
            <w:tcW w:w="769"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0,0608</w:t>
            </w:r>
          </w:p>
        </w:tc>
        <w:tc>
          <w:tcPr>
            <w:tcW w:w="693"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0,0101</w:t>
            </w:r>
          </w:p>
        </w:tc>
        <w:tc>
          <w:tcPr>
            <w:tcW w:w="771"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0,8527</w:t>
            </w:r>
          </w:p>
        </w:tc>
        <w:tc>
          <w:tcPr>
            <w:tcW w:w="845"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0,0599</w:t>
            </w:r>
          </w:p>
        </w:tc>
        <w:tc>
          <w:tcPr>
            <w:tcW w:w="807" w:type="pct"/>
            <w:noWrap/>
            <w:hideMark/>
          </w:tcPr>
          <w:p w:rsidR="00305638" w:rsidRPr="00F10CD6"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20"/>
                <w:szCs w:val="20"/>
              </w:rPr>
            </w:pPr>
            <w:r w:rsidRPr="00F10CD6">
              <w:rPr>
                <w:rFonts w:cs="Arial"/>
                <w:color w:val="0D0D0D" w:themeColor="text1" w:themeTint="F2"/>
                <w:sz w:val="20"/>
                <w:szCs w:val="20"/>
              </w:rPr>
              <w:t>0,9135</w:t>
            </w:r>
          </w:p>
        </w:tc>
      </w:tr>
    </w:tbl>
    <w:p w:rsidR="00912031" w:rsidRPr="00F10CD6" w:rsidRDefault="00305638" w:rsidP="00516B56">
      <w:pPr>
        <w:shd w:val="clear" w:color="auto" w:fill="FFFFFF"/>
        <w:spacing w:after="0" w:line="270" w:lineRule="atLeast"/>
        <w:jc w:val="center"/>
        <w:rPr>
          <w:rFonts w:cs="Arial"/>
          <w:color w:val="0D0D0D" w:themeColor="text1" w:themeTint="F2"/>
          <w:spacing w:val="5"/>
          <w:sz w:val="20"/>
          <w:szCs w:val="14"/>
        </w:rPr>
      </w:pPr>
      <w:r w:rsidRPr="00F10CD6">
        <w:rPr>
          <w:rFonts w:cs="Arial"/>
          <w:color w:val="0D0D0D" w:themeColor="text1" w:themeTint="F2"/>
          <w:spacing w:val="5"/>
          <w:sz w:val="20"/>
          <w:szCs w:val="14"/>
        </w:rPr>
        <w:t>Vir: Ministrstvo za finance, Direktorat za zakladništvo</w:t>
      </w:r>
    </w:p>
    <w:p w:rsidR="00516B56" w:rsidRPr="00F10CD6" w:rsidRDefault="00516B56" w:rsidP="003623E1">
      <w:pPr>
        <w:pStyle w:val="besedilo"/>
        <w:rPr>
          <w:color w:val="0D0D0D" w:themeColor="text1" w:themeTint="F2"/>
        </w:rPr>
      </w:pPr>
    </w:p>
    <w:p w:rsidR="003623E1" w:rsidRPr="00F10CD6" w:rsidRDefault="003623E1" w:rsidP="003623E1">
      <w:pPr>
        <w:pStyle w:val="besedilo"/>
        <w:rPr>
          <w:color w:val="0D0D0D" w:themeColor="text1" w:themeTint="F2"/>
        </w:rPr>
      </w:pPr>
      <w:r w:rsidRPr="00F10CD6">
        <w:rPr>
          <w:color w:val="0D0D0D" w:themeColor="text1" w:themeTint="F2"/>
        </w:rPr>
        <w:t>Republika Slovenija se je pri vseh izdajah dolarskih obveznic v letih 2012-2014 v skupni višini 9,25 milijard USD, v celoti, tako za poplačilo glavnic kot obresti, zaščitila pred tečajnim tveganjem EUR-USD s sklenitvijo valutnih zamenjav. Republika Slovenija tako poravnava vse svoje obveznosti iz naslova dolarskih obveznic v domači valuti evro, in sicer po fiksnem, tj. vnaprej dogovorjenem tečaju EUR-USD, ki je bil določen ob sklenitvi valutnih zamenjav oktobra 2012, maja 2013 in februarja 2014. V letih 2016, 2017 in 2018 je Republika Slovenija predčasno refinancirala 55,1 % dolarskega portfelja. Odkup dolarskih obveznic je bil financiran z izdajo cenejših evrskih obveznic, s čimer je bila dosežena pozitivna neto sedanja vrednost vseh transakcij medvalutnega upravljanja z dolgom. Republika Slovenija, tako kot je veljalo do sedaj, v preostalem delu dolarskega dolžniškega portfelja ni izpostavljena valutnemu tveganju USD-EUR.</w:t>
      </w:r>
    </w:p>
    <w:p w:rsidR="003623E1" w:rsidRPr="00F10CD6" w:rsidRDefault="003623E1" w:rsidP="003623E1">
      <w:pPr>
        <w:pStyle w:val="besedilo"/>
        <w:rPr>
          <w:color w:val="0D0D0D" w:themeColor="text1" w:themeTint="F2"/>
        </w:rPr>
      </w:pPr>
    </w:p>
    <w:p w:rsidR="003623E1" w:rsidRPr="00F10CD6" w:rsidRDefault="003623E1" w:rsidP="003623E1">
      <w:pPr>
        <w:pStyle w:val="besedilo"/>
        <w:rPr>
          <w:color w:val="0D0D0D" w:themeColor="text1" w:themeTint="F2"/>
        </w:rPr>
      </w:pPr>
      <w:r w:rsidRPr="00F10CD6">
        <w:rPr>
          <w:color w:val="0D0D0D" w:themeColor="text1" w:themeTint="F2"/>
        </w:rPr>
        <w:t xml:space="preserve">Vpliv spremembe obrestne mere na obstoječi dolg državnega proračuna, izražen v deležu BDP, je neznaten zaradi visokega odstotka dolga s fiksno obrestno mero. Sprememba obrestne mere zato vpliva le na strošek novega zadolževanja za potrebe refinanciranja obstoječega dolga državnega proračuna oziroma izvrševanje financiranja proračuna v skladu s </w:t>
      </w:r>
      <w:r w:rsidRPr="00F10CD6">
        <w:rPr>
          <w:color w:val="0D0D0D" w:themeColor="text1" w:themeTint="F2"/>
        </w:rPr>
        <w:lastRenderedPageBreak/>
        <w:t>Programom financiranja. Za programsko leto 2019 ocena deleža dolga s fiksno obrestno mero znaša 99,1 %.</w:t>
      </w:r>
    </w:p>
    <w:p w:rsidR="003259EE" w:rsidRPr="00F10CD6" w:rsidRDefault="003259EE" w:rsidP="00516B56">
      <w:pPr>
        <w:pStyle w:val="besedilo"/>
        <w:spacing w:after="200"/>
        <w:rPr>
          <w:color w:val="0D0D0D" w:themeColor="text1" w:themeTint="F2"/>
        </w:rPr>
      </w:pPr>
    </w:p>
    <w:p w:rsidR="00B237D3" w:rsidRPr="00F10CD6" w:rsidRDefault="00B237D3" w:rsidP="006C32E3">
      <w:pPr>
        <w:pStyle w:val="Heading2"/>
        <w:numPr>
          <w:ilvl w:val="1"/>
          <w:numId w:val="20"/>
        </w:numPr>
        <w:rPr>
          <w:color w:val="0D0D0D" w:themeColor="text1" w:themeTint="F2"/>
        </w:rPr>
      </w:pPr>
      <w:bookmarkStart w:id="34" w:name="_Toc6923663"/>
      <w:bookmarkEnd w:id="29"/>
      <w:bookmarkEnd w:id="30"/>
      <w:bookmarkEnd w:id="31"/>
      <w:r w:rsidRPr="00F10CD6">
        <w:rPr>
          <w:color w:val="0D0D0D" w:themeColor="text1" w:themeTint="F2"/>
        </w:rPr>
        <w:t>D</w:t>
      </w:r>
      <w:r w:rsidR="00C66E14" w:rsidRPr="00F10CD6">
        <w:rPr>
          <w:color w:val="0D0D0D" w:themeColor="text1" w:themeTint="F2"/>
        </w:rPr>
        <w:t>olgoročna vzdržnost javnih financ</w:t>
      </w:r>
      <w:bookmarkEnd w:id="34"/>
    </w:p>
    <w:p w:rsidR="007B5454" w:rsidRPr="00F10CD6" w:rsidRDefault="007B5454" w:rsidP="00516B56">
      <w:pPr>
        <w:spacing w:after="0"/>
        <w:rPr>
          <w:rFonts w:cs="Arial"/>
          <w:color w:val="0D0D0D" w:themeColor="text1" w:themeTint="F2"/>
        </w:rPr>
      </w:pPr>
    </w:p>
    <w:p w:rsidR="00305638" w:rsidRPr="00F10CD6" w:rsidRDefault="00305638" w:rsidP="008D061D">
      <w:pPr>
        <w:pStyle w:val="besedilo"/>
        <w:rPr>
          <w:rFonts w:eastAsia="Calibri"/>
          <w:color w:val="0D0D0D" w:themeColor="text1" w:themeTint="F2"/>
        </w:rPr>
      </w:pPr>
      <w:r w:rsidRPr="00F10CD6">
        <w:rPr>
          <w:color w:val="0D0D0D" w:themeColor="text1" w:themeTint="F2"/>
        </w:rPr>
        <w:t xml:space="preserve">Demografske projekcije predstavljajo ključen element nadaljnjega razvoja in dolgoročne javnofinančne vzdržnosti ter strukturnih izzivov. Po demografskih projekcijah </w:t>
      </w:r>
      <w:r w:rsidRPr="00F10CD6">
        <w:rPr>
          <w:rFonts w:eastAsia="Calibri"/>
          <w:color w:val="0D0D0D" w:themeColor="text1" w:themeTint="F2"/>
        </w:rPr>
        <w:t>(ESSPOS2015) se bo struktura prebivalstva v prihodnje zelo spremenila. Delež otrok in mladih (0</w:t>
      </w:r>
      <w:r w:rsidR="00A442F4" w:rsidRPr="00F10CD6">
        <w:rPr>
          <w:rFonts w:eastAsia="Calibri"/>
          <w:color w:val="0D0D0D" w:themeColor="text1" w:themeTint="F2"/>
        </w:rPr>
        <w:t>–</w:t>
      </w:r>
      <w:r w:rsidRPr="00F10CD6">
        <w:rPr>
          <w:rFonts w:eastAsia="Calibri"/>
          <w:color w:val="0D0D0D" w:themeColor="text1" w:themeTint="F2"/>
        </w:rPr>
        <w:t>19 let) bo ostal skoraj nespremenjen, medtem ko se bo delež starejših (stari 65 let in več) od leta 2016 do leta 2070 povečal za več kot polovico. Delež starejših se bo povečal zaradi številčnejših generacij, rojenih v obdobju po drugi svetovni vojni (baby</w:t>
      </w:r>
      <w:r w:rsidRPr="00F10CD6">
        <w:rPr>
          <w:rFonts w:eastAsia="Calibri"/>
          <w:color w:val="0D0D0D" w:themeColor="text1" w:themeTint="F2"/>
        </w:rPr>
        <w:noBreakHyphen/>
        <w:t>boom generacije) pa vse do leta 1980 (ko je bila rodnost še visoka), ter zaradi hitrega podaljševanja pričakovane življenjske dobe. Delež delovno sposobnega prebivalstva (20</w:t>
      </w:r>
      <w:r w:rsidR="00A442F4" w:rsidRPr="00F10CD6">
        <w:rPr>
          <w:rFonts w:eastAsia="Calibri"/>
          <w:color w:val="0D0D0D" w:themeColor="text1" w:themeTint="F2"/>
        </w:rPr>
        <w:t>–</w:t>
      </w:r>
      <w:r w:rsidRPr="00F10CD6">
        <w:rPr>
          <w:rFonts w:eastAsia="Calibri"/>
          <w:color w:val="0D0D0D" w:themeColor="text1" w:themeTint="F2"/>
        </w:rPr>
        <w:t>64 let) pa se bo znižal za okrog 17 %. Koeficient starostne odvisnosti (P65+/P20</w:t>
      </w:r>
      <w:r w:rsidR="00A442F4" w:rsidRPr="00F10CD6">
        <w:rPr>
          <w:rFonts w:eastAsia="Calibri"/>
          <w:color w:val="0D0D0D" w:themeColor="text1" w:themeTint="F2"/>
        </w:rPr>
        <w:t>–</w:t>
      </w:r>
      <w:r w:rsidRPr="00F10CD6">
        <w:rPr>
          <w:rFonts w:eastAsia="Calibri"/>
          <w:color w:val="0D0D0D" w:themeColor="text1" w:themeTint="F2"/>
        </w:rPr>
        <w:t xml:space="preserve">64), ki kaže razmerje med odvisnim in delovno sposobnim prebivalstvom, se bo tako podvojil </w:t>
      </w:r>
      <w:r w:rsidR="000026E6" w:rsidRPr="00F10CD6">
        <w:rPr>
          <w:rFonts w:eastAsia="Calibri"/>
          <w:color w:val="0D0D0D" w:themeColor="text1" w:themeTint="F2"/>
        </w:rPr>
        <w:t>s</w:t>
      </w:r>
      <w:r w:rsidRPr="00F10CD6">
        <w:rPr>
          <w:rFonts w:eastAsia="Calibri"/>
          <w:color w:val="0D0D0D" w:themeColor="text1" w:themeTint="F2"/>
        </w:rPr>
        <w:t xml:space="preserve"> 30 % na 60 % do leta 2060. Po letu 2060 se bo demografski pritisk nekoliko zmanjšal, saj se bo koeficient do leta 2070 znižal na 55 %.</w:t>
      </w:r>
    </w:p>
    <w:p w:rsidR="00305638" w:rsidRPr="00F10CD6" w:rsidRDefault="00305638" w:rsidP="008D061D">
      <w:pPr>
        <w:pStyle w:val="besedilo"/>
        <w:rPr>
          <w:color w:val="0D0D0D" w:themeColor="text1" w:themeTint="F2"/>
        </w:rPr>
      </w:pPr>
    </w:p>
    <w:p w:rsidR="00305638" w:rsidRPr="00F10CD6" w:rsidRDefault="00305638" w:rsidP="008D061D">
      <w:pPr>
        <w:pStyle w:val="besedilo"/>
        <w:rPr>
          <w:rFonts w:eastAsia="Calibri"/>
          <w:color w:val="0D0D0D" w:themeColor="text1" w:themeTint="F2"/>
        </w:rPr>
      </w:pPr>
      <w:r w:rsidRPr="00F10CD6">
        <w:rPr>
          <w:rFonts w:eastAsia="Calibri"/>
          <w:color w:val="0D0D0D" w:themeColor="text1" w:themeTint="F2"/>
        </w:rPr>
        <w:t xml:space="preserve">Poleg demografskih pritiskov vplivajo na povečevanje izdatkov, povezanih s staranjem, nizke projekcije stopenj aktivnosti in delovne aktivnosti starejših, ki so med najnižjimi izmed </w:t>
      </w:r>
      <w:r w:rsidR="008A72A7" w:rsidRPr="00F10CD6">
        <w:rPr>
          <w:rFonts w:eastAsia="Calibri"/>
          <w:color w:val="0D0D0D" w:themeColor="text1" w:themeTint="F2"/>
        </w:rPr>
        <w:t xml:space="preserve">držav </w:t>
      </w:r>
      <w:r w:rsidRPr="00F10CD6">
        <w:rPr>
          <w:rFonts w:eastAsia="Calibri"/>
          <w:color w:val="0D0D0D" w:themeColor="text1" w:themeTint="F2"/>
        </w:rPr>
        <w:t>EU. Ob tem je za Slovenijo značilna tudi nizka povprečna starost ob izstopu s trga dela. S podaljševanjem pričakovane življenjske dobe se tako podaljšuje obdobje trajanja upokojitve, kar je ključni dejavnik visokih izdatkov, izraženih v % BDP (ob upoštevanju določil obstoječega pokojninskega sistema). V Sloveniji naj bi bilo po projekcijah</w:t>
      </w:r>
      <w:r w:rsidR="00E40B8C" w:rsidRPr="00F10CD6">
        <w:rPr>
          <w:rFonts w:eastAsia="Calibri"/>
          <w:color w:val="0D0D0D" w:themeColor="text1" w:themeTint="F2"/>
        </w:rPr>
        <w:t>,</w:t>
      </w:r>
      <w:r w:rsidRPr="00F10CD6">
        <w:rPr>
          <w:rFonts w:eastAsia="Calibri"/>
          <w:color w:val="0D0D0D" w:themeColor="text1" w:themeTint="F2"/>
        </w:rPr>
        <w:t xml:space="preserve"> v primerjavi z drugimi državami</w:t>
      </w:r>
      <w:r w:rsidR="00E40B8C" w:rsidRPr="00F10CD6">
        <w:rPr>
          <w:rFonts w:eastAsia="Calibri"/>
          <w:color w:val="0D0D0D" w:themeColor="text1" w:themeTint="F2"/>
        </w:rPr>
        <w:t>,</w:t>
      </w:r>
      <w:r w:rsidRPr="00F10CD6">
        <w:rPr>
          <w:rFonts w:eastAsia="Calibri"/>
          <w:color w:val="0D0D0D" w:themeColor="text1" w:themeTint="F2"/>
        </w:rPr>
        <w:t xml:space="preserve"> obdobje trajanja upokojitve med najvišjimi. </w:t>
      </w:r>
    </w:p>
    <w:p w:rsidR="00305638" w:rsidRPr="00F10CD6" w:rsidRDefault="00305638" w:rsidP="008D061D">
      <w:pPr>
        <w:pStyle w:val="besedilo"/>
        <w:rPr>
          <w:rFonts w:eastAsia="Calibri"/>
          <w:b/>
          <w:color w:val="0D0D0D" w:themeColor="text1" w:themeTint="F2"/>
        </w:rPr>
      </w:pPr>
      <w:bookmarkStart w:id="35" w:name="_Toc515881057"/>
    </w:p>
    <w:bookmarkEnd w:id="35"/>
    <w:p w:rsidR="008D061D" w:rsidRDefault="00305638" w:rsidP="008D061D">
      <w:pPr>
        <w:pStyle w:val="besedilo"/>
        <w:rPr>
          <w:rFonts w:eastAsia="Calibri"/>
          <w:color w:val="0D0D0D" w:themeColor="text1" w:themeTint="F2"/>
        </w:rPr>
      </w:pPr>
      <w:r w:rsidRPr="00F10CD6">
        <w:rPr>
          <w:rFonts w:eastAsia="Calibri"/>
          <w:color w:val="0D0D0D" w:themeColor="text1" w:themeTint="F2"/>
        </w:rPr>
        <w:t xml:space="preserve">V </w:t>
      </w:r>
      <w:r w:rsidR="003259EE" w:rsidRPr="00F10CD6">
        <w:rPr>
          <w:rFonts w:eastAsia="Calibri"/>
          <w:color w:val="0D0D0D" w:themeColor="text1" w:themeTint="F2"/>
        </w:rPr>
        <w:t xml:space="preserve">tabeli spodaj </w:t>
      </w:r>
      <w:r w:rsidRPr="00F10CD6">
        <w:rPr>
          <w:rFonts w:eastAsia="Calibri"/>
          <w:color w:val="0D0D0D" w:themeColor="text1" w:themeTint="F2"/>
        </w:rPr>
        <w:t xml:space="preserve">so prikazane dolgoročne projekcije javnofinančnih prihodkov in odhodkov do leta 2070 z izhodiščnim letom 2016. </w:t>
      </w:r>
      <w:r w:rsidR="001C030B" w:rsidRPr="00F10CD6">
        <w:rPr>
          <w:rFonts w:eastAsia="Calibri"/>
          <w:color w:val="0D0D0D" w:themeColor="text1" w:themeTint="F2"/>
        </w:rPr>
        <w:t>Pri</w:t>
      </w:r>
      <w:r w:rsidRPr="00F10CD6">
        <w:rPr>
          <w:rFonts w:eastAsia="Calibri"/>
          <w:color w:val="0D0D0D" w:themeColor="text1" w:themeTint="F2"/>
        </w:rPr>
        <w:t xml:space="preserve"> tem so bile upoštevane Eurostatove projekcije prebivalstva ter dolgoročne makroekonomske predpostavke in projekcije na trgu dela Evropske komisije</w:t>
      </w:r>
      <w:r w:rsidR="008A72A7" w:rsidRPr="00F10CD6">
        <w:rPr>
          <w:rFonts w:eastAsia="Calibri"/>
          <w:color w:val="0D0D0D" w:themeColor="text1" w:themeTint="F2"/>
        </w:rPr>
        <w:t>,</w:t>
      </w:r>
      <w:r w:rsidRPr="00F10CD6">
        <w:rPr>
          <w:rStyle w:val="FootnoteReference"/>
          <w:rFonts w:eastAsia="Calibri"/>
          <w:color w:val="0D0D0D" w:themeColor="text1" w:themeTint="F2"/>
        </w:rPr>
        <w:footnoteReference w:id="15"/>
      </w:r>
      <w:r w:rsidRPr="00F10CD6">
        <w:rPr>
          <w:rFonts w:eastAsia="Calibri"/>
          <w:color w:val="0D0D0D" w:themeColor="text1" w:themeTint="F2"/>
        </w:rPr>
        <w:t xml:space="preserve"> ki so uporabljene pri pripravi novega Poročila o staranju 2018</w:t>
      </w:r>
      <w:r w:rsidR="008A72A7" w:rsidRPr="00F10CD6">
        <w:rPr>
          <w:rFonts w:eastAsia="Calibri"/>
          <w:color w:val="0D0D0D" w:themeColor="text1" w:themeTint="F2"/>
        </w:rPr>
        <w:t>.</w:t>
      </w:r>
      <w:r w:rsidRPr="00F10CD6">
        <w:rPr>
          <w:rStyle w:val="FootnoteReference"/>
          <w:rFonts w:eastAsia="Calibri"/>
          <w:color w:val="0D0D0D" w:themeColor="text1" w:themeTint="F2"/>
        </w:rPr>
        <w:footnoteReference w:id="16"/>
      </w:r>
      <w:r w:rsidRPr="00F10CD6">
        <w:rPr>
          <w:rFonts w:eastAsia="Calibri"/>
          <w:color w:val="0D0D0D" w:themeColor="text1" w:themeTint="F2"/>
        </w:rPr>
        <w:t xml:space="preserve"> Z</w:t>
      </w:r>
      <w:r w:rsidR="00E40B8C" w:rsidRPr="00F10CD6">
        <w:rPr>
          <w:rFonts w:eastAsia="Calibri"/>
          <w:color w:val="0D0D0D" w:themeColor="text1" w:themeTint="F2"/>
        </w:rPr>
        <w:t>a kratek rok do leta 202</w:t>
      </w:r>
      <w:r w:rsidR="00977EF5" w:rsidRPr="00F10CD6">
        <w:rPr>
          <w:rFonts w:eastAsia="Calibri"/>
          <w:color w:val="0D0D0D" w:themeColor="text1" w:themeTint="F2"/>
        </w:rPr>
        <w:t>2</w:t>
      </w:r>
      <w:r w:rsidRPr="00F10CD6">
        <w:rPr>
          <w:rFonts w:eastAsia="Calibri"/>
          <w:color w:val="0D0D0D" w:themeColor="text1" w:themeTint="F2"/>
        </w:rPr>
        <w:t xml:space="preserve"> so uporabljene </w:t>
      </w:r>
      <w:r w:rsidR="008D061D" w:rsidRPr="00F10CD6">
        <w:rPr>
          <w:rFonts w:eastAsia="Calibri"/>
          <w:color w:val="0D0D0D" w:themeColor="text1" w:themeTint="F2"/>
        </w:rPr>
        <w:t xml:space="preserve">projekcije UMAR (Pomlad 2019). </w:t>
      </w:r>
    </w:p>
    <w:p w:rsidR="009B5300" w:rsidRDefault="009B5300" w:rsidP="008D061D">
      <w:pPr>
        <w:pStyle w:val="besedilo"/>
        <w:rPr>
          <w:rFonts w:eastAsia="Calibri"/>
          <w:color w:val="0D0D0D" w:themeColor="text1" w:themeTint="F2"/>
        </w:rPr>
      </w:pPr>
    </w:p>
    <w:p w:rsidR="009B5300" w:rsidRDefault="009B5300" w:rsidP="009B5300">
      <w:pPr>
        <w:spacing w:after="0" w:line="288" w:lineRule="auto"/>
        <w:rPr>
          <w:rFonts w:cs="Arial"/>
          <w:color w:val="0D0D0D" w:themeColor="text1" w:themeTint="F2"/>
        </w:rPr>
      </w:pPr>
      <w:r w:rsidRPr="00F10CD6">
        <w:rPr>
          <w:rFonts w:eastAsia="Calibri" w:cs="Arial"/>
          <w:color w:val="0D0D0D" w:themeColor="text1" w:themeTint="F2"/>
        </w:rPr>
        <w:t xml:space="preserve">V tabeli ocenjeni izdatki, povezani s staranjem, na dolgi rok sovpadajo s projekcijami v Poročilu o staranju 2018. Manjši delež izdatkov v % BDP povezanih s pokojninami v začetem in srednjeročnem obdobju je predvsem posledica boljšega stanja v izhodiščnem letu, kot je bil uporabljen pri Poročilu o staranju 2018. </w:t>
      </w:r>
      <w:r w:rsidRPr="00F10CD6">
        <w:rPr>
          <w:rFonts w:eastAsia="Calibri" w:cs="Arial"/>
          <w:bCs/>
          <w:color w:val="0D0D0D" w:themeColor="text1" w:themeTint="F2"/>
        </w:rPr>
        <w:t xml:space="preserve">V strukturi izdatkov, povezanih s staranjem, predstavljajo največji delež izdatki, povezani s pokojninskim sistemom, ki naj bi se v Sloveniji </w:t>
      </w:r>
      <w:r w:rsidRPr="00F10CD6">
        <w:rPr>
          <w:rFonts w:eastAsia="Calibri" w:cs="Arial"/>
          <w:color w:val="0D0D0D" w:themeColor="text1" w:themeTint="F2"/>
        </w:rPr>
        <w:t xml:space="preserve">v obdobju 2016–2070 povečali za 4 o. t. Tudi </w:t>
      </w:r>
      <w:r w:rsidRPr="00F10CD6">
        <w:rPr>
          <w:rFonts w:eastAsia="Calibri" w:cs="Arial"/>
          <w:bCs/>
          <w:color w:val="0D0D0D" w:themeColor="text1" w:themeTint="F2"/>
        </w:rPr>
        <w:t xml:space="preserve">javni izdatki za zdravstveno varstvo in izobraževanje naj bi se povečali bolj kot v povprečju v državah EU, delež izdatkov za dolgotrajno oskrbo pa naj bi se povečal nekoliko manj od povprečja EU. Na hitro rast izdatkov za zdravstvo in dolgotrajno oskrbo vplivajo poleg demografskih tudi nedemografski dejavniki. Poleg rasti BDP na prebivalca in rasti relativnih cen vplivajo še zlasti tehnološki napredek in čedalje večje povpraševanje po kakovostni zdravstveni in dolgotrajni oskrbi. V obdobju 2016–2070 naj bi se zaradi demografskih razlogov povečal tudi pritisk na javne izdatke za </w:t>
      </w:r>
      <w:r w:rsidRPr="00F10CD6">
        <w:rPr>
          <w:rFonts w:eastAsia="Calibri" w:cs="Arial"/>
          <w:bCs/>
          <w:color w:val="0D0D0D" w:themeColor="text1" w:themeTint="F2"/>
        </w:rPr>
        <w:lastRenderedPageBreak/>
        <w:t>izobraževanje. Predpostavljeno je povečanje števila vpisanih v izobraževanje, izdatki pa naj bi se povečevali na vseh ravneh izobraževanja.</w:t>
      </w:r>
      <w:r w:rsidRPr="00F10CD6">
        <w:rPr>
          <w:rFonts w:cs="Arial"/>
          <w:color w:val="0D0D0D" w:themeColor="text1" w:themeTint="F2"/>
        </w:rPr>
        <w:t xml:space="preserve"> </w:t>
      </w:r>
    </w:p>
    <w:p w:rsidR="009B5300" w:rsidRPr="00F10CD6" w:rsidRDefault="009B5300" w:rsidP="009B5300">
      <w:pPr>
        <w:spacing w:after="0" w:line="288" w:lineRule="auto"/>
        <w:rPr>
          <w:rFonts w:cs="Arial"/>
          <w:color w:val="0D0D0D" w:themeColor="text1" w:themeTint="F2"/>
        </w:rPr>
      </w:pPr>
    </w:p>
    <w:p w:rsidR="00305638" w:rsidRPr="00F10CD6" w:rsidRDefault="003259EE" w:rsidP="00305638">
      <w:pPr>
        <w:pStyle w:val="Caption"/>
        <w:spacing w:before="0"/>
        <w:jc w:val="center"/>
        <w:rPr>
          <w:rFonts w:ascii="Arial" w:hAnsi="Arial" w:cs="Arial"/>
          <w:bCs/>
          <w:color w:val="0D0D0D" w:themeColor="text1" w:themeTint="F2"/>
          <w:lang w:val="sl-SI" w:eastAsia="en-US"/>
        </w:rPr>
      </w:pPr>
      <w:r w:rsidRPr="00F10CD6">
        <w:rPr>
          <w:rFonts w:ascii="Arial" w:hAnsi="Arial" w:cs="Arial"/>
          <w:bCs/>
          <w:color w:val="0D0D0D" w:themeColor="text1" w:themeTint="F2"/>
          <w:lang w:val="sl-SI" w:eastAsia="en-US"/>
        </w:rPr>
        <w:t>Tabela 13</w:t>
      </w:r>
      <w:r w:rsidR="00305638" w:rsidRPr="00F10CD6">
        <w:rPr>
          <w:rFonts w:ascii="Arial" w:hAnsi="Arial" w:cs="Arial"/>
          <w:bCs/>
          <w:color w:val="0D0D0D" w:themeColor="text1" w:themeTint="F2"/>
          <w:lang w:val="sl-SI" w:eastAsia="en-US"/>
        </w:rPr>
        <w:t>: Dolgoročna vzdržnost javnih financ (bazno leto 2016)</w:t>
      </w:r>
    </w:p>
    <w:tbl>
      <w:tblPr>
        <w:tblStyle w:val="ListTable2-Accent11"/>
        <w:tblW w:w="9355" w:type="dxa"/>
        <w:tblLook w:val="04A0" w:firstRow="1" w:lastRow="0" w:firstColumn="1" w:lastColumn="0" w:noHBand="0" w:noVBand="1"/>
      </w:tblPr>
      <w:tblGrid>
        <w:gridCol w:w="3005"/>
        <w:gridCol w:w="709"/>
        <w:gridCol w:w="850"/>
        <w:gridCol w:w="709"/>
        <w:gridCol w:w="709"/>
        <w:gridCol w:w="709"/>
        <w:gridCol w:w="708"/>
        <w:gridCol w:w="709"/>
        <w:gridCol w:w="960"/>
        <w:gridCol w:w="287"/>
      </w:tblGrid>
      <w:tr w:rsidR="00977EF5" w:rsidRPr="00F10CD6" w:rsidTr="00B369B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BA6227">
            <w:pPr>
              <w:jc w:val="left"/>
              <w:rPr>
                <w:rFonts w:eastAsia="Times New Roman" w:cs="Arial"/>
                <w:b w:val="0"/>
                <w:iCs/>
                <w:color w:val="0D0D0D" w:themeColor="text1" w:themeTint="F2"/>
                <w:sz w:val="20"/>
                <w:szCs w:val="20"/>
                <w:lang w:eastAsia="sl-SI"/>
              </w:rPr>
            </w:pPr>
            <w:r w:rsidRPr="00F10CD6">
              <w:rPr>
                <w:rFonts w:eastAsia="Times New Roman" w:cs="Arial"/>
                <w:b w:val="0"/>
                <w:iCs/>
                <w:color w:val="0D0D0D" w:themeColor="text1" w:themeTint="F2"/>
                <w:sz w:val="20"/>
                <w:szCs w:val="20"/>
                <w:lang w:eastAsia="sl-SI"/>
              </w:rPr>
              <w:t>v % BDP</w:t>
            </w:r>
          </w:p>
        </w:tc>
        <w:tc>
          <w:tcPr>
            <w:tcW w:w="709"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2016</w:t>
            </w:r>
          </w:p>
        </w:tc>
        <w:tc>
          <w:tcPr>
            <w:tcW w:w="850"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2020</w:t>
            </w:r>
          </w:p>
        </w:tc>
        <w:tc>
          <w:tcPr>
            <w:tcW w:w="709"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2030</w:t>
            </w:r>
          </w:p>
        </w:tc>
        <w:tc>
          <w:tcPr>
            <w:tcW w:w="709"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2040</w:t>
            </w:r>
          </w:p>
        </w:tc>
        <w:tc>
          <w:tcPr>
            <w:tcW w:w="709"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2050</w:t>
            </w:r>
          </w:p>
        </w:tc>
        <w:tc>
          <w:tcPr>
            <w:tcW w:w="708"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2060</w:t>
            </w:r>
          </w:p>
        </w:tc>
        <w:tc>
          <w:tcPr>
            <w:tcW w:w="709" w:type="dxa"/>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2070</w:t>
            </w:r>
          </w:p>
        </w:tc>
        <w:tc>
          <w:tcPr>
            <w:tcW w:w="1247" w:type="dxa"/>
            <w:gridSpan w:val="2"/>
            <w:hideMark/>
          </w:tcPr>
          <w:p w:rsidR="00977EF5" w:rsidRPr="00F10CD6" w:rsidRDefault="00977EF5" w:rsidP="00D2637A">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20"/>
                <w:szCs w:val="20"/>
                <w:lang w:eastAsia="sl-SI"/>
              </w:rPr>
            </w:pPr>
            <w:r w:rsidRPr="00F10CD6">
              <w:rPr>
                <w:rFonts w:eastAsia="Times New Roman" w:cs="Arial"/>
                <w:b w:val="0"/>
                <w:color w:val="0D0D0D" w:themeColor="text1" w:themeTint="F2"/>
                <w:sz w:val="20"/>
                <w:szCs w:val="20"/>
                <w:lang w:eastAsia="sl-SI"/>
              </w:rPr>
              <w:t>Razlika 2070 -2016</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Skupaj javnofinančni odhodki</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40,9</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39,4</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42,1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47,2</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53,9</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59,3</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64,5</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23,6</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Skupaj starostno pogojeni odhodki</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21,7</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21,3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23,6</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26,5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28,8</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28,9</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28,3</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6,6</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Pokojnine</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10,8</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11,5</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13,9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15,4</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15,2</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14,8</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4,0</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Starostne in zgodnje pokojnine</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8,2</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7,8</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9,0</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10,9</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12,2</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11,9</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11,8</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3,6</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Invalidske pokojnine</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1,3</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1,3</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1,7</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1,6</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Ostale pokojnine</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1,3</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1,6</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1,6</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Zdravstvo</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5,6</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6,4</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6,8</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6,9</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6,7</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1,1</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Dolgotrajna oskrba</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0,9</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1,8</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1,9</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1,9</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xml:space="preserve">Izobraževanje </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4,0</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4,2</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4,5</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4,6</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0,6</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Brezposelnost</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0,4</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-0,1</w:t>
            </w:r>
          </w:p>
        </w:tc>
      </w:tr>
      <w:tr w:rsidR="00977EF5" w:rsidRPr="00F10CD6" w:rsidTr="00B369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Nadomestila plač</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0,4</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-0,2</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Subvencije</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0,0</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Državne investicije</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0,0</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Primarni odhodki skupaj</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38,2</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37,4</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39,6</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42,7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45,3</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45,4</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44,8</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6,6</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Odhodki za obresti</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2,7</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2,0</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8,6</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14,0</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19,7</w:t>
            </w:r>
          </w:p>
        </w:tc>
        <w:tc>
          <w:tcPr>
            <w:tcW w:w="1247" w:type="dxa"/>
            <w:gridSpan w:val="2"/>
            <w:hideMark/>
          </w:tcPr>
          <w:p w:rsidR="00977EF5" w:rsidRPr="00F10CD6" w:rsidRDefault="00977EF5" w:rsidP="00516B5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17,0</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Skupaj javnofinančni prihodki</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39,3</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38,7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38,4</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37,9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37,5</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37,6</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37,5</w:t>
            </w:r>
          </w:p>
        </w:tc>
        <w:tc>
          <w:tcPr>
            <w:tcW w:w="1247" w:type="dxa"/>
            <w:gridSpan w:val="2"/>
            <w:hideMark/>
          </w:tcPr>
          <w:p w:rsidR="00977EF5" w:rsidRPr="00F10CD6" w:rsidRDefault="00977EF5" w:rsidP="00516B5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-1,7</w:t>
            </w:r>
          </w:p>
        </w:tc>
      </w:tr>
      <w:tr w:rsidR="00977EF5" w:rsidRPr="00F10CD6" w:rsidTr="00B369B1">
        <w:trPr>
          <w:gridAfter w:val="1"/>
          <w:wAfter w:w="287" w:type="dxa"/>
          <w:trHeight w:val="17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w:t>
            </w:r>
          </w:p>
        </w:tc>
        <w:tc>
          <w:tcPr>
            <w:tcW w:w="709"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c>
          <w:tcPr>
            <w:tcW w:w="850"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c>
          <w:tcPr>
            <w:tcW w:w="1418" w:type="dxa"/>
            <w:gridSpan w:val="2"/>
            <w:noWrap/>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Predpostavke</w:t>
            </w:r>
          </w:p>
        </w:tc>
        <w:tc>
          <w:tcPr>
            <w:tcW w:w="709"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c>
          <w:tcPr>
            <w:tcW w:w="708"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c>
          <w:tcPr>
            <w:tcW w:w="709"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c>
          <w:tcPr>
            <w:tcW w:w="960" w:type="dxa"/>
            <w:hideMark/>
          </w:tcPr>
          <w:p w:rsidR="00977EF5" w:rsidRPr="00F10CD6" w:rsidRDefault="00977EF5" w:rsidP="00D2637A">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8"/>
                <w:szCs w:val="18"/>
                <w:lang w:eastAsia="sl-SI"/>
              </w:rPr>
            </w:pPr>
            <w:r w:rsidRPr="00F10CD6">
              <w:rPr>
                <w:rFonts w:eastAsia="Times New Roman" w:cs="Arial"/>
                <w:bCs/>
                <w:color w:val="0D0D0D" w:themeColor="text1" w:themeTint="F2"/>
                <w:sz w:val="18"/>
                <w:szCs w:val="18"/>
                <w:lang w:eastAsia="sl-SI"/>
              </w:rPr>
              <w:t> </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Rast produktivnosti dela</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1,3</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4,0</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1,8</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w:t>
            </w:r>
          </w:p>
        </w:tc>
        <w:tc>
          <w:tcPr>
            <w:tcW w:w="1247" w:type="dxa"/>
            <w:gridSpan w:val="2"/>
            <w:hideMark/>
          </w:tcPr>
          <w:p w:rsidR="00977EF5" w:rsidRPr="00F10CD6" w:rsidRDefault="00977EF5" w:rsidP="00D2637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0,3</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Realna rast BDP</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2,50</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3,73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1,58</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1,28</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1,25</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1,61</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1,45</w:t>
            </w:r>
          </w:p>
        </w:tc>
        <w:tc>
          <w:tcPr>
            <w:tcW w:w="1247" w:type="dxa"/>
            <w:gridSpan w:val="2"/>
            <w:hideMark/>
          </w:tcPr>
          <w:p w:rsidR="00977EF5" w:rsidRPr="00F10CD6" w:rsidRDefault="00977EF5" w:rsidP="00D2637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-1,05</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Realna rast BDP na prebivalca</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2,40</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3,73</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1,58</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1,28</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1,25</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1,61</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1,45</w:t>
            </w:r>
          </w:p>
        </w:tc>
        <w:tc>
          <w:tcPr>
            <w:tcW w:w="1247" w:type="dxa"/>
            <w:gridSpan w:val="2"/>
            <w:hideMark/>
          </w:tcPr>
          <w:p w:rsidR="00977EF5" w:rsidRPr="00F10CD6" w:rsidRDefault="00977EF5" w:rsidP="00D2637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-0,95</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BA6227"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xml:space="preserve">Stopnja aktivnosti moških </w:t>
            </w:r>
          </w:p>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(20-64 let)</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79,3</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81,3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81,3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80,4</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81,4</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82,1</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81,4</w:t>
            </w:r>
          </w:p>
        </w:tc>
        <w:tc>
          <w:tcPr>
            <w:tcW w:w="1247" w:type="dxa"/>
            <w:gridSpan w:val="2"/>
            <w:hideMark/>
          </w:tcPr>
          <w:p w:rsidR="00977EF5" w:rsidRPr="00F10CD6" w:rsidRDefault="00977EF5" w:rsidP="00D2637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2,1</w:t>
            </w:r>
          </w:p>
        </w:tc>
      </w:tr>
      <w:tr w:rsidR="00977EF5" w:rsidRPr="00F10CD6" w:rsidTr="00BA62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BA6227"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xml:space="preserve">Stopnja aktivnosti žensk </w:t>
            </w:r>
          </w:p>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(20-64 let)</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72,2</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75,5</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77,5</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76,7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77,7</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78,2</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77,4</w:t>
            </w:r>
          </w:p>
        </w:tc>
        <w:tc>
          <w:tcPr>
            <w:tcW w:w="1247" w:type="dxa"/>
            <w:gridSpan w:val="2"/>
            <w:hideMark/>
          </w:tcPr>
          <w:p w:rsidR="00977EF5" w:rsidRPr="00F10CD6" w:rsidRDefault="00977EF5" w:rsidP="00D2637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5,2</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BA6227"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xml:space="preserve">Skupna stopnja aktivnosti </w:t>
            </w:r>
          </w:p>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(20-64 let)</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76,1</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78,5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79,5</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78,6</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79,6</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80,2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79,4</w:t>
            </w:r>
          </w:p>
        </w:tc>
        <w:tc>
          <w:tcPr>
            <w:tcW w:w="1247" w:type="dxa"/>
            <w:gridSpan w:val="2"/>
            <w:hideMark/>
          </w:tcPr>
          <w:p w:rsidR="00977EF5" w:rsidRPr="00F10CD6" w:rsidRDefault="00977EF5" w:rsidP="00D2637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3,3</w:t>
            </w:r>
          </w:p>
        </w:tc>
      </w:tr>
      <w:tr w:rsidR="00977EF5" w:rsidRPr="00F10CD6" w:rsidTr="00B369B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05" w:type="dxa"/>
            <w:hideMark/>
          </w:tcPr>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Stopnja brezposelnosti</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9,0</w:t>
            </w:r>
          </w:p>
        </w:tc>
        <w:tc>
          <w:tcPr>
            <w:tcW w:w="850"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6,7</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708"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709" w:type="dxa"/>
            <w:hideMark/>
          </w:tcPr>
          <w:p w:rsidR="00977EF5" w:rsidRPr="00F10CD6" w:rsidRDefault="00977EF5" w:rsidP="009B5300">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5,9</w:t>
            </w:r>
          </w:p>
        </w:tc>
        <w:tc>
          <w:tcPr>
            <w:tcW w:w="1247" w:type="dxa"/>
            <w:gridSpan w:val="2"/>
            <w:hideMark/>
          </w:tcPr>
          <w:p w:rsidR="00977EF5" w:rsidRPr="00F10CD6" w:rsidRDefault="00977EF5" w:rsidP="00D2637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-3,2</w:t>
            </w:r>
          </w:p>
        </w:tc>
      </w:tr>
      <w:tr w:rsidR="00977EF5" w:rsidRPr="00F10CD6" w:rsidTr="00BA6227">
        <w:trPr>
          <w:trHeight w:val="300"/>
        </w:trPr>
        <w:tc>
          <w:tcPr>
            <w:cnfStyle w:val="001000000000" w:firstRow="0" w:lastRow="0" w:firstColumn="1" w:lastColumn="0" w:oddVBand="0" w:evenVBand="0" w:oddHBand="0" w:evenHBand="0" w:firstRowFirstColumn="0" w:firstRowLastColumn="0" w:lastRowFirstColumn="0" w:lastRowLastColumn="0"/>
            <w:tcW w:w="3005" w:type="dxa"/>
            <w:hideMark/>
          </w:tcPr>
          <w:p w:rsidR="00BA6227"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 xml:space="preserve">Delež prebivalstva v starosti </w:t>
            </w:r>
          </w:p>
          <w:p w:rsidR="00977EF5" w:rsidRPr="00F10CD6" w:rsidRDefault="00977EF5" w:rsidP="00D2637A">
            <w:pPr>
              <w:jc w:val="left"/>
              <w:rPr>
                <w:rFonts w:eastAsia="Times New Roman" w:cs="Arial"/>
                <w:b w:val="0"/>
                <w:color w:val="0D0D0D" w:themeColor="text1" w:themeTint="F2"/>
                <w:sz w:val="18"/>
                <w:szCs w:val="18"/>
                <w:lang w:eastAsia="sl-SI"/>
              </w:rPr>
            </w:pPr>
            <w:r w:rsidRPr="00F10CD6">
              <w:rPr>
                <w:rFonts w:eastAsia="Times New Roman" w:cs="Arial"/>
                <w:b w:val="0"/>
                <w:color w:val="0D0D0D" w:themeColor="text1" w:themeTint="F2"/>
                <w:sz w:val="18"/>
                <w:szCs w:val="18"/>
                <w:lang w:eastAsia="sl-SI"/>
              </w:rPr>
              <w:t>65 let in več</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18,2</w:t>
            </w:r>
          </w:p>
        </w:tc>
        <w:tc>
          <w:tcPr>
            <w:tcW w:w="850"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20,7</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25,2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28,3</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30,6</w:t>
            </w:r>
          </w:p>
        </w:tc>
        <w:tc>
          <w:tcPr>
            <w:tcW w:w="708"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30,2</w:t>
            </w:r>
          </w:p>
        </w:tc>
        <w:tc>
          <w:tcPr>
            <w:tcW w:w="709" w:type="dxa"/>
            <w:hideMark/>
          </w:tcPr>
          <w:p w:rsidR="00977EF5" w:rsidRPr="00F10CD6" w:rsidRDefault="00977EF5" w:rsidP="009B5300">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28,5</w:t>
            </w:r>
          </w:p>
        </w:tc>
        <w:tc>
          <w:tcPr>
            <w:tcW w:w="1247" w:type="dxa"/>
            <w:gridSpan w:val="2"/>
            <w:hideMark/>
          </w:tcPr>
          <w:p w:rsidR="00977EF5" w:rsidRPr="00F10CD6" w:rsidRDefault="00977EF5" w:rsidP="00D2637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8"/>
                <w:szCs w:val="18"/>
                <w:lang w:eastAsia="sl-SI"/>
              </w:rPr>
            </w:pPr>
            <w:r w:rsidRPr="00F10CD6">
              <w:rPr>
                <w:rFonts w:eastAsia="Times New Roman" w:cs="Arial"/>
                <w:color w:val="0D0D0D" w:themeColor="text1" w:themeTint="F2"/>
                <w:sz w:val="18"/>
                <w:szCs w:val="18"/>
                <w:lang w:eastAsia="sl-SI"/>
              </w:rPr>
              <w:t>10,3</w:t>
            </w:r>
          </w:p>
        </w:tc>
      </w:tr>
    </w:tbl>
    <w:p w:rsidR="00305638" w:rsidRPr="00F10CD6" w:rsidRDefault="00305638" w:rsidP="00BA6227">
      <w:pPr>
        <w:shd w:val="clear" w:color="auto" w:fill="FFFFFF"/>
        <w:spacing w:after="0"/>
        <w:jc w:val="center"/>
        <w:rPr>
          <w:rFonts w:cs="Arial"/>
          <w:color w:val="0D0D0D" w:themeColor="text1" w:themeTint="F2"/>
          <w:spacing w:val="5"/>
          <w:sz w:val="20"/>
          <w:szCs w:val="14"/>
        </w:rPr>
      </w:pPr>
      <w:r w:rsidRPr="00F10CD6">
        <w:rPr>
          <w:rFonts w:cs="Arial"/>
          <w:color w:val="0D0D0D" w:themeColor="text1" w:themeTint="F2"/>
          <w:spacing w:val="5"/>
          <w:sz w:val="20"/>
          <w:szCs w:val="14"/>
        </w:rPr>
        <w:t>Vir: Ministrstvo za finance, Inštitut za ekonomska raziskovanja, Ageing Report 2018</w:t>
      </w:r>
    </w:p>
    <w:p w:rsidR="009B5300" w:rsidRDefault="009B5300" w:rsidP="008D061D">
      <w:pPr>
        <w:pStyle w:val="besedilo"/>
        <w:rPr>
          <w:color w:val="0D0D0D" w:themeColor="text1" w:themeTint="F2"/>
        </w:rPr>
      </w:pPr>
    </w:p>
    <w:p w:rsidR="00305638" w:rsidRPr="00F10CD6" w:rsidRDefault="00305638" w:rsidP="008D061D">
      <w:pPr>
        <w:pStyle w:val="besedilo"/>
        <w:rPr>
          <w:color w:val="0D0D0D" w:themeColor="text1" w:themeTint="F2"/>
        </w:rPr>
      </w:pPr>
      <w:r w:rsidRPr="00F10CD6">
        <w:rPr>
          <w:color w:val="0D0D0D" w:themeColor="text1" w:themeTint="F2"/>
        </w:rPr>
        <w:t xml:space="preserve">Na </w:t>
      </w:r>
      <w:r w:rsidR="008A72A7" w:rsidRPr="00F10CD6">
        <w:rPr>
          <w:color w:val="0D0D0D" w:themeColor="text1" w:themeTint="F2"/>
        </w:rPr>
        <w:t xml:space="preserve">podlagi </w:t>
      </w:r>
      <w:r w:rsidRPr="00F10CD6">
        <w:rPr>
          <w:color w:val="0D0D0D" w:themeColor="text1" w:themeTint="F2"/>
        </w:rPr>
        <w:t>ocen izdatkov za staranje je Evropska komisija izračunala nove indikatorje fiskalne vzdržnost</w:t>
      </w:r>
      <w:r w:rsidR="00AC0495" w:rsidRPr="00F10CD6">
        <w:rPr>
          <w:color w:val="0D0D0D" w:themeColor="text1" w:themeTint="F2"/>
        </w:rPr>
        <w:t>i</w:t>
      </w:r>
      <w:r w:rsidR="008A72A7" w:rsidRPr="00F10CD6">
        <w:rPr>
          <w:color w:val="0D0D0D" w:themeColor="text1" w:themeTint="F2"/>
        </w:rPr>
        <w:t>,</w:t>
      </w:r>
      <w:r w:rsidRPr="00F10CD6">
        <w:rPr>
          <w:rStyle w:val="FootnoteReference"/>
          <w:color w:val="0D0D0D" w:themeColor="text1" w:themeTint="F2"/>
        </w:rPr>
        <w:footnoteReference w:id="17"/>
      </w:r>
      <w:r w:rsidRPr="00F10CD6">
        <w:rPr>
          <w:color w:val="0D0D0D" w:themeColor="text1" w:themeTint="F2"/>
        </w:rPr>
        <w:t xml:space="preserve"> ki so pomemben element za izračun novega srednjeročnega fiskalnega cilja</w:t>
      </w:r>
      <w:r w:rsidR="00AC0495" w:rsidRPr="00F10CD6">
        <w:rPr>
          <w:color w:val="0D0D0D" w:themeColor="text1" w:themeTint="F2"/>
        </w:rPr>
        <w:t xml:space="preserve"> (MTO)</w:t>
      </w:r>
      <w:r w:rsidRPr="00F10CD6">
        <w:rPr>
          <w:color w:val="0D0D0D" w:themeColor="text1" w:themeTint="F2"/>
        </w:rPr>
        <w:t xml:space="preserve"> do 2022. Za Slovenijo so se indikatorji izboljšali v primerjavi s prejšnjo oceno, kar </w:t>
      </w:r>
      <w:r w:rsidR="00AC0495" w:rsidRPr="00F10CD6">
        <w:rPr>
          <w:color w:val="0D0D0D" w:themeColor="text1" w:themeTint="F2"/>
        </w:rPr>
        <w:t xml:space="preserve">nas </w:t>
      </w:r>
      <w:r w:rsidRPr="00F10CD6">
        <w:rPr>
          <w:color w:val="0D0D0D" w:themeColor="text1" w:themeTint="F2"/>
        </w:rPr>
        <w:t xml:space="preserve">je uvrstilo med države s srednjim tveganjem fiskalne vzdržnosti na srednji in dolgi rok. </w:t>
      </w:r>
      <w:r w:rsidR="001C030B" w:rsidRPr="00F10CD6">
        <w:rPr>
          <w:color w:val="0D0D0D" w:themeColor="text1" w:themeTint="F2"/>
        </w:rPr>
        <w:t>K</w:t>
      </w:r>
      <w:r w:rsidRPr="00F10CD6">
        <w:rPr>
          <w:color w:val="0D0D0D" w:themeColor="text1" w:themeTint="F2"/>
        </w:rPr>
        <w:t xml:space="preserve">azalnik </w:t>
      </w:r>
      <w:r w:rsidRPr="00F10CD6">
        <w:rPr>
          <w:color w:val="0D0D0D" w:themeColor="text1" w:themeTint="F2"/>
        </w:rPr>
        <w:lastRenderedPageBreak/>
        <w:t>S1 za srednjeročno vzdržnost se je od prejšnjega obdobja (2015</w:t>
      </w:r>
      <w:r w:rsidR="00A442F4" w:rsidRPr="00F10CD6">
        <w:rPr>
          <w:color w:val="0D0D0D" w:themeColor="text1" w:themeTint="F2"/>
        </w:rPr>
        <w:t>–</w:t>
      </w:r>
      <w:r w:rsidRPr="00F10CD6">
        <w:rPr>
          <w:color w:val="0D0D0D" w:themeColor="text1" w:themeTint="F2"/>
        </w:rPr>
        <w:t xml:space="preserve">2019) znižal </w:t>
      </w:r>
      <w:r w:rsidR="00871E14" w:rsidRPr="00F10CD6">
        <w:rPr>
          <w:color w:val="0D0D0D" w:themeColor="text1" w:themeTint="F2"/>
        </w:rPr>
        <w:t>s</w:t>
      </w:r>
      <w:r w:rsidR="001C030B" w:rsidRPr="00F10CD6">
        <w:rPr>
          <w:color w:val="0D0D0D" w:themeColor="text1" w:themeTint="F2"/>
        </w:rPr>
        <w:t xml:space="preserve"> </w:t>
      </w:r>
      <w:r w:rsidRPr="00F10CD6">
        <w:rPr>
          <w:color w:val="0D0D0D" w:themeColor="text1" w:themeTint="F2"/>
        </w:rPr>
        <w:t xml:space="preserve">3 na 0,2 za obdobje 2020–2022 in </w:t>
      </w:r>
      <w:r w:rsidR="001C030B" w:rsidRPr="00F10CD6">
        <w:rPr>
          <w:color w:val="0D0D0D" w:themeColor="text1" w:themeTint="F2"/>
        </w:rPr>
        <w:t xml:space="preserve">kazalnik </w:t>
      </w:r>
      <w:r w:rsidRPr="00F10CD6">
        <w:rPr>
          <w:color w:val="0D0D0D" w:themeColor="text1" w:themeTint="F2"/>
        </w:rPr>
        <w:t>S2, ki meri dolgoročno javnofinančno vzdržanost</w:t>
      </w:r>
      <w:r w:rsidR="00871E14" w:rsidRPr="00F10CD6">
        <w:rPr>
          <w:color w:val="0D0D0D" w:themeColor="text1" w:themeTint="F2"/>
        </w:rPr>
        <w:t>, s</w:t>
      </w:r>
      <w:r w:rsidRPr="00F10CD6">
        <w:rPr>
          <w:color w:val="0D0D0D" w:themeColor="text1" w:themeTint="F2"/>
        </w:rPr>
        <w:t xml:space="preserve"> 6,8 na 5,5. </w:t>
      </w:r>
    </w:p>
    <w:p w:rsidR="00305638" w:rsidRPr="00F10CD6" w:rsidRDefault="00305638" w:rsidP="008D061D">
      <w:pPr>
        <w:pStyle w:val="besedilo"/>
        <w:rPr>
          <w:rFonts w:eastAsia="Calibri"/>
          <w:color w:val="0D0D0D" w:themeColor="text1" w:themeTint="F2"/>
        </w:rPr>
      </w:pPr>
    </w:p>
    <w:p w:rsidR="00305638" w:rsidRPr="00F10CD6" w:rsidRDefault="00305638" w:rsidP="008D061D">
      <w:pPr>
        <w:pStyle w:val="besedilo"/>
        <w:rPr>
          <w:rFonts w:eastAsia="Calibri"/>
          <w:color w:val="0D0D0D" w:themeColor="text1" w:themeTint="F2"/>
        </w:rPr>
      </w:pPr>
      <w:r w:rsidRPr="00F10CD6">
        <w:rPr>
          <w:rFonts w:eastAsia="Calibri"/>
          <w:color w:val="0D0D0D" w:themeColor="text1" w:themeTint="F2"/>
        </w:rPr>
        <w:t xml:space="preserve">Rezultati projekcij jasno kažejo potrebo po nadaljnjih strukturnih reformah, ki bodo morale nadgraditi obstoječe sisteme pokojninskega zavarovanja, zdravstva in dolgotrajne oskrbe, kakor tudi prilagoditi sistem usposabljanja in izobraževanja, sicer bo v prihodnosti prišlo do čedalje hitrejšega izrinjanja javnofinančnih izdatkov za druge namene. </w:t>
      </w:r>
    </w:p>
    <w:p w:rsidR="00305638" w:rsidRPr="00F10CD6" w:rsidRDefault="00305638" w:rsidP="008D061D">
      <w:pPr>
        <w:pStyle w:val="besedilo"/>
        <w:rPr>
          <w:rFonts w:eastAsia="Calibri"/>
          <w:color w:val="0D0D0D" w:themeColor="text1" w:themeTint="F2"/>
        </w:rPr>
      </w:pPr>
    </w:p>
    <w:p w:rsidR="007B5454" w:rsidRPr="00F10CD6" w:rsidRDefault="00305638" w:rsidP="008D061D">
      <w:pPr>
        <w:pStyle w:val="besedilo"/>
        <w:rPr>
          <w:rFonts w:eastAsia="Calibri"/>
          <w:color w:val="0D0D0D" w:themeColor="text1" w:themeTint="F2"/>
        </w:rPr>
      </w:pPr>
      <w:r w:rsidRPr="00F10CD6">
        <w:rPr>
          <w:rFonts w:eastAsia="Calibri"/>
          <w:color w:val="0D0D0D" w:themeColor="text1" w:themeTint="F2"/>
        </w:rPr>
        <w:t xml:space="preserve">Dolgoživa družba je v Sloveniji </w:t>
      </w:r>
      <w:r w:rsidR="000047CB" w:rsidRPr="00F10CD6">
        <w:rPr>
          <w:rFonts w:eastAsia="Calibri"/>
          <w:color w:val="0D0D0D" w:themeColor="text1" w:themeTint="F2"/>
        </w:rPr>
        <w:t xml:space="preserve">obravnavana </w:t>
      </w:r>
      <w:r w:rsidRPr="00F10CD6">
        <w:rPr>
          <w:rFonts w:eastAsia="Calibri"/>
          <w:color w:val="0D0D0D" w:themeColor="text1" w:themeTint="F2"/>
        </w:rPr>
        <w:t xml:space="preserve">s Strategijo dolgožive družbe. </w:t>
      </w:r>
      <w:r w:rsidR="008F1AFB" w:rsidRPr="00F10CD6">
        <w:rPr>
          <w:rFonts w:eastAsia="Calibri"/>
          <w:color w:val="0D0D0D" w:themeColor="text1" w:themeTint="F2"/>
        </w:rPr>
        <w:t>Ta</w:t>
      </w:r>
      <w:r w:rsidRPr="00F10CD6">
        <w:rPr>
          <w:rFonts w:eastAsia="Calibri"/>
          <w:color w:val="0D0D0D" w:themeColor="text1" w:themeTint="F2"/>
        </w:rPr>
        <w:t xml:space="preserve"> je oblikovana na konceptu aktivnega staranja, ki poudarja aktivnost in ustvarjalnost v vseh življenjskih obdobjih, skrb za zdravje in medgeneracijsko sodelovanje ter solidarnost. Strategija zajema štiri stebre z usmeritvami za u</w:t>
      </w:r>
      <w:r w:rsidR="00E565CA" w:rsidRPr="00F10CD6">
        <w:rPr>
          <w:rFonts w:eastAsia="Calibri"/>
          <w:color w:val="0D0D0D" w:themeColor="text1" w:themeTint="F2"/>
        </w:rPr>
        <w:t>krepanje (zaposlenost/aktivnost;</w:t>
      </w:r>
      <w:r w:rsidRPr="00F10CD6">
        <w:rPr>
          <w:rFonts w:eastAsia="Calibri"/>
          <w:color w:val="0D0D0D" w:themeColor="text1" w:themeTint="F2"/>
        </w:rPr>
        <w:t xml:space="preserve"> samostojno, zdravo in varno življenje vseh generacij; vključenost v družbo in oblikovanje okolja za aktivnost v celotnem življenjskem obdobju).  Za spremljanje načrtovanja in izvajanja ukrepov je ustanovljen tudi Svet za aktivno staranje in medgeneracijsko sodelovanje. Svet skrbi za usklajeno delovanje vseh deležnikov na tem področju.  </w:t>
      </w:r>
    </w:p>
    <w:p w:rsidR="00C66E14" w:rsidRPr="00F10CD6" w:rsidRDefault="00C66E14" w:rsidP="00C66E14">
      <w:pPr>
        <w:pStyle w:val="Heading1"/>
        <w:rPr>
          <w:color w:val="0D0D0D" w:themeColor="text1" w:themeTint="F2"/>
        </w:rPr>
      </w:pPr>
      <w:bookmarkStart w:id="36" w:name="_Toc6923664"/>
      <w:r w:rsidRPr="00F10CD6">
        <w:rPr>
          <w:color w:val="0D0D0D" w:themeColor="text1" w:themeTint="F2"/>
        </w:rPr>
        <w:t>KVALITETA JAVNIH FINANC in VPLIV STRUKTURNIH REFORM</w:t>
      </w:r>
      <w:bookmarkEnd w:id="36"/>
    </w:p>
    <w:p w:rsidR="00C66E14" w:rsidRPr="00F10CD6" w:rsidRDefault="00C66E14" w:rsidP="00C66E14">
      <w:pPr>
        <w:spacing w:after="0" w:line="276" w:lineRule="auto"/>
        <w:rPr>
          <w:rFonts w:cs="Arial"/>
          <w:bCs/>
          <w:color w:val="0D0D0D" w:themeColor="text1" w:themeTint="F2"/>
        </w:rPr>
      </w:pPr>
    </w:p>
    <w:p w:rsidR="00224122" w:rsidRPr="00F10CD6" w:rsidRDefault="00224122" w:rsidP="008D061D">
      <w:pPr>
        <w:pStyle w:val="besedilo"/>
        <w:rPr>
          <w:color w:val="0D0D0D" w:themeColor="text1" w:themeTint="F2"/>
        </w:rPr>
      </w:pPr>
      <w:r w:rsidRPr="00F10CD6">
        <w:rPr>
          <w:color w:val="0D0D0D" w:themeColor="text1" w:themeTint="F2"/>
        </w:rPr>
        <w:t>V letu 20</w:t>
      </w:r>
      <w:r w:rsidR="006F72A0" w:rsidRPr="00F10CD6">
        <w:rPr>
          <w:color w:val="0D0D0D" w:themeColor="text1" w:themeTint="F2"/>
        </w:rPr>
        <w:t>20 bo Slovenija zaradi potreb usklajenosti tako s fiskalnim pravilom kot izračun</w:t>
      </w:r>
      <w:r w:rsidR="000047CB" w:rsidRPr="00F10CD6">
        <w:rPr>
          <w:color w:val="0D0D0D" w:themeColor="text1" w:themeTint="F2"/>
        </w:rPr>
        <w:t>i</w:t>
      </w:r>
      <w:r w:rsidR="006F72A0" w:rsidRPr="00F10CD6">
        <w:rPr>
          <w:color w:val="0D0D0D" w:themeColor="text1" w:themeTint="F2"/>
        </w:rPr>
        <w:t xml:space="preserve"> EK in usklajenosti z EK (ki ima izračunano drugačno oddaljenost v letu 2018 in 2019 od srednjeročnega cilja) uporabila klavzulo fleksibilnosti, ki jo bo predložila takoj, ko bo znan</w:t>
      </w:r>
      <w:r w:rsidR="000047CB" w:rsidRPr="00F10CD6">
        <w:rPr>
          <w:color w:val="0D0D0D" w:themeColor="text1" w:themeTint="F2"/>
        </w:rPr>
        <w:t>o</w:t>
      </w:r>
      <w:r w:rsidR="006F72A0" w:rsidRPr="00F10CD6">
        <w:rPr>
          <w:color w:val="0D0D0D" w:themeColor="text1" w:themeTint="F2"/>
        </w:rPr>
        <w:t xml:space="preserve"> dokonč</w:t>
      </w:r>
      <w:r w:rsidR="000047CB" w:rsidRPr="00F10CD6">
        <w:rPr>
          <w:color w:val="0D0D0D" w:themeColor="text1" w:themeTint="F2"/>
        </w:rPr>
        <w:t>no</w:t>
      </w:r>
      <w:r w:rsidR="006F72A0" w:rsidRPr="00F10CD6">
        <w:rPr>
          <w:color w:val="0D0D0D" w:themeColor="text1" w:themeTint="F2"/>
        </w:rPr>
        <w:t xml:space="preserve"> </w:t>
      </w:r>
      <w:r w:rsidR="000047CB" w:rsidRPr="00F10CD6">
        <w:rPr>
          <w:color w:val="0D0D0D" w:themeColor="text1" w:themeTint="F2"/>
        </w:rPr>
        <w:t>besedilo</w:t>
      </w:r>
      <w:r w:rsidR="003259EE" w:rsidRPr="00F10CD6">
        <w:rPr>
          <w:color w:val="0D0D0D" w:themeColor="text1" w:themeTint="F2"/>
        </w:rPr>
        <w:t>,</w:t>
      </w:r>
      <w:r w:rsidR="006F72A0" w:rsidRPr="00F10CD6">
        <w:rPr>
          <w:color w:val="0D0D0D" w:themeColor="text1" w:themeTint="F2"/>
        </w:rPr>
        <w:t xml:space="preserve"> </w:t>
      </w:r>
      <w:r w:rsidR="00123FCB" w:rsidRPr="00F10CD6">
        <w:rPr>
          <w:color w:val="0D0D0D" w:themeColor="text1" w:themeTint="F2"/>
        </w:rPr>
        <w:t xml:space="preserve">ki bo kar najširše usklajeno </w:t>
      </w:r>
      <w:r w:rsidR="006F72A0" w:rsidRPr="00F10CD6">
        <w:rPr>
          <w:color w:val="0D0D0D" w:themeColor="text1" w:themeTint="F2"/>
        </w:rPr>
        <w:t>tako z ekonomsko</w:t>
      </w:r>
      <w:r w:rsidR="00123FCB" w:rsidRPr="00F10CD6">
        <w:rPr>
          <w:color w:val="0D0D0D" w:themeColor="text1" w:themeTint="F2"/>
        </w:rPr>
        <w:t>-</w:t>
      </w:r>
      <w:r w:rsidR="006F72A0" w:rsidRPr="00F10CD6">
        <w:rPr>
          <w:color w:val="0D0D0D" w:themeColor="text1" w:themeTint="F2"/>
        </w:rPr>
        <w:t>socialnim svetom kot zainteresiranimi javnostmi</w:t>
      </w:r>
      <w:r w:rsidR="003259EE" w:rsidRPr="00F10CD6">
        <w:rPr>
          <w:color w:val="0D0D0D" w:themeColor="text1" w:themeTint="F2"/>
        </w:rPr>
        <w:t>,</w:t>
      </w:r>
      <w:r w:rsidR="006F72A0" w:rsidRPr="00F10CD6">
        <w:rPr>
          <w:color w:val="0D0D0D" w:themeColor="text1" w:themeTint="F2"/>
        </w:rPr>
        <w:t xml:space="preserve"> posamezni</w:t>
      </w:r>
      <w:r w:rsidR="00123FCB" w:rsidRPr="00F10CD6">
        <w:rPr>
          <w:color w:val="0D0D0D" w:themeColor="text1" w:themeTint="F2"/>
        </w:rPr>
        <w:t>mi</w:t>
      </w:r>
      <w:r w:rsidR="006F72A0" w:rsidRPr="00F10CD6">
        <w:rPr>
          <w:color w:val="0D0D0D" w:themeColor="text1" w:themeTint="F2"/>
        </w:rPr>
        <w:t xml:space="preserve"> zakon</w:t>
      </w:r>
      <w:r w:rsidR="00123FCB" w:rsidRPr="00F10CD6">
        <w:rPr>
          <w:color w:val="0D0D0D" w:themeColor="text1" w:themeTint="F2"/>
        </w:rPr>
        <w:t>i</w:t>
      </w:r>
      <w:r w:rsidR="006F72A0" w:rsidRPr="00F10CD6">
        <w:rPr>
          <w:color w:val="0D0D0D" w:themeColor="text1" w:themeTint="F2"/>
        </w:rPr>
        <w:t xml:space="preserve"> in predvsem dokončn</w:t>
      </w:r>
      <w:r w:rsidR="00123FCB" w:rsidRPr="00F10CD6">
        <w:rPr>
          <w:color w:val="0D0D0D" w:themeColor="text1" w:themeTint="F2"/>
        </w:rPr>
        <w:t>imi</w:t>
      </w:r>
      <w:r w:rsidR="006F72A0" w:rsidRPr="00F10CD6">
        <w:rPr>
          <w:color w:val="0D0D0D" w:themeColor="text1" w:themeTint="F2"/>
        </w:rPr>
        <w:t xml:space="preserve"> finančni</w:t>
      </w:r>
      <w:r w:rsidR="00123FCB" w:rsidRPr="00F10CD6">
        <w:rPr>
          <w:color w:val="0D0D0D" w:themeColor="text1" w:themeTint="F2"/>
        </w:rPr>
        <w:t>mi</w:t>
      </w:r>
      <w:r w:rsidR="006F72A0" w:rsidRPr="00F10CD6">
        <w:rPr>
          <w:color w:val="0D0D0D" w:themeColor="text1" w:themeTint="F2"/>
        </w:rPr>
        <w:t xml:space="preserve"> in fiskalni</w:t>
      </w:r>
      <w:r w:rsidR="00123FCB" w:rsidRPr="00F10CD6">
        <w:rPr>
          <w:color w:val="0D0D0D" w:themeColor="text1" w:themeTint="F2"/>
        </w:rPr>
        <w:t>mi</w:t>
      </w:r>
      <w:r w:rsidR="006F72A0" w:rsidRPr="00F10CD6">
        <w:rPr>
          <w:color w:val="0D0D0D" w:themeColor="text1" w:themeTint="F2"/>
        </w:rPr>
        <w:t xml:space="preserve"> učinki (ne toliko kra</w:t>
      </w:r>
      <w:r w:rsidR="003259EE" w:rsidRPr="00F10CD6">
        <w:rPr>
          <w:color w:val="0D0D0D" w:themeColor="text1" w:themeTint="F2"/>
        </w:rPr>
        <w:t>tkoročni</w:t>
      </w:r>
      <w:r w:rsidR="00123FCB" w:rsidRPr="00F10CD6">
        <w:rPr>
          <w:color w:val="0D0D0D" w:themeColor="text1" w:themeTint="F2"/>
        </w:rPr>
        <w:t>mi</w:t>
      </w:r>
      <w:r w:rsidR="003259EE" w:rsidRPr="00F10CD6">
        <w:rPr>
          <w:color w:val="0D0D0D" w:themeColor="text1" w:themeTint="F2"/>
        </w:rPr>
        <w:t>, predvsem dolgoročni</w:t>
      </w:r>
      <w:r w:rsidR="00123FCB" w:rsidRPr="00F10CD6">
        <w:rPr>
          <w:color w:val="0D0D0D" w:themeColor="text1" w:themeTint="F2"/>
        </w:rPr>
        <w:t>mi</w:t>
      </w:r>
      <w:r w:rsidR="003259EE" w:rsidRPr="00F10CD6">
        <w:rPr>
          <w:color w:val="0D0D0D" w:themeColor="text1" w:themeTint="F2"/>
        </w:rPr>
        <w:t>).</w:t>
      </w:r>
    </w:p>
    <w:p w:rsidR="005527F7" w:rsidRPr="00F10CD6" w:rsidRDefault="005527F7" w:rsidP="008D061D">
      <w:pPr>
        <w:pStyle w:val="besedilo"/>
        <w:rPr>
          <w:color w:val="0D0D0D" w:themeColor="text1" w:themeTint="F2"/>
        </w:rPr>
      </w:pPr>
    </w:p>
    <w:tbl>
      <w:tblPr>
        <w:tblStyle w:val="TableGrid"/>
        <w:tblW w:w="0" w:type="auto"/>
        <w:tblLook w:val="04A0" w:firstRow="1" w:lastRow="0" w:firstColumn="1" w:lastColumn="0" w:noHBand="0" w:noVBand="1"/>
      </w:tblPr>
      <w:tblGrid>
        <w:gridCol w:w="9438"/>
      </w:tblGrid>
      <w:tr w:rsidR="005527F7" w:rsidRPr="00F10CD6" w:rsidTr="005527F7">
        <w:tc>
          <w:tcPr>
            <w:tcW w:w="9438" w:type="dxa"/>
          </w:tcPr>
          <w:p w:rsidR="005527F7" w:rsidRPr="00F10CD6" w:rsidRDefault="005527F7" w:rsidP="005527F7">
            <w:pPr>
              <w:rPr>
                <w:b/>
                <w:color w:val="0D0D0D" w:themeColor="text1" w:themeTint="F2"/>
                <w:lang w:val="sl-SI"/>
              </w:rPr>
            </w:pPr>
            <w:r w:rsidRPr="00F10CD6">
              <w:rPr>
                <w:b/>
                <w:color w:val="0D0D0D" w:themeColor="text1" w:themeTint="F2"/>
                <w:lang w:val="sl-SI"/>
              </w:rPr>
              <w:t>Klavzula fleksibilnosti in strukturne reforme</w:t>
            </w:r>
          </w:p>
          <w:p w:rsidR="005527F7" w:rsidRPr="00F10CD6" w:rsidRDefault="005527F7" w:rsidP="005527F7">
            <w:pPr>
              <w:rPr>
                <w:color w:val="0D0D0D" w:themeColor="text1" w:themeTint="F2"/>
                <w:lang w:val="sl-SI"/>
              </w:rPr>
            </w:pPr>
          </w:p>
          <w:p w:rsidR="005527F7" w:rsidRPr="00F10CD6" w:rsidRDefault="005527F7" w:rsidP="00B369B1">
            <w:pPr>
              <w:spacing w:line="276" w:lineRule="auto"/>
              <w:rPr>
                <w:color w:val="0D0D0D" w:themeColor="text1" w:themeTint="F2"/>
                <w:lang w:val="sl-SI"/>
              </w:rPr>
            </w:pPr>
            <w:r w:rsidRPr="00F10CD6">
              <w:rPr>
                <w:color w:val="0D0D0D" w:themeColor="text1" w:themeTint="F2"/>
                <w:lang w:val="sl-SI"/>
              </w:rPr>
              <w:t>Za sprejem in izvedbo dogovorjenih strukturnih reform lahko države članice uveljavljajo t.</w:t>
            </w:r>
            <w:r w:rsidR="00123FCB" w:rsidRPr="00F10CD6">
              <w:rPr>
                <w:color w:val="0D0D0D" w:themeColor="text1" w:themeTint="F2"/>
                <w:lang w:val="sl-SI"/>
              </w:rPr>
              <w:t> </w:t>
            </w:r>
            <w:r w:rsidRPr="00F10CD6">
              <w:rPr>
                <w:color w:val="0D0D0D" w:themeColor="text1" w:themeTint="F2"/>
                <w:lang w:val="sl-SI"/>
              </w:rPr>
              <w:t>i. klavzulo fleksibilnosti. Klavzula dovoljuje začasen odmik od srednjeročnega fiskalnega cilja. Odmik ne sme voditi k prekoračitvi primanjkljaja v višini 3</w:t>
            </w:r>
            <w:r w:rsidR="00123FCB" w:rsidRPr="00F10CD6">
              <w:rPr>
                <w:color w:val="0D0D0D" w:themeColor="text1" w:themeTint="F2"/>
                <w:lang w:val="sl-SI"/>
              </w:rPr>
              <w:t> </w:t>
            </w:r>
            <w:r w:rsidRPr="00F10CD6">
              <w:rPr>
                <w:color w:val="0D0D0D" w:themeColor="text1" w:themeTint="F2"/>
                <w:lang w:val="sl-SI"/>
              </w:rPr>
              <w:t xml:space="preserve">% BDP, v času ocenjevanja vloge za uporabo klavzule pa se mora zagotavljati »safety margin« v povezavi s 3 % BDP primanjkljaja. Začasen odklon je dovoljen v letu t+1 naprej od leta t, ko je bila podana vloga za klavzulo. Maksimalno dovoljeno odstopanje je 0,5 % BDP. Zgornja meja je potrebna zaradi negotovosti ocen stroškov in koristi strukturnih reform. Maksimalna začetna razlika od strukturnega salda do MTO je 1,5 % BDP v letu t.  Razlika se da doseči z letno maksimalno prilagoditvijo 0,5 % BDP v t do t+3 obdobju. Državi članici je dovoljeno  odstopanje od MTO za </w:t>
            </w:r>
            <w:r w:rsidR="007B6E64" w:rsidRPr="00F10CD6">
              <w:rPr>
                <w:color w:val="0D0D0D" w:themeColor="text1" w:themeTint="F2"/>
                <w:lang w:val="sl-SI"/>
              </w:rPr>
              <w:t>tri</w:t>
            </w:r>
            <w:r w:rsidRPr="00F10CD6">
              <w:rPr>
                <w:color w:val="0D0D0D" w:themeColor="text1" w:themeTint="F2"/>
                <w:lang w:val="sl-SI"/>
              </w:rPr>
              <w:t xml:space="preserve"> leta. Dovoljena je zgolj ena prijava klavzule v srednjeročnem ciklu (MTO). Za strukturne ukrepe veljajo že sprejete spremembe ali pa so opredeljene natančne časovne zaveze sprejemanja ukrepov</w:t>
            </w:r>
            <w:r w:rsidR="00B369B1" w:rsidRPr="00F10CD6">
              <w:rPr>
                <w:color w:val="0D0D0D" w:themeColor="text1" w:themeTint="F2"/>
                <w:lang w:val="sl-SI"/>
              </w:rPr>
              <w:t xml:space="preserve"> (Vade mecum on the Stability and Growth </w:t>
            </w:r>
            <w:r w:rsidR="00AF5BCD" w:rsidRPr="00F10CD6">
              <w:rPr>
                <w:color w:val="0D0D0D" w:themeColor="text1" w:themeTint="F2"/>
                <w:lang w:val="sl-SI"/>
              </w:rPr>
              <w:t>P</w:t>
            </w:r>
            <w:r w:rsidR="00B369B1" w:rsidRPr="00F10CD6">
              <w:rPr>
                <w:color w:val="0D0D0D" w:themeColor="text1" w:themeTint="F2"/>
                <w:lang w:val="sl-SI"/>
              </w:rPr>
              <w:t>act, 2019)</w:t>
            </w:r>
            <w:r w:rsidRPr="00F10CD6">
              <w:rPr>
                <w:color w:val="0D0D0D" w:themeColor="text1" w:themeTint="F2"/>
                <w:lang w:val="sl-SI"/>
              </w:rPr>
              <w:t>.</w:t>
            </w:r>
          </w:p>
        </w:tc>
      </w:tr>
    </w:tbl>
    <w:p w:rsidR="00424CC1" w:rsidRPr="00F10CD6" w:rsidRDefault="00424CC1" w:rsidP="008D061D">
      <w:pPr>
        <w:pStyle w:val="besedilo"/>
        <w:rPr>
          <w:color w:val="0D0D0D" w:themeColor="text1" w:themeTint="F2"/>
        </w:rPr>
      </w:pPr>
    </w:p>
    <w:p w:rsidR="00146C3E" w:rsidRPr="00F10CD6" w:rsidRDefault="003623E1" w:rsidP="008D061D">
      <w:pPr>
        <w:pStyle w:val="besedilo"/>
        <w:rPr>
          <w:color w:val="0D0D0D" w:themeColor="text1" w:themeTint="F2"/>
        </w:rPr>
      </w:pPr>
      <w:r w:rsidRPr="009B5300">
        <w:rPr>
          <w:color w:val="0D0D0D" w:themeColor="text1" w:themeTint="F2"/>
        </w:rPr>
        <w:t>Predlogi ukrepov na področju pokojninskega sistema, ki so trenutno v usklajevanju s socialnimi partnerji bodo vplivali na primernost pokojnin</w:t>
      </w:r>
      <w:r w:rsidR="00146C3E" w:rsidRPr="009B5300">
        <w:rPr>
          <w:color w:val="0D0D0D" w:themeColor="text1" w:themeTint="F2"/>
        </w:rPr>
        <w:t>, povečevanje delovne aktivnosti starejših in</w:t>
      </w:r>
      <w:r w:rsidR="00146C3E" w:rsidRPr="00F10CD6">
        <w:rPr>
          <w:color w:val="0D0D0D" w:themeColor="text1" w:themeTint="F2"/>
        </w:rPr>
        <w:t xml:space="preserve"> dolgoročno javnofinančno vzdržnost. Predviden je postopen dvig odmernega odstotka in s tem zagotovitev višjih pokojnin za nove upokojence. Za 40 let dopolnjene pokojninske dobe bi bil odmerni odstotek 63</w:t>
      </w:r>
      <w:r w:rsidR="0028226F" w:rsidRPr="00F10CD6">
        <w:rPr>
          <w:color w:val="0D0D0D" w:themeColor="text1" w:themeTint="F2"/>
        </w:rPr>
        <w:t xml:space="preserve"> </w:t>
      </w:r>
      <w:r w:rsidR="00146C3E" w:rsidRPr="00F10CD6">
        <w:rPr>
          <w:color w:val="0D0D0D" w:themeColor="text1" w:themeTint="F2"/>
        </w:rPr>
        <w:t xml:space="preserve">% za oba spola. Dvig bo zagotovil višjo odmero starostnih, vdovskih, invalidskih in družinskih pokojnin ter nadomestil iz invalidskega zavarovanja. Spremembe bodo </w:t>
      </w:r>
      <w:r w:rsidR="00146C3E" w:rsidRPr="00F10CD6">
        <w:rPr>
          <w:color w:val="0D0D0D" w:themeColor="text1" w:themeTint="F2"/>
        </w:rPr>
        <w:lastRenderedPageBreak/>
        <w:t>nadgradile možnost podaljševanj</w:t>
      </w:r>
      <w:r w:rsidR="007B6E64" w:rsidRPr="00F10CD6">
        <w:rPr>
          <w:color w:val="0D0D0D" w:themeColor="text1" w:themeTint="F2"/>
        </w:rPr>
        <w:t>a</w:t>
      </w:r>
      <w:r w:rsidR="00146C3E" w:rsidRPr="00F10CD6">
        <w:rPr>
          <w:color w:val="0D0D0D" w:themeColor="text1" w:themeTint="F2"/>
        </w:rPr>
        <w:t xml:space="preserve"> delovne aktivnosti. Posamezniki, ki bodo tri leta po izpolnitvi pogojev za starostno upokojitev ostali zaposleni</w:t>
      </w:r>
      <w:r w:rsidR="007B6E64" w:rsidRPr="00F10CD6">
        <w:rPr>
          <w:color w:val="0D0D0D" w:themeColor="text1" w:themeTint="F2"/>
        </w:rPr>
        <w:t>,</w:t>
      </w:r>
      <w:r w:rsidR="00146C3E" w:rsidRPr="00F10CD6">
        <w:rPr>
          <w:color w:val="0D0D0D" w:themeColor="text1" w:themeTint="F2"/>
        </w:rPr>
        <w:t xml:space="preserve"> bodo ob delu lahko prejemali še 50</w:t>
      </w:r>
      <w:r w:rsidR="0028226F" w:rsidRPr="00F10CD6">
        <w:rPr>
          <w:color w:val="0D0D0D" w:themeColor="text1" w:themeTint="F2"/>
        </w:rPr>
        <w:t xml:space="preserve"> </w:t>
      </w:r>
      <w:r w:rsidR="00146C3E" w:rsidRPr="00F10CD6">
        <w:rPr>
          <w:color w:val="0D0D0D" w:themeColor="text1" w:themeTint="F2"/>
        </w:rPr>
        <w:t>% predvidene pokojnine, nato in po starosti vsaj 63 let pa 100</w:t>
      </w:r>
      <w:r w:rsidR="0028226F" w:rsidRPr="00F10CD6">
        <w:rPr>
          <w:color w:val="0D0D0D" w:themeColor="text1" w:themeTint="F2"/>
        </w:rPr>
        <w:t xml:space="preserve"> </w:t>
      </w:r>
      <w:r w:rsidR="00146C3E" w:rsidRPr="00F10CD6">
        <w:rPr>
          <w:color w:val="0D0D0D" w:themeColor="text1" w:themeTint="F2"/>
        </w:rPr>
        <w:t>%. Podaljševanje delovne aktivnosti bo spodbujeno tudi s postopnim zviševanjem upokojitvene starosti na 67 let do predvidoma leta 2034. Ta ukrep bo namenjen osebam, ki pri 65</w:t>
      </w:r>
      <w:r w:rsidR="007B6E64" w:rsidRPr="00F10CD6">
        <w:rPr>
          <w:color w:val="0D0D0D" w:themeColor="text1" w:themeTint="F2"/>
        </w:rPr>
        <w:t>.</w:t>
      </w:r>
      <w:r w:rsidR="00146C3E" w:rsidRPr="00F10CD6">
        <w:rPr>
          <w:color w:val="0D0D0D" w:themeColor="text1" w:themeTint="F2"/>
        </w:rPr>
        <w:t xml:space="preserve"> letu starosti ne dopolnijo 40 let pokojninske dobe. Pr</w:t>
      </w:r>
      <w:r w:rsidR="0028226F" w:rsidRPr="00F10CD6">
        <w:rPr>
          <w:color w:val="0D0D0D" w:themeColor="text1" w:themeTint="F2"/>
        </w:rPr>
        <w:t>o</w:t>
      </w:r>
      <w:r w:rsidR="00146C3E" w:rsidRPr="00F10CD6">
        <w:rPr>
          <w:color w:val="0D0D0D" w:themeColor="text1" w:themeTint="F2"/>
        </w:rPr>
        <w:t xml:space="preserve">učuje se tudi </w:t>
      </w:r>
      <w:r w:rsidR="0028226F" w:rsidRPr="00F10CD6">
        <w:rPr>
          <w:color w:val="0D0D0D" w:themeColor="text1" w:themeTint="F2"/>
        </w:rPr>
        <w:t xml:space="preserve">sprememba </w:t>
      </w:r>
      <w:r w:rsidR="00AC0495" w:rsidRPr="00F10CD6">
        <w:rPr>
          <w:color w:val="0D0D0D" w:themeColor="text1" w:themeTint="F2"/>
        </w:rPr>
        <w:t>način</w:t>
      </w:r>
      <w:r w:rsidR="0028226F" w:rsidRPr="00F10CD6">
        <w:rPr>
          <w:color w:val="0D0D0D" w:themeColor="text1" w:themeTint="F2"/>
        </w:rPr>
        <w:t>a</w:t>
      </w:r>
      <w:r w:rsidR="00146C3E" w:rsidRPr="00F10CD6">
        <w:rPr>
          <w:color w:val="0D0D0D" w:themeColor="text1" w:themeTint="F2"/>
        </w:rPr>
        <w:t xml:space="preserve"> usklajevanja pokojnin. </w:t>
      </w:r>
    </w:p>
    <w:p w:rsidR="00146C3E" w:rsidRPr="00F10CD6" w:rsidRDefault="00146C3E" w:rsidP="008D061D">
      <w:pPr>
        <w:pStyle w:val="besedilo"/>
        <w:rPr>
          <w:color w:val="0D0D0D" w:themeColor="text1" w:themeTint="F2"/>
        </w:rPr>
      </w:pPr>
    </w:p>
    <w:p w:rsidR="00146C3E" w:rsidRPr="00F10CD6" w:rsidRDefault="003623E1" w:rsidP="008D061D">
      <w:pPr>
        <w:pStyle w:val="besedilo"/>
        <w:rPr>
          <w:color w:val="0D0D0D" w:themeColor="text1" w:themeTint="F2"/>
        </w:rPr>
      </w:pPr>
      <w:r w:rsidRPr="009B5300">
        <w:rPr>
          <w:color w:val="0D0D0D" w:themeColor="text1" w:themeTint="F2"/>
        </w:rPr>
        <w:t xml:space="preserve">Na trgu dela se predlogi ukrepov, ki se še usklajujejo s socialnimi partnerji, </w:t>
      </w:r>
      <w:r w:rsidR="00146C3E" w:rsidRPr="009B5300">
        <w:rPr>
          <w:color w:val="0D0D0D" w:themeColor="text1" w:themeTint="F2"/>
        </w:rPr>
        <w:t>nanašajo na</w:t>
      </w:r>
      <w:r w:rsidR="00146C3E" w:rsidRPr="00F10CD6">
        <w:rPr>
          <w:color w:val="0D0D0D" w:themeColor="text1" w:themeTint="F2"/>
        </w:rPr>
        <w:t xml:space="preserve"> spremembe na področju zavarovanja za primer brezposelnosti (predvidena sprememba Zakona o urejanju trga dela). Pri tem se predlaga povišanje minimalnega denarnega nadomestila za primer brezposelnosti, da bo enak minimalnemu dohodku samske osebe na podlagi socialne zakonodaje. Na drugi strani bi se sistem nekoliko zaostril in bi po novem najdaljše trajanje denarnega nadomestila za primer brezposelnosti trajalo 19 mesecev, pred tem 2</w:t>
      </w:r>
      <w:r w:rsidR="0028226F" w:rsidRPr="00F10CD6">
        <w:rPr>
          <w:color w:val="0D0D0D" w:themeColor="text1" w:themeTint="F2"/>
        </w:rPr>
        <w:t>5</w:t>
      </w:r>
      <w:r w:rsidR="00146C3E" w:rsidRPr="00F10CD6">
        <w:rPr>
          <w:color w:val="0D0D0D" w:themeColor="text1" w:themeTint="F2"/>
        </w:rPr>
        <w:t xml:space="preserve"> mesecev. Ukrep bo s tem najbolj vplival na delovno aktivnost starejših. Povečal se bo tudi pogoj za pridobitev nadomestila z 9 mesecev na 12 mesecev zavarovanja v zadnjih 24 mesecih. Ukrepi pa so usmerjeni tudi v učinkovitejše sankcioniranje v primeru zavrnitve vključitve v programe aktivne politike zaposlovanja. Ukrepi bodo vplivali na večjo aktivacijo brezposelnih in posledično na večjo učinkovitost javnih financ. </w:t>
      </w:r>
    </w:p>
    <w:p w:rsidR="00146C3E" w:rsidRPr="00F10CD6" w:rsidRDefault="00146C3E" w:rsidP="008D061D">
      <w:pPr>
        <w:pStyle w:val="besedilo"/>
        <w:rPr>
          <w:color w:val="0D0D0D" w:themeColor="text1" w:themeTint="F2"/>
        </w:rPr>
      </w:pPr>
    </w:p>
    <w:p w:rsidR="00146C3E" w:rsidRPr="00F10CD6" w:rsidRDefault="00146C3E" w:rsidP="008D061D">
      <w:pPr>
        <w:pStyle w:val="besedilo"/>
        <w:rPr>
          <w:color w:val="0D0D0D" w:themeColor="text1" w:themeTint="F2"/>
        </w:rPr>
      </w:pPr>
      <w:r w:rsidRPr="00F10CD6">
        <w:rPr>
          <w:color w:val="0D0D0D" w:themeColor="text1" w:themeTint="F2"/>
        </w:rPr>
        <w:t>S predvidenim spremembami Zakona o socialnovarstvenih prejemkih se bo dodatek za delovno aktivnost izločil iz denarne socialne pomoči. S tem se pričakuje znižanje sredstev za socialno ogrožene. Upravičenci do denarne socialne pomoči, ki bi zaradi tega izgubili pravico do pomoči</w:t>
      </w:r>
      <w:r w:rsidR="0028226F" w:rsidRPr="00F10CD6">
        <w:rPr>
          <w:color w:val="0D0D0D" w:themeColor="text1" w:themeTint="F2"/>
        </w:rPr>
        <w:t>,</w:t>
      </w:r>
      <w:r w:rsidRPr="00F10CD6">
        <w:rPr>
          <w:color w:val="0D0D0D" w:themeColor="text1" w:themeTint="F2"/>
        </w:rPr>
        <w:t xml:space="preserve"> prav tako ne bodo več upravičeni tudi do kritja dela vrednosti zdravstvenih storitev, kar dodatno pozitivno vpliva na javne finance. Poleg tega bo</w:t>
      </w:r>
      <w:r w:rsidR="00FD53E8" w:rsidRPr="00F10CD6">
        <w:rPr>
          <w:color w:val="0D0D0D" w:themeColor="text1" w:themeTint="F2"/>
        </w:rPr>
        <w:t>do</w:t>
      </w:r>
      <w:r w:rsidRPr="00F10CD6">
        <w:rPr>
          <w:color w:val="0D0D0D" w:themeColor="text1" w:themeTint="F2"/>
        </w:rPr>
        <w:t xml:space="preserve"> določ</w:t>
      </w:r>
      <w:r w:rsidR="00FD53E8" w:rsidRPr="00F10CD6">
        <w:rPr>
          <w:color w:val="0D0D0D" w:themeColor="text1" w:themeTint="F2"/>
        </w:rPr>
        <w:t>ene</w:t>
      </w:r>
      <w:r w:rsidRPr="00F10CD6">
        <w:rPr>
          <w:color w:val="0D0D0D" w:themeColor="text1" w:themeTint="F2"/>
        </w:rPr>
        <w:t xml:space="preserve"> </w:t>
      </w:r>
      <w:r w:rsidR="00FD53E8" w:rsidRPr="00F10CD6">
        <w:rPr>
          <w:color w:val="0D0D0D" w:themeColor="text1" w:themeTint="F2"/>
        </w:rPr>
        <w:t>s</w:t>
      </w:r>
      <w:r w:rsidRPr="00F10CD6">
        <w:rPr>
          <w:color w:val="0D0D0D" w:themeColor="text1" w:themeTint="F2"/>
        </w:rPr>
        <w:t>podbude za aktivacijo brezposelnih upravičencev do denarne socialne pomoči z neupoštevanjem prejemka iz naslova ukrepov za zaposlovanje in zaposlitveno rehabilitacijo invalidov. Namen je hitrejša aktivacija upravičencev do denarne socialne pomoči. Z ukinitvijo dodatka za delovno aktivnost se zmanjšuje tudi past neaktivnosti brezposelnih upravičencev do denarne socialne pomoči. Z neupoštevanjem dohodkov iz naslova ukrepov aktivne politike zaposlovanja in zaposlitvene rehabilitacije po predpisih o zaposlitveni rehabilitaciji in zaposlovanju invalidov pa se tudi razbremenjuje</w:t>
      </w:r>
      <w:r w:rsidR="00FD53E8" w:rsidRPr="00F10CD6">
        <w:rPr>
          <w:color w:val="0D0D0D" w:themeColor="text1" w:themeTint="F2"/>
        </w:rPr>
        <w:t>jo</w:t>
      </w:r>
      <w:r w:rsidRPr="00F10CD6">
        <w:rPr>
          <w:color w:val="0D0D0D" w:themeColor="text1" w:themeTint="F2"/>
        </w:rPr>
        <w:t xml:space="preserve"> centr</w:t>
      </w:r>
      <w:r w:rsidR="00FD53E8" w:rsidRPr="00F10CD6">
        <w:rPr>
          <w:color w:val="0D0D0D" w:themeColor="text1" w:themeTint="F2"/>
        </w:rPr>
        <w:t>i</w:t>
      </w:r>
      <w:r w:rsidRPr="00F10CD6">
        <w:rPr>
          <w:color w:val="0D0D0D" w:themeColor="text1" w:themeTint="F2"/>
        </w:rPr>
        <w:t xml:space="preserve"> za socialno delo. </w:t>
      </w:r>
    </w:p>
    <w:p w:rsidR="00AE03BF" w:rsidRPr="00F10CD6" w:rsidRDefault="00AE03BF" w:rsidP="008779DB">
      <w:pPr>
        <w:spacing w:line="276" w:lineRule="auto"/>
        <w:rPr>
          <w:rFonts w:eastAsia="Calibri" w:cs="Arial"/>
          <w:color w:val="0D0D0D" w:themeColor="text1" w:themeTint="F2"/>
        </w:rPr>
      </w:pPr>
    </w:p>
    <w:p w:rsidR="0056403A" w:rsidRPr="00F10CD6" w:rsidRDefault="0056403A" w:rsidP="008779DB">
      <w:pPr>
        <w:spacing w:line="276" w:lineRule="auto"/>
        <w:rPr>
          <w:rFonts w:eastAsia="Calibri" w:cs="Arial"/>
          <w:color w:val="0D0D0D" w:themeColor="text1" w:themeTint="F2"/>
        </w:rPr>
      </w:pPr>
    </w:p>
    <w:p w:rsidR="0056403A" w:rsidRPr="00F10CD6" w:rsidRDefault="0056403A" w:rsidP="008779DB">
      <w:pPr>
        <w:spacing w:line="276" w:lineRule="auto"/>
        <w:rPr>
          <w:rFonts w:eastAsia="Calibri" w:cs="Arial"/>
          <w:color w:val="0D0D0D" w:themeColor="text1" w:themeTint="F2"/>
        </w:rPr>
      </w:pPr>
    </w:p>
    <w:p w:rsidR="0056403A" w:rsidRPr="00F10CD6" w:rsidRDefault="0056403A" w:rsidP="008779DB">
      <w:pPr>
        <w:spacing w:line="276" w:lineRule="auto"/>
        <w:rPr>
          <w:rFonts w:eastAsia="Calibri" w:cs="Arial"/>
          <w:color w:val="0D0D0D" w:themeColor="text1" w:themeTint="F2"/>
        </w:rPr>
      </w:pPr>
    </w:p>
    <w:p w:rsidR="00BD327F" w:rsidRPr="00F10CD6" w:rsidRDefault="00BD327F">
      <w:pPr>
        <w:spacing w:line="276" w:lineRule="auto"/>
        <w:jc w:val="left"/>
        <w:rPr>
          <w:rFonts w:eastAsia="Calibri" w:cs="Arial"/>
          <w:color w:val="0D0D0D" w:themeColor="text1" w:themeTint="F2"/>
        </w:rPr>
      </w:pPr>
      <w:r w:rsidRPr="00F10CD6">
        <w:rPr>
          <w:rFonts w:eastAsia="Calibri" w:cs="Arial"/>
          <w:color w:val="0D0D0D" w:themeColor="text1" w:themeTint="F2"/>
        </w:rPr>
        <w:br w:type="page"/>
      </w:r>
    </w:p>
    <w:p w:rsidR="00BD327F" w:rsidRPr="00F10CD6" w:rsidRDefault="00BD327F" w:rsidP="0075307A">
      <w:pPr>
        <w:pStyle w:val="Heading1"/>
        <w:rPr>
          <w:color w:val="0D0D0D" w:themeColor="text1" w:themeTint="F2"/>
        </w:rPr>
      </w:pPr>
      <w:bookmarkStart w:id="37" w:name="_Toc6923665"/>
      <w:r w:rsidRPr="00F10CD6">
        <w:rPr>
          <w:color w:val="0D0D0D" w:themeColor="text1" w:themeTint="F2"/>
        </w:rPr>
        <w:lastRenderedPageBreak/>
        <w:t>PRILOGE</w:t>
      </w:r>
      <w:bookmarkEnd w:id="37"/>
    </w:p>
    <w:sdt>
      <w:sdtPr>
        <w:rPr>
          <w:rFonts w:ascii="Arial" w:eastAsiaTheme="minorHAnsi" w:hAnsi="Arial" w:cs="Arial"/>
          <w:b w:val="0"/>
          <w:bCs w:val="0"/>
          <w:color w:val="0D0D0D" w:themeColor="text1" w:themeTint="F2"/>
          <w:sz w:val="22"/>
          <w:szCs w:val="22"/>
          <w:lang w:eastAsia="en-US"/>
        </w:rPr>
        <w:id w:val="2099130990"/>
        <w:docPartObj>
          <w:docPartGallery w:val="Table of Contents"/>
          <w:docPartUnique/>
        </w:docPartObj>
      </w:sdtPr>
      <w:sdtEndPr/>
      <w:sdtContent>
        <w:p w:rsidR="00224122" w:rsidRPr="00F10CD6" w:rsidRDefault="00224122" w:rsidP="00224122">
          <w:pPr>
            <w:pStyle w:val="TOCHeading"/>
            <w:rPr>
              <w:rFonts w:ascii="Arial" w:hAnsi="Arial" w:cs="Arial"/>
              <w:color w:val="0D0D0D" w:themeColor="text1" w:themeTint="F2"/>
            </w:rPr>
          </w:pPr>
        </w:p>
        <w:p w:rsidR="00224122" w:rsidRPr="00F10CD6" w:rsidRDefault="00224122" w:rsidP="006C32E3">
          <w:pPr>
            <w:pStyle w:val="TOC1"/>
            <w:rPr>
              <w:rFonts w:eastAsiaTheme="minorEastAsia"/>
              <w:noProof/>
              <w:color w:val="0D0D0D" w:themeColor="text1" w:themeTint="F2"/>
              <w:lang w:eastAsia="sl-SI"/>
            </w:rPr>
          </w:pPr>
          <w:r w:rsidRPr="00F10CD6">
            <w:rPr>
              <w:color w:val="0D0D0D" w:themeColor="text1" w:themeTint="F2"/>
            </w:rPr>
            <w:fldChar w:fldCharType="begin"/>
          </w:r>
          <w:r w:rsidRPr="00F10CD6">
            <w:rPr>
              <w:color w:val="0D0D0D" w:themeColor="text1" w:themeTint="F2"/>
            </w:rPr>
            <w:instrText xml:space="preserve"> TOC \o "1-3" \h \z \u </w:instrText>
          </w:r>
          <w:r w:rsidRPr="00F10CD6">
            <w:rPr>
              <w:color w:val="0D0D0D" w:themeColor="text1" w:themeTint="F2"/>
            </w:rPr>
            <w:fldChar w:fldCharType="separate"/>
          </w:r>
          <w:hyperlink w:anchor="_Toc5266022" w:history="1">
            <w:r w:rsidRPr="00F10CD6">
              <w:rPr>
                <w:rStyle w:val="Hyperlink"/>
                <w:rFonts w:cs="Arial"/>
                <w:noProof/>
                <w:color w:val="0D0D0D" w:themeColor="text1" w:themeTint="F2"/>
              </w:rPr>
              <w:t>Tabela 1.a: Gospodarska rast in z njo povezani indikatorji</w:t>
            </w:r>
            <w:r w:rsidRPr="00F10CD6">
              <w:rPr>
                <w:noProof/>
                <w:webHidden/>
                <w:color w:val="0D0D0D" w:themeColor="text1" w:themeTint="F2"/>
              </w:rPr>
              <w:tab/>
            </w:r>
            <w:r w:rsidRPr="00F10CD6">
              <w:rPr>
                <w:noProof/>
                <w:webHidden/>
                <w:color w:val="0D0D0D" w:themeColor="text1" w:themeTint="F2"/>
              </w:rPr>
              <w:fldChar w:fldCharType="begin"/>
            </w:r>
            <w:r w:rsidRPr="00F10CD6">
              <w:rPr>
                <w:noProof/>
                <w:webHidden/>
                <w:color w:val="0D0D0D" w:themeColor="text1" w:themeTint="F2"/>
              </w:rPr>
              <w:instrText xml:space="preserve"> PAGEREF _Toc5266022 \h </w:instrText>
            </w:r>
            <w:r w:rsidRPr="00F10CD6">
              <w:rPr>
                <w:noProof/>
                <w:webHidden/>
                <w:color w:val="0D0D0D" w:themeColor="text1" w:themeTint="F2"/>
              </w:rPr>
            </w:r>
            <w:r w:rsidRPr="00F10CD6">
              <w:rPr>
                <w:noProof/>
                <w:webHidden/>
                <w:color w:val="0D0D0D" w:themeColor="text1" w:themeTint="F2"/>
              </w:rPr>
              <w:fldChar w:fldCharType="separate"/>
            </w:r>
            <w:r w:rsidR="000D3F26">
              <w:rPr>
                <w:noProof/>
                <w:webHidden/>
                <w:color w:val="0D0D0D" w:themeColor="text1" w:themeTint="F2"/>
              </w:rPr>
              <w:t>45</w:t>
            </w:r>
            <w:r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3" w:history="1">
            <w:r w:rsidR="00224122" w:rsidRPr="00F10CD6">
              <w:rPr>
                <w:rStyle w:val="Hyperlink"/>
                <w:rFonts w:cs="Arial"/>
                <w:noProof/>
                <w:color w:val="0D0D0D" w:themeColor="text1" w:themeTint="F2"/>
              </w:rPr>
              <w:t>Tabela 1.b: Cenovna gibanja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_Toc5266023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45</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4" w:history="1">
            <w:r w:rsidR="00224122" w:rsidRPr="00F10CD6">
              <w:rPr>
                <w:rStyle w:val="Hyperlink"/>
                <w:rFonts w:cs="Arial"/>
                <w:noProof/>
                <w:color w:val="0D0D0D" w:themeColor="text1" w:themeTint="F2"/>
              </w:rPr>
              <w:t>Tabela 1.c: Gibanja na trgu dela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_Toc5266024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45</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5" w:history="1">
            <w:r w:rsidR="00224122" w:rsidRPr="00F10CD6">
              <w:rPr>
                <w:rStyle w:val="Hyperlink"/>
                <w:rFonts w:cs="Arial"/>
                <w:noProof/>
                <w:color w:val="0D0D0D" w:themeColor="text1" w:themeTint="F2"/>
              </w:rPr>
              <w:t>Tabela 1.d: Saldi po posameznih sektorjih</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_Toc5266025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46</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6" w:history="1">
            <w:r w:rsidR="00224122" w:rsidRPr="00F10CD6">
              <w:rPr>
                <w:rStyle w:val="Hyperlink"/>
                <w:rFonts w:cs="Arial"/>
                <w:noProof/>
                <w:color w:val="0D0D0D" w:themeColor="text1" w:themeTint="F2"/>
              </w:rPr>
              <w:t>Tabela 2.a: Konsolidirana bilanca sektorja država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_Toc5266026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47</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7" w:history="1">
            <w:r w:rsidR="00224122" w:rsidRPr="00F10CD6">
              <w:rPr>
                <w:rStyle w:val="Hyperlink"/>
                <w:rFonts w:cs="Arial"/>
                <w:noProof/>
                <w:color w:val="0D0D0D" w:themeColor="text1" w:themeTint="F2"/>
              </w:rPr>
              <w:t>Tabela 2.b: Napovedi na predpostavki nespremenjene politike</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_Toc5266027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48</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8" w:history="1">
            <w:r w:rsidR="00224122" w:rsidRPr="00F10CD6">
              <w:rPr>
                <w:rStyle w:val="Hyperlink"/>
                <w:rFonts w:cs="Arial"/>
                <w:noProof/>
                <w:color w:val="0D0D0D" w:themeColor="text1" w:themeTint="F2"/>
              </w:rPr>
              <w:t>Tabela 2.c: Merilo rasti odhodkov</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_Toc5266028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48</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29" w:history="1">
            <w:r w:rsidR="00224122" w:rsidRPr="00F10CD6">
              <w:rPr>
                <w:rStyle w:val="Hyperlink"/>
                <w:rFonts w:cs="Arial"/>
                <w:noProof/>
                <w:color w:val="0D0D0D" w:themeColor="text1" w:themeTint="F2"/>
              </w:rPr>
              <w:t>Tabela 3: Izdatki sektorja država po funkciji</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_Toc5266029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48</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0" w:history="1">
            <w:r w:rsidR="00224122" w:rsidRPr="00F10CD6">
              <w:rPr>
                <w:rStyle w:val="Hyperlink"/>
                <w:rFonts w:cs="Arial"/>
                <w:noProof/>
                <w:color w:val="0D0D0D" w:themeColor="text1" w:themeTint="F2"/>
              </w:rPr>
              <w:t>Tabela 4: Dolg sektorja držav</w:t>
            </w:r>
            <w:r w:rsidR="008A72A7" w:rsidRPr="00F10CD6">
              <w:rPr>
                <w:rStyle w:val="Hyperlink"/>
                <w:rFonts w:cs="Arial"/>
                <w:noProof/>
                <w:color w:val="0D0D0D" w:themeColor="text1" w:themeTint="F2"/>
              </w:rPr>
              <w:t>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_Toc5266030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49</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1" w:history="1">
            <w:r w:rsidR="00224122" w:rsidRPr="00F10CD6">
              <w:rPr>
                <w:rStyle w:val="Hyperlink"/>
                <w:rFonts w:cs="Arial"/>
                <w:noProof/>
                <w:color w:val="0D0D0D" w:themeColor="text1" w:themeTint="F2"/>
              </w:rPr>
              <w:t>Tabela 5: Ciklična gibanja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_Toc5266031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49</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2" w:history="1">
            <w:r w:rsidR="00224122" w:rsidRPr="00F10CD6">
              <w:rPr>
                <w:rStyle w:val="Hyperlink"/>
                <w:rFonts w:cs="Arial"/>
                <w:noProof/>
                <w:color w:val="0D0D0D" w:themeColor="text1" w:themeTint="F2"/>
              </w:rPr>
              <w:t>Tabela 6: Primerjava z napovedmi v Programu stabilnosti 2018</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_Toc5266032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49</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3" w:history="1">
            <w:r w:rsidR="00224122" w:rsidRPr="00F10CD6">
              <w:rPr>
                <w:rStyle w:val="Hyperlink"/>
                <w:rFonts w:cs="Arial"/>
                <w:noProof/>
                <w:color w:val="0D0D0D" w:themeColor="text1" w:themeTint="F2"/>
              </w:rPr>
              <w:t>Tabela 7: Dolgoročna vzdržnost javnih financ (bazno leto 2016)</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_Toc5266033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50</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4" w:history="1">
            <w:r w:rsidR="00224122" w:rsidRPr="00F10CD6">
              <w:rPr>
                <w:rStyle w:val="Hyperlink"/>
                <w:rFonts w:cs="Arial"/>
                <w:noProof/>
                <w:color w:val="0D0D0D" w:themeColor="text1" w:themeTint="F2"/>
              </w:rPr>
              <w:t>Tabela 7.a: Projekcija stanja poroštev Republike Slovenije za obdobje 2019–2022</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_Toc5266034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50</w:t>
            </w:r>
            <w:r w:rsidR="00224122" w:rsidRPr="00F10CD6">
              <w:rPr>
                <w:noProof/>
                <w:webHidden/>
                <w:color w:val="0D0D0D" w:themeColor="text1" w:themeTint="F2"/>
              </w:rPr>
              <w:fldChar w:fldCharType="end"/>
            </w:r>
          </w:hyperlink>
        </w:p>
        <w:p w:rsidR="00224122" w:rsidRPr="00F10CD6" w:rsidRDefault="00996B6B" w:rsidP="006C32E3">
          <w:pPr>
            <w:pStyle w:val="TOC1"/>
            <w:rPr>
              <w:rFonts w:eastAsiaTheme="minorEastAsia"/>
              <w:noProof/>
              <w:color w:val="0D0D0D" w:themeColor="text1" w:themeTint="F2"/>
              <w:lang w:eastAsia="sl-SI"/>
            </w:rPr>
          </w:pPr>
          <w:hyperlink w:anchor="_Toc5266035" w:history="1">
            <w:r w:rsidR="00224122" w:rsidRPr="00F10CD6">
              <w:rPr>
                <w:rStyle w:val="Hyperlink"/>
                <w:rFonts w:cs="Arial"/>
                <w:noProof/>
                <w:color w:val="0D0D0D" w:themeColor="text1" w:themeTint="F2"/>
              </w:rPr>
              <w:t>Tabela 8: Predpostavke mednarodnega okolja</w:t>
            </w:r>
            <w:r w:rsidR="00224122" w:rsidRPr="00F10CD6">
              <w:rPr>
                <w:noProof/>
                <w:webHidden/>
                <w:color w:val="0D0D0D" w:themeColor="text1" w:themeTint="F2"/>
              </w:rPr>
              <w:tab/>
            </w:r>
            <w:r w:rsidR="00224122" w:rsidRPr="00F10CD6">
              <w:rPr>
                <w:noProof/>
                <w:webHidden/>
                <w:color w:val="0D0D0D" w:themeColor="text1" w:themeTint="F2"/>
              </w:rPr>
              <w:fldChar w:fldCharType="begin"/>
            </w:r>
            <w:r w:rsidR="00224122" w:rsidRPr="00F10CD6">
              <w:rPr>
                <w:noProof/>
                <w:webHidden/>
                <w:color w:val="0D0D0D" w:themeColor="text1" w:themeTint="F2"/>
              </w:rPr>
              <w:instrText xml:space="preserve"> PAGEREF _Toc5266035 \h </w:instrText>
            </w:r>
            <w:r w:rsidR="00224122" w:rsidRPr="00F10CD6">
              <w:rPr>
                <w:noProof/>
                <w:webHidden/>
                <w:color w:val="0D0D0D" w:themeColor="text1" w:themeTint="F2"/>
              </w:rPr>
            </w:r>
            <w:r w:rsidR="00224122" w:rsidRPr="00F10CD6">
              <w:rPr>
                <w:noProof/>
                <w:webHidden/>
                <w:color w:val="0D0D0D" w:themeColor="text1" w:themeTint="F2"/>
              </w:rPr>
              <w:fldChar w:fldCharType="separate"/>
            </w:r>
            <w:r w:rsidR="000D3F26">
              <w:rPr>
                <w:noProof/>
                <w:webHidden/>
                <w:color w:val="0D0D0D" w:themeColor="text1" w:themeTint="F2"/>
              </w:rPr>
              <w:t>51</w:t>
            </w:r>
            <w:r w:rsidR="00224122" w:rsidRPr="00F10CD6">
              <w:rPr>
                <w:noProof/>
                <w:webHidden/>
                <w:color w:val="0D0D0D" w:themeColor="text1" w:themeTint="F2"/>
              </w:rPr>
              <w:fldChar w:fldCharType="end"/>
            </w:r>
          </w:hyperlink>
        </w:p>
        <w:p w:rsidR="00224122" w:rsidRPr="00F10CD6" w:rsidRDefault="00224122" w:rsidP="00224122">
          <w:pPr>
            <w:rPr>
              <w:rFonts w:cs="Arial"/>
              <w:color w:val="0D0D0D" w:themeColor="text1" w:themeTint="F2"/>
            </w:rPr>
          </w:pPr>
          <w:r w:rsidRPr="00F10CD6">
            <w:rPr>
              <w:rFonts w:cs="Arial"/>
              <w:b/>
              <w:bCs/>
              <w:color w:val="0D0D0D" w:themeColor="text1" w:themeTint="F2"/>
            </w:rPr>
            <w:fldChar w:fldCharType="end"/>
          </w:r>
        </w:p>
      </w:sdtContent>
    </w:sdt>
    <w:p w:rsidR="008A5C9E" w:rsidRPr="00F10CD6" w:rsidRDefault="00224122" w:rsidP="008A5C9E">
      <w:pPr>
        <w:pStyle w:val="Heading1"/>
        <w:numPr>
          <w:ilvl w:val="0"/>
          <w:numId w:val="0"/>
        </w:numPr>
        <w:rPr>
          <w:b w:val="0"/>
          <w:color w:val="0D0D0D" w:themeColor="text1" w:themeTint="F2"/>
          <w:szCs w:val="28"/>
        </w:rPr>
      </w:pPr>
      <w:r w:rsidRPr="00F10CD6">
        <w:rPr>
          <w:b w:val="0"/>
          <w:color w:val="0D0D0D" w:themeColor="text1" w:themeTint="F2"/>
        </w:rPr>
        <w:br w:type="page"/>
      </w:r>
      <w:bookmarkStart w:id="38" w:name="_Toc5266022"/>
      <w:r w:rsidR="008A5C9E" w:rsidRPr="00F10CD6">
        <w:rPr>
          <w:b w:val="0"/>
          <w:color w:val="0D0D0D" w:themeColor="text1" w:themeTint="F2"/>
          <w:szCs w:val="28"/>
        </w:rPr>
        <w:lastRenderedPageBreak/>
        <w:t>Tabela 1.a: Gospodarska rast in z njo povezani indikatorji</w:t>
      </w:r>
      <w:bookmarkEnd w:id="38"/>
    </w:p>
    <w:p w:rsidR="008A5C9E" w:rsidRPr="00F10CD6"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451"/>
        <w:gridCol w:w="3469"/>
        <w:gridCol w:w="693"/>
        <w:gridCol w:w="107"/>
        <w:gridCol w:w="799"/>
        <w:gridCol w:w="112"/>
        <w:gridCol w:w="687"/>
        <w:gridCol w:w="799"/>
        <w:gridCol w:w="799"/>
        <w:gridCol w:w="799"/>
        <w:gridCol w:w="799"/>
      </w:tblGrid>
      <w:tr w:rsidR="008A5C9E" w:rsidRPr="00F10CD6" w:rsidTr="00B369B1">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lef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 </w:t>
            </w:r>
          </w:p>
        </w:tc>
        <w:tc>
          <w:tcPr>
            <w:tcW w:w="1823" w:type="pct"/>
            <w:hideMark/>
          </w:tcPr>
          <w:p w:rsidR="008A5C9E" w:rsidRPr="00F10CD6" w:rsidRDefault="008A5C9E" w:rsidP="008A5C9E">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F10CD6">
              <w:rPr>
                <w:rFonts w:eastAsia="Times New Roman" w:cs="Arial"/>
                <w:b w:val="0"/>
                <w:i/>
                <w:iCs/>
                <w:color w:val="0D0D0D" w:themeColor="text1" w:themeTint="F2"/>
                <w:sz w:val="16"/>
                <w:szCs w:val="16"/>
                <w:lang w:eastAsia="sl-SI"/>
              </w:rPr>
              <w:t>Sprememba v %</w:t>
            </w:r>
          </w:p>
        </w:tc>
        <w:tc>
          <w:tcPr>
            <w:tcW w:w="420" w:type="pct"/>
            <w:gridSpan w:val="2"/>
            <w:hideMark/>
          </w:tcPr>
          <w:p w:rsidR="008A5C9E" w:rsidRPr="00F10CD6"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ESA  Koda</w:t>
            </w:r>
          </w:p>
        </w:tc>
        <w:tc>
          <w:tcPr>
            <w:tcW w:w="420" w:type="pct"/>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Raven v 2018</w:t>
            </w:r>
          </w:p>
        </w:tc>
        <w:tc>
          <w:tcPr>
            <w:tcW w:w="420" w:type="pct"/>
            <w:gridSpan w:val="2"/>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2018</w:t>
            </w:r>
          </w:p>
        </w:tc>
        <w:tc>
          <w:tcPr>
            <w:tcW w:w="420" w:type="pct"/>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2019</w:t>
            </w:r>
          </w:p>
        </w:tc>
        <w:tc>
          <w:tcPr>
            <w:tcW w:w="420" w:type="pct"/>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2020</w:t>
            </w:r>
          </w:p>
        </w:tc>
        <w:tc>
          <w:tcPr>
            <w:tcW w:w="420" w:type="pct"/>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2021</w:t>
            </w:r>
          </w:p>
        </w:tc>
        <w:tc>
          <w:tcPr>
            <w:tcW w:w="420" w:type="pct"/>
            <w:hideMark/>
          </w:tcPr>
          <w:p w:rsidR="008A5C9E" w:rsidRPr="00F10CD6"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2022</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lef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 </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364"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535" w:type="pct"/>
            <w:gridSpan w:val="3"/>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v mio EUR</w:t>
            </w:r>
          </w:p>
        </w:tc>
        <w:tc>
          <w:tcPr>
            <w:tcW w:w="361"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420"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420"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420"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420"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r>
      <w:tr w:rsidR="008A5C9E" w:rsidRPr="00F10CD6" w:rsidTr="00B369B1">
        <w:trPr>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1.</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Realni BDP</w:t>
            </w:r>
          </w:p>
        </w:tc>
        <w:tc>
          <w:tcPr>
            <w:tcW w:w="364" w:type="pct"/>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B 1 g</w:t>
            </w:r>
          </w:p>
        </w:tc>
        <w:tc>
          <w:tcPr>
            <w:tcW w:w="535" w:type="pct"/>
            <w:gridSpan w:val="3"/>
            <w:hideMark/>
          </w:tcPr>
          <w:p w:rsidR="008A5C9E" w:rsidRPr="00F10CD6" w:rsidRDefault="008A5C9E" w:rsidP="008A5C9E">
            <w:pP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4,5</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3,4</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3,1</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2,8</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2,7</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2.</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 xml:space="preserve">Nominalni BDP </w:t>
            </w:r>
          </w:p>
        </w:tc>
        <w:tc>
          <w:tcPr>
            <w:tcW w:w="364" w:type="pct"/>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B 1 g</w:t>
            </w:r>
          </w:p>
        </w:tc>
        <w:tc>
          <w:tcPr>
            <w:tcW w:w="535" w:type="pct"/>
            <w:gridSpan w:val="3"/>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45.948</w:t>
            </w:r>
          </w:p>
        </w:tc>
        <w:tc>
          <w:tcPr>
            <w:tcW w:w="361"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6,9</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6,2</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5,7</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5,6</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5,1</w:t>
            </w:r>
          </w:p>
        </w:tc>
      </w:tr>
      <w:tr w:rsidR="008A5C9E" w:rsidRPr="00F10CD6" w:rsidTr="00B369B1">
        <w:trPr>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i/>
                <w:color w:val="0D0D0D" w:themeColor="text1" w:themeTint="F2"/>
                <w:sz w:val="18"/>
                <w:szCs w:val="18"/>
                <w:lang w:eastAsia="sl-SI"/>
              </w:rPr>
            </w:pPr>
            <w:r w:rsidRPr="00F10CD6">
              <w:rPr>
                <w:rFonts w:eastAsia="Times New Roman" w:cs="Arial"/>
                <w:b w:val="0"/>
                <w:i/>
                <w:color w:val="0D0D0D" w:themeColor="text1" w:themeTint="F2"/>
                <w:sz w:val="18"/>
                <w:szCs w:val="18"/>
                <w:lang w:eastAsia="sl-SI"/>
              </w:rPr>
              <w:t> </w:t>
            </w:r>
          </w:p>
        </w:tc>
        <w:tc>
          <w:tcPr>
            <w:tcW w:w="4763" w:type="pct"/>
            <w:gridSpan w:val="10"/>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8"/>
                <w:szCs w:val="18"/>
                <w:lang w:eastAsia="sl-SI"/>
              </w:rPr>
            </w:pPr>
            <w:r w:rsidRPr="00F10CD6">
              <w:rPr>
                <w:rFonts w:eastAsia="Times New Roman" w:cs="Arial"/>
                <w:bCs/>
                <w:i/>
                <w:color w:val="0D0D0D" w:themeColor="text1" w:themeTint="F2"/>
                <w:sz w:val="18"/>
                <w:szCs w:val="18"/>
                <w:lang w:eastAsia="sl-SI"/>
              </w:rPr>
              <w:t>Komponente realnega BDP</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3.</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Zasebna potrošnja</w:t>
            </w:r>
          </w:p>
        </w:tc>
        <w:tc>
          <w:tcPr>
            <w:tcW w:w="420" w:type="pct"/>
            <w:gridSpan w:val="2"/>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P3</w:t>
            </w:r>
          </w:p>
        </w:tc>
        <w:tc>
          <w:tcPr>
            <w:tcW w:w="479" w:type="pct"/>
            <w:gridSpan w:val="2"/>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23.360</w:t>
            </w:r>
          </w:p>
        </w:tc>
        <w:tc>
          <w:tcPr>
            <w:tcW w:w="361"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2,2</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2,9</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2,4</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2,2</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2,2</w:t>
            </w:r>
          </w:p>
        </w:tc>
      </w:tr>
      <w:tr w:rsidR="008A5C9E" w:rsidRPr="00F10CD6" w:rsidTr="00B369B1">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4.</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Državna potrošnja</w:t>
            </w:r>
          </w:p>
        </w:tc>
        <w:tc>
          <w:tcPr>
            <w:tcW w:w="420" w:type="pct"/>
            <w:gridSpan w:val="2"/>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P3</w:t>
            </w:r>
          </w:p>
        </w:tc>
        <w:tc>
          <w:tcPr>
            <w:tcW w:w="479" w:type="pct"/>
            <w:gridSpan w:val="2"/>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8.189</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2,6</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2,2</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1,9</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1,4</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1,4</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5.</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Bruto investicije v osnovna sredstva</w:t>
            </w:r>
          </w:p>
        </w:tc>
        <w:tc>
          <w:tcPr>
            <w:tcW w:w="420" w:type="pct"/>
            <w:gridSpan w:val="2"/>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P51</w:t>
            </w:r>
          </w:p>
        </w:tc>
        <w:tc>
          <w:tcPr>
            <w:tcW w:w="479" w:type="pct"/>
            <w:gridSpan w:val="2"/>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9.060</w:t>
            </w:r>
          </w:p>
        </w:tc>
        <w:tc>
          <w:tcPr>
            <w:tcW w:w="361"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10,6</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7,7</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7,0</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7,0</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7,0</w:t>
            </w:r>
          </w:p>
        </w:tc>
      </w:tr>
      <w:tr w:rsidR="008A5C9E" w:rsidRPr="00F10CD6" w:rsidTr="00B369B1">
        <w:trPr>
          <w:trHeight w:val="465"/>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6.</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 xml:space="preserve">Spremembe zalog in vrednostni predmeti </w:t>
            </w:r>
          </w:p>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(v % BDP)</w:t>
            </w:r>
          </w:p>
        </w:tc>
        <w:tc>
          <w:tcPr>
            <w:tcW w:w="420" w:type="pct"/>
            <w:gridSpan w:val="2"/>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P52+ P53</w:t>
            </w:r>
          </w:p>
        </w:tc>
        <w:tc>
          <w:tcPr>
            <w:tcW w:w="479" w:type="pct"/>
            <w:gridSpan w:val="2"/>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984</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2,1</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2,2</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2,0</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2,0</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1,9</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7.</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Izvoz proizvodov in storitev</w:t>
            </w:r>
          </w:p>
        </w:tc>
        <w:tc>
          <w:tcPr>
            <w:tcW w:w="420" w:type="pct"/>
            <w:gridSpan w:val="2"/>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P6</w:t>
            </w:r>
          </w:p>
        </w:tc>
        <w:tc>
          <w:tcPr>
            <w:tcW w:w="479" w:type="pct"/>
            <w:gridSpan w:val="2"/>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39.151</w:t>
            </w:r>
          </w:p>
        </w:tc>
        <w:tc>
          <w:tcPr>
            <w:tcW w:w="361"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7,2</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5,1</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5,3</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4,7</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4,6</w:t>
            </w:r>
          </w:p>
        </w:tc>
      </w:tr>
      <w:tr w:rsidR="008A5C9E" w:rsidRPr="00F10CD6" w:rsidTr="00B369B1">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8.</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Uvoz proizvodov in storitev</w:t>
            </w:r>
          </w:p>
        </w:tc>
        <w:tc>
          <w:tcPr>
            <w:tcW w:w="420" w:type="pct"/>
            <w:gridSpan w:val="2"/>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P7</w:t>
            </w:r>
          </w:p>
        </w:tc>
        <w:tc>
          <w:tcPr>
            <w:tcW w:w="479" w:type="pct"/>
            <w:gridSpan w:val="2"/>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34.796</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7,7</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6,0</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5,8</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5,4</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5,4</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i/>
                <w:color w:val="0D0D0D" w:themeColor="text1" w:themeTint="F2"/>
                <w:sz w:val="18"/>
                <w:szCs w:val="18"/>
                <w:lang w:eastAsia="sl-SI"/>
              </w:rPr>
            </w:pPr>
            <w:r w:rsidRPr="00F10CD6">
              <w:rPr>
                <w:rFonts w:eastAsia="Times New Roman" w:cs="Arial"/>
                <w:b w:val="0"/>
                <w:i/>
                <w:color w:val="0D0D0D" w:themeColor="text1" w:themeTint="F2"/>
                <w:sz w:val="18"/>
                <w:szCs w:val="18"/>
                <w:lang w:eastAsia="sl-SI"/>
              </w:rPr>
              <w:t> </w:t>
            </w:r>
          </w:p>
        </w:tc>
        <w:tc>
          <w:tcPr>
            <w:tcW w:w="4763" w:type="pct"/>
            <w:gridSpan w:val="10"/>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18"/>
                <w:szCs w:val="18"/>
                <w:lang w:eastAsia="sl-SI"/>
              </w:rPr>
            </w:pPr>
            <w:r w:rsidRPr="00F10CD6">
              <w:rPr>
                <w:rFonts w:eastAsia="Times New Roman" w:cs="Arial"/>
                <w:bCs/>
                <w:i/>
                <w:color w:val="0D0D0D" w:themeColor="text1" w:themeTint="F2"/>
                <w:sz w:val="18"/>
                <w:szCs w:val="18"/>
                <w:lang w:eastAsia="sl-SI"/>
              </w:rPr>
              <w:t>Prispevek k realni rasti BDP (v odstotnih točkah)</w:t>
            </w:r>
          </w:p>
        </w:tc>
      </w:tr>
      <w:tr w:rsidR="008A5C9E" w:rsidRPr="00F10CD6" w:rsidTr="00B369B1">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9.</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 xml:space="preserve">Domača potrošnja </w:t>
            </w:r>
          </w:p>
        </w:tc>
        <w:tc>
          <w:tcPr>
            <w:tcW w:w="420" w:type="pct"/>
            <w:gridSpan w:val="2"/>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 </w:t>
            </w:r>
          </w:p>
        </w:tc>
        <w:tc>
          <w:tcPr>
            <w:tcW w:w="479" w:type="pct"/>
            <w:gridSpan w:val="2"/>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41.593</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4,2</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3,5</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3,0</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2,9</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2,9</w:t>
            </w:r>
          </w:p>
        </w:tc>
      </w:tr>
      <w:tr w:rsidR="008A5C9E" w:rsidRPr="00F10CD6" w:rsidTr="00B369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37" w:type="pct"/>
            <w:noWrap/>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10.</w:t>
            </w:r>
          </w:p>
        </w:tc>
        <w:tc>
          <w:tcPr>
            <w:tcW w:w="1823" w:type="pct"/>
            <w:hideMark/>
          </w:tcPr>
          <w:p w:rsidR="008A5C9E" w:rsidRPr="00F10CD6"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 xml:space="preserve">   v tem:  Spremembe zalog in vrednostni predmeti </w:t>
            </w:r>
          </w:p>
        </w:tc>
        <w:tc>
          <w:tcPr>
            <w:tcW w:w="420" w:type="pct"/>
            <w:gridSpan w:val="2"/>
            <w:hideMark/>
          </w:tcPr>
          <w:p w:rsidR="008A5C9E" w:rsidRPr="00F10CD6"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P52+ P53</w:t>
            </w:r>
          </w:p>
        </w:tc>
        <w:tc>
          <w:tcPr>
            <w:tcW w:w="479" w:type="pct"/>
            <w:gridSpan w:val="2"/>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984</w:t>
            </w:r>
          </w:p>
        </w:tc>
        <w:tc>
          <w:tcPr>
            <w:tcW w:w="361"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0,6</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0,1</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0,0</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0,0</w:t>
            </w:r>
          </w:p>
        </w:tc>
        <w:tc>
          <w:tcPr>
            <w:tcW w:w="420" w:type="pct"/>
            <w:hideMark/>
          </w:tcPr>
          <w:p w:rsidR="008A5C9E" w:rsidRPr="00F10CD6"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0,0</w:t>
            </w:r>
          </w:p>
        </w:tc>
      </w:tr>
      <w:tr w:rsidR="00937587" w:rsidRPr="00BB6E3B" w:rsidTr="00AF5BCD">
        <w:trPr>
          <w:trHeight w:val="283"/>
        </w:trPr>
        <w:tc>
          <w:tcPr>
            <w:cnfStyle w:val="001000000000" w:firstRow="0" w:lastRow="0" w:firstColumn="1" w:lastColumn="0" w:oddVBand="0" w:evenVBand="0" w:oddHBand="0" w:evenHBand="0" w:firstRowFirstColumn="0" w:firstRowLastColumn="0" w:lastRowFirstColumn="0" w:lastRowLastColumn="0"/>
            <w:tcW w:w="237" w:type="pct"/>
            <w:hideMark/>
          </w:tcPr>
          <w:p w:rsidR="008A5C9E" w:rsidRPr="00F10CD6" w:rsidRDefault="008A5C9E" w:rsidP="008A5C9E">
            <w:pPr>
              <w:jc w:val="right"/>
              <w:rPr>
                <w:rFonts w:eastAsia="Times New Roman" w:cs="Arial"/>
                <w:b w:val="0"/>
                <w:color w:val="0D0D0D" w:themeColor="text1" w:themeTint="F2"/>
                <w:sz w:val="16"/>
                <w:szCs w:val="16"/>
                <w:lang w:eastAsia="sl-SI"/>
              </w:rPr>
            </w:pPr>
            <w:r w:rsidRPr="00F10CD6">
              <w:rPr>
                <w:rFonts w:eastAsia="Times New Roman" w:cs="Arial"/>
                <w:b w:val="0"/>
                <w:color w:val="0D0D0D" w:themeColor="text1" w:themeTint="F2"/>
                <w:sz w:val="16"/>
                <w:szCs w:val="16"/>
                <w:lang w:eastAsia="sl-SI"/>
              </w:rPr>
              <w:t>11.</w:t>
            </w:r>
          </w:p>
        </w:tc>
        <w:tc>
          <w:tcPr>
            <w:tcW w:w="1823" w:type="pct"/>
            <w:hideMark/>
          </w:tcPr>
          <w:p w:rsidR="008A5C9E" w:rsidRPr="00F10CD6"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F10CD6">
              <w:rPr>
                <w:rFonts w:eastAsia="Times New Roman" w:cs="Arial"/>
                <w:bCs/>
                <w:color w:val="0D0D0D" w:themeColor="text1" w:themeTint="F2"/>
                <w:sz w:val="16"/>
                <w:szCs w:val="16"/>
                <w:lang w:eastAsia="sl-SI"/>
              </w:rPr>
              <w:t xml:space="preserve">Saldo izvoza in uvoza proizvodov in storitev </w:t>
            </w:r>
          </w:p>
        </w:tc>
        <w:tc>
          <w:tcPr>
            <w:tcW w:w="420" w:type="pct"/>
            <w:gridSpan w:val="2"/>
            <w:hideMark/>
          </w:tcPr>
          <w:p w:rsidR="008A5C9E" w:rsidRPr="00F10CD6"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B11</w:t>
            </w:r>
          </w:p>
        </w:tc>
        <w:tc>
          <w:tcPr>
            <w:tcW w:w="479" w:type="pct"/>
            <w:gridSpan w:val="2"/>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4.355</w:t>
            </w:r>
          </w:p>
        </w:tc>
        <w:tc>
          <w:tcPr>
            <w:tcW w:w="361"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0,3</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-0,1</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0,1</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-0,1</w:t>
            </w:r>
          </w:p>
        </w:tc>
        <w:tc>
          <w:tcPr>
            <w:tcW w:w="420" w:type="pct"/>
            <w:hideMark/>
          </w:tcPr>
          <w:p w:rsidR="008A5C9E" w:rsidRPr="00F10CD6"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F10CD6">
              <w:rPr>
                <w:rFonts w:eastAsia="Times New Roman" w:cs="Arial"/>
                <w:color w:val="0D0D0D" w:themeColor="text1" w:themeTint="F2"/>
                <w:sz w:val="16"/>
                <w:szCs w:val="16"/>
                <w:lang w:eastAsia="sl-SI"/>
              </w:rPr>
              <w:t>-0,2</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Pomladanska napoved 2019, UMAR.</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39" w:name="_Toc5266023"/>
      <w:r w:rsidRPr="00BB6E3B">
        <w:rPr>
          <w:rFonts w:eastAsiaTheme="majorEastAsia" w:cs="Arial"/>
          <w:bCs/>
          <w:color w:val="0D0D0D" w:themeColor="text1" w:themeTint="F2"/>
          <w:szCs w:val="28"/>
        </w:rPr>
        <w:t>Tabela 1.b: Cenovna gibanja</w:t>
      </w:r>
      <w:bookmarkEnd w:id="39"/>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350"/>
        <w:gridCol w:w="3618"/>
        <w:gridCol w:w="924"/>
        <w:gridCol w:w="924"/>
        <w:gridCol w:w="924"/>
        <w:gridCol w:w="924"/>
        <w:gridCol w:w="925"/>
        <w:gridCol w:w="925"/>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903" w:type="pct"/>
            <w:hideMark/>
          </w:tcPr>
          <w:p w:rsidR="008A5C9E" w:rsidRPr="00BB6E3B" w:rsidRDefault="008A5C9E" w:rsidP="008A5C9E">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Sprememba v %</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c>
          <w:tcPr>
            <w:tcW w:w="48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Deflator BDP</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2,6</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Deflator zasebne potrošnje</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4"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xml:space="preserve">Indeks cen življenjskih potrebščin </w:t>
            </w:r>
          </w:p>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(povprečje leta)</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Deflator državne potrošnje</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3,2</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Deflator investicij v osnovna sredstva</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2,9</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3,0</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Izvozne cene (blago in storitve)</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48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7.</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Uvozne cene (blago in storitve)</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48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Pomladanska napoved 2019, UMAR.</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0" w:name="_Toc5266024"/>
      <w:r w:rsidRPr="00BB6E3B">
        <w:rPr>
          <w:rFonts w:eastAsiaTheme="majorEastAsia" w:cs="Arial"/>
          <w:bCs/>
          <w:color w:val="0D0D0D" w:themeColor="text1" w:themeTint="F2"/>
          <w:szCs w:val="28"/>
        </w:rPr>
        <w:t>Tabela 1.c: Gibanja na trgu dela</w:t>
      </w:r>
      <w:bookmarkEnd w:id="40"/>
    </w:p>
    <w:p w:rsidR="008A5C9E" w:rsidRPr="00BB6E3B"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350"/>
        <w:gridCol w:w="4471"/>
        <w:gridCol w:w="928"/>
        <w:gridCol w:w="753"/>
        <w:gridCol w:w="753"/>
        <w:gridCol w:w="753"/>
        <w:gridCol w:w="753"/>
        <w:gridCol w:w="753"/>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362"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p>
        </w:tc>
        <w:tc>
          <w:tcPr>
            <w:tcW w:w="427"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Raven 2018</w:t>
            </w:r>
          </w:p>
        </w:tc>
        <w:tc>
          <w:tcPr>
            <w:tcW w:w="40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0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0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0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0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36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i/>
                <w:iCs/>
                <w:color w:val="0D0D0D" w:themeColor="text1" w:themeTint="F2"/>
                <w:sz w:val="16"/>
                <w:szCs w:val="16"/>
                <w:lang w:eastAsia="sl-SI"/>
              </w:rPr>
            </w:pPr>
            <w:r w:rsidRPr="00BB6E3B">
              <w:rPr>
                <w:rFonts w:eastAsia="Times New Roman" w:cs="Arial"/>
                <w:i/>
                <w:iCs/>
                <w:color w:val="0D0D0D" w:themeColor="text1" w:themeTint="F2"/>
                <w:sz w:val="16"/>
                <w:szCs w:val="16"/>
                <w:lang w:eastAsia="sl-SI"/>
              </w:rPr>
              <w:t> </w:t>
            </w:r>
          </w:p>
        </w:tc>
        <w:tc>
          <w:tcPr>
            <w:tcW w:w="42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v 000 </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2362"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Zaposlenost (št. zaposlenih)</w:t>
            </w:r>
            <w:r w:rsidRPr="00BB6E3B">
              <w:rPr>
                <w:rFonts w:eastAsia="Times New Roman" w:cs="Arial"/>
                <w:bCs/>
                <w:color w:val="0D0D0D" w:themeColor="text1" w:themeTint="F2"/>
                <w:sz w:val="16"/>
                <w:szCs w:val="16"/>
                <w:vertAlign w:val="superscript"/>
                <w:lang w:eastAsia="sl-SI"/>
              </w:rPr>
              <w:t>1</w:t>
            </w:r>
            <w:r w:rsidRPr="00BB6E3B">
              <w:rPr>
                <w:rFonts w:eastAsia="Times New Roman" w:cs="Arial"/>
                <w:bCs/>
                <w:color w:val="0D0D0D" w:themeColor="text1" w:themeTint="F2"/>
                <w:sz w:val="16"/>
                <w:szCs w:val="16"/>
                <w:lang w:eastAsia="sl-SI"/>
              </w:rPr>
              <w:t>, rast v %</w:t>
            </w:r>
          </w:p>
        </w:tc>
        <w:tc>
          <w:tcPr>
            <w:tcW w:w="427"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1.017</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3,0</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2362"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Zaposlenost po urah, rast v %</w:t>
            </w:r>
          </w:p>
        </w:tc>
        <w:tc>
          <w:tcPr>
            <w:tcW w:w="42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1.630.546</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2362"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Stopnja brezposelnosti po anketi o delovni sili, v %</w:t>
            </w:r>
          </w:p>
        </w:tc>
        <w:tc>
          <w:tcPr>
            <w:tcW w:w="427"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53</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5,1</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3,7</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3,4</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2362"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Produktivnost dela</w:t>
            </w:r>
            <w:r w:rsidRPr="00BB6E3B">
              <w:rPr>
                <w:rFonts w:eastAsia="Times New Roman" w:cs="Arial"/>
                <w:bCs/>
                <w:color w:val="0D0D0D" w:themeColor="text1" w:themeTint="F2"/>
                <w:sz w:val="16"/>
                <w:szCs w:val="16"/>
                <w:vertAlign w:val="superscript"/>
                <w:lang w:eastAsia="sl-SI"/>
              </w:rPr>
              <w:t>2</w:t>
            </w:r>
            <w:r w:rsidRPr="00BB6E3B">
              <w:rPr>
                <w:rFonts w:eastAsia="Times New Roman" w:cs="Arial"/>
                <w:bCs/>
                <w:color w:val="0D0D0D" w:themeColor="text1" w:themeTint="F2"/>
                <w:sz w:val="16"/>
                <w:szCs w:val="16"/>
                <w:lang w:eastAsia="sl-SI"/>
              </w:rPr>
              <w:t xml:space="preserve"> (vrednost v 1000 EUR na zaposlenega), rast v %</w:t>
            </w:r>
          </w:p>
        </w:tc>
        <w:tc>
          <w:tcPr>
            <w:tcW w:w="42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45,2</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2362"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Sredstva za zaposlene</w:t>
            </w:r>
            <w:r w:rsidRPr="00BB6E3B">
              <w:rPr>
                <w:rFonts w:eastAsia="Times New Roman" w:cs="Arial"/>
                <w:bCs/>
                <w:color w:val="0D0D0D" w:themeColor="text1" w:themeTint="F2"/>
                <w:sz w:val="16"/>
                <w:szCs w:val="16"/>
                <w:vertAlign w:val="superscript"/>
                <w:lang w:eastAsia="sl-SI"/>
              </w:rPr>
              <w:t>3</w:t>
            </w:r>
            <w:r w:rsidRPr="00BB6E3B">
              <w:rPr>
                <w:rFonts w:eastAsia="Times New Roman" w:cs="Arial"/>
                <w:bCs/>
                <w:color w:val="0D0D0D" w:themeColor="text1" w:themeTint="F2"/>
                <w:sz w:val="16"/>
                <w:szCs w:val="16"/>
                <w:lang w:eastAsia="sl-SI"/>
              </w:rPr>
              <w:t>, v mio EUR, rast v % (D.1)</w:t>
            </w:r>
          </w:p>
        </w:tc>
        <w:tc>
          <w:tcPr>
            <w:tcW w:w="427"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22.803</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7,5</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7,5</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6,7</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6,3</w:t>
            </w:r>
          </w:p>
        </w:tc>
        <w:tc>
          <w:tcPr>
            <w:tcW w:w="408"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2362"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xml:space="preserve">Sredstva za zaposlene na zaposlenega </w:t>
            </w:r>
            <w:r w:rsidRPr="00BB6E3B">
              <w:rPr>
                <w:rFonts w:eastAsia="Times New Roman" w:cs="Arial"/>
                <w:bCs/>
                <w:color w:val="0D0D0D" w:themeColor="text1" w:themeTint="F2"/>
                <w:sz w:val="16"/>
                <w:szCs w:val="16"/>
                <w:vertAlign w:val="superscript"/>
                <w:lang w:eastAsia="sl-SI"/>
              </w:rPr>
              <w:t>3,4</w:t>
            </w:r>
            <w:r w:rsidRPr="00BB6E3B">
              <w:rPr>
                <w:rFonts w:eastAsia="Times New Roman" w:cs="Arial"/>
                <w:bCs/>
                <w:color w:val="0D0D0D" w:themeColor="text1" w:themeTint="F2"/>
                <w:sz w:val="16"/>
                <w:szCs w:val="16"/>
                <w:lang w:eastAsia="sl-SI"/>
              </w:rPr>
              <w:t>, v 1000 EUR, rast v %</w:t>
            </w:r>
          </w:p>
        </w:tc>
        <w:tc>
          <w:tcPr>
            <w:tcW w:w="42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22,416</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4,4</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5,4</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5,6</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5,7</w:t>
            </w:r>
          </w:p>
        </w:tc>
        <w:tc>
          <w:tcPr>
            <w:tcW w:w="40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5,2</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 xml:space="preserve">Opombe: </w:t>
      </w:r>
      <w:r w:rsidRPr="00BB6E3B">
        <w:rPr>
          <w:rFonts w:cs="Arial"/>
          <w:color w:val="0D0D0D" w:themeColor="text1" w:themeTint="F2"/>
          <w:sz w:val="16"/>
          <w:szCs w:val="16"/>
          <w:vertAlign w:val="superscript"/>
        </w:rPr>
        <w:t>1</w:t>
      </w:r>
      <w:r w:rsidRPr="00BB6E3B">
        <w:rPr>
          <w:rFonts w:cs="Arial"/>
          <w:color w:val="0D0D0D" w:themeColor="text1" w:themeTint="F2"/>
          <w:sz w:val="16"/>
          <w:szCs w:val="16"/>
        </w:rPr>
        <w:t xml:space="preserve"> Zaposleno prebivalstvo po nacionalnih računih (domači koncept), </w:t>
      </w:r>
      <w:r w:rsidRPr="00BB6E3B">
        <w:rPr>
          <w:rFonts w:cs="Arial"/>
          <w:color w:val="0D0D0D" w:themeColor="text1" w:themeTint="F2"/>
          <w:sz w:val="16"/>
          <w:szCs w:val="16"/>
          <w:vertAlign w:val="superscript"/>
        </w:rPr>
        <w:t>2</w:t>
      </w:r>
      <w:r w:rsidRPr="00BB6E3B">
        <w:rPr>
          <w:rFonts w:cs="Arial"/>
          <w:color w:val="0D0D0D" w:themeColor="text1" w:themeTint="F2"/>
          <w:sz w:val="16"/>
          <w:szCs w:val="16"/>
        </w:rPr>
        <w:t xml:space="preserve"> Upoštevan je realni BDP, </w:t>
      </w:r>
      <w:r w:rsidRPr="00BB6E3B">
        <w:rPr>
          <w:rFonts w:cs="Arial"/>
          <w:color w:val="0D0D0D" w:themeColor="text1" w:themeTint="F2"/>
          <w:sz w:val="16"/>
          <w:szCs w:val="16"/>
          <w:vertAlign w:val="superscript"/>
        </w:rPr>
        <w:t>3</w:t>
      </w:r>
      <w:r w:rsidRPr="00BB6E3B">
        <w:rPr>
          <w:rFonts w:cs="Arial"/>
          <w:color w:val="0D0D0D" w:themeColor="text1" w:themeTint="F2"/>
          <w:sz w:val="16"/>
          <w:szCs w:val="16"/>
        </w:rPr>
        <w:t xml:space="preserve"> Nominalne rasti, </w:t>
      </w:r>
      <w:r w:rsidRPr="00BB6E3B">
        <w:rPr>
          <w:rFonts w:cs="Arial"/>
          <w:color w:val="0D0D0D" w:themeColor="text1" w:themeTint="F2"/>
          <w:sz w:val="16"/>
          <w:szCs w:val="16"/>
          <w:vertAlign w:val="superscript"/>
        </w:rPr>
        <w:t>4</w:t>
      </w:r>
      <w:r w:rsidRPr="00BB6E3B">
        <w:rPr>
          <w:rFonts w:cs="Arial"/>
          <w:color w:val="0D0D0D" w:themeColor="text1" w:themeTint="F2"/>
          <w:sz w:val="16"/>
          <w:szCs w:val="16"/>
        </w:rPr>
        <w:t xml:space="preserve"> Upoštevani so zaposleni za polni delovni čas (full timer).</w:t>
      </w:r>
    </w:p>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Pomladanska napoved 2019, UMAR.</w:t>
      </w: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1" w:name="_Toc5266025"/>
      <w:r w:rsidRPr="00BB6E3B">
        <w:rPr>
          <w:rFonts w:eastAsiaTheme="majorEastAsia" w:cs="Arial"/>
          <w:bCs/>
          <w:color w:val="0D0D0D" w:themeColor="text1" w:themeTint="F2"/>
          <w:szCs w:val="28"/>
        </w:rPr>
        <w:lastRenderedPageBreak/>
        <w:t>Tabela 1.d: Saldi po posameznih sektorjih</w:t>
      </w:r>
      <w:bookmarkEnd w:id="41"/>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4250"/>
        <w:gridCol w:w="1031"/>
        <w:gridCol w:w="847"/>
        <w:gridCol w:w="847"/>
        <w:gridCol w:w="847"/>
        <w:gridCol w:w="847"/>
        <w:gridCol w:w="845"/>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v % BDP</w:t>
            </w:r>
          </w:p>
        </w:tc>
        <w:tc>
          <w:tcPr>
            <w:tcW w:w="542"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ESA koda</w:t>
            </w:r>
          </w:p>
        </w:tc>
        <w:tc>
          <w:tcPr>
            <w:tcW w:w="445"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45"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45"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45"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45"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Neto posojanje / izposojanje</w:t>
            </w:r>
          </w:p>
        </w:tc>
        <w:tc>
          <w:tcPr>
            <w:tcW w:w="542"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B.9 (S.1)</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6,8</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od tega:</w:t>
            </w:r>
          </w:p>
        </w:tc>
        <w:tc>
          <w:tcPr>
            <w:tcW w:w="542"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Saldo uvoza in izvoza blaga in storitev</w:t>
            </w:r>
          </w:p>
        </w:tc>
        <w:tc>
          <w:tcPr>
            <w:tcW w:w="542"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B.11</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9,5</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9,1</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8,8</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8,5</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Saldo primarnih dohodkov in tekočih transferjev</w:t>
            </w:r>
          </w:p>
        </w:tc>
        <w:tc>
          <w:tcPr>
            <w:tcW w:w="542"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B.12</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Saldo transferjev kapitala</w:t>
            </w:r>
          </w:p>
        </w:tc>
        <w:tc>
          <w:tcPr>
            <w:tcW w:w="542"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D.9 </w:t>
            </w:r>
          </w:p>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(rec-pay)</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xml:space="preserve">Primanjkljaj / presežek zasebnega sektorja </w:t>
            </w:r>
          </w:p>
        </w:tc>
        <w:tc>
          <w:tcPr>
            <w:tcW w:w="542"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B.9 </w:t>
            </w:r>
          </w:p>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(S.1-S.13)</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6,1</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xml:space="preserve">Primanjkljaj / presežek sektorja država </w:t>
            </w:r>
          </w:p>
        </w:tc>
        <w:tc>
          <w:tcPr>
            <w:tcW w:w="542"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B.9 (S.13)</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w:t>
            </w:r>
          </w:p>
        </w:tc>
        <w:tc>
          <w:tcPr>
            <w:tcW w:w="445"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Statistično odstopanje</w:t>
            </w:r>
          </w:p>
        </w:tc>
        <w:tc>
          <w:tcPr>
            <w:tcW w:w="542"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c>
          <w:tcPr>
            <w:tcW w:w="445"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MF, Pomladanska napoved 2019, UMAR.</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spacing w:after="0"/>
        <w:rPr>
          <w:rFonts w:cs="Arial"/>
          <w:color w:val="0D0D0D" w:themeColor="text1" w:themeTint="F2"/>
          <w:sz w:val="20"/>
          <w:szCs w:val="20"/>
        </w:rPr>
      </w:pPr>
    </w:p>
    <w:p w:rsidR="000043DB" w:rsidRPr="00BB6E3B" w:rsidRDefault="000043DB">
      <w:pPr>
        <w:spacing w:line="276" w:lineRule="auto"/>
        <w:jc w:val="left"/>
        <w:rPr>
          <w:rFonts w:eastAsiaTheme="majorEastAsia" w:cs="Arial"/>
          <w:bCs/>
          <w:color w:val="0D0D0D" w:themeColor="text1" w:themeTint="F2"/>
          <w:szCs w:val="28"/>
        </w:rPr>
      </w:pPr>
      <w:bookmarkStart w:id="42" w:name="_Toc5266026"/>
      <w:r w:rsidRPr="00BB6E3B">
        <w:rPr>
          <w:rFonts w:eastAsiaTheme="majorEastAsia" w:cs="Arial"/>
          <w:bCs/>
          <w:color w:val="0D0D0D" w:themeColor="text1" w:themeTint="F2"/>
          <w:szCs w:val="28"/>
        </w:rPr>
        <w:br w:type="page"/>
      </w:r>
    </w:p>
    <w:p w:rsidR="008A5C9E" w:rsidRPr="00BB6E3B" w:rsidRDefault="008A5C9E" w:rsidP="008A5C9E">
      <w:pPr>
        <w:keepNext/>
        <w:keepLines/>
        <w:spacing w:before="120" w:after="0"/>
        <w:outlineLvl w:val="0"/>
        <w:rPr>
          <w:rFonts w:eastAsiaTheme="majorEastAsia" w:cs="Arial"/>
          <w:bCs/>
          <w:color w:val="0D0D0D" w:themeColor="text1" w:themeTint="F2"/>
          <w:szCs w:val="28"/>
        </w:rPr>
      </w:pPr>
      <w:r w:rsidRPr="00BB6E3B">
        <w:rPr>
          <w:rFonts w:eastAsiaTheme="majorEastAsia" w:cs="Arial"/>
          <w:bCs/>
          <w:color w:val="0D0D0D" w:themeColor="text1" w:themeTint="F2"/>
          <w:szCs w:val="28"/>
        </w:rPr>
        <w:lastRenderedPageBreak/>
        <w:t>Tabela 2.a: Konsolidirana bilanca sektorja država</w:t>
      </w:r>
      <w:bookmarkEnd w:id="42"/>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450"/>
        <w:gridCol w:w="3246"/>
        <w:gridCol w:w="889"/>
        <w:gridCol w:w="860"/>
        <w:gridCol w:w="807"/>
        <w:gridCol w:w="816"/>
        <w:gridCol w:w="816"/>
        <w:gridCol w:w="816"/>
        <w:gridCol w:w="814"/>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706" w:type="pct"/>
            <w:hideMark/>
          </w:tcPr>
          <w:p w:rsidR="008A5C9E" w:rsidRPr="00BB6E3B" w:rsidRDefault="008A5C9E" w:rsidP="008A5C9E">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467"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ESA</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Koda</w:t>
            </w:r>
          </w:p>
        </w:tc>
        <w:tc>
          <w:tcPr>
            <w:tcW w:w="452"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Raven</w:t>
            </w:r>
          </w:p>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24"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2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2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2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27"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xml:space="preserve"> </w:t>
            </w:r>
          </w:p>
        </w:tc>
        <w:tc>
          <w:tcPr>
            <w:tcW w:w="467"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5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v mio EUR</w:t>
            </w:r>
          </w:p>
        </w:tc>
        <w:tc>
          <w:tcPr>
            <w:tcW w:w="2138" w:type="pct"/>
            <w:gridSpan w:val="5"/>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v % BDP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left"/>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4764" w:type="pct"/>
            <w:gridSpan w:val="8"/>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Presežek / primanjkljaj države po podsektorjih (B.9)</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Enote širše ravni države</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S.13</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336,6</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0,73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0,95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0,95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1,12</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1,15</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Enote centralne ravni države</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S.1311</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391,9</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0,85</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0,88</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0,89</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1,05</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1,08</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Enote regionalne ravni države</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S.1312</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Enote lokalne ravni države</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S.1313</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-63,1</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Skladi socialnega zavarovanja</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S.1314</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4764" w:type="pct"/>
            <w:gridSpan w:val="8"/>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i/>
                <w:color w:val="0D0D0D" w:themeColor="text1" w:themeTint="F2"/>
                <w:sz w:val="16"/>
                <w:szCs w:val="16"/>
                <w:lang w:eastAsia="sl-SI"/>
              </w:rPr>
            </w:pPr>
            <w:r w:rsidRPr="00BB6E3B">
              <w:rPr>
                <w:rFonts w:eastAsia="Times New Roman" w:cs="Arial"/>
                <w:i/>
                <w:color w:val="0D0D0D" w:themeColor="text1" w:themeTint="F2"/>
                <w:sz w:val="16"/>
                <w:szCs w:val="16"/>
                <w:lang w:eastAsia="sl-SI"/>
              </w:rPr>
              <w:t>Skupaj sektor država (S.13)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Skupaj prihodki sektorja država</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TR</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19.800,4</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43,09</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43,18</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42,59</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41,82</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41,35</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7.</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Skupaj odhodki sektorja država</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TE</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19.463,8</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42,36</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42,24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41,64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40,70</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40,19</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8.</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Neto posojanje / neto izposojanje </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EDP B.9</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336,6</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1,12</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1,15</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9.</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Izdatki za bresti </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EDP D.41</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910,5</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1,98</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1,63</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1,47</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1,31</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10.</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Primarni presežek/primanjkljaj</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1.247,2</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2,58</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2,43</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11.</w:t>
            </w:r>
          </w:p>
        </w:tc>
        <w:tc>
          <w:tcPr>
            <w:tcW w:w="1706" w:type="pct"/>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Enkratni in drugi začasni ukrepi</w:t>
            </w:r>
          </w:p>
        </w:tc>
        <w:tc>
          <w:tcPr>
            <w:tcW w:w="467" w:type="pct"/>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p>
        </w:tc>
        <w:tc>
          <w:tcPr>
            <w:tcW w:w="452"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-47,7</w:t>
            </w:r>
          </w:p>
        </w:tc>
        <w:tc>
          <w:tcPr>
            <w:tcW w:w="424"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-0,09</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0,00</w:t>
            </w:r>
          </w:p>
        </w:tc>
        <w:tc>
          <w:tcPr>
            <w:tcW w:w="427"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4764" w:type="pct"/>
            <w:gridSpan w:val="8"/>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Izbrane komponente prihodkov</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12.</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Skupaj davki (12a + 12b + 12c)</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10.063,4</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21,90</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21,84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21,53</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21,21</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20,93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a.</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Davki na proizvodnjo in uvoz </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D.2</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6.464,5</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14,07</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14,00</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13,67</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13,37</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13,08</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b.</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Tekoči davki na dohodke in premoženje</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D.5</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3.587,9</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7,81</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7,81</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7,83</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c.</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Davki na kapital</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D.91</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11,0</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13.</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Prispevki za socialno varnost</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D.61</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6.819,3</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14,84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15,05</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15,12</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15,18</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15,24</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14.</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Prihodki od lastnine</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D.4</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509,4</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0,65</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0,60</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15.</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Drugi prihodki</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2.408,3</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5,24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5,36</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5,23</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4,77</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4,58</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16.</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16.=6. Skupaj prihodki</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TR</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19.800,4</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43,09</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43,18</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42,59</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41,82</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41,35</w:t>
            </w:r>
          </w:p>
        </w:tc>
      </w:tr>
      <w:tr w:rsidR="008A5C9E" w:rsidRPr="00BB6E3B" w:rsidTr="00B369B1">
        <w:trPr>
          <w:trHeight w:val="465"/>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Davčno breme (D.2+D.5+D.61+D.91–D.995)</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16.880,9</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36,74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36,88</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36,64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36,39</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36,17</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4764" w:type="pct"/>
            <w:gridSpan w:val="8"/>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Izbrane komponente odhodkov</w:t>
            </w:r>
          </w:p>
        </w:tc>
      </w:tr>
      <w:tr w:rsidR="008A5C9E" w:rsidRPr="00BB6E3B" w:rsidTr="00B369B1">
        <w:trPr>
          <w:trHeight w:val="465"/>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17.</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Sredstva za zaposlene in vmesno potrošnjo države</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D.1+P.2</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7.909,2</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17,21</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17,22</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16,94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16,52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16,18</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a.</w:t>
            </w:r>
          </w:p>
        </w:tc>
        <w:tc>
          <w:tcPr>
            <w:tcW w:w="1706"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Sredstva za zaposlene</w:t>
            </w:r>
          </w:p>
        </w:tc>
        <w:tc>
          <w:tcPr>
            <w:tcW w:w="467"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D.1</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5.022,1</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10,93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11,21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11,09</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10,89</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10,72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b.</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Vmesna potrošnja</w:t>
            </w:r>
          </w:p>
        </w:tc>
        <w:tc>
          <w:tcPr>
            <w:tcW w:w="467"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P.2</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2.887,1</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6,28</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6,01</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5,85</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5,62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5,46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18.</w:t>
            </w:r>
          </w:p>
        </w:tc>
        <w:tc>
          <w:tcPr>
            <w:tcW w:w="1706"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Socialna nadomestila</w:t>
            </w:r>
          </w:p>
        </w:tc>
        <w:tc>
          <w:tcPr>
            <w:tcW w:w="467"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7.592,7</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16,52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16,31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16,10</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16,12</w:t>
            </w:r>
          </w:p>
        </w:tc>
      </w:tr>
      <w:tr w:rsidR="008A5C9E" w:rsidRPr="00BB6E3B" w:rsidTr="00B369B1">
        <w:trPr>
          <w:trHeight w:val="383"/>
        </w:trPr>
        <w:tc>
          <w:tcPr>
            <w:cnfStyle w:val="001000000000" w:firstRow="0" w:lastRow="0" w:firstColumn="1" w:lastColumn="0" w:oddVBand="0" w:evenVBand="0" w:oddHBand="0" w:evenHBand="0" w:firstRowFirstColumn="0" w:firstRowLastColumn="0" w:lastRowFirstColumn="0" w:lastRowLastColumn="0"/>
            <w:tcW w:w="236" w:type="pct"/>
            <w:noWrap/>
          </w:tcPr>
          <w:p w:rsidR="008A5C9E" w:rsidRPr="00BB6E3B" w:rsidRDefault="008A5C9E" w:rsidP="008A5C9E">
            <w:pPr>
              <w:jc w:val="right"/>
              <w:rPr>
                <w:rFonts w:eastAsia="Times New Roman" w:cs="Arial"/>
                <w:b w:val="0"/>
                <w:color w:val="0D0D0D" w:themeColor="text1" w:themeTint="F2"/>
                <w:sz w:val="16"/>
                <w:szCs w:val="16"/>
                <w:lang w:eastAsia="sl-SI"/>
              </w:rPr>
            </w:pPr>
          </w:p>
        </w:tc>
        <w:tc>
          <w:tcPr>
            <w:tcW w:w="1706" w:type="pct"/>
            <w:noWrap/>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od tega: socialni transferji brezposelnim</w:t>
            </w:r>
          </w:p>
        </w:tc>
        <w:tc>
          <w:tcPr>
            <w:tcW w:w="467" w:type="pct"/>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52"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160,4</w:t>
            </w:r>
          </w:p>
        </w:tc>
        <w:tc>
          <w:tcPr>
            <w:tcW w:w="424"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0,35</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0,32</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0,23</w:t>
            </w:r>
          </w:p>
        </w:tc>
        <w:tc>
          <w:tcPr>
            <w:tcW w:w="42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0,25</w:t>
            </w:r>
          </w:p>
        </w:tc>
        <w:tc>
          <w:tcPr>
            <w:tcW w:w="427"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0,27</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a.</w:t>
            </w:r>
          </w:p>
        </w:tc>
        <w:tc>
          <w:tcPr>
            <w:tcW w:w="1706"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Socialni transferji v naravi</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D.6311, D.63121, D.63131</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877,1</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1,90</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1,89</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1,88</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b.</w:t>
            </w:r>
          </w:p>
        </w:tc>
        <w:tc>
          <w:tcPr>
            <w:tcW w:w="1706"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Socialna nadomestila in pomoči v denarju</w:t>
            </w:r>
          </w:p>
        </w:tc>
        <w:tc>
          <w:tcPr>
            <w:tcW w:w="467"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D.62</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6.715,6</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14,62</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14,40</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14,25</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14,22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14,24</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19.</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19=9. Izdatki za obresti</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D.41</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910,5</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1,98</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1,47</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1,31</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1,16</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w:t>
            </w:r>
          </w:p>
        </w:tc>
        <w:tc>
          <w:tcPr>
            <w:tcW w:w="1706"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Subvencije</w:t>
            </w:r>
          </w:p>
        </w:tc>
        <w:tc>
          <w:tcPr>
            <w:tcW w:w="467"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D.3</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349,9</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0,76</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0,75</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0,76</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21.</w:t>
            </w:r>
          </w:p>
        </w:tc>
        <w:tc>
          <w:tcPr>
            <w:tcW w:w="1706"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Bruto investicije v osnovna sredstva</w:t>
            </w:r>
          </w:p>
        </w:tc>
        <w:tc>
          <w:tcPr>
            <w:tcW w:w="467"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P.51</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1.662,5</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3,62</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4,10</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4,13</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4,06</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4,10</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22.</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Kapitalski transferji, odhodki</w:t>
            </w:r>
          </w:p>
        </w:tc>
        <w:tc>
          <w:tcPr>
            <w:tcW w:w="467"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D.9</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192,9</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0,42</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0,42</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0,32</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0,28</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23.</w:t>
            </w:r>
          </w:p>
        </w:tc>
        <w:tc>
          <w:tcPr>
            <w:tcW w:w="1706"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Drugi odhodki</w:t>
            </w:r>
          </w:p>
        </w:tc>
        <w:tc>
          <w:tcPr>
            <w:tcW w:w="46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846,1</w:t>
            </w:r>
          </w:p>
        </w:tc>
        <w:tc>
          <w:tcPr>
            <w:tcW w:w="424"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1,81</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1,75</w:t>
            </w:r>
          </w:p>
        </w:tc>
        <w:tc>
          <w:tcPr>
            <w:tcW w:w="42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1,67</w:t>
            </w:r>
          </w:p>
        </w:tc>
        <w:tc>
          <w:tcPr>
            <w:tcW w:w="427"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1,64</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24.</w:t>
            </w:r>
          </w:p>
        </w:tc>
        <w:tc>
          <w:tcPr>
            <w:tcW w:w="1706"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23.=7. SKUPAJ ODHODKI</w:t>
            </w:r>
          </w:p>
        </w:tc>
        <w:tc>
          <w:tcPr>
            <w:tcW w:w="467"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TE</w:t>
            </w:r>
          </w:p>
        </w:tc>
        <w:tc>
          <w:tcPr>
            <w:tcW w:w="45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19.463,8</w:t>
            </w:r>
          </w:p>
        </w:tc>
        <w:tc>
          <w:tcPr>
            <w:tcW w:w="424"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42,36</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42,24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41,64</w:t>
            </w:r>
          </w:p>
        </w:tc>
        <w:tc>
          <w:tcPr>
            <w:tcW w:w="42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40,70</w:t>
            </w:r>
          </w:p>
        </w:tc>
        <w:tc>
          <w:tcPr>
            <w:tcW w:w="427"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40,19</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(objava 19.4.2019), projekcije Ministrstva za finance.</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3" w:name="_Toc5266027"/>
      <w:r w:rsidRPr="00BB6E3B">
        <w:rPr>
          <w:rFonts w:eastAsiaTheme="majorEastAsia" w:cs="Arial"/>
          <w:bCs/>
          <w:color w:val="0D0D0D" w:themeColor="text1" w:themeTint="F2"/>
          <w:szCs w:val="28"/>
        </w:rPr>
        <w:lastRenderedPageBreak/>
        <w:t>Tabela 2.b: Napovedi na predpostavki nespremenjene politike</w:t>
      </w:r>
      <w:bookmarkEnd w:id="43"/>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359"/>
        <w:gridCol w:w="3383"/>
        <w:gridCol w:w="1161"/>
        <w:gridCol w:w="871"/>
        <w:gridCol w:w="896"/>
        <w:gridCol w:w="714"/>
        <w:gridCol w:w="714"/>
        <w:gridCol w:w="714"/>
        <w:gridCol w:w="702"/>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88"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77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 </w:t>
            </w:r>
          </w:p>
        </w:tc>
        <w:tc>
          <w:tcPr>
            <w:tcW w:w="610"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ESA</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koda</w:t>
            </w:r>
          </w:p>
        </w:tc>
        <w:tc>
          <w:tcPr>
            <w:tcW w:w="458"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Raven 2018</w:t>
            </w:r>
          </w:p>
        </w:tc>
        <w:tc>
          <w:tcPr>
            <w:tcW w:w="471"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375"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375"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375"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36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778"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610"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5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16"/>
                <w:szCs w:val="16"/>
                <w:lang w:eastAsia="sl-SI"/>
              </w:rPr>
            </w:pPr>
            <w:r w:rsidRPr="00BB6E3B">
              <w:rPr>
                <w:rFonts w:eastAsia="Times New Roman" w:cs="Arial"/>
                <w:i/>
                <w:color w:val="0D0D0D" w:themeColor="text1" w:themeTint="F2"/>
                <w:sz w:val="16"/>
                <w:szCs w:val="16"/>
                <w:lang w:eastAsia="sl-SI"/>
              </w:rPr>
              <w:t>v mio EUR</w:t>
            </w:r>
          </w:p>
        </w:tc>
        <w:tc>
          <w:tcPr>
            <w:tcW w:w="1965" w:type="pct"/>
            <w:gridSpan w:val="5"/>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16"/>
                <w:szCs w:val="16"/>
                <w:lang w:eastAsia="sl-SI"/>
              </w:rPr>
            </w:pPr>
            <w:r w:rsidRPr="00BB6E3B">
              <w:rPr>
                <w:rFonts w:eastAsia="Times New Roman" w:cs="Arial"/>
                <w:i/>
                <w:color w:val="0D0D0D" w:themeColor="text1" w:themeTint="F2"/>
                <w:sz w:val="16"/>
                <w:szCs w:val="16"/>
                <w:lang w:eastAsia="sl-SI"/>
              </w:rPr>
              <w:t>v % BDP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177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Skupaj prihodki ob nespremenjeni politiki </w:t>
            </w:r>
          </w:p>
        </w:tc>
        <w:tc>
          <w:tcPr>
            <w:tcW w:w="610"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TR</w:t>
            </w:r>
          </w:p>
        </w:tc>
        <w:tc>
          <w:tcPr>
            <w:tcW w:w="45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19.800,4</w:t>
            </w:r>
          </w:p>
        </w:tc>
        <w:tc>
          <w:tcPr>
            <w:tcW w:w="471"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43,09</w:t>
            </w:r>
          </w:p>
        </w:tc>
        <w:tc>
          <w:tcPr>
            <w:tcW w:w="375"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43,18</w:t>
            </w:r>
          </w:p>
        </w:tc>
        <w:tc>
          <w:tcPr>
            <w:tcW w:w="375"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42,59</w:t>
            </w:r>
          </w:p>
        </w:tc>
        <w:tc>
          <w:tcPr>
            <w:tcW w:w="375"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41,82</w:t>
            </w:r>
          </w:p>
        </w:tc>
        <w:tc>
          <w:tcPr>
            <w:tcW w:w="36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41,35</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1778"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Skupaj odhodki ob nespremenjeni politiki</w:t>
            </w:r>
          </w:p>
        </w:tc>
        <w:tc>
          <w:tcPr>
            <w:tcW w:w="610"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TE</w:t>
            </w:r>
          </w:p>
        </w:tc>
        <w:tc>
          <w:tcPr>
            <w:tcW w:w="45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19.463,8</w:t>
            </w:r>
          </w:p>
        </w:tc>
        <w:tc>
          <w:tcPr>
            <w:tcW w:w="471"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42,36</w:t>
            </w:r>
          </w:p>
        </w:tc>
        <w:tc>
          <w:tcPr>
            <w:tcW w:w="375"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42,24</w:t>
            </w:r>
          </w:p>
        </w:tc>
        <w:tc>
          <w:tcPr>
            <w:tcW w:w="375"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41,89</w:t>
            </w:r>
          </w:p>
        </w:tc>
        <w:tc>
          <w:tcPr>
            <w:tcW w:w="375"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40,95</w:t>
            </w:r>
          </w:p>
        </w:tc>
        <w:tc>
          <w:tcPr>
            <w:tcW w:w="36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40,44</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8"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1778"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Neto posojanje / neto izposojanje</w:t>
            </w:r>
          </w:p>
        </w:tc>
        <w:tc>
          <w:tcPr>
            <w:tcW w:w="610"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B.9</w:t>
            </w:r>
          </w:p>
        </w:tc>
        <w:tc>
          <w:tcPr>
            <w:tcW w:w="45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336,6</w:t>
            </w:r>
          </w:p>
        </w:tc>
        <w:tc>
          <w:tcPr>
            <w:tcW w:w="471"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0,73</w:t>
            </w:r>
          </w:p>
        </w:tc>
        <w:tc>
          <w:tcPr>
            <w:tcW w:w="375"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0,95</w:t>
            </w:r>
          </w:p>
        </w:tc>
        <w:tc>
          <w:tcPr>
            <w:tcW w:w="375"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0,70</w:t>
            </w:r>
          </w:p>
        </w:tc>
        <w:tc>
          <w:tcPr>
            <w:tcW w:w="375"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0,87</w:t>
            </w:r>
          </w:p>
        </w:tc>
        <w:tc>
          <w:tcPr>
            <w:tcW w:w="36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0,90</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(objava 19.4.2019), projekcije Ministrstva za finance.</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4" w:name="_Toc5266028"/>
      <w:r w:rsidRPr="00BB6E3B">
        <w:rPr>
          <w:rFonts w:eastAsiaTheme="majorEastAsia" w:cs="Arial"/>
          <w:bCs/>
          <w:color w:val="0D0D0D" w:themeColor="text1" w:themeTint="F2"/>
          <w:szCs w:val="28"/>
        </w:rPr>
        <w:t>Tabela 2.c: Merilo rasti odhodkov</w:t>
      </w:r>
      <w:bookmarkEnd w:id="44"/>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350"/>
        <w:gridCol w:w="3620"/>
        <w:gridCol w:w="973"/>
        <w:gridCol w:w="971"/>
        <w:gridCol w:w="899"/>
        <w:gridCol w:w="899"/>
        <w:gridCol w:w="900"/>
        <w:gridCol w:w="902"/>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90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 </w:t>
            </w:r>
          </w:p>
        </w:tc>
        <w:tc>
          <w:tcPr>
            <w:tcW w:w="512"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raven</w:t>
            </w:r>
          </w:p>
        </w:tc>
        <w:tc>
          <w:tcPr>
            <w:tcW w:w="511"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7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7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7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7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1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16"/>
                <w:szCs w:val="16"/>
                <w:lang w:eastAsia="sl-SI"/>
              </w:rPr>
            </w:pPr>
            <w:r w:rsidRPr="00BB6E3B">
              <w:rPr>
                <w:rFonts w:eastAsia="Times New Roman" w:cs="Arial"/>
                <w:i/>
                <w:color w:val="0D0D0D" w:themeColor="text1" w:themeTint="F2"/>
                <w:sz w:val="16"/>
                <w:szCs w:val="16"/>
                <w:lang w:eastAsia="sl-SI"/>
              </w:rPr>
              <w:t>v mio EUR</w:t>
            </w:r>
          </w:p>
        </w:tc>
        <w:tc>
          <w:tcPr>
            <w:tcW w:w="2404" w:type="pct"/>
            <w:gridSpan w:val="5"/>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i/>
                <w:color w:val="0D0D0D" w:themeColor="text1" w:themeTint="F2"/>
                <w:sz w:val="16"/>
                <w:szCs w:val="16"/>
                <w:lang w:eastAsia="sl-SI"/>
              </w:rPr>
            </w:pPr>
            <w:r w:rsidRPr="00BB6E3B">
              <w:rPr>
                <w:rFonts w:eastAsia="Times New Roman" w:cs="Arial"/>
                <w:i/>
                <w:color w:val="0D0D0D" w:themeColor="text1" w:themeTint="F2"/>
                <w:sz w:val="16"/>
                <w:szCs w:val="16"/>
                <w:lang w:eastAsia="sl-SI"/>
              </w:rPr>
              <w:t>v % BDP</w:t>
            </w:r>
          </w:p>
        </w:tc>
      </w:tr>
      <w:tr w:rsidR="008A5C9E" w:rsidRPr="00BB6E3B" w:rsidTr="00B369B1">
        <w:trPr>
          <w:trHeight w:val="465"/>
        </w:trPr>
        <w:tc>
          <w:tcPr>
            <w:cnfStyle w:val="001000000000" w:firstRow="0" w:lastRow="0" w:firstColumn="1" w:lastColumn="0" w:oddVBand="0" w:evenVBand="0" w:oddHBand="0" w:evenHBand="0" w:firstRowFirstColumn="0" w:firstRowLastColumn="0" w:lastRowFirstColumn="0" w:lastRowLastColumn="0"/>
            <w:tcW w:w="180"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Odhodki za programe EU, ki so popolnoma usklajeni s prihodki sredstev EU</w:t>
            </w:r>
          </w:p>
        </w:tc>
        <w:tc>
          <w:tcPr>
            <w:tcW w:w="51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610,55</w:t>
            </w:r>
          </w:p>
        </w:tc>
        <w:tc>
          <w:tcPr>
            <w:tcW w:w="51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1,33</w:t>
            </w:r>
          </w:p>
        </w:tc>
        <w:tc>
          <w:tcPr>
            <w:tcW w:w="473"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1,88</w:t>
            </w:r>
          </w:p>
        </w:tc>
        <w:tc>
          <w:tcPr>
            <w:tcW w:w="473"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2,13</w:t>
            </w:r>
          </w:p>
        </w:tc>
        <w:tc>
          <w:tcPr>
            <w:tcW w:w="473"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1,63</w:t>
            </w:r>
          </w:p>
        </w:tc>
        <w:tc>
          <w:tcPr>
            <w:tcW w:w="473"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80"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a.</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Od tega investicije v celoti vezane na prihodke iz EU proračuna</w:t>
            </w:r>
          </w:p>
        </w:tc>
        <w:tc>
          <w:tcPr>
            <w:tcW w:w="51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129</w:t>
            </w:r>
          </w:p>
        </w:tc>
        <w:tc>
          <w:tcPr>
            <w:tcW w:w="51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0,28</w:t>
            </w:r>
          </w:p>
        </w:tc>
        <w:tc>
          <w:tcPr>
            <w:tcW w:w="473"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0,59</w:t>
            </w:r>
          </w:p>
        </w:tc>
        <w:tc>
          <w:tcPr>
            <w:tcW w:w="473"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0,60</w:t>
            </w:r>
          </w:p>
        </w:tc>
        <w:tc>
          <w:tcPr>
            <w:tcW w:w="473"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0,31</w:t>
            </w:r>
          </w:p>
        </w:tc>
        <w:tc>
          <w:tcPr>
            <w:tcW w:w="473"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0,25</w:t>
            </w:r>
          </w:p>
        </w:tc>
      </w:tr>
      <w:tr w:rsidR="008A5C9E" w:rsidRPr="00BB6E3B" w:rsidTr="00B369B1">
        <w:trPr>
          <w:trHeight w:val="465"/>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Ne-diskrecijske spremembe izdatkov za nadomestila brezposelnim</w:t>
            </w:r>
          </w:p>
        </w:tc>
        <w:tc>
          <w:tcPr>
            <w:tcW w:w="51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w:t>
            </w:r>
          </w:p>
        </w:tc>
        <w:tc>
          <w:tcPr>
            <w:tcW w:w="51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0,02</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0,01</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0,07</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Učinek diskrecijskih ukrepov na strani prihodkov</w:t>
            </w:r>
          </w:p>
        </w:tc>
        <w:tc>
          <w:tcPr>
            <w:tcW w:w="51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1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1903"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Zakonsko povišanje prihodkov</w:t>
            </w:r>
          </w:p>
        </w:tc>
        <w:tc>
          <w:tcPr>
            <w:tcW w:w="51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1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1903"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Enkratni in drugi začasni ukrepi</w:t>
            </w:r>
          </w:p>
        </w:tc>
        <w:tc>
          <w:tcPr>
            <w:tcW w:w="51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-47,7</w:t>
            </w:r>
          </w:p>
        </w:tc>
        <w:tc>
          <w:tcPr>
            <w:tcW w:w="51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-0,09</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0,00</w:t>
            </w:r>
          </w:p>
        </w:tc>
        <w:tc>
          <w:tcPr>
            <w:tcW w:w="47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0,00</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Ministrstvo za finance.</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5" w:name="_Toc5266029"/>
      <w:r w:rsidRPr="00BB6E3B">
        <w:rPr>
          <w:rFonts w:eastAsiaTheme="majorEastAsia" w:cs="Arial"/>
          <w:bCs/>
          <w:color w:val="0D0D0D" w:themeColor="text1" w:themeTint="F2"/>
          <w:szCs w:val="28"/>
        </w:rPr>
        <w:t>Tabela 3: Izdatki sektorja država po funkciji</w:t>
      </w:r>
      <w:bookmarkEnd w:id="45"/>
    </w:p>
    <w:p w:rsidR="008A5C9E" w:rsidRPr="00BB6E3B"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540"/>
        <w:gridCol w:w="3965"/>
        <w:gridCol w:w="1104"/>
        <w:gridCol w:w="1461"/>
        <w:gridCol w:w="1222"/>
        <w:gridCol w:w="1222"/>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center"/>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2084" w:type="pct"/>
            <w:hideMark/>
          </w:tcPr>
          <w:p w:rsidR="008A5C9E" w:rsidRPr="00BB6E3B" w:rsidRDefault="008A5C9E" w:rsidP="008A5C9E">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pred EDP notifikacijo</w:t>
            </w:r>
          </w:p>
        </w:tc>
        <w:tc>
          <w:tcPr>
            <w:tcW w:w="580"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COFOG koda</w:t>
            </w:r>
          </w:p>
        </w:tc>
        <w:tc>
          <w:tcPr>
            <w:tcW w:w="76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2017</w:t>
            </w:r>
          </w:p>
        </w:tc>
        <w:tc>
          <w:tcPr>
            <w:tcW w:w="642"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2017</w:t>
            </w:r>
          </w:p>
        </w:tc>
        <w:tc>
          <w:tcPr>
            <w:tcW w:w="642"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center"/>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08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580"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i/>
                <w:iCs/>
                <w:color w:val="0D0D0D" w:themeColor="text1" w:themeTint="F2"/>
                <w:sz w:val="16"/>
                <w:szCs w:val="16"/>
                <w:lang w:eastAsia="sl-SI"/>
              </w:rPr>
            </w:pPr>
            <w:r w:rsidRPr="00BB6E3B">
              <w:rPr>
                <w:rFonts w:eastAsia="Times New Roman" w:cs="Arial"/>
                <w:i/>
                <w:iCs/>
                <w:color w:val="0D0D0D" w:themeColor="text1" w:themeTint="F2"/>
                <w:sz w:val="16"/>
                <w:szCs w:val="16"/>
                <w:lang w:eastAsia="sl-SI"/>
              </w:rPr>
              <w:t>v mio EUR</w:t>
            </w:r>
          </w:p>
        </w:tc>
        <w:tc>
          <w:tcPr>
            <w:tcW w:w="1285" w:type="pct"/>
            <w:gridSpan w:val="2"/>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i/>
                <w:iCs/>
                <w:color w:val="0D0D0D" w:themeColor="text1" w:themeTint="F2"/>
                <w:sz w:val="16"/>
                <w:szCs w:val="16"/>
                <w:lang w:eastAsia="sl-SI"/>
              </w:rPr>
            </w:pPr>
            <w:r w:rsidRPr="00BB6E3B">
              <w:rPr>
                <w:rFonts w:eastAsia="Times New Roman" w:cs="Arial"/>
                <w:i/>
                <w:iCs/>
                <w:color w:val="0D0D0D" w:themeColor="text1" w:themeTint="F2"/>
                <w:sz w:val="16"/>
                <w:szCs w:val="16"/>
                <w:lang w:eastAsia="sl-SI"/>
              </w:rPr>
              <w:t xml:space="preserve">             v % BDP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208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Javna uprava</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2.525,9</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08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v tem: Servisiranje javnega dolga</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1.104,5</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2,6</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208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Obramba</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390,0</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208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Javni red in varnost</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691,5</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208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Ekonomske dejavnosti</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1.846,6</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4,3</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208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Varstvo okolja</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194,2</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0,5</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465"/>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2084"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Stanovanjska dejavnost in urejanje okolja</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200,2</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0,5</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7.</w:t>
            </w:r>
          </w:p>
        </w:tc>
        <w:tc>
          <w:tcPr>
            <w:tcW w:w="208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Zdravstvo</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2.830,0</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6,6</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8.</w:t>
            </w:r>
          </w:p>
        </w:tc>
        <w:tc>
          <w:tcPr>
            <w:tcW w:w="2084"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Rekreacija, kultura in religija</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598,8</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9.</w:t>
            </w:r>
          </w:p>
        </w:tc>
        <w:tc>
          <w:tcPr>
            <w:tcW w:w="208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Izobraževanje</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2.336,6</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5,4</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10.</w:t>
            </w:r>
          </w:p>
        </w:tc>
        <w:tc>
          <w:tcPr>
            <w:tcW w:w="2084"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Socialna zaščita</w:t>
            </w:r>
          </w:p>
        </w:tc>
        <w:tc>
          <w:tcPr>
            <w:tcW w:w="580"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76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6.950,6</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16,2</w:t>
            </w:r>
          </w:p>
        </w:tc>
        <w:tc>
          <w:tcPr>
            <w:tcW w:w="642"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n.p.</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08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SKUPAJ IZDATKI DRŽAVE</w:t>
            </w:r>
          </w:p>
        </w:tc>
        <w:tc>
          <w:tcPr>
            <w:tcW w:w="580"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TE</w:t>
            </w:r>
          </w:p>
        </w:tc>
        <w:tc>
          <w:tcPr>
            <w:tcW w:w="76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18.564,3</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43,2</w:t>
            </w:r>
          </w:p>
        </w:tc>
        <w:tc>
          <w:tcPr>
            <w:tcW w:w="642"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n.p.</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spacing w:after="0"/>
        <w:rPr>
          <w:rFonts w:cs="Arial"/>
          <w:color w:val="0D0D0D" w:themeColor="text1" w:themeTint="F2"/>
          <w:sz w:val="20"/>
          <w:szCs w:val="20"/>
        </w:rPr>
      </w:pPr>
    </w:p>
    <w:p w:rsidR="000043DB" w:rsidRPr="00BB6E3B" w:rsidRDefault="000043DB">
      <w:pPr>
        <w:spacing w:line="276" w:lineRule="auto"/>
        <w:jc w:val="left"/>
        <w:rPr>
          <w:rFonts w:eastAsiaTheme="majorEastAsia" w:cs="Arial"/>
          <w:bCs/>
          <w:color w:val="0D0D0D" w:themeColor="text1" w:themeTint="F2"/>
          <w:szCs w:val="28"/>
        </w:rPr>
      </w:pPr>
      <w:bookmarkStart w:id="46" w:name="_Toc5266030"/>
      <w:r w:rsidRPr="00BB6E3B">
        <w:rPr>
          <w:rFonts w:eastAsiaTheme="majorEastAsia" w:cs="Arial"/>
          <w:bCs/>
          <w:color w:val="0D0D0D" w:themeColor="text1" w:themeTint="F2"/>
          <w:szCs w:val="28"/>
        </w:rPr>
        <w:br w:type="page"/>
      </w:r>
    </w:p>
    <w:p w:rsidR="008A5C9E" w:rsidRPr="00BB6E3B" w:rsidRDefault="008A5C9E" w:rsidP="008A5C9E">
      <w:pPr>
        <w:keepNext/>
        <w:keepLines/>
        <w:spacing w:before="120" w:after="0"/>
        <w:outlineLvl w:val="0"/>
        <w:rPr>
          <w:rFonts w:eastAsiaTheme="majorEastAsia" w:cs="Arial"/>
          <w:bCs/>
          <w:color w:val="0D0D0D" w:themeColor="text1" w:themeTint="F2"/>
          <w:szCs w:val="28"/>
        </w:rPr>
      </w:pPr>
      <w:r w:rsidRPr="00BB6E3B">
        <w:rPr>
          <w:rFonts w:eastAsiaTheme="majorEastAsia" w:cs="Arial"/>
          <w:bCs/>
          <w:color w:val="0D0D0D" w:themeColor="text1" w:themeTint="F2"/>
          <w:szCs w:val="28"/>
        </w:rPr>
        <w:lastRenderedPageBreak/>
        <w:t>Tabela 4: Dolg sektorja države</w:t>
      </w:r>
      <w:bookmarkEnd w:id="46"/>
    </w:p>
    <w:p w:rsidR="008A5C9E" w:rsidRPr="00BB6E3B" w:rsidRDefault="008A5C9E" w:rsidP="008A5C9E">
      <w:pPr>
        <w:spacing w:after="0"/>
        <w:rPr>
          <w:rFonts w:cs="Arial"/>
          <w:color w:val="0D0D0D" w:themeColor="text1" w:themeTint="F2"/>
          <w:sz w:val="20"/>
          <w:szCs w:val="20"/>
        </w:rPr>
      </w:pPr>
    </w:p>
    <w:tbl>
      <w:tblPr>
        <w:tblStyle w:val="LightShading-Accent11"/>
        <w:tblW w:w="5000" w:type="pct"/>
        <w:tblLook w:val="04A0" w:firstRow="1" w:lastRow="0" w:firstColumn="1" w:lastColumn="0" w:noHBand="0" w:noVBand="1"/>
      </w:tblPr>
      <w:tblGrid>
        <w:gridCol w:w="357"/>
        <w:gridCol w:w="3051"/>
        <w:gridCol w:w="978"/>
        <w:gridCol w:w="1026"/>
        <w:gridCol w:w="1026"/>
        <w:gridCol w:w="1026"/>
        <w:gridCol w:w="1026"/>
        <w:gridCol w:w="1024"/>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left"/>
              <w:rPr>
                <w:rFonts w:eastAsia="Times New Roman" w:cs="Arial"/>
                <w:b w:val="0"/>
                <w:color w:val="0D0D0D" w:themeColor="text1" w:themeTint="F2"/>
                <w:lang w:eastAsia="sl-SI"/>
              </w:rPr>
            </w:pPr>
            <w:r w:rsidRPr="00BB6E3B">
              <w:rPr>
                <w:rFonts w:eastAsia="Times New Roman" w:cs="Arial"/>
                <w:b w:val="0"/>
                <w:color w:val="0D0D0D" w:themeColor="text1" w:themeTint="F2"/>
                <w:lang w:eastAsia="sl-SI"/>
              </w:rPr>
              <w:t> </w:t>
            </w:r>
          </w:p>
          <w:p w:rsidR="008A5C9E" w:rsidRPr="00BB6E3B" w:rsidRDefault="008A5C9E" w:rsidP="008A5C9E">
            <w:pPr>
              <w:jc w:val="left"/>
              <w:rPr>
                <w:rFonts w:eastAsia="Times New Roman" w:cs="Arial"/>
                <w:b w:val="0"/>
                <w:color w:val="0D0D0D" w:themeColor="text1" w:themeTint="F2"/>
                <w:lang w:eastAsia="sl-SI"/>
              </w:rPr>
            </w:pPr>
            <w:r w:rsidRPr="00BB6E3B">
              <w:rPr>
                <w:rFonts w:eastAsia="Times New Roman" w:cs="Arial"/>
                <w:b w:val="0"/>
                <w:color w:val="0D0D0D" w:themeColor="text1" w:themeTint="F2"/>
                <w:lang w:eastAsia="sl-SI"/>
              </w:rPr>
              <w:t> </w:t>
            </w:r>
          </w:p>
        </w:tc>
        <w:tc>
          <w:tcPr>
            <w:tcW w:w="1604"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v % BDP</w:t>
            </w:r>
          </w:p>
        </w:tc>
        <w:tc>
          <w:tcPr>
            <w:tcW w:w="514" w:type="pct"/>
            <w:noWrap/>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ESA</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Koda</w:t>
            </w:r>
          </w:p>
        </w:tc>
        <w:tc>
          <w:tcPr>
            <w:tcW w:w="539"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539"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539" w:type="pct"/>
            <w:noWrap/>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53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538"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160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Raven bruto dolga </w:t>
            </w:r>
          </w:p>
        </w:tc>
        <w:tc>
          <w:tcPr>
            <w:tcW w:w="514"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70,1</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65,4</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61,3</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57,9</w:t>
            </w:r>
          </w:p>
        </w:tc>
        <w:tc>
          <w:tcPr>
            <w:tcW w:w="53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54,7</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160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Spremembe bruto dolga</w:t>
            </w:r>
          </w:p>
        </w:tc>
        <w:tc>
          <w:tcPr>
            <w:tcW w:w="514"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-3,4</w:t>
            </w:r>
          </w:p>
        </w:tc>
        <w:tc>
          <w:tcPr>
            <w:tcW w:w="53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160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Primarni saldo</w:t>
            </w:r>
          </w:p>
        </w:tc>
        <w:tc>
          <w:tcPr>
            <w:tcW w:w="514"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538"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160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Obresti</w:t>
            </w:r>
          </w:p>
        </w:tc>
        <w:tc>
          <w:tcPr>
            <w:tcW w:w="514"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EDP D.41</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53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1604" w:type="pct"/>
            <w:noWrap/>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Prilagoditve (SFA)</w:t>
            </w:r>
          </w:p>
        </w:tc>
        <w:tc>
          <w:tcPr>
            <w:tcW w:w="514" w:type="pct"/>
            <w:noWrap/>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539" w:type="pct"/>
            <w:noWrap/>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538"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88"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160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Implicitna obrestna mera dolga</w:t>
            </w:r>
          </w:p>
        </w:tc>
        <w:tc>
          <w:tcPr>
            <w:tcW w:w="514"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2,9</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5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w:t>
            </w:r>
          </w:p>
        </w:tc>
        <w:tc>
          <w:tcPr>
            <w:tcW w:w="538"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Ministrstvo za finance.</w:t>
      </w: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spacing w:after="0"/>
        <w:rPr>
          <w:rFonts w:cs="Arial"/>
          <w:color w:val="0D0D0D" w:themeColor="text1" w:themeTint="F2"/>
          <w:sz w:val="20"/>
          <w:szCs w:val="20"/>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7" w:name="_Toc5266031"/>
      <w:r w:rsidRPr="00BB6E3B">
        <w:rPr>
          <w:rFonts w:eastAsiaTheme="majorEastAsia" w:cs="Arial"/>
          <w:bCs/>
          <w:color w:val="0D0D0D" w:themeColor="text1" w:themeTint="F2"/>
          <w:szCs w:val="28"/>
        </w:rPr>
        <w:t>Tabela 5: Ciklična gibanja</w:t>
      </w:r>
      <w:bookmarkEnd w:id="47"/>
    </w:p>
    <w:p w:rsidR="008A5C9E" w:rsidRPr="00BB6E3B"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439"/>
        <w:gridCol w:w="4058"/>
        <w:gridCol w:w="926"/>
        <w:gridCol w:w="833"/>
        <w:gridCol w:w="833"/>
        <w:gridCol w:w="833"/>
        <w:gridCol w:w="797"/>
        <w:gridCol w:w="795"/>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134" w:type="pct"/>
            <w:hideMark/>
          </w:tcPr>
          <w:p w:rsidR="008A5C9E" w:rsidRPr="00BB6E3B" w:rsidRDefault="008A5C9E" w:rsidP="008A5C9E">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v % BDP</w:t>
            </w:r>
          </w:p>
        </w:tc>
        <w:tc>
          <w:tcPr>
            <w:tcW w:w="488"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ESA koda</w:t>
            </w:r>
          </w:p>
        </w:tc>
        <w:tc>
          <w:tcPr>
            <w:tcW w:w="43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43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439"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420"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c>
          <w:tcPr>
            <w:tcW w:w="420"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Realna rast BDP (%)</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4,5</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3,4</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3,1</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2,8</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2,7</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Dejanski javnofinančni saldo</w:t>
            </w:r>
          </w:p>
        </w:tc>
        <w:tc>
          <w:tcPr>
            <w:tcW w:w="488" w:type="pct"/>
            <w:noWrap/>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B.9</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3.</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Odhodki za obresti</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D.41</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4.</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Enkratni in drugi začasni ukrepi</w:t>
            </w:r>
          </w:p>
        </w:tc>
        <w:tc>
          <w:tcPr>
            <w:tcW w:w="48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-0,09</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-0,10</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5.</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Potencialna rast BDP (%)</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2,6</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2,9</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2,9</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2,9</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Prispevki:</w:t>
            </w:r>
          </w:p>
        </w:tc>
        <w:tc>
          <w:tcPr>
            <w:tcW w:w="48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dela</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kapitala</w:t>
            </w:r>
          </w:p>
        </w:tc>
        <w:tc>
          <w:tcPr>
            <w:tcW w:w="48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skupne faktorske produktivnosti</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6.</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Proizvodna vrzel</w:t>
            </w:r>
          </w:p>
        </w:tc>
        <w:tc>
          <w:tcPr>
            <w:tcW w:w="48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 </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1,7</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2,4</w:t>
            </w:r>
          </w:p>
        </w:tc>
        <w:tc>
          <w:tcPr>
            <w:tcW w:w="439" w:type="pct"/>
            <w:noWrap/>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2,6</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2,5</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2,3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7.</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Ciklična komponenta</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0,8</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8.</w:t>
            </w:r>
          </w:p>
        </w:tc>
        <w:tc>
          <w:tcPr>
            <w:tcW w:w="2134"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Ciklično prilagojen saldo države (2-7)</w:t>
            </w:r>
          </w:p>
        </w:tc>
        <w:tc>
          <w:tcPr>
            <w:tcW w:w="488" w:type="pct"/>
            <w:noWrap/>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439" w:type="pct"/>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20"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9.</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xml:space="preserve">Spremembe ciklično prilagojenega salda države </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10.</w:t>
            </w:r>
          </w:p>
        </w:tc>
        <w:tc>
          <w:tcPr>
            <w:tcW w:w="2134" w:type="pct"/>
            <w:hideMark/>
          </w:tcPr>
          <w:p w:rsidR="008A5C9E" w:rsidRPr="00BB6E3B" w:rsidRDefault="008A5C9E" w:rsidP="008A5C9E">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Strukturni saldo (8-4)</w:t>
            </w:r>
          </w:p>
        </w:tc>
        <w:tc>
          <w:tcPr>
            <w:tcW w:w="488"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c>
          <w:tcPr>
            <w:tcW w:w="43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3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c>
          <w:tcPr>
            <w:tcW w:w="420"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22" w:type="pct"/>
            <w:hideMark/>
          </w:tcPr>
          <w:p w:rsidR="008A5C9E" w:rsidRPr="00BB6E3B" w:rsidRDefault="008A5C9E" w:rsidP="008A5C9E">
            <w:pPr>
              <w:jc w:val="righ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11.</w:t>
            </w:r>
          </w:p>
        </w:tc>
        <w:tc>
          <w:tcPr>
            <w:tcW w:w="2134" w:type="pct"/>
            <w:hideMark/>
          </w:tcPr>
          <w:p w:rsidR="008A5C9E" w:rsidRPr="00BB6E3B" w:rsidRDefault="008A5C9E" w:rsidP="008A5C9E">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Fiskalni napor v % BDP</w:t>
            </w:r>
          </w:p>
        </w:tc>
        <w:tc>
          <w:tcPr>
            <w:tcW w:w="488"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-0,2</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-0,1</w:t>
            </w:r>
          </w:p>
        </w:tc>
        <w:tc>
          <w:tcPr>
            <w:tcW w:w="43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-0,1</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0,1</w:t>
            </w:r>
          </w:p>
        </w:tc>
        <w:tc>
          <w:tcPr>
            <w:tcW w:w="420"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0,1</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SURS, Ministrstvo za finance.</w:t>
      </w:r>
    </w:p>
    <w:p w:rsidR="008A5C9E" w:rsidRPr="00BB6E3B" w:rsidRDefault="008A5C9E" w:rsidP="008A5C9E">
      <w:pPr>
        <w:spacing w:after="0"/>
        <w:rPr>
          <w:rFonts w:cs="Arial"/>
          <w:color w:val="0D0D0D" w:themeColor="text1" w:themeTint="F2"/>
        </w:rPr>
      </w:pPr>
    </w:p>
    <w:p w:rsidR="008A5C9E" w:rsidRPr="00BB6E3B" w:rsidRDefault="008A5C9E" w:rsidP="008A5C9E">
      <w:pPr>
        <w:spacing w:after="0"/>
        <w:rPr>
          <w:rFonts w:cs="Arial"/>
          <w:color w:val="0D0D0D" w:themeColor="text1" w:themeTint="F2"/>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8" w:name="_Toc5266032"/>
      <w:r w:rsidRPr="00BB6E3B">
        <w:rPr>
          <w:rFonts w:eastAsiaTheme="majorEastAsia" w:cs="Arial"/>
          <w:bCs/>
          <w:color w:val="0D0D0D" w:themeColor="text1" w:themeTint="F2"/>
          <w:szCs w:val="28"/>
        </w:rPr>
        <w:t>Tabela 6: Primerjava z napovedmi v Programu stabilnosti 2018</w:t>
      </w:r>
      <w:bookmarkEnd w:id="48"/>
    </w:p>
    <w:p w:rsidR="008A5C9E" w:rsidRPr="00BB6E3B"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2963"/>
        <w:gridCol w:w="1309"/>
        <w:gridCol w:w="1311"/>
        <w:gridCol w:w="1311"/>
        <w:gridCol w:w="1311"/>
        <w:gridCol w:w="1309"/>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jc w:val="left"/>
              <w:rPr>
                <w:rFonts w:cs="Arial"/>
                <w:b w:val="0"/>
                <w:i/>
                <w:color w:val="0D0D0D" w:themeColor="text1" w:themeTint="F2"/>
                <w:sz w:val="16"/>
                <w:szCs w:val="16"/>
              </w:rPr>
            </w:pPr>
            <w:r w:rsidRPr="00BB6E3B">
              <w:rPr>
                <w:rFonts w:cs="Arial"/>
                <w:b w:val="0"/>
                <w:i/>
                <w:color w:val="0D0D0D" w:themeColor="text1" w:themeTint="F2"/>
                <w:sz w:val="16"/>
                <w:szCs w:val="16"/>
              </w:rPr>
              <w:t>v % BDP</w:t>
            </w:r>
          </w:p>
        </w:tc>
        <w:tc>
          <w:tcPr>
            <w:tcW w:w="688"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2018</w:t>
            </w:r>
          </w:p>
        </w:tc>
        <w:tc>
          <w:tcPr>
            <w:tcW w:w="689"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2019</w:t>
            </w:r>
          </w:p>
        </w:tc>
        <w:tc>
          <w:tcPr>
            <w:tcW w:w="689"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2020</w:t>
            </w:r>
          </w:p>
        </w:tc>
        <w:tc>
          <w:tcPr>
            <w:tcW w:w="689"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2021</w:t>
            </w:r>
          </w:p>
        </w:tc>
        <w:tc>
          <w:tcPr>
            <w:tcW w:w="689" w:type="pct"/>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2022</w:t>
            </w: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1. Rast BDP</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bCs/>
                <w:color w:val="0D0D0D" w:themeColor="text1" w:themeTint="F2"/>
                <w:sz w:val="16"/>
                <w:szCs w:val="16"/>
              </w:rPr>
            </w:pP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2018</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5,1</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3,8</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3,0</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3,0</w:t>
            </w: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2019</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4,5</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3,4</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3,1</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2,8</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2,7</w:t>
            </w: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Razlika</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-0,6</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-0,4</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-0,1</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-0,3</w:t>
            </w: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2. Saldo sektorja države</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2018</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0,4</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0,6</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0,9</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2019</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0,7</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0,9</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1,0</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1,1</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1,2</w:t>
            </w: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Razlika</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0,3</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0,7</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0,4</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3. Dolg sektorja države</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2018</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69,3</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65,2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61,5</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58,3</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p>
        </w:tc>
      </w:tr>
      <w:tr w:rsidR="00937587" w:rsidRPr="00BB6E3B" w:rsidTr="000043D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Program stabilnosti 2019</w:t>
            </w:r>
          </w:p>
        </w:tc>
        <w:tc>
          <w:tcPr>
            <w:tcW w:w="688"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70,1</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65,4</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61,3</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57,9</w:t>
            </w:r>
          </w:p>
        </w:tc>
        <w:tc>
          <w:tcPr>
            <w:tcW w:w="689" w:type="pct"/>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54,7</w:t>
            </w:r>
          </w:p>
        </w:tc>
      </w:tr>
      <w:tr w:rsidR="00937587" w:rsidRPr="00BB6E3B" w:rsidTr="000043DB">
        <w:trPr>
          <w:trHeight w:val="227"/>
        </w:trPr>
        <w:tc>
          <w:tcPr>
            <w:cnfStyle w:val="001000000000" w:firstRow="0" w:lastRow="0" w:firstColumn="1" w:lastColumn="0" w:oddVBand="0" w:evenVBand="0" w:oddHBand="0" w:evenHBand="0" w:firstRowFirstColumn="0" w:firstRowLastColumn="0" w:lastRowFirstColumn="0" w:lastRowLastColumn="0"/>
            <w:tcW w:w="1557" w:type="pct"/>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Razlika</w:t>
            </w:r>
          </w:p>
        </w:tc>
        <w:tc>
          <w:tcPr>
            <w:tcW w:w="688"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0,8</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-0,2</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-0,4</w:t>
            </w:r>
          </w:p>
        </w:tc>
        <w:tc>
          <w:tcPr>
            <w:tcW w:w="689" w:type="pct"/>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UMAR, SURS, MF RS.</w:t>
      </w: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49" w:name="_Toc5266033"/>
      <w:r w:rsidRPr="00BB6E3B">
        <w:rPr>
          <w:rFonts w:eastAsiaTheme="majorEastAsia" w:cs="Arial"/>
          <w:bCs/>
          <w:color w:val="0D0D0D" w:themeColor="text1" w:themeTint="F2"/>
          <w:szCs w:val="28"/>
        </w:rPr>
        <w:lastRenderedPageBreak/>
        <w:t>Tabela 7: Dolgoročna vzdržnost javnih financ (bazno leto 2016)</w:t>
      </w:r>
      <w:bookmarkEnd w:id="49"/>
    </w:p>
    <w:p w:rsidR="008A5C9E" w:rsidRPr="00BB6E3B" w:rsidRDefault="008A5C9E" w:rsidP="008A5C9E">
      <w:pPr>
        <w:spacing w:after="0"/>
        <w:rPr>
          <w:rFonts w:cs="Arial"/>
          <w:color w:val="0D0D0D" w:themeColor="text1" w:themeTint="F2"/>
        </w:rPr>
      </w:pPr>
    </w:p>
    <w:tbl>
      <w:tblPr>
        <w:tblStyle w:val="LightShading-Accent11"/>
        <w:tblW w:w="5000" w:type="pct"/>
        <w:tblLook w:val="04A0" w:firstRow="1" w:lastRow="0" w:firstColumn="1" w:lastColumn="0" w:noHBand="0" w:noVBand="1"/>
      </w:tblPr>
      <w:tblGrid>
        <w:gridCol w:w="3125"/>
        <w:gridCol w:w="748"/>
        <w:gridCol w:w="896"/>
        <w:gridCol w:w="748"/>
        <w:gridCol w:w="748"/>
        <w:gridCol w:w="748"/>
        <w:gridCol w:w="746"/>
        <w:gridCol w:w="748"/>
        <w:gridCol w:w="1007"/>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i/>
                <w:iCs/>
                <w:color w:val="0D0D0D" w:themeColor="text1" w:themeTint="F2"/>
                <w:sz w:val="16"/>
                <w:szCs w:val="16"/>
                <w:lang w:eastAsia="sl-SI"/>
              </w:rPr>
            </w:pPr>
            <w:r w:rsidRPr="00BB6E3B">
              <w:rPr>
                <w:rFonts w:eastAsia="Times New Roman" w:cs="Arial"/>
                <w:b w:val="0"/>
                <w:i/>
                <w:iCs/>
                <w:color w:val="0D0D0D" w:themeColor="text1" w:themeTint="F2"/>
                <w:sz w:val="16"/>
                <w:szCs w:val="16"/>
                <w:lang w:eastAsia="sl-SI"/>
              </w:rPr>
              <w:t>v % BDP</w:t>
            </w:r>
          </w:p>
        </w:tc>
        <w:tc>
          <w:tcPr>
            <w:tcW w:w="39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2016</w:t>
            </w:r>
          </w:p>
        </w:tc>
        <w:tc>
          <w:tcPr>
            <w:tcW w:w="471"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39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2030</w:t>
            </w:r>
          </w:p>
        </w:tc>
        <w:tc>
          <w:tcPr>
            <w:tcW w:w="39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2040</w:t>
            </w:r>
          </w:p>
        </w:tc>
        <w:tc>
          <w:tcPr>
            <w:tcW w:w="39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2050</w:t>
            </w:r>
          </w:p>
        </w:tc>
        <w:tc>
          <w:tcPr>
            <w:tcW w:w="392"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2060</w:t>
            </w:r>
          </w:p>
        </w:tc>
        <w:tc>
          <w:tcPr>
            <w:tcW w:w="393"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2070</w:t>
            </w:r>
          </w:p>
        </w:tc>
        <w:tc>
          <w:tcPr>
            <w:tcW w:w="532" w:type="pct"/>
            <w:hideMark/>
          </w:tcPr>
          <w:p w:rsidR="008A5C9E" w:rsidRPr="00BB6E3B" w:rsidRDefault="008A5C9E" w:rsidP="008A5C9E">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Razlika 2070-2016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Skupaj javnofinančni odhodki</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40,9</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39,4</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47,2</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53,9</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59,3</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64,5</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23,6</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Skupaj starostno pogojeni odhodki</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21,7</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23,6</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26,5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28,8</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28,9</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28,3</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Pokojnine</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10,8</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11,5</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15,4</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15,2</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14,8</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Starostne in zgodnje pokojnine</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8,2</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9,0</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10,9</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12,2</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11,9</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11,8</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Invalidske pokojnine</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Ostale pokojnine</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Zdravstvo</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5,6</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6,4</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6,8</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6,9</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6,7</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Dolgotrajna oskrba</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xml:space="preserve">Izobraževanje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4,6</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0,6</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Brezposelnost</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 </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Nadomestila plač</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Subvencije</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Državne investicije</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Primarni odhodki skupaj</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38,2</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37,4</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39,6</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42,7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45,3</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45,4</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44,8</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6,6</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Odhodki za obresti</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2,7</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8,6</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14,0</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19,7</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Skupaj javnofinančni prihodki</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39,3</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38,7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38,4</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37,9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37,5</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37,6</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37,5</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D0D0D" w:themeColor="text1" w:themeTint="F2"/>
                <w:sz w:val="16"/>
                <w:szCs w:val="16"/>
                <w:lang w:eastAsia="sl-SI"/>
              </w:rPr>
            </w:pPr>
            <w:r w:rsidRPr="00BB6E3B">
              <w:rPr>
                <w:rFonts w:eastAsia="Times New Roman" w:cs="Arial"/>
                <w:bCs/>
                <w:color w:val="0D0D0D" w:themeColor="text1" w:themeTint="F2"/>
                <w:sz w:val="16"/>
                <w:szCs w:val="16"/>
                <w:lang w:eastAsia="sl-SI"/>
              </w:rPr>
              <w:t>-1,7</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i/>
                <w:color w:val="0D0D0D" w:themeColor="text1" w:themeTint="F2"/>
                <w:sz w:val="16"/>
                <w:szCs w:val="16"/>
                <w:lang w:eastAsia="sl-SI"/>
              </w:rPr>
            </w:pPr>
            <w:r w:rsidRPr="00BB6E3B">
              <w:rPr>
                <w:rFonts w:eastAsia="Times New Roman" w:cs="Arial"/>
                <w:b w:val="0"/>
                <w:i/>
                <w:color w:val="0D0D0D" w:themeColor="text1" w:themeTint="F2"/>
                <w:sz w:val="16"/>
                <w:szCs w:val="16"/>
                <w:lang w:eastAsia="sl-SI"/>
              </w:rPr>
              <w:t> </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c>
          <w:tcPr>
            <w:tcW w:w="785" w:type="pct"/>
            <w:gridSpan w:val="2"/>
            <w:noWrap/>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Predpostavke</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bCs/>
                <w:i/>
                <w:color w:val="0D0D0D" w:themeColor="text1" w:themeTint="F2"/>
                <w:sz w:val="16"/>
                <w:szCs w:val="16"/>
                <w:lang w:eastAsia="sl-SI"/>
              </w:rPr>
            </w:pPr>
            <w:r w:rsidRPr="00BB6E3B">
              <w:rPr>
                <w:rFonts w:eastAsia="Times New Roman" w:cs="Arial"/>
                <w:bCs/>
                <w:i/>
                <w:color w:val="0D0D0D" w:themeColor="text1" w:themeTint="F2"/>
                <w:sz w:val="16"/>
                <w:szCs w:val="16"/>
                <w:lang w:eastAsia="sl-SI"/>
              </w:rPr>
              <w:t> </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Rast produktivnosti dela</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0,3</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Realna rast BDP</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2,50</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3,73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1,58</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1,28</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1,25</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1,45</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-1,05</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Realna rast BDP na prebivalca</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2,40</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3,73</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1,58</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1,28</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1,25</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1,61</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1,45</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-0,95</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Stopnja aktivnosti moških (20-64 let)</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79,3</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81,3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81,3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80,4</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81,4</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82,1</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81,4</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Stopnja aktivnosti žensk (20-64 let)</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72,2</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75,5</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77,5</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76,7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77,7</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78,2</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77,4</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Skupna stopnja aktivnosti (20-64 let)</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76,1</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79,5</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78,6</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79,6</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80,2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79,4</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3,3</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Stopnja brezposelnosti</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9,0</w:t>
            </w:r>
          </w:p>
        </w:tc>
        <w:tc>
          <w:tcPr>
            <w:tcW w:w="471"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6,7</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39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393"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5,9</w:t>
            </w:r>
          </w:p>
        </w:tc>
        <w:tc>
          <w:tcPr>
            <w:tcW w:w="53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-3,2</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164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Delež prebivalstva v starosti 65 let in več</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18,2</w:t>
            </w:r>
          </w:p>
        </w:tc>
        <w:tc>
          <w:tcPr>
            <w:tcW w:w="471"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20,7</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25,2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28,3</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30,6</w:t>
            </w:r>
          </w:p>
        </w:tc>
        <w:tc>
          <w:tcPr>
            <w:tcW w:w="39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30,2</w:t>
            </w:r>
          </w:p>
        </w:tc>
        <w:tc>
          <w:tcPr>
            <w:tcW w:w="393"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28,5</w:t>
            </w:r>
          </w:p>
        </w:tc>
        <w:tc>
          <w:tcPr>
            <w:tcW w:w="53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10,3</w:t>
            </w:r>
          </w:p>
        </w:tc>
      </w:tr>
    </w:tbl>
    <w:p w:rsidR="008A5C9E" w:rsidRPr="00BB6E3B" w:rsidRDefault="008A5C9E" w:rsidP="008A5C9E">
      <w:pPr>
        <w:spacing w:after="0" w:line="20" w:lineRule="atLeast"/>
        <w:rPr>
          <w:rFonts w:cs="Arial"/>
          <w:color w:val="0D0D0D" w:themeColor="text1" w:themeTint="F2"/>
          <w:sz w:val="16"/>
          <w:szCs w:val="16"/>
        </w:rPr>
      </w:pPr>
      <w:r w:rsidRPr="00BB6E3B">
        <w:rPr>
          <w:rFonts w:cs="Arial"/>
          <w:color w:val="0D0D0D" w:themeColor="text1" w:themeTint="F2"/>
          <w:sz w:val="16"/>
          <w:szCs w:val="16"/>
        </w:rPr>
        <w:t>Vir: Ministrstvo za finance, Inštitut za ekonomska raziskovanja, Ageing Report 2018.</w:t>
      </w:r>
    </w:p>
    <w:p w:rsidR="008A5C9E" w:rsidRPr="00BB6E3B" w:rsidRDefault="008A5C9E" w:rsidP="008A5C9E">
      <w:pPr>
        <w:spacing w:after="0"/>
        <w:rPr>
          <w:rFonts w:cs="Arial"/>
          <w:color w:val="0D0D0D" w:themeColor="text1" w:themeTint="F2"/>
        </w:rPr>
      </w:pPr>
    </w:p>
    <w:p w:rsidR="008A5C9E" w:rsidRPr="00BB6E3B" w:rsidRDefault="008A5C9E" w:rsidP="008A5C9E">
      <w:pPr>
        <w:spacing w:after="0"/>
        <w:rPr>
          <w:rFonts w:cs="Arial"/>
          <w:color w:val="0D0D0D" w:themeColor="text1" w:themeTint="F2"/>
        </w:rPr>
      </w:pPr>
    </w:p>
    <w:p w:rsidR="008A5C9E" w:rsidRPr="00BB6E3B" w:rsidRDefault="008A5C9E" w:rsidP="008A5C9E">
      <w:pPr>
        <w:spacing w:after="0"/>
        <w:rPr>
          <w:rFonts w:cs="Arial"/>
          <w:color w:val="0D0D0D" w:themeColor="text1" w:themeTint="F2"/>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50" w:name="_Toc5266034"/>
      <w:r w:rsidRPr="00BB6E3B">
        <w:rPr>
          <w:rFonts w:eastAsiaTheme="majorEastAsia" w:cs="Arial"/>
          <w:bCs/>
          <w:color w:val="0D0D0D" w:themeColor="text1" w:themeTint="F2"/>
          <w:szCs w:val="28"/>
        </w:rPr>
        <w:t>Tabela 7.a: Projekcija stanja poroštev Republike Slovenije za obdobje 2019–2022</w:t>
      </w:r>
      <w:bookmarkEnd w:id="50"/>
    </w:p>
    <w:p w:rsidR="008A5C9E" w:rsidRPr="00BB6E3B" w:rsidRDefault="008A5C9E" w:rsidP="008A5C9E">
      <w:pPr>
        <w:keepNext/>
        <w:keepLines/>
        <w:spacing w:before="120" w:after="0"/>
        <w:outlineLvl w:val="0"/>
        <w:rPr>
          <w:rFonts w:eastAsiaTheme="majorEastAsia" w:cs="Arial"/>
          <w:bCs/>
          <w:color w:val="0D0D0D" w:themeColor="text1" w:themeTint="F2"/>
          <w:szCs w:val="28"/>
        </w:rPr>
      </w:pPr>
    </w:p>
    <w:tbl>
      <w:tblPr>
        <w:tblStyle w:val="LightShading-Accent11"/>
        <w:tblW w:w="5000" w:type="pct"/>
        <w:tblLook w:val="04A0" w:firstRow="1" w:lastRow="0" w:firstColumn="1" w:lastColumn="0" w:noHBand="0" w:noVBand="1"/>
      </w:tblPr>
      <w:tblGrid>
        <w:gridCol w:w="1312"/>
        <w:gridCol w:w="1025"/>
        <w:gridCol w:w="1026"/>
        <w:gridCol w:w="1026"/>
        <w:gridCol w:w="1026"/>
        <w:gridCol w:w="1026"/>
        <w:gridCol w:w="1088"/>
        <w:gridCol w:w="963"/>
        <w:gridCol w:w="1022"/>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90" w:type="pct"/>
            <w:hideMark/>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 </w:t>
            </w:r>
          </w:p>
        </w:tc>
        <w:tc>
          <w:tcPr>
            <w:tcW w:w="1078" w:type="pct"/>
            <w:gridSpan w:val="2"/>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Stanje na dan</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31.12.2019*</w:t>
            </w:r>
          </w:p>
        </w:tc>
        <w:tc>
          <w:tcPr>
            <w:tcW w:w="1078" w:type="pct"/>
            <w:gridSpan w:val="2"/>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Stanje na dan</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31.12.2020*</w:t>
            </w:r>
          </w:p>
        </w:tc>
        <w:tc>
          <w:tcPr>
            <w:tcW w:w="1111" w:type="pct"/>
            <w:gridSpan w:val="2"/>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Stanje na dan</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31.12.2021*</w:t>
            </w:r>
          </w:p>
        </w:tc>
        <w:tc>
          <w:tcPr>
            <w:tcW w:w="1043" w:type="pct"/>
            <w:gridSpan w:val="2"/>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 xml:space="preserve">Stanje na dan </w:t>
            </w:r>
          </w:p>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cs="Arial"/>
                <w:b w:val="0"/>
                <w:color w:val="0D0D0D" w:themeColor="text1" w:themeTint="F2"/>
                <w:sz w:val="16"/>
                <w:szCs w:val="16"/>
              </w:rPr>
            </w:pPr>
            <w:r w:rsidRPr="00BB6E3B">
              <w:rPr>
                <w:rFonts w:cs="Arial"/>
                <w:b w:val="0"/>
                <w:color w:val="0D0D0D" w:themeColor="text1" w:themeTint="F2"/>
                <w:sz w:val="16"/>
                <w:szCs w:val="16"/>
              </w:rPr>
              <w:t>31.12.2022*</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0" w:type="pct"/>
            <w:hideMark/>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 </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mio EUR</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 BDP</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mio EUR</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 BDP</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mio EUR</w:t>
            </w:r>
          </w:p>
        </w:tc>
        <w:tc>
          <w:tcPr>
            <w:tcW w:w="57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 BDP</w:t>
            </w:r>
          </w:p>
        </w:tc>
        <w:tc>
          <w:tcPr>
            <w:tcW w:w="506"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mio EUR</w:t>
            </w:r>
          </w:p>
        </w:tc>
        <w:tc>
          <w:tcPr>
            <w:tcW w:w="53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v mio EUR</w:t>
            </w:r>
          </w:p>
        </w:tc>
      </w:tr>
      <w:tr w:rsidR="008A5C9E" w:rsidRPr="00BB6E3B" w:rsidTr="00B369B1">
        <w:trPr>
          <w:trHeight w:hRule="exact" w:val="380"/>
        </w:trPr>
        <w:tc>
          <w:tcPr>
            <w:cnfStyle w:val="001000000000" w:firstRow="0" w:lastRow="0" w:firstColumn="1" w:lastColumn="0" w:oddVBand="0" w:evenVBand="0" w:oddHBand="0" w:evenHBand="0" w:firstRowFirstColumn="0" w:firstRowLastColumn="0" w:lastRowFirstColumn="0" w:lastRowLastColumn="0"/>
            <w:tcW w:w="690" w:type="pct"/>
            <w:hideMark/>
          </w:tcPr>
          <w:p w:rsidR="008A5C9E" w:rsidRPr="00BB6E3B" w:rsidRDefault="008A5C9E" w:rsidP="008A5C9E">
            <w:pPr>
              <w:rPr>
                <w:rFonts w:cs="Arial"/>
                <w:b w:val="0"/>
                <w:color w:val="0D0D0D" w:themeColor="text1" w:themeTint="F2"/>
                <w:sz w:val="16"/>
                <w:szCs w:val="16"/>
              </w:rPr>
            </w:pPr>
            <w:r w:rsidRPr="00BB6E3B">
              <w:rPr>
                <w:rFonts w:cs="Arial"/>
                <w:b w:val="0"/>
                <w:color w:val="0D0D0D" w:themeColor="text1" w:themeTint="F2"/>
                <w:sz w:val="16"/>
                <w:szCs w:val="16"/>
              </w:rPr>
              <w:t>Poroštva RS</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5.379</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11,0%</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5.033</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9,8%</w:t>
            </w:r>
          </w:p>
        </w:tc>
        <w:tc>
          <w:tcPr>
            <w:tcW w:w="539"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4.660</w:t>
            </w:r>
          </w:p>
        </w:tc>
        <w:tc>
          <w:tcPr>
            <w:tcW w:w="572"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8,6%</w:t>
            </w:r>
          </w:p>
        </w:tc>
        <w:tc>
          <w:tcPr>
            <w:tcW w:w="506"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4.194</w:t>
            </w:r>
          </w:p>
        </w:tc>
        <w:tc>
          <w:tcPr>
            <w:tcW w:w="537" w:type="pct"/>
            <w:hideMark/>
          </w:tcPr>
          <w:p w:rsidR="008A5C9E" w:rsidRPr="00BB6E3B" w:rsidRDefault="008A5C9E" w:rsidP="008A5C9E">
            <w:pPr>
              <w:jc w:val="right"/>
              <w:cnfStyle w:val="000000000000" w:firstRow="0" w:lastRow="0" w:firstColumn="0" w:lastColumn="0" w:oddVBand="0" w:evenVBand="0" w:oddHBand="0"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7,7%</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hRule="exact" w:val="493"/>
        </w:trPr>
        <w:tc>
          <w:tcPr>
            <w:cnfStyle w:val="001000000000" w:firstRow="0" w:lastRow="0" w:firstColumn="1" w:lastColumn="0" w:oddVBand="0" w:evenVBand="0" w:oddHBand="0" w:evenHBand="0" w:firstRowFirstColumn="0" w:firstRowLastColumn="0" w:lastRowFirstColumn="0" w:lastRowLastColumn="0"/>
            <w:tcW w:w="690" w:type="pct"/>
            <w:hideMark/>
          </w:tcPr>
          <w:p w:rsidR="008A5C9E" w:rsidRPr="00BB6E3B" w:rsidRDefault="008A5C9E" w:rsidP="008A5C9E">
            <w:pPr>
              <w:jc w:val="left"/>
              <w:rPr>
                <w:rFonts w:cs="Arial"/>
                <w:b w:val="0"/>
                <w:color w:val="0D0D0D" w:themeColor="text1" w:themeTint="F2"/>
                <w:sz w:val="16"/>
                <w:szCs w:val="16"/>
              </w:rPr>
            </w:pPr>
            <w:r w:rsidRPr="00BB6E3B">
              <w:rPr>
                <w:rFonts w:cs="Arial"/>
                <w:b w:val="0"/>
                <w:color w:val="0D0D0D" w:themeColor="text1" w:themeTint="F2"/>
                <w:sz w:val="16"/>
                <w:szCs w:val="16"/>
              </w:rPr>
              <w:t>v tem: finančni sektor*</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669</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1,4%</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669</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1,3%</w:t>
            </w:r>
          </w:p>
        </w:tc>
        <w:tc>
          <w:tcPr>
            <w:tcW w:w="539"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669</w:t>
            </w:r>
          </w:p>
        </w:tc>
        <w:tc>
          <w:tcPr>
            <w:tcW w:w="572"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1,2%</w:t>
            </w:r>
          </w:p>
        </w:tc>
        <w:tc>
          <w:tcPr>
            <w:tcW w:w="506"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669</w:t>
            </w:r>
          </w:p>
        </w:tc>
        <w:tc>
          <w:tcPr>
            <w:tcW w:w="537" w:type="pct"/>
            <w:hideMark/>
          </w:tcPr>
          <w:p w:rsidR="008A5C9E" w:rsidRPr="00BB6E3B" w:rsidRDefault="008A5C9E" w:rsidP="008A5C9E">
            <w:pPr>
              <w:jc w:val="right"/>
              <w:cnfStyle w:val="000000100000" w:firstRow="0" w:lastRow="0" w:firstColumn="0" w:lastColumn="0" w:oddVBand="0" w:evenVBand="0" w:oddHBand="1" w:evenHBand="0" w:firstRowFirstColumn="0" w:firstRowLastColumn="0" w:lastRowFirstColumn="0" w:lastRowLastColumn="0"/>
              <w:rPr>
                <w:rFonts w:cs="Arial"/>
                <w:color w:val="0D0D0D" w:themeColor="text1" w:themeTint="F2"/>
                <w:sz w:val="16"/>
                <w:szCs w:val="16"/>
              </w:rPr>
            </w:pPr>
            <w:r w:rsidRPr="00BB6E3B">
              <w:rPr>
                <w:rFonts w:cs="Arial"/>
                <w:color w:val="0D0D0D" w:themeColor="text1" w:themeTint="F2"/>
                <w:sz w:val="16"/>
                <w:szCs w:val="16"/>
              </w:rPr>
              <w:t>1,2%</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Opomba: *Skladno s klasifikacijo SKIS so vključene pravne osebe s SKIS oznako S 12.</w:t>
      </w:r>
    </w:p>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Vir: Ministrstvo za finance.</w:t>
      </w:r>
    </w:p>
    <w:p w:rsidR="008A5C9E" w:rsidRPr="00BB6E3B" w:rsidRDefault="008A5C9E" w:rsidP="008A5C9E">
      <w:pPr>
        <w:spacing w:after="0"/>
        <w:rPr>
          <w:rFonts w:cs="Arial"/>
          <w:color w:val="0D0D0D" w:themeColor="text1" w:themeTint="F2"/>
        </w:rPr>
      </w:pPr>
    </w:p>
    <w:p w:rsidR="008A5C9E" w:rsidRPr="00BB6E3B" w:rsidRDefault="008A5C9E" w:rsidP="008A5C9E">
      <w:pPr>
        <w:keepNext/>
        <w:keepLines/>
        <w:spacing w:before="120" w:after="0"/>
        <w:outlineLvl w:val="0"/>
        <w:rPr>
          <w:rFonts w:eastAsiaTheme="majorEastAsia" w:cs="Arial"/>
          <w:bCs/>
          <w:color w:val="0D0D0D" w:themeColor="text1" w:themeTint="F2"/>
          <w:szCs w:val="28"/>
        </w:rPr>
      </w:pPr>
      <w:bookmarkStart w:id="51" w:name="_Toc5266035"/>
      <w:r w:rsidRPr="00BB6E3B">
        <w:rPr>
          <w:rFonts w:eastAsiaTheme="majorEastAsia" w:cs="Arial"/>
          <w:bCs/>
          <w:color w:val="0D0D0D" w:themeColor="text1" w:themeTint="F2"/>
          <w:szCs w:val="28"/>
        </w:rPr>
        <w:t>Tabela 8: Predpostavke mednarodnega okolja</w:t>
      </w:r>
      <w:bookmarkEnd w:id="51"/>
    </w:p>
    <w:p w:rsidR="008A5C9E" w:rsidRPr="00BB6E3B" w:rsidRDefault="008A5C9E" w:rsidP="008A5C9E">
      <w:pPr>
        <w:keepNext/>
        <w:keepLines/>
        <w:spacing w:before="120" w:after="0"/>
        <w:outlineLvl w:val="0"/>
        <w:rPr>
          <w:rFonts w:eastAsiaTheme="majorEastAsia" w:cs="Arial"/>
          <w:bCs/>
          <w:color w:val="0D0D0D" w:themeColor="text1" w:themeTint="F2"/>
          <w:szCs w:val="28"/>
        </w:rPr>
      </w:pPr>
    </w:p>
    <w:tbl>
      <w:tblPr>
        <w:tblStyle w:val="LightShading-Accent11"/>
        <w:tblW w:w="5000" w:type="pct"/>
        <w:tblLook w:val="04A0" w:firstRow="1" w:lastRow="0" w:firstColumn="1" w:lastColumn="0" w:noHBand="0" w:noVBand="1"/>
      </w:tblPr>
      <w:tblGrid>
        <w:gridCol w:w="4230"/>
        <w:gridCol w:w="1321"/>
        <w:gridCol w:w="1321"/>
        <w:gridCol w:w="1321"/>
        <w:gridCol w:w="1321"/>
      </w:tblGrid>
      <w:tr w:rsidR="008A5C9E" w:rsidRPr="00BB6E3B" w:rsidTr="00B369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w:t>
            </w:r>
          </w:p>
        </w:tc>
        <w:tc>
          <w:tcPr>
            <w:tcW w:w="694"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2018</w:t>
            </w:r>
          </w:p>
        </w:tc>
        <w:tc>
          <w:tcPr>
            <w:tcW w:w="694"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2019</w:t>
            </w:r>
          </w:p>
        </w:tc>
        <w:tc>
          <w:tcPr>
            <w:tcW w:w="694"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2020</w:t>
            </w:r>
          </w:p>
        </w:tc>
        <w:tc>
          <w:tcPr>
            <w:tcW w:w="694" w:type="pct"/>
            <w:hideMark/>
          </w:tcPr>
          <w:p w:rsidR="008A5C9E" w:rsidRPr="00BB6E3B" w:rsidRDefault="008A5C9E" w:rsidP="008A5C9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2021</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 xml:space="preserve">Razmerje USD/€ (letno povprečje) </w:t>
            </w:r>
          </w:p>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(območje evra in države v ERM II)</w:t>
            </w:r>
            <w:r w:rsidRPr="00BB6E3B">
              <w:rPr>
                <w:rFonts w:eastAsia="Times New Roman" w:cs="Arial"/>
                <w:b w:val="0"/>
                <w:color w:val="0D0D0D" w:themeColor="text1" w:themeTint="F2"/>
                <w:sz w:val="16"/>
                <w:szCs w:val="16"/>
                <w:vertAlign w:val="superscript"/>
                <w:lang w:eastAsia="sl-SI"/>
              </w:rPr>
              <w:t>1</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1,181</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1,135</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1,134</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1,134</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Nominalni efektivni tečaj</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0,7</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-0,4</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0,0</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Rast BDP v EU</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1,9</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1,3</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1,5</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1,4</w:t>
            </w:r>
          </w:p>
        </w:tc>
      </w:tr>
      <w:tr w:rsidR="008A5C9E" w:rsidRPr="00BB6E3B" w:rsidTr="00B369B1">
        <w:trPr>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Rast relevantnih izvoznih trgov</w:t>
            </w:r>
            <w:r w:rsidRPr="00BB6E3B">
              <w:rPr>
                <w:rFonts w:eastAsia="Times New Roman" w:cs="Arial"/>
                <w:b w:val="0"/>
                <w:color w:val="0D0D0D" w:themeColor="text1" w:themeTint="F2"/>
                <w:sz w:val="16"/>
                <w:szCs w:val="16"/>
                <w:vertAlign w:val="superscript"/>
                <w:lang w:eastAsia="sl-SI"/>
              </w:rPr>
              <w:t>2</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4,0</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3,4</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3,6</w:t>
            </w:r>
          </w:p>
        </w:tc>
        <w:tc>
          <w:tcPr>
            <w:tcW w:w="694" w:type="pct"/>
            <w:hideMark/>
          </w:tcPr>
          <w:p w:rsidR="008A5C9E" w:rsidRPr="00BB6E3B" w:rsidRDefault="008A5C9E" w:rsidP="008A5C9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3,5</w:t>
            </w:r>
          </w:p>
        </w:tc>
      </w:tr>
      <w:tr w:rsidR="008A5C9E" w:rsidRPr="00BB6E3B" w:rsidTr="00B369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8A5C9E" w:rsidRPr="00BB6E3B" w:rsidRDefault="008A5C9E" w:rsidP="008A5C9E">
            <w:pPr>
              <w:jc w:val="left"/>
              <w:rPr>
                <w:rFonts w:eastAsia="Times New Roman" w:cs="Arial"/>
                <w:b w:val="0"/>
                <w:color w:val="0D0D0D" w:themeColor="text1" w:themeTint="F2"/>
                <w:sz w:val="16"/>
                <w:szCs w:val="16"/>
                <w:lang w:eastAsia="sl-SI"/>
              </w:rPr>
            </w:pPr>
            <w:r w:rsidRPr="00BB6E3B">
              <w:rPr>
                <w:rFonts w:eastAsia="Times New Roman" w:cs="Arial"/>
                <w:b w:val="0"/>
                <w:color w:val="0D0D0D" w:themeColor="text1" w:themeTint="F2"/>
                <w:sz w:val="16"/>
                <w:szCs w:val="16"/>
                <w:lang w:eastAsia="sl-SI"/>
              </w:rPr>
              <w:t>Cena nafte (Brent, USD/sodček)</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71,0</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63,2</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62,6</w:t>
            </w:r>
          </w:p>
        </w:tc>
        <w:tc>
          <w:tcPr>
            <w:tcW w:w="694" w:type="pct"/>
            <w:hideMark/>
          </w:tcPr>
          <w:p w:rsidR="008A5C9E" w:rsidRPr="00BB6E3B" w:rsidRDefault="008A5C9E" w:rsidP="008A5C9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D0D0D" w:themeColor="text1" w:themeTint="F2"/>
                <w:sz w:val="16"/>
                <w:szCs w:val="16"/>
                <w:lang w:eastAsia="sl-SI"/>
              </w:rPr>
            </w:pPr>
            <w:r w:rsidRPr="00BB6E3B">
              <w:rPr>
                <w:rFonts w:eastAsia="Times New Roman" w:cs="Arial"/>
                <w:color w:val="0D0D0D" w:themeColor="text1" w:themeTint="F2"/>
                <w:sz w:val="16"/>
                <w:szCs w:val="16"/>
                <w:lang w:eastAsia="sl-SI"/>
              </w:rPr>
              <w:t>61,4</w:t>
            </w:r>
          </w:p>
        </w:tc>
      </w:tr>
    </w:tbl>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 xml:space="preserve">Vir: EIA, ECB, IMF, CME, ocena UMAR. Opombe: </w:t>
      </w:r>
      <w:r w:rsidRPr="00BB6E3B">
        <w:rPr>
          <w:rFonts w:cs="Arial"/>
          <w:color w:val="0D0D0D" w:themeColor="text1" w:themeTint="F2"/>
          <w:sz w:val="16"/>
          <w:szCs w:val="16"/>
          <w:vertAlign w:val="superscript"/>
        </w:rPr>
        <w:t>1</w:t>
      </w:r>
      <w:r w:rsidRPr="00BB6E3B">
        <w:rPr>
          <w:rFonts w:cs="Arial"/>
          <w:color w:val="0D0D0D" w:themeColor="text1" w:themeTint="F2"/>
          <w:sz w:val="16"/>
          <w:szCs w:val="16"/>
        </w:rPr>
        <w:t xml:space="preserve"> Za leta 2019-2021: tehnična predpostavka na podlagi povprečnih vrednosti med 1. in 12. februarjem 2019; </w:t>
      </w:r>
      <w:r w:rsidRPr="00BB6E3B">
        <w:rPr>
          <w:rFonts w:cs="Arial"/>
          <w:color w:val="0D0D0D" w:themeColor="text1" w:themeTint="F2"/>
          <w:sz w:val="16"/>
          <w:szCs w:val="16"/>
          <w:vertAlign w:val="superscript"/>
        </w:rPr>
        <w:t>2</w:t>
      </w:r>
      <w:r w:rsidRPr="00BB6E3B">
        <w:rPr>
          <w:rFonts w:cs="Arial"/>
          <w:color w:val="0D0D0D" w:themeColor="text1" w:themeTint="F2"/>
          <w:sz w:val="16"/>
          <w:szCs w:val="16"/>
        </w:rPr>
        <w:t xml:space="preserve"> realni uvoz blaga in storitev trgovinskih partneric tehtan s slovenskimi deleži izvoza v te države. </w:t>
      </w:r>
    </w:p>
    <w:p w:rsidR="008A5C9E" w:rsidRPr="00BB6E3B" w:rsidRDefault="008A5C9E" w:rsidP="008A5C9E">
      <w:pPr>
        <w:spacing w:after="0"/>
        <w:rPr>
          <w:rFonts w:cs="Arial"/>
          <w:color w:val="0D0D0D" w:themeColor="text1" w:themeTint="F2"/>
          <w:sz w:val="16"/>
          <w:szCs w:val="16"/>
        </w:rPr>
      </w:pPr>
      <w:r w:rsidRPr="00BB6E3B">
        <w:rPr>
          <w:rFonts w:cs="Arial"/>
          <w:color w:val="0D0D0D" w:themeColor="text1" w:themeTint="F2"/>
          <w:sz w:val="16"/>
          <w:szCs w:val="16"/>
        </w:rPr>
        <w:t xml:space="preserve"> </w:t>
      </w:r>
    </w:p>
    <w:p w:rsidR="008A5C9E" w:rsidRPr="00BB6E3B" w:rsidRDefault="008A5C9E" w:rsidP="008A5C9E">
      <w:pPr>
        <w:spacing w:after="0"/>
        <w:rPr>
          <w:rFonts w:cs="Arial"/>
          <w:color w:val="0D0D0D" w:themeColor="text1" w:themeTint="F2"/>
          <w:sz w:val="20"/>
          <w:szCs w:val="20"/>
        </w:rPr>
      </w:pPr>
    </w:p>
    <w:p w:rsidR="00224122" w:rsidRPr="00BB6E3B" w:rsidRDefault="00224122" w:rsidP="00224122">
      <w:pPr>
        <w:spacing w:line="276" w:lineRule="auto"/>
        <w:jc w:val="left"/>
        <w:rPr>
          <w:rFonts w:cs="Arial"/>
          <w:b/>
          <w:color w:val="0D0D0D" w:themeColor="text1" w:themeTint="F2"/>
        </w:rPr>
      </w:pPr>
    </w:p>
    <w:sectPr w:rsidR="00224122" w:rsidRPr="00BB6E3B" w:rsidSect="004065F2">
      <w:footerReference w:type="default" r:id="rId34"/>
      <w:headerReference w:type="first" r:id="rId35"/>
      <w:pgSz w:w="11906" w:h="16838"/>
      <w:pgMar w:top="1304" w:right="1304" w:bottom="1304" w:left="1304" w:header="624"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69B1" w:rsidRDefault="00B369B1" w:rsidP="00503BA8">
      <w:pPr>
        <w:spacing w:after="0"/>
      </w:pPr>
      <w:r>
        <w:separator/>
      </w:r>
    </w:p>
  </w:endnote>
  <w:endnote w:type="continuationSeparator" w:id="0">
    <w:p w:rsidR="00B369B1" w:rsidRDefault="00B369B1" w:rsidP="00503BA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A00002AF" w:usb1="5000204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b/>
      </w:rPr>
      <w:id w:val="-434056444"/>
      <w:docPartObj>
        <w:docPartGallery w:val="Page Numbers (Bottom of Page)"/>
        <w:docPartUnique/>
      </w:docPartObj>
    </w:sdtPr>
    <w:sdtEndPr/>
    <w:sdtContent>
      <w:sdt>
        <w:sdtPr>
          <w:rPr>
            <w:rFonts w:ascii="Times New Roman" w:hAnsi="Times New Roman" w:cs="Times New Roman"/>
            <w:b/>
          </w:rPr>
          <w:id w:val="98381352"/>
          <w:docPartObj>
            <w:docPartGallery w:val="Page Numbers (Top of Page)"/>
            <w:docPartUnique/>
          </w:docPartObj>
        </w:sdtPr>
        <w:sdtEndPr/>
        <w:sdtContent>
          <w:p w:rsidR="00B369B1" w:rsidRPr="00370218" w:rsidRDefault="00B369B1" w:rsidP="00BD5634">
            <w:pPr>
              <w:pStyle w:val="Footer"/>
              <w:jc w:val="center"/>
              <w:rPr>
                <w:rFonts w:cs="Arial"/>
                <w:sz w:val="16"/>
                <w:szCs w:val="16"/>
              </w:rPr>
            </w:pPr>
            <w:r w:rsidRPr="00370218">
              <w:rPr>
                <w:rFonts w:cs="Arial"/>
                <w:sz w:val="16"/>
                <w:szCs w:val="16"/>
              </w:rPr>
              <w:t xml:space="preserve">Stran </w:t>
            </w:r>
            <w:r w:rsidRPr="00370218">
              <w:rPr>
                <w:rFonts w:cs="Arial"/>
                <w:bCs/>
                <w:sz w:val="16"/>
                <w:szCs w:val="16"/>
              </w:rPr>
              <w:fldChar w:fldCharType="begin"/>
            </w:r>
            <w:r w:rsidRPr="00370218">
              <w:rPr>
                <w:rFonts w:cs="Arial"/>
                <w:bCs/>
                <w:sz w:val="16"/>
                <w:szCs w:val="16"/>
              </w:rPr>
              <w:instrText>PAGE</w:instrText>
            </w:r>
            <w:r w:rsidRPr="00370218">
              <w:rPr>
                <w:rFonts w:cs="Arial"/>
                <w:bCs/>
                <w:sz w:val="16"/>
                <w:szCs w:val="16"/>
              </w:rPr>
              <w:fldChar w:fldCharType="separate"/>
            </w:r>
            <w:r w:rsidR="00996B6B">
              <w:rPr>
                <w:rFonts w:cs="Arial"/>
                <w:bCs/>
                <w:noProof/>
                <w:sz w:val="16"/>
                <w:szCs w:val="16"/>
              </w:rPr>
              <w:t>49</w:t>
            </w:r>
            <w:r w:rsidRPr="00370218">
              <w:rPr>
                <w:rFonts w:cs="Arial"/>
                <w:bCs/>
                <w:sz w:val="16"/>
                <w:szCs w:val="16"/>
              </w:rPr>
              <w:fldChar w:fldCharType="end"/>
            </w:r>
            <w:r w:rsidRPr="00370218">
              <w:rPr>
                <w:rFonts w:cs="Arial"/>
                <w:sz w:val="16"/>
                <w:szCs w:val="16"/>
              </w:rPr>
              <w:t xml:space="preserve"> od </w:t>
            </w:r>
            <w:r w:rsidRPr="00370218">
              <w:rPr>
                <w:rFonts w:cs="Arial"/>
                <w:bCs/>
                <w:sz w:val="16"/>
                <w:szCs w:val="16"/>
              </w:rPr>
              <w:fldChar w:fldCharType="begin"/>
            </w:r>
            <w:r w:rsidRPr="00370218">
              <w:rPr>
                <w:rFonts w:cs="Arial"/>
                <w:bCs/>
                <w:sz w:val="16"/>
                <w:szCs w:val="16"/>
              </w:rPr>
              <w:instrText>NUMPAGES</w:instrText>
            </w:r>
            <w:r w:rsidRPr="00370218">
              <w:rPr>
                <w:rFonts w:cs="Arial"/>
                <w:bCs/>
                <w:sz w:val="16"/>
                <w:szCs w:val="16"/>
              </w:rPr>
              <w:fldChar w:fldCharType="separate"/>
            </w:r>
            <w:r w:rsidR="00996B6B">
              <w:rPr>
                <w:rFonts w:cs="Arial"/>
                <w:bCs/>
                <w:noProof/>
                <w:sz w:val="16"/>
                <w:szCs w:val="16"/>
              </w:rPr>
              <w:t>49</w:t>
            </w:r>
            <w:r w:rsidRPr="00370218">
              <w:rPr>
                <w:rFonts w:cs="Arial"/>
                <w:bCs/>
                <w:sz w:val="16"/>
                <w:szCs w:val="16"/>
              </w:rPr>
              <w:fldChar w:fldCharType="end"/>
            </w:r>
          </w:p>
          <w:p w:rsidR="00B369B1" w:rsidRPr="00D56B0E" w:rsidRDefault="00996B6B">
            <w:pPr>
              <w:pStyle w:val="Footer"/>
              <w:rPr>
                <w:rFonts w:ascii="Times New Roman" w:hAnsi="Times New Roman" w:cs="Times New Roman"/>
                <w:b/>
              </w:rPr>
            </w:pPr>
          </w:p>
        </w:sdtContent>
      </w:sdt>
    </w:sdtContent>
  </w:sdt>
  <w:p w:rsidR="00B369B1" w:rsidRDefault="00B369B1">
    <w:pPr>
      <w:pStyle w:val="Footer"/>
    </w:pPr>
  </w:p>
  <w:p w:rsidR="00B369B1" w:rsidRDefault="00B369B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69B1" w:rsidRDefault="00B369B1" w:rsidP="00503BA8">
      <w:pPr>
        <w:spacing w:after="0"/>
      </w:pPr>
      <w:r>
        <w:separator/>
      </w:r>
    </w:p>
  </w:footnote>
  <w:footnote w:type="continuationSeparator" w:id="0">
    <w:p w:rsidR="00B369B1" w:rsidRDefault="00B369B1" w:rsidP="00503BA8">
      <w:pPr>
        <w:spacing w:after="0"/>
      </w:pPr>
      <w:r>
        <w:continuationSeparator/>
      </w:r>
    </w:p>
  </w:footnote>
  <w:footnote w:id="1">
    <w:p w:rsidR="00B369B1" w:rsidRDefault="00B369B1">
      <w:pPr>
        <w:pStyle w:val="FootnoteText"/>
      </w:pPr>
      <w:r w:rsidRPr="003222B7">
        <w:rPr>
          <w:rStyle w:val="FootnoteReference"/>
          <w:sz w:val="16"/>
          <w:szCs w:val="16"/>
        </w:rPr>
        <w:footnoteRef/>
      </w:r>
      <w:r w:rsidRPr="003222B7">
        <w:rPr>
          <w:sz w:val="16"/>
          <w:szCs w:val="16"/>
        </w:rPr>
        <w:t xml:space="preserve"> </w:t>
      </w:r>
      <w:hyperlink r:id="rId1" w:history="1">
        <w:r w:rsidRPr="003222B7">
          <w:rPr>
            <w:rFonts w:cs="Arial"/>
            <w:sz w:val="16"/>
            <w:szCs w:val="16"/>
          </w:rPr>
          <w:t>https://ec.europa.eu/info/publications/economy-finance/2018-ageing-report-economic-and-budgetary-projections-eu-member-states-2016-2070_en</w:t>
        </w:r>
      </w:hyperlink>
      <w:r w:rsidRPr="00332FA6">
        <w:rPr>
          <w:rFonts w:cs="Arial"/>
          <w:sz w:val="22"/>
          <w:szCs w:val="22"/>
        </w:rPr>
        <w:t>.</w:t>
      </w:r>
    </w:p>
  </w:footnote>
  <w:footnote w:id="2">
    <w:p w:rsidR="00E868BE" w:rsidRPr="002C02D4" w:rsidRDefault="00E868BE" w:rsidP="00E868BE">
      <w:pPr>
        <w:spacing w:after="0" w:line="276" w:lineRule="auto"/>
        <w:rPr>
          <w:rFonts w:cs="Arial"/>
          <w:sz w:val="18"/>
          <w:szCs w:val="18"/>
        </w:rPr>
      </w:pPr>
      <w:r>
        <w:rPr>
          <w:rStyle w:val="FootnoteReference"/>
          <w:sz w:val="16"/>
          <w:szCs w:val="16"/>
        </w:rPr>
        <w:footnoteRef/>
      </w:r>
      <w:r>
        <w:rPr>
          <w:sz w:val="16"/>
          <w:szCs w:val="16"/>
        </w:rPr>
        <w:t xml:space="preserve"> </w:t>
      </w:r>
      <w:r w:rsidRPr="002C02D4">
        <w:rPr>
          <w:rFonts w:cs="Arial"/>
          <w:sz w:val="18"/>
          <w:szCs w:val="18"/>
        </w:rPr>
        <w:t>Nekatere naše največje trgovinske partnerice (predvsem Nemčijo) bi neposredno prizadelo predvsem morebitno zvišanje carin ZDA na uvoz avtomobilov in avtomobilskih delov, kar bi zlasti posredno negativno vplivalo tudi na gospodarsko aktivnost v Sloveniji (glej Jesensko napoved gospodarskih gibanj 2018, Okvir 3). Na gospodarsko rast trgovinskih partneric in s tem Slovenije bi negativno vplivalo tudi stopnjevanje carinske vojne med ZDA in Kitajsko.</w:t>
      </w:r>
    </w:p>
  </w:footnote>
  <w:footnote w:id="3">
    <w:p w:rsidR="00E868BE" w:rsidRPr="002C02D4" w:rsidRDefault="00E868BE" w:rsidP="00E868BE">
      <w:pPr>
        <w:spacing w:after="0" w:line="276" w:lineRule="auto"/>
        <w:rPr>
          <w:rFonts w:cs="Arial"/>
          <w:sz w:val="18"/>
          <w:szCs w:val="18"/>
        </w:rPr>
      </w:pPr>
      <w:r w:rsidRPr="002C02D4">
        <w:rPr>
          <w:rFonts w:cs="Arial"/>
          <w:sz w:val="18"/>
          <w:szCs w:val="18"/>
          <w:vertAlign w:val="superscript"/>
        </w:rPr>
        <w:footnoteRef/>
      </w:r>
      <w:r w:rsidRPr="002C02D4">
        <w:rPr>
          <w:rFonts w:cs="Arial"/>
          <w:sz w:val="18"/>
          <w:szCs w:val="18"/>
        </w:rPr>
        <w:t xml:space="preserve"> Različne študije dolgoročni vpliv t. i. mehkega brexita ocenjujejo na 0,0 % do -0,25 % BDP, vpliv t. i. trdega brexita pa na -0,2 % do -1,0 % BDP. Kratkoročni učinki, ki so težje merljivi, bi lahko zaradi prilagajanja delovanja verig vrednosti bili višji (glej Pomladansko napoved gospodarskih gibanj 2019).</w:t>
      </w:r>
    </w:p>
  </w:footnote>
  <w:footnote w:id="4">
    <w:p w:rsidR="00E868BE" w:rsidRDefault="00E868BE" w:rsidP="00E868BE">
      <w:pPr>
        <w:spacing w:after="0" w:line="276" w:lineRule="auto"/>
        <w:rPr>
          <w:sz w:val="16"/>
          <w:szCs w:val="16"/>
        </w:rPr>
      </w:pPr>
      <w:r w:rsidRPr="002C02D4">
        <w:rPr>
          <w:rFonts w:cs="Arial"/>
          <w:sz w:val="18"/>
          <w:szCs w:val="18"/>
          <w:vertAlign w:val="superscript"/>
        </w:rPr>
        <w:footnoteRef/>
      </w:r>
      <w:r w:rsidRPr="002C02D4">
        <w:rPr>
          <w:rFonts w:cs="Arial"/>
          <w:sz w:val="18"/>
          <w:szCs w:val="18"/>
        </w:rPr>
        <w:t xml:space="preserve"> Politične spremembe lahko v nekaterih državah opazneje vplivajo na spremembe v usmeritvah ekonomskih politik, učinki česar bi se lahko prenesli na celotno evrsko območje oziroma EU. Neugoden vpliv na gospodarsko aktivnost lahko ima tudi opazen porast vpliva evroskeptičnih skupin v Evropskem parlamentu.</w:t>
      </w:r>
      <w:r>
        <w:rPr>
          <w:sz w:val="16"/>
          <w:szCs w:val="16"/>
        </w:rPr>
        <w:t xml:space="preserve"> </w:t>
      </w:r>
    </w:p>
  </w:footnote>
  <w:footnote w:id="5">
    <w:p w:rsidR="00B369B1" w:rsidRPr="00370218" w:rsidRDefault="00B369B1"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Proizvodna vrzel je razlika med dejanskim in potencialnim BDP, izražena v odstotkih potencialnega BDP.</w:t>
      </w:r>
    </w:p>
  </w:footnote>
  <w:footnote w:id="6">
    <w:p w:rsidR="00823FA9" w:rsidRDefault="00823FA9" w:rsidP="00823FA9">
      <w:pPr>
        <w:pStyle w:val="FootnoteText"/>
      </w:pPr>
      <w:r>
        <w:rPr>
          <w:rStyle w:val="FootnoteReference"/>
        </w:rPr>
        <w:footnoteRef/>
      </w:r>
      <w:r>
        <w:t xml:space="preserve"> </w:t>
      </w:r>
      <w:r w:rsidRPr="00823FA9">
        <w:rPr>
          <w:rFonts w:cs="Arial"/>
          <w:sz w:val="18"/>
          <w:szCs w:val="18"/>
        </w:rPr>
        <w:t>ECB Monthly Bulletin, February 2005</w:t>
      </w:r>
    </w:p>
  </w:footnote>
  <w:footnote w:id="7">
    <w:p w:rsidR="00B369B1" w:rsidRPr="00370218" w:rsidRDefault="00B369B1"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w:t>
      </w:r>
      <w:hyperlink r:id="rId2" w:history="1">
        <w:r w:rsidRPr="00370218">
          <w:rPr>
            <w:rStyle w:val="Hyperlink"/>
            <w:rFonts w:cs="Arial"/>
            <w:sz w:val="18"/>
            <w:szCs w:val="18"/>
          </w:rPr>
          <w:t>https://ec.europa.eu/info/publications/economy-finance/quarterly-report-euro-area-qrea-vol14-no3-2015_en</w:t>
        </w:r>
      </w:hyperlink>
      <w:r w:rsidRPr="00370218">
        <w:rPr>
          <w:rFonts w:cs="Arial"/>
          <w:sz w:val="18"/>
          <w:szCs w:val="18"/>
        </w:rPr>
        <w:t xml:space="preserve"> </w:t>
      </w:r>
    </w:p>
  </w:footnote>
  <w:footnote w:id="8">
    <w:p w:rsidR="00B369B1" w:rsidRPr="00370218" w:rsidRDefault="00B369B1"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w:t>
      </w:r>
      <w:hyperlink r:id="rId3" w:history="1">
        <w:r w:rsidRPr="00370218">
          <w:rPr>
            <w:rStyle w:val="Hyperlink"/>
            <w:rFonts w:cs="Arial"/>
            <w:sz w:val="18"/>
            <w:szCs w:val="18"/>
          </w:rPr>
          <w:t>https://www.ecb.europa.eu/pub/pdf/scpops/ecbop156.en.pdf?12f64165c5623d34b98b978cbe614ed9</w:t>
        </w:r>
      </w:hyperlink>
      <w:r w:rsidRPr="00370218">
        <w:rPr>
          <w:rFonts w:cs="Arial"/>
          <w:sz w:val="18"/>
          <w:szCs w:val="18"/>
        </w:rPr>
        <w:t xml:space="preserve"> </w:t>
      </w:r>
    </w:p>
  </w:footnote>
  <w:footnote w:id="9">
    <w:p w:rsidR="00B369B1" w:rsidRPr="00370218" w:rsidRDefault="00B369B1" w:rsidP="002D08AF">
      <w:pPr>
        <w:rPr>
          <w:rFonts w:cs="Arial"/>
          <w:bCs/>
          <w:color w:val="000000"/>
          <w:sz w:val="18"/>
          <w:szCs w:val="18"/>
        </w:rPr>
      </w:pPr>
      <w:r w:rsidRPr="00370218">
        <w:rPr>
          <w:rStyle w:val="FootnoteReference"/>
          <w:rFonts w:cs="Arial"/>
          <w:sz w:val="18"/>
          <w:szCs w:val="18"/>
        </w:rPr>
        <w:footnoteRef/>
      </w:r>
      <w:r w:rsidRPr="00370218">
        <w:rPr>
          <w:rFonts w:cs="Arial"/>
          <w:sz w:val="18"/>
          <w:szCs w:val="18"/>
        </w:rPr>
        <w:t xml:space="preserve"> Razlike med izračunom MF in UMAR</w:t>
      </w:r>
      <w:r w:rsidRPr="00370218">
        <w:rPr>
          <w:rFonts w:cs="Arial"/>
          <w:bCs/>
          <w:color w:val="000000"/>
          <w:sz w:val="18"/>
          <w:szCs w:val="18"/>
        </w:rPr>
        <w:t xml:space="preserve"> ter</w:t>
      </w:r>
      <w:r w:rsidRPr="00370218">
        <w:rPr>
          <w:rFonts w:cs="Arial"/>
          <w:sz w:val="18"/>
          <w:szCs w:val="18"/>
        </w:rPr>
        <w:t xml:space="preserve"> EK so v največji meri posledica različnega časovnega obdobja napovedi, saj ocene </w:t>
      </w:r>
      <w:r w:rsidRPr="00370218">
        <w:rPr>
          <w:rFonts w:cs="Arial"/>
          <w:bCs/>
          <w:color w:val="000000"/>
          <w:sz w:val="18"/>
          <w:szCs w:val="18"/>
        </w:rPr>
        <w:t xml:space="preserve">tako </w:t>
      </w:r>
      <w:r w:rsidRPr="00370218">
        <w:rPr>
          <w:rFonts w:cs="Arial"/>
          <w:sz w:val="18"/>
          <w:szCs w:val="18"/>
        </w:rPr>
        <w:t xml:space="preserve">UMAR </w:t>
      </w:r>
      <w:r w:rsidRPr="00370218">
        <w:rPr>
          <w:rFonts w:cs="Arial"/>
          <w:bCs/>
          <w:color w:val="000000"/>
          <w:sz w:val="18"/>
          <w:szCs w:val="18"/>
        </w:rPr>
        <w:t xml:space="preserve">kot MF </w:t>
      </w:r>
      <w:r w:rsidRPr="00370218">
        <w:rPr>
          <w:rFonts w:cs="Arial"/>
          <w:sz w:val="18"/>
          <w:szCs w:val="18"/>
        </w:rPr>
        <w:t>temeljijo na napovedih za daljše časovne obdobje (t</w:t>
      </w:r>
      <w:r>
        <w:rPr>
          <w:rFonts w:cs="Arial"/>
          <w:sz w:val="18"/>
          <w:szCs w:val="18"/>
        </w:rPr>
        <w:t> </w:t>
      </w:r>
      <w:r w:rsidRPr="00370218">
        <w:rPr>
          <w:rFonts w:cs="Arial"/>
          <w:sz w:val="18"/>
          <w:szCs w:val="18"/>
        </w:rPr>
        <w:t>+</w:t>
      </w:r>
      <w:r>
        <w:rPr>
          <w:rFonts w:cs="Arial"/>
          <w:sz w:val="18"/>
          <w:szCs w:val="18"/>
        </w:rPr>
        <w:t> </w:t>
      </w:r>
      <w:r w:rsidRPr="00370218">
        <w:rPr>
          <w:rFonts w:cs="Arial"/>
          <w:sz w:val="18"/>
          <w:szCs w:val="18"/>
        </w:rPr>
        <w:t>6), napovedi EK pa so za bistveno krajše obdobje (t</w:t>
      </w:r>
      <w:r>
        <w:rPr>
          <w:rFonts w:cs="Arial"/>
          <w:sz w:val="18"/>
          <w:szCs w:val="18"/>
        </w:rPr>
        <w:t> </w:t>
      </w:r>
      <w:r w:rsidRPr="00370218">
        <w:rPr>
          <w:rFonts w:cs="Arial"/>
          <w:sz w:val="18"/>
          <w:szCs w:val="18"/>
        </w:rPr>
        <w:t>+</w:t>
      </w:r>
      <w:r>
        <w:rPr>
          <w:rFonts w:cs="Arial"/>
          <w:sz w:val="18"/>
          <w:szCs w:val="18"/>
        </w:rPr>
        <w:t> </w:t>
      </w:r>
      <w:r w:rsidRPr="00370218">
        <w:rPr>
          <w:rFonts w:cs="Arial"/>
          <w:sz w:val="18"/>
          <w:szCs w:val="18"/>
        </w:rPr>
        <w:t>2)</w:t>
      </w:r>
      <w:r>
        <w:rPr>
          <w:rFonts w:cs="Arial"/>
          <w:sz w:val="18"/>
          <w:szCs w:val="18"/>
        </w:rPr>
        <w:t>,</w:t>
      </w:r>
      <w:r w:rsidRPr="00370218">
        <w:rPr>
          <w:rFonts w:cs="Arial"/>
          <w:sz w:val="18"/>
          <w:szCs w:val="18"/>
        </w:rPr>
        <w:t xml:space="preserve"> ter višini sidra za NAWRU. Razlike v ocenah proizvodne vrzeli pa izhajajo tudi iz razlik v samih napovedih makroekonomskih kazalnikov in nekaterih vhodnih podatkih (ocena obsega kapitala v letu 1995) in uporabljenega koeficienta elastičnosti za delo in za kapital</w:t>
      </w:r>
      <w:r w:rsidRPr="00370218">
        <w:rPr>
          <w:rFonts w:cs="Arial"/>
          <w:bCs/>
          <w:color w:val="000000"/>
          <w:sz w:val="18"/>
          <w:szCs w:val="18"/>
        </w:rPr>
        <w:t xml:space="preserve">. </w:t>
      </w:r>
    </w:p>
    <w:p w:rsidR="00B369B1" w:rsidRDefault="00B369B1" w:rsidP="002D08AF">
      <w:pPr>
        <w:pStyle w:val="FootnoteText"/>
      </w:pPr>
    </w:p>
  </w:footnote>
  <w:footnote w:id="10">
    <w:p w:rsidR="001B1BF6" w:rsidRPr="00BB6E3B" w:rsidRDefault="00C46639" w:rsidP="00BB6E3B">
      <w:pPr>
        <w:pStyle w:val="FootnoteText"/>
        <w:jc w:val="both"/>
        <w:rPr>
          <w:lang w:val="en-US"/>
        </w:rPr>
      </w:pPr>
      <w:r w:rsidRPr="00C3436D">
        <w:rPr>
          <w:rStyle w:val="FootnoteReference"/>
        </w:rPr>
        <w:footnoteRef/>
      </w:r>
      <w:r w:rsidRPr="00C3436D">
        <w:t xml:space="preserve"> </w:t>
      </w:r>
      <w:r w:rsidR="00C47E81" w:rsidRPr="00C3436D">
        <w:t>Minimum benchmark</w:t>
      </w:r>
      <w:r w:rsidR="001B1BF6" w:rsidRPr="00C3436D">
        <w:t xml:space="preserve"> (MB)</w:t>
      </w:r>
      <w:r w:rsidR="00C47E81" w:rsidRPr="00C3436D">
        <w:t xml:space="preserve"> </w:t>
      </w:r>
      <w:r w:rsidR="00C47E81" w:rsidRPr="00BB6E3B">
        <w:t xml:space="preserve">je </w:t>
      </w:r>
      <w:r w:rsidR="009516B1" w:rsidRPr="00BB6E3B">
        <w:t>del formule za izračun srednjer</w:t>
      </w:r>
      <w:r w:rsidR="00C47E81" w:rsidRPr="00BB6E3B">
        <w:t>očnega cilja (MTO). Komponenti</w:t>
      </w:r>
      <w:r w:rsidR="00C47E81" w:rsidRPr="00C3436D">
        <w:rPr>
          <w:lang w:val="en-US"/>
        </w:rPr>
        <w:t xml:space="preserve"> MTO</w:t>
      </w:r>
      <w:r w:rsidR="00C47E81" w:rsidRPr="00BB6E3B">
        <w:rPr>
          <w:vertAlign w:val="subscript"/>
          <w:lang w:val="en-US"/>
        </w:rPr>
        <w:t>MB</w:t>
      </w:r>
      <w:r w:rsidR="00C47E81" w:rsidRPr="00BB6E3B">
        <w:rPr>
          <w:lang w:val="en-US"/>
        </w:rPr>
        <w:t xml:space="preserve"> </w:t>
      </w:r>
      <w:r w:rsidR="009516B1" w:rsidRPr="00C3436D">
        <w:rPr>
          <w:lang w:val="en-US"/>
        </w:rPr>
        <w:t>in</w:t>
      </w:r>
      <w:r w:rsidR="00C47E81" w:rsidRPr="00BB6E3B">
        <w:rPr>
          <w:lang w:val="en-US"/>
        </w:rPr>
        <w:t xml:space="preserve"> MTO</w:t>
      </w:r>
      <w:r w:rsidR="00C47E81" w:rsidRPr="00BB6E3B">
        <w:rPr>
          <w:vertAlign w:val="subscript"/>
          <w:lang w:val="en-US"/>
        </w:rPr>
        <w:t xml:space="preserve">Euro/ERM2 </w:t>
      </w:r>
      <w:r w:rsidR="001B1BF6" w:rsidRPr="00BB6E3B">
        <w:t>predstavlja</w:t>
      </w:r>
      <w:r w:rsidR="00543FF2" w:rsidRPr="00BB6E3B">
        <w:t>ta</w:t>
      </w:r>
      <w:r w:rsidR="001B1BF6" w:rsidRPr="00BB6E3B">
        <w:t xml:space="preserve"> izhodišče za izračun srednjreočnega cilja (MTO). Kot je določeno</w:t>
      </w:r>
      <w:r w:rsidR="00C47E81" w:rsidRPr="00BB6E3B">
        <w:t xml:space="preserve"> s strani </w:t>
      </w:r>
      <w:r w:rsidR="001B1BF6" w:rsidRPr="00C3436D">
        <w:t>Ekonomsko-finančnega odbora (</w:t>
      </w:r>
      <w:r w:rsidR="00C47E81" w:rsidRPr="00BB6E3B">
        <w:t>EFC</w:t>
      </w:r>
      <w:r w:rsidR="001B1BF6" w:rsidRPr="00BB6E3B">
        <w:t>)</w:t>
      </w:r>
      <w:r w:rsidR="00C47E81" w:rsidRPr="00BB6E3B">
        <w:t xml:space="preserve"> in </w:t>
      </w:r>
      <w:r w:rsidR="001B1BF6" w:rsidRPr="00BB6E3B">
        <w:t xml:space="preserve">z </w:t>
      </w:r>
      <w:r w:rsidR="00C47E81" w:rsidRPr="00BB6E3B">
        <w:t>obveznost</w:t>
      </w:r>
      <w:r w:rsidR="001B1BF6" w:rsidRPr="00BB6E3B">
        <w:t>mi</w:t>
      </w:r>
      <w:r w:rsidR="00C47E81" w:rsidRPr="00BB6E3B">
        <w:t xml:space="preserve"> Pakta za države članice evroobmočja in države članice, ki sodelujejo v ERM</w:t>
      </w:r>
      <w:r w:rsidR="001B1BF6" w:rsidRPr="00BB6E3B">
        <w:t xml:space="preserve"> II, </w:t>
      </w:r>
      <w:r w:rsidR="00C47E81" w:rsidRPr="00BB6E3B">
        <w:t xml:space="preserve">MTO </w:t>
      </w:r>
      <w:r w:rsidR="001B1BF6" w:rsidRPr="00BB6E3B">
        <w:t>ne sme biti nižji</w:t>
      </w:r>
      <w:r w:rsidR="00C47E81" w:rsidRPr="00BB6E3B">
        <w:t xml:space="preserve"> od -1 % BDP. Za Slovenijo minimum benchmark za srednjeročno obdobje</w:t>
      </w:r>
      <w:r w:rsidR="00543FF2" w:rsidRPr="00BB6E3B">
        <w:t>,</w:t>
      </w:r>
      <w:r w:rsidR="00C47E81" w:rsidRPr="00BB6E3B">
        <w:t xml:space="preserve"> skladen s potrditvijo EFC članov in na podlagi izračuna EK</w:t>
      </w:r>
      <w:r w:rsidR="00543FF2" w:rsidRPr="00BB6E3B">
        <w:t>,</w:t>
      </w:r>
      <w:r w:rsidR="00C47E81" w:rsidRPr="00BB6E3B">
        <w:t xml:space="preserve"> znaša -0,9.</w:t>
      </w:r>
    </w:p>
  </w:footnote>
  <w:footnote w:id="11">
    <w:p w:rsidR="00F10CD6" w:rsidRDefault="00F10CD6" w:rsidP="00BB6E3B">
      <w:pPr>
        <w:pStyle w:val="FootnoteText"/>
        <w:jc w:val="both"/>
      </w:pPr>
      <w:r w:rsidRPr="00C3436D">
        <w:rPr>
          <w:rStyle w:val="FootnoteReference"/>
        </w:rPr>
        <w:footnoteRef/>
      </w:r>
      <w:r w:rsidRPr="00C3436D">
        <w:t xml:space="preserve"> </w:t>
      </w:r>
      <w:r w:rsidRPr="00BB6E3B">
        <w:t>Štiri blagajne javnega financiranja zajemajo približno 80 % sektorja država in jih spremljamo mesečno po de</w:t>
      </w:r>
      <w:r w:rsidRPr="00C3436D">
        <w:t>narnem toku. O</w:t>
      </w:r>
      <w:r w:rsidRPr="00BB6E3B">
        <w:t>stalih 20 % spremljamo z ESA2010 metodologijo, kar pa je težko natančno ocenjeva</w:t>
      </w:r>
      <w:r w:rsidR="00905308" w:rsidRPr="00C3436D">
        <w:t>t</w:t>
      </w:r>
      <w:r w:rsidRPr="00BB6E3B">
        <w:t xml:space="preserve">i, kar kažejo tudi </w:t>
      </w:r>
      <w:r w:rsidR="004A477A" w:rsidRPr="00C3436D">
        <w:t>vsakoletne spremembe, revizije EDP</w:t>
      </w:r>
      <w:r w:rsidR="00E868BE" w:rsidRPr="00C3436D">
        <w:t xml:space="preserve"> </w:t>
      </w:r>
      <w:r w:rsidRPr="00BB6E3B">
        <w:rPr>
          <w:rFonts w:cs="Arial"/>
          <w:bCs/>
          <w:color w:val="0D0D0D" w:themeColor="text1" w:themeTint="F2"/>
        </w:rPr>
        <w:t>(SURS, 19. 4. 2019)</w:t>
      </w:r>
    </w:p>
  </w:footnote>
  <w:footnote w:id="12">
    <w:p w:rsidR="009516B1" w:rsidRDefault="009516B1">
      <w:pPr>
        <w:pStyle w:val="FootnoteText"/>
      </w:pPr>
      <w:r>
        <w:rPr>
          <w:rStyle w:val="FootnoteReference"/>
        </w:rPr>
        <w:footnoteRef/>
      </w:r>
      <w:r>
        <w:t xml:space="preserve"> </w:t>
      </w:r>
      <w:r w:rsidRPr="009516B1">
        <w:t>http://www.fs-rs.si/wp-content/uploads/2019/04/Ocena-april-2019.pdf</w:t>
      </w:r>
    </w:p>
  </w:footnote>
  <w:footnote w:id="13">
    <w:p w:rsidR="00B369B1" w:rsidRPr="00BF2396" w:rsidRDefault="00B369B1" w:rsidP="00BB6E3B">
      <w:pPr>
        <w:pStyle w:val="FootnoteText"/>
        <w:jc w:val="both"/>
        <w:rPr>
          <w:lang w:val="en-GB"/>
        </w:rPr>
      </w:pPr>
      <w:r>
        <w:rPr>
          <w:rStyle w:val="FootnoteReference"/>
        </w:rPr>
        <w:footnoteRef/>
      </w:r>
      <w:r>
        <w:t xml:space="preserve"> Fuest, C. in Gros, D. (2019). </w:t>
      </w:r>
      <w:r w:rsidRPr="00BF2396">
        <w:rPr>
          <w:lang w:val="en-GB"/>
        </w:rPr>
        <w:t>Applying nominal expenditure rules in the euro area, Policy brief</w:t>
      </w:r>
      <w:r w:rsidR="00644FF1">
        <w:rPr>
          <w:lang w:val="en-GB"/>
        </w:rPr>
        <w:t>.</w:t>
      </w:r>
      <w:r w:rsidRPr="00BF2396">
        <w:rPr>
          <w:lang w:val="en-GB"/>
        </w:rPr>
        <w:t xml:space="preserve"> Econpol, IFO Institute, 2019. </w:t>
      </w:r>
    </w:p>
  </w:footnote>
  <w:footnote w:id="14">
    <w:p w:rsidR="00B369B1" w:rsidRPr="00AC0495" w:rsidRDefault="00B369B1" w:rsidP="00C37F08">
      <w:pPr>
        <w:rPr>
          <w:bCs/>
          <w:color w:val="000000" w:themeColor="text1"/>
          <w:spacing w:val="5"/>
          <w:sz w:val="16"/>
          <w:szCs w:val="16"/>
        </w:rPr>
      </w:pPr>
      <w:r w:rsidRPr="00AC0495">
        <w:rPr>
          <w:rStyle w:val="FootnoteReference"/>
          <w:color w:val="000000" w:themeColor="text1"/>
          <w:sz w:val="16"/>
          <w:szCs w:val="16"/>
        </w:rPr>
        <w:footnoteRef/>
      </w:r>
      <w:r w:rsidRPr="00AC0495">
        <w:rPr>
          <w:color w:val="000000" w:themeColor="text1"/>
          <w:sz w:val="16"/>
          <w:szCs w:val="16"/>
        </w:rPr>
        <w:t xml:space="preserve"> </w:t>
      </w:r>
      <w:r w:rsidRPr="00AC0495">
        <w:rPr>
          <w:bCs/>
          <w:color w:val="000000" w:themeColor="text1"/>
          <w:spacing w:val="5"/>
          <w:sz w:val="16"/>
          <w:szCs w:val="16"/>
        </w:rPr>
        <w:t>Analiza prihodkov je narejena na osnovi ekonometričnih izračunov.</w:t>
      </w:r>
      <w:r w:rsidRPr="00AC0495">
        <w:rPr>
          <w:color w:val="000000" w:themeColor="text1"/>
          <w:sz w:val="16"/>
          <w:szCs w:val="16"/>
        </w:rPr>
        <w:t xml:space="preserve"> </w:t>
      </w:r>
      <w:r w:rsidRPr="00AC0495">
        <w:rPr>
          <w:bCs/>
          <w:color w:val="000000" w:themeColor="text1"/>
          <w:spacing w:val="5"/>
          <w:sz w:val="16"/>
          <w:szCs w:val="16"/>
        </w:rPr>
        <w:t xml:space="preserve">Pri odhodkih smo predpostavili, da se ob tem šoku spremenijo le izdatki za brezposelnosti (avtomatski stabilizator). Sprememba se odraža z -0,04 odstotna občutljivost izdatkov sektorja države na spremembe v gibanju BDP, ki je povzeta po OECD študijah. </w:t>
      </w:r>
      <w:r>
        <w:rPr>
          <w:bCs/>
          <w:color w:val="000000" w:themeColor="text1"/>
          <w:spacing w:val="5"/>
          <w:sz w:val="16"/>
          <w:szCs w:val="16"/>
        </w:rPr>
        <w:t>D</w:t>
      </w:r>
      <w:r w:rsidRPr="00692A88">
        <w:rPr>
          <w:bCs/>
          <w:color w:val="000000" w:themeColor="text1"/>
          <w:spacing w:val="5"/>
          <w:sz w:val="16"/>
          <w:szCs w:val="16"/>
        </w:rPr>
        <w:t>eflator je enak kot v osnovni napovedi</w:t>
      </w:r>
      <w:r>
        <w:rPr>
          <w:bCs/>
          <w:color w:val="000000" w:themeColor="text1"/>
          <w:spacing w:val="5"/>
          <w:sz w:val="16"/>
          <w:szCs w:val="16"/>
        </w:rPr>
        <w:t>.</w:t>
      </w:r>
    </w:p>
    <w:p w:rsidR="00B369B1" w:rsidRDefault="00B369B1" w:rsidP="00C37F08">
      <w:pPr>
        <w:pStyle w:val="FootnoteText"/>
      </w:pPr>
    </w:p>
  </w:footnote>
  <w:footnote w:id="15">
    <w:p w:rsidR="00B369B1" w:rsidRPr="007B5454" w:rsidRDefault="00B369B1" w:rsidP="00305638">
      <w:pPr>
        <w:pStyle w:val="FootnoteText"/>
        <w:rPr>
          <w:sz w:val="18"/>
          <w:szCs w:val="18"/>
          <w:lang w:val="en-GB"/>
        </w:rPr>
      </w:pPr>
      <w:r w:rsidRPr="007B5454">
        <w:rPr>
          <w:rStyle w:val="FootnoteReference"/>
          <w:sz w:val="18"/>
          <w:szCs w:val="18"/>
          <w:lang w:val="en-GB"/>
        </w:rPr>
        <w:footnoteRef/>
      </w:r>
      <w:r w:rsidRPr="007B5454">
        <w:rPr>
          <w:sz w:val="18"/>
          <w:szCs w:val="18"/>
          <w:lang w:val="en-GB"/>
        </w:rPr>
        <w:t xml:space="preserve"> EC (2017), The 2018 Ageing Report, Underlying Assumptions &amp; Projections Methodologies, Institutional Paper 065, November 2017, </w:t>
      </w:r>
      <w:hyperlink r:id="rId4" w:history="1">
        <w:r w:rsidRPr="007B5454">
          <w:rPr>
            <w:rStyle w:val="Hyperlink"/>
            <w:sz w:val="18"/>
            <w:szCs w:val="18"/>
            <w:lang w:val="en-GB"/>
          </w:rPr>
          <w:t>https://ec.europa.eu/info/sites/info/files/economy-finance/ip065_en.pdf</w:t>
        </w:r>
      </w:hyperlink>
      <w:r w:rsidRPr="007B5454">
        <w:rPr>
          <w:sz w:val="18"/>
          <w:szCs w:val="18"/>
          <w:lang w:val="en-GB"/>
        </w:rPr>
        <w:t xml:space="preserve">. </w:t>
      </w:r>
    </w:p>
  </w:footnote>
  <w:footnote w:id="16">
    <w:p w:rsidR="00B369B1" w:rsidRDefault="00B369B1" w:rsidP="00305638">
      <w:pPr>
        <w:pStyle w:val="FootnoteText"/>
      </w:pPr>
      <w:r w:rsidRPr="007B5454">
        <w:rPr>
          <w:rStyle w:val="FootnoteReference"/>
          <w:sz w:val="18"/>
          <w:szCs w:val="18"/>
        </w:rPr>
        <w:footnoteRef/>
      </w:r>
      <w:r w:rsidRPr="007B5454">
        <w:rPr>
          <w:sz w:val="18"/>
          <w:szCs w:val="18"/>
        </w:rPr>
        <w:t xml:space="preserve"> </w:t>
      </w:r>
      <w:r w:rsidRPr="007B5454">
        <w:rPr>
          <w:rFonts w:cs="Arial"/>
          <w:sz w:val="18"/>
          <w:szCs w:val="18"/>
        </w:rPr>
        <w:t xml:space="preserve">EC </w:t>
      </w:r>
      <w:r>
        <w:rPr>
          <w:rFonts w:cs="Arial"/>
          <w:sz w:val="18"/>
          <w:szCs w:val="18"/>
        </w:rPr>
        <w:t xml:space="preserve">(2018), The </w:t>
      </w:r>
      <w:r w:rsidRPr="007B5454">
        <w:rPr>
          <w:rFonts w:cs="Arial"/>
          <w:sz w:val="18"/>
          <w:szCs w:val="18"/>
        </w:rPr>
        <w:t>2018 Ageing Report</w:t>
      </w:r>
      <w:r>
        <w:rPr>
          <w:rFonts w:cs="Arial"/>
          <w:sz w:val="18"/>
          <w:szCs w:val="18"/>
        </w:rPr>
        <w:t>.</w:t>
      </w:r>
    </w:p>
  </w:footnote>
  <w:footnote w:id="17">
    <w:p w:rsidR="00B369B1" w:rsidRPr="00AC0495" w:rsidRDefault="00B369B1" w:rsidP="00305638">
      <w:pPr>
        <w:rPr>
          <w:sz w:val="16"/>
          <w:szCs w:val="16"/>
        </w:rPr>
      </w:pPr>
      <w:r w:rsidRPr="00AC0495">
        <w:rPr>
          <w:rStyle w:val="FootnoteReference"/>
          <w:sz w:val="16"/>
          <w:szCs w:val="16"/>
        </w:rPr>
        <w:footnoteRef/>
      </w:r>
      <w:r w:rsidRPr="00AC0495">
        <w:rPr>
          <w:sz w:val="16"/>
          <w:szCs w:val="16"/>
        </w:rPr>
        <w:t xml:space="preserve"> Indikatorji fiskalne vzdržnosti so </w:t>
      </w:r>
      <w:r>
        <w:rPr>
          <w:sz w:val="16"/>
          <w:szCs w:val="16"/>
        </w:rPr>
        <w:t xml:space="preserve">S0, </w:t>
      </w:r>
      <w:r w:rsidRPr="00AC0495">
        <w:rPr>
          <w:sz w:val="16"/>
          <w:szCs w:val="16"/>
        </w:rPr>
        <w:t>S1, S2</w:t>
      </w:r>
      <w:r>
        <w:rPr>
          <w:sz w:val="16"/>
          <w:szCs w:val="16"/>
        </w:rPr>
        <w:t>,</w:t>
      </w:r>
      <w:r w:rsidRPr="00AC0495">
        <w:rPr>
          <w:sz w:val="16"/>
          <w:szCs w:val="16"/>
        </w:rPr>
        <w:t xml:space="preserve"> ki kažejo</w:t>
      </w:r>
      <w:r>
        <w:rPr>
          <w:sz w:val="16"/>
          <w:szCs w:val="16"/>
        </w:rPr>
        <w:t>,</w:t>
      </w:r>
      <w:r w:rsidRPr="00AC0495">
        <w:rPr>
          <w:sz w:val="16"/>
          <w:szCs w:val="16"/>
        </w:rPr>
        <w:t xml:space="preserve"> v kolikšnem obsegu je </w:t>
      </w:r>
      <w:r>
        <w:rPr>
          <w:sz w:val="16"/>
          <w:szCs w:val="16"/>
        </w:rPr>
        <w:t>treba</w:t>
      </w:r>
      <w:r w:rsidRPr="00AC0495">
        <w:rPr>
          <w:sz w:val="16"/>
          <w:szCs w:val="16"/>
        </w:rPr>
        <w:t xml:space="preserve"> prilagajati politiko (fiskalno in strukturno) danes in v prihodnje za doseganje javnofinančne vzdržnosti. Predvsem sta pomembna kazalnika S1 in S2, ki merita zahtevano prilagoditev p</w:t>
      </w:r>
      <w:r>
        <w:rPr>
          <w:sz w:val="16"/>
          <w:szCs w:val="16"/>
        </w:rPr>
        <w:t>rimarnega salda sektorja država</w:t>
      </w:r>
      <w:r w:rsidRPr="00AC0495">
        <w:rPr>
          <w:sz w:val="16"/>
          <w:szCs w:val="16"/>
        </w:rPr>
        <w:t xml:space="preserve"> ob danem začetnem stanju javnih financ in zahtevanimi prilagoditvami zaradi stroškov staranja. Indikatorji fiskalne vzdržnosti </w:t>
      </w:r>
      <w:r>
        <w:rPr>
          <w:sz w:val="16"/>
          <w:szCs w:val="16"/>
        </w:rPr>
        <w:t>so objavljeni v Poročilu</w:t>
      </w:r>
      <w:r w:rsidRPr="00AC0495">
        <w:rPr>
          <w:sz w:val="16"/>
          <w:szCs w:val="16"/>
        </w:rPr>
        <w:t xml:space="preserve"> o fiskalni vzdržnosti 2018 (The Fiscal Sustainability Rep</w:t>
      </w:r>
      <w:r>
        <w:rPr>
          <w:sz w:val="16"/>
          <w:szCs w:val="16"/>
        </w:rPr>
        <w:t>o</w:t>
      </w:r>
      <w:r w:rsidRPr="00AC0495">
        <w:rPr>
          <w:sz w:val="16"/>
          <w:szCs w:val="16"/>
        </w:rPr>
        <w:t>rt 2018).</w:t>
      </w:r>
    </w:p>
    <w:p w:rsidR="00B369B1" w:rsidRDefault="00B369B1" w:rsidP="0030563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6BB8" w:rsidRDefault="00146BB8">
    <w:pPr>
      <w:pStyle w:val="Header"/>
    </w:pPr>
    <w:r>
      <w:rPr>
        <w:noProof/>
        <w:lang w:val="en-US"/>
      </w:rPr>
      <w:drawing>
        <wp:anchor distT="0" distB="0" distL="114300" distR="114300" simplePos="0" relativeHeight="251659264" behindDoc="0" locked="0" layoutInCell="1" allowOverlap="1" wp14:anchorId="4E0ADADF" wp14:editId="117B70DC">
          <wp:simplePos x="0" y="0"/>
          <wp:positionH relativeFrom="page">
            <wp:posOffset>160020</wp:posOffset>
          </wp:positionH>
          <wp:positionV relativeFrom="page">
            <wp:posOffset>75565</wp:posOffset>
          </wp:positionV>
          <wp:extent cx="4321810" cy="972185"/>
          <wp:effectExtent l="0" t="0" r="2540" b="0"/>
          <wp:wrapSquare wrapText="bothSides"/>
          <wp:docPr id="7" name="Slika 3" descr="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21810" cy="9721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446351"/>
    <w:multiLevelType w:val="multilevel"/>
    <w:tmpl w:val="75B40A38"/>
    <w:lvl w:ilvl="0">
      <w:start w:val="1"/>
      <w:numFmt w:val="decimal"/>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218659C1"/>
    <w:multiLevelType w:val="hybridMultilevel"/>
    <w:tmpl w:val="233E6864"/>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266F2B00"/>
    <w:multiLevelType w:val="hybridMultilevel"/>
    <w:tmpl w:val="BA026218"/>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32FB0B1F"/>
    <w:multiLevelType w:val="hybridMultilevel"/>
    <w:tmpl w:val="AB76460A"/>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3816696E"/>
    <w:multiLevelType w:val="hybridMultilevel"/>
    <w:tmpl w:val="FD70641E"/>
    <w:lvl w:ilvl="0" w:tplc="3D2ADD5E">
      <w:numFmt w:val="bullet"/>
      <w:lvlText w:val="̶"/>
      <w:lvlJc w:val="left"/>
      <w:pPr>
        <w:ind w:left="360" w:hanging="360"/>
      </w:pPr>
      <w:rPr>
        <w:rFonts w:ascii="Calibri" w:hAnsi="Calibri"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4A030CEC"/>
    <w:multiLevelType w:val="hybridMultilevel"/>
    <w:tmpl w:val="D5A00C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52FE3140"/>
    <w:multiLevelType w:val="hybridMultilevel"/>
    <w:tmpl w:val="2208D218"/>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561525CB"/>
    <w:multiLevelType w:val="hybridMultilevel"/>
    <w:tmpl w:val="A978E93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8">
    <w:nsid w:val="56247A05"/>
    <w:multiLevelType w:val="hybridMultilevel"/>
    <w:tmpl w:val="6602C344"/>
    <w:lvl w:ilvl="0" w:tplc="16820000">
      <w:numFmt w:val="bullet"/>
      <w:pStyle w:val="ListNumber"/>
      <w:lvlText w:val="-"/>
      <w:lvlJc w:val="left"/>
      <w:pPr>
        <w:ind w:left="720" w:hanging="360"/>
      </w:pPr>
      <w:rPr>
        <w:rFonts w:ascii="Arial" w:eastAsia="Times New Roman" w:hAnsi="Arial" w:cs="Arial" w:hint="default"/>
      </w:rPr>
    </w:lvl>
    <w:lvl w:ilvl="1" w:tplc="04240003" w:tentative="1">
      <w:start w:val="1"/>
      <w:numFmt w:val="bullet"/>
      <w:pStyle w:val="ListNumberLevel2"/>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5F37083C"/>
    <w:multiLevelType w:val="hybridMultilevel"/>
    <w:tmpl w:val="7A964AD0"/>
    <w:lvl w:ilvl="0" w:tplc="76808498">
      <w:numFmt w:val="bullet"/>
      <w:lvlText w:val="-"/>
      <w:lvlJc w:val="left"/>
      <w:pPr>
        <w:ind w:left="720" w:hanging="360"/>
      </w:pPr>
      <w:rPr>
        <w:rFonts w:ascii="Calibri" w:eastAsia="Calibri" w:hAnsi="Calibri"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0">
    <w:nsid w:val="6424172B"/>
    <w:multiLevelType w:val="hybridMultilevel"/>
    <w:tmpl w:val="0116E100"/>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64DB6B19"/>
    <w:multiLevelType w:val="hybridMultilevel"/>
    <w:tmpl w:val="E97E3BD0"/>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6A2D083E"/>
    <w:multiLevelType w:val="multilevel"/>
    <w:tmpl w:val="B1020EBA"/>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6C98422B"/>
    <w:multiLevelType w:val="hybridMultilevel"/>
    <w:tmpl w:val="4516D34A"/>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6CC8716D"/>
    <w:multiLevelType w:val="hybridMultilevel"/>
    <w:tmpl w:val="537E6256"/>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709545BC"/>
    <w:multiLevelType w:val="multilevel"/>
    <w:tmpl w:val="CE204532"/>
    <w:lvl w:ilvl="0">
      <w:start w:val="1"/>
      <w:numFmt w:val="decimal"/>
      <w:pStyle w:val="Heading1"/>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76944B5D"/>
    <w:multiLevelType w:val="hybridMultilevel"/>
    <w:tmpl w:val="5CE07CDC"/>
    <w:lvl w:ilvl="0" w:tplc="C848F7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C5942E8"/>
    <w:multiLevelType w:val="multilevel"/>
    <w:tmpl w:val="7E6C947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7F6C2AB1"/>
    <w:multiLevelType w:val="hybridMultilevel"/>
    <w:tmpl w:val="156AEF02"/>
    <w:lvl w:ilvl="0" w:tplc="76808498">
      <w:numFmt w:val="bullet"/>
      <w:lvlText w:val="-"/>
      <w:lvlJc w:val="left"/>
      <w:pPr>
        <w:ind w:left="360" w:hanging="360"/>
      </w:pPr>
      <w:rPr>
        <w:rFonts w:ascii="Calibri" w:eastAsia="Calibr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5"/>
  </w:num>
  <w:num w:numId="4">
    <w:abstractNumId w:val="0"/>
  </w:num>
  <w:num w:numId="5">
    <w:abstractNumId w:val="9"/>
  </w:num>
  <w:num w:numId="6">
    <w:abstractNumId w:val="17"/>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15"/>
  </w:num>
  <w:num w:numId="11">
    <w:abstractNumId w:val="15"/>
  </w:num>
  <w:num w:numId="12">
    <w:abstractNumId w:val="16"/>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5"/>
  </w:num>
  <w:num w:numId="16">
    <w:abstractNumId w:val="12"/>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14"/>
  </w:num>
  <w:num w:numId="23">
    <w:abstractNumId w:val="6"/>
  </w:num>
  <w:num w:numId="24">
    <w:abstractNumId w:val="13"/>
  </w:num>
  <w:num w:numId="25">
    <w:abstractNumId w:val="11"/>
  </w:num>
  <w:num w:numId="26">
    <w:abstractNumId w:val="2"/>
  </w:num>
  <w:num w:numId="27">
    <w:abstractNumId w:val="3"/>
  </w:num>
  <w:num w:numId="28">
    <w:abstractNumId w:val="10"/>
  </w:num>
  <w:num w:numId="29">
    <w:abstractNumId w:val="18"/>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1FD7"/>
    <w:rsid w:val="000026E6"/>
    <w:rsid w:val="00003B3F"/>
    <w:rsid w:val="00004164"/>
    <w:rsid w:val="000043DB"/>
    <w:rsid w:val="000047CB"/>
    <w:rsid w:val="000121C4"/>
    <w:rsid w:val="0001399E"/>
    <w:rsid w:val="00015F9A"/>
    <w:rsid w:val="00022A82"/>
    <w:rsid w:val="000249BA"/>
    <w:rsid w:val="00025E0C"/>
    <w:rsid w:val="00026381"/>
    <w:rsid w:val="0002737E"/>
    <w:rsid w:val="0002757D"/>
    <w:rsid w:val="000331FE"/>
    <w:rsid w:val="00034BF3"/>
    <w:rsid w:val="00036372"/>
    <w:rsid w:val="0003720E"/>
    <w:rsid w:val="00037859"/>
    <w:rsid w:val="0004290A"/>
    <w:rsid w:val="00044035"/>
    <w:rsid w:val="0004578E"/>
    <w:rsid w:val="00051828"/>
    <w:rsid w:val="00055250"/>
    <w:rsid w:val="00063278"/>
    <w:rsid w:val="00063ACD"/>
    <w:rsid w:val="00064DDF"/>
    <w:rsid w:val="00065E89"/>
    <w:rsid w:val="000677D0"/>
    <w:rsid w:val="00067B0A"/>
    <w:rsid w:val="00071BAE"/>
    <w:rsid w:val="00071C19"/>
    <w:rsid w:val="00077726"/>
    <w:rsid w:val="00077A6C"/>
    <w:rsid w:val="000813C0"/>
    <w:rsid w:val="00081F9C"/>
    <w:rsid w:val="00082E8C"/>
    <w:rsid w:val="000839BF"/>
    <w:rsid w:val="00083C23"/>
    <w:rsid w:val="000850C7"/>
    <w:rsid w:val="000853FE"/>
    <w:rsid w:val="00090B07"/>
    <w:rsid w:val="00093C25"/>
    <w:rsid w:val="00096629"/>
    <w:rsid w:val="000A2A15"/>
    <w:rsid w:val="000A4DFC"/>
    <w:rsid w:val="000B07FC"/>
    <w:rsid w:val="000B39D8"/>
    <w:rsid w:val="000B4753"/>
    <w:rsid w:val="000B54B6"/>
    <w:rsid w:val="000C0B21"/>
    <w:rsid w:val="000C201A"/>
    <w:rsid w:val="000C4CB5"/>
    <w:rsid w:val="000C5B6E"/>
    <w:rsid w:val="000C748B"/>
    <w:rsid w:val="000C7508"/>
    <w:rsid w:val="000C7F27"/>
    <w:rsid w:val="000D2567"/>
    <w:rsid w:val="000D3F26"/>
    <w:rsid w:val="000D486C"/>
    <w:rsid w:val="000D4E44"/>
    <w:rsid w:val="000E06F1"/>
    <w:rsid w:val="000F49FC"/>
    <w:rsid w:val="000F7748"/>
    <w:rsid w:val="001032E2"/>
    <w:rsid w:val="001036AE"/>
    <w:rsid w:val="00105211"/>
    <w:rsid w:val="00111B5D"/>
    <w:rsid w:val="001128C7"/>
    <w:rsid w:val="001137AD"/>
    <w:rsid w:val="00116A2C"/>
    <w:rsid w:val="00122B36"/>
    <w:rsid w:val="00123FCB"/>
    <w:rsid w:val="00125BC6"/>
    <w:rsid w:val="00130BA6"/>
    <w:rsid w:val="00131C0D"/>
    <w:rsid w:val="00131C5B"/>
    <w:rsid w:val="00134E5A"/>
    <w:rsid w:val="001350F6"/>
    <w:rsid w:val="001366DB"/>
    <w:rsid w:val="00140103"/>
    <w:rsid w:val="001428B6"/>
    <w:rsid w:val="001436F7"/>
    <w:rsid w:val="00146BB8"/>
    <w:rsid w:val="00146C3E"/>
    <w:rsid w:val="0015259C"/>
    <w:rsid w:val="0016518C"/>
    <w:rsid w:val="00171065"/>
    <w:rsid w:val="00171C15"/>
    <w:rsid w:val="00173824"/>
    <w:rsid w:val="00173FDE"/>
    <w:rsid w:val="001760D3"/>
    <w:rsid w:val="001766E0"/>
    <w:rsid w:val="00182780"/>
    <w:rsid w:val="00184942"/>
    <w:rsid w:val="001849E6"/>
    <w:rsid w:val="0018683D"/>
    <w:rsid w:val="00191967"/>
    <w:rsid w:val="00192031"/>
    <w:rsid w:val="00192071"/>
    <w:rsid w:val="001A2F5C"/>
    <w:rsid w:val="001A377B"/>
    <w:rsid w:val="001A38EE"/>
    <w:rsid w:val="001A7681"/>
    <w:rsid w:val="001A7E75"/>
    <w:rsid w:val="001A7F47"/>
    <w:rsid w:val="001B177D"/>
    <w:rsid w:val="001B1BF6"/>
    <w:rsid w:val="001B337A"/>
    <w:rsid w:val="001B4196"/>
    <w:rsid w:val="001B43E0"/>
    <w:rsid w:val="001B62E3"/>
    <w:rsid w:val="001C030B"/>
    <w:rsid w:val="001C1BB1"/>
    <w:rsid w:val="001C284E"/>
    <w:rsid w:val="001C58EF"/>
    <w:rsid w:val="001C7276"/>
    <w:rsid w:val="001C7DB7"/>
    <w:rsid w:val="001D0235"/>
    <w:rsid w:val="001D0D80"/>
    <w:rsid w:val="001D4DCB"/>
    <w:rsid w:val="001D5B80"/>
    <w:rsid w:val="001D6125"/>
    <w:rsid w:val="001D6610"/>
    <w:rsid w:val="001F00BB"/>
    <w:rsid w:val="001F1B14"/>
    <w:rsid w:val="001F1B7F"/>
    <w:rsid w:val="001F576B"/>
    <w:rsid w:val="001F6B32"/>
    <w:rsid w:val="001F7C74"/>
    <w:rsid w:val="0020119A"/>
    <w:rsid w:val="002013F7"/>
    <w:rsid w:val="00201A41"/>
    <w:rsid w:val="00204448"/>
    <w:rsid w:val="00204EDE"/>
    <w:rsid w:val="002129EE"/>
    <w:rsid w:val="002140A1"/>
    <w:rsid w:val="002142F8"/>
    <w:rsid w:val="00215550"/>
    <w:rsid w:val="002155CB"/>
    <w:rsid w:val="00216EAA"/>
    <w:rsid w:val="0022025F"/>
    <w:rsid w:val="00222C11"/>
    <w:rsid w:val="00224122"/>
    <w:rsid w:val="00225864"/>
    <w:rsid w:val="00225D74"/>
    <w:rsid w:val="002301B1"/>
    <w:rsid w:val="0023134A"/>
    <w:rsid w:val="00231E7D"/>
    <w:rsid w:val="0023395F"/>
    <w:rsid w:val="0023550A"/>
    <w:rsid w:val="002379D4"/>
    <w:rsid w:val="002428D8"/>
    <w:rsid w:val="002456F6"/>
    <w:rsid w:val="00245797"/>
    <w:rsid w:val="00246526"/>
    <w:rsid w:val="00250529"/>
    <w:rsid w:val="00252C00"/>
    <w:rsid w:val="00253D1C"/>
    <w:rsid w:val="002566F2"/>
    <w:rsid w:val="002567C3"/>
    <w:rsid w:val="00256FE6"/>
    <w:rsid w:val="00260372"/>
    <w:rsid w:val="0026231F"/>
    <w:rsid w:val="002626DD"/>
    <w:rsid w:val="00262B04"/>
    <w:rsid w:val="00264D40"/>
    <w:rsid w:val="00270AE4"/>
    <w:rsid w:val="00275D35"/>
    <w:rsid w:val="00276B68"/>
    <w:rsid w:val="002821EE"/>
    <w:rsid w:val="0028226F"/>
    <w:rsid w:val="00285D8A"/>
    <w:rsid w:val="002870F7"/>
    <w:rsid w:val="00293EEB"/>
    <w:rsid w:val="00295B89"/>
    <w:rsid w:val="00295F08"/>
    <w:rsid w:val="00297530"/>
    <w:rsid w:val="002A1F2A"/>
    <w:rsid w:val="002A2AC2"/>
    <w:rsid w:val="002A3DB5"/>
    <w:rsid w:val="002A4368"/>
    <w:rsid w:val="002A58F6"/>
    <w:rsid w:val="002B058C"/>
    <w:rsid w:val="002B16EF"/>
    <w:rsid w:val="002B2F0C"/>
    <w:rsid w:val="002B404C"/>
    <w:rsid w:val="002B4261"/>
    <w:rsid w:val="002B7AEE"/>
    <w:rsid w:val="002C02D4"/>
    <w:rsid w:val="002C157C"/>
    <w:rsid w:val="002C35BF"/>
    <w:rsid w:val="002C6945"/>
    <w:rsid w:val="002C7160"/>
    <w:rsid w:val="002D02E0"/>
    <w:rsid w:val="002D08AF"/>
    <w:rsid w:val="002D1230"/>
    <w:rsid w:val="002D13AC"/>
    <w:rsid w:val="002D2271"/>
    <w:rsid w:val="002D6E6A"/>
    <w:rsid w:val="002E13DC"/>
    <w:rsid w:val="002E3C2D"/>
    <w:rsid w:val="002E49CB"/>
    <w:rsid w:val="002E6198"/>
    <w:rsid w:val="002E7289"/>
    <w:rsid w:val="002F08E2"/>
    <w:rsid w:val="002F2AD5"/>
    <w:rsid w:val="002F6BDD"/>
    <w:rsid w:val="00300564"/>
    <w:rsid w:val="00300983"/>
    <w:rsid w:val="00302135"/>
    <w:rsid w:val="00305638"/>
    <w:rsid w:val="003129EE"/>
    <w:rsid w:val="00312D17"/>
    <w:rsid w:val="003130D9"/>
    <w:rsid w:val="00314838"/>
    <w:rsid w:val="00314CF8"/>
    <w:rsid w:val="0031681B"/>
    <w:rsid w:val="003171A9"/>
    <w:rsid w:val="003222B7"/>
    <w:rsid w:val="00325252"/>
    <w:rsid w:val="003259EE"/>
    <w:rsid w:val="00326157"/>
    <w:rsid w:val="0032713B"/>
    <w:rsid w:val="00327CD9"/>
    <w:rsid w:val="003305A9"/>
    <w:rsid w:val="00330913"/>
    <w:rsid w:val="00332FA6"/>
    <w:rsid w:val="00333152"/>
    <w:rsid w:val="003346B8"/>
    <w:rsid w:val="00335874"/>
    <w:rsid w:val="00335C4F"/>
    <w:rsid w:val="00347E5B"/>
    <w:rsid w:val="0035015E"/>
    <w:rsid w:val="00350AC2"/>
    <w:rsid w:val="00350B19"/>
    <w:rsid w:val="00353050"/>
    <w:rsid w:val="00354A10"/>
    <w:rsid w:val="00354D13"/>
    <w:rsid w:val="00360407"/>
    <w:rsid w:val="0036044E"/>
    <w:rsid w:val="0036046D"/>
    <w:rsid w:val="00360B61"/>
    <w:rsid w:val="003623E1"/>
    <w:rsid w:val="00363515"/>
    <w:rsid w:val="00363A74"/>
    <w:rsid w:val="00363C96"/>
    <w:rsid w:val="003652A5"/>
    <w:rsid w:val="003656C7"/>
    <w:rsid w:val="00365C5B"/>
    <w:rsid w:val="00366581"/>
    <w:rsid w:val="00366CF0"/>
    <w:rsid w:val="00367070"/>
    <w:rsid w:val="00370218"/>
    <w:rsid w:val="0037132D"/>
    <w:rsid w:val="00375736"/>
    <w:rsid w:val="00377D8E"/>
    <w:rsid w:val="00381EEF"/>
    <w:rsid w:val="003873CF"/>
    <w:rsid w:val="003873E7"/>
    <w:rsid w:val="00387CB8"/>
    <w:rsid w:val="003902A3"/>
    <w:rsid w:val="00391C1D"/>
    <w:rsid w:val="00393861"/>
    <w:rsid w:val="003942AA"/>
    <w:rsid w:val="00395433"/>
    <w:rsid w:val="0039657B"/>
    <w:rsid w:val="003A1B0F"/>
    <w:rsid w:val="003A1B2C"/>
    <w:rsid w:val="003A3117"/>
    <w:rsid w:val="003A4430"/>
    <w:rsid w:val="003A6C11"/>
    <w:rsid w:val="003A7028"/>
    <w:rsid w:val="003B08DE"/>
    <w:rsid w:val="003B15B9"/>
    <w:rsid w:val="003B297D"/>
    <w:rsid w:val="003B59B8"/>
    <w:rsid w:val="003C435C"/>
    <w:rsid w:val="003C78EA"/>
    <w:rsid w:val="003D0D8D"/>
    <w:rsid w:val="003D0DEA"/>
    <w:rsid w:val="003D1EEC"/>
    <w:rsid w:val="003D35B0"/>
    <w:rsid w:val="003D4B2D"/>
    <w:rsid w:val="003D6FD5"/>
    <w:rsid w:val="003E1A05"/>
    <w:rsid w:val="003E2D53"/>
    <w:rsid w:val="003E51BF"/>
    <w:rsid w:val="003E757B"/>
    <w:rsid w:val="003F00FB"/>
    <w:rsid w:val="003F10B2"/>
    <w:rsid w:val="003F5164"/>
    <w:rsid w:val="00401050"/>
    <w:rsid w:val="004065F2"/>
    <w:rsid w:val="00406EA8"/>
    <w:rsid w:val="004110AE"/>
    <w:rsid w:val="004115BA"/>
    <w:rsid w:val="004115F8"/>
    <w:rsid w:val="00411762"/>
    <w:rsid w:val="00413AA9"/>
    <w:rsid w:val="00413EAB"/>
    <w:rsid w:val="0041507C"/>
    <w:rsid w:val="00415650"/>
    <w:rsid w:val="00415789"/>
    <w:rsid w:val="00416BDF"/>
    <w:rsid w:val="00421B4A"/>
    <w:rsid w:val="00421FC8"/>
    <w:rsid w:val="00424CC1"/>
    <w:rsid w:val="00427E8D"/>
    <w:rsid w:val="00430F5A"/>
    <w:rsid w:val="00431721"/>
    <w:rsid w:val="004342B8"/>
    <w:rsid w:val="0043432B"/>
    <w:rsid w:val="004367BF"/>
    <w:rsid w:val="004376D2"/>
    <w:rsid w:val="004455FC"/>
    <w:rsid w:val="00446671"/>
    <w:rsid w:val="004466CF"/>
    <w:rsid w:val="00447156"/>
    <w:rsid w:val="00447462"/>
    <w:rsid w:val="00450E6E"/>
    <w:rsid w:val="004514AC"/>
    <w:rsid w:val="00456E76"/>
    <w:rsid w:val="00461915"/>
    <w:rsid w:val="00462708"/>
    <w:rsid w:val="00464919"/>
    <w:rsid w:val="00471508"/>
    <w:rsid w:val="00476A60"/>
    <w:rsid w:val="004811BE"/>
    <w:rsid w:val="00483477"/>
    <w:rsid w:val="00484F15"/>
    <w:rsid w:val="00486843"/>
    <w:rsid w:val="00486CA2"/>
    <w:rsid w:val="00487543"/>
    <w:rsid w:val="004979CB"/>
    <w:rsid w:val="004A442D"/>
    <w:rsid w:val="004A477A"/>
    <w:rsid w:val="004A4C88"/>
    <w:rsid w:val="004A65B4"/>
    <w:rsid w:val="004A6FD3"/>
    <w:rsid w:val="004B272B"/>
    <w:rsid w:val="004B2C5B"/>
    <w:rsid w:val="004B4804"/>
    <w:rsid w:val="004B4E7D"/>
    <w:rsid w:val="004B52A9"/>
    <w:rsid w:val="004B7E7B"/>
    <w:rsid w:val="004C3874"/>
    <w:rsid w:val="004C6D6C"/>
    <w:rsid w:val="004C6ED8"/>
    <w:rsid w:val="004C7FAB"/>
    <w:rsid w:val="004D27C6"/>
    <w:rsid w:val="004D2ECF"/>
    <w:rsid w:val="004D53B0"/>
    <w:rsid w:val="004D62E7"/>
    <w:rsid w:val="004D7192"/>
    <w:rsid w:val="004E0F8E"/>
    <w:rsid w:val="004E1C96"/>
    <w:rsid w:val="004E3CE4"/>
    <w:rsid w:val="004E4397"/>
    <w:rsid w:val="004F2C4E"/>
    <w:rsid w:val="004F4AF5"/>
    <w:rsid w:val="00503BA8"/>
    <w:rsid w:val="00510EC4"/>
    <w:rsid w:val="00512193"/>
    <w:rsid w:val="00512C47"/>
    <w:rsid w:val="00516B56"/>
    <w:rsid w:val="005229D1"/>
    <w:rsid w:val="00525AE0"/>
    <w:rsid w:val="005269BB"/>
    <w:rsid w:val="00527328"/>
    <w:rsid w:val="00527378"/>
    <w:rsid w:val="00530322"/>
    <w:rsid w:val="005331C9"/>
    <w:rsid w:val="005349CB"/>
    <w:rsid w:val="00534D98"/>
    <w:rsid w:val="00536BFF"/>
    <w:rsid w:val="00542BEB"/>
    <w:rsid w:val="00542CF1"/>
    <w:rsid w:val="00543FF2"/>
    <w:rsid w:val="00545319"/>
    <w:rsid w:val="00545393"/>
    <w:rsid w:val="0054569C"/>
    <w:rsid w:val="00547BD9"/>
    <w:rsid w:val="00550DBB"/>
    <w:rsid w:val="005527F7"/>
    <w:rsid w:val="005534C9"/>
    <w:rsid w:val="00553C5D"/>
    <w:rsid w:val="00553FED"/>
    <w:rsid w:val="005551BB"/>
    <w:rsid w:val="005571FD"/>
    <w:rsid w:val="00557FF2"/>
    <w:rsid w:val="0056091D"/>
    <w:rsid w:val="00560E1A"/>
    <w:rsid w:val="00561013"/>
    <w:rsid w:val="005621E2"/>
    <w:rsid w:val="0056403A"/>
    <w:rsid w:val="00567D58"/>
    <w:rsid w:val="0057447B"/>
    <w:rsid w:val="00580C61"/>
    <w:rsid w:val="00584318"/>
    <w:rsid w:val="00584B28"/>
    <w:rsid w:val="0059389A"/>
    <w:rsid w:val="005941A1"/>
    <w:rsid w:val="00594398"/>
    <w:rsid w:val="00594A2E"/>
    <w:rsid w:val="00595BBE"/>
    <w:rsid w:val="005962B0"/>
    <w:rsid w:val="005A1557"/>
    <w:rsid w:val="005A25DA"/>
    <w:rsid w:val="005A3248"/>
    <w:rsid w:val="005A46B4"/>
    <w:rsid w:val="005A5C42"/>
    <w:rsid w:val="005B1438"/>
    <w:rsid w:val="005B2980"/>
    <w:rsid w:val="005B401A"/>
    <w:rsid w:val="005B4D41"/>
    <w:rsid w:val="005B6715"/>
    <w:rsid w:val="005C36C0"/>
    <w:rsid w:val="005C542F"/>
    <w:rsid w:val="005D1EC0"/>
    <w:rsid w:val="005D54DA"/>
    <w:rsid w:val="005D7153"/>
    <w:rsid w:val="005E0FD3"/>
    <w:rsid w:val="005E1BEB"/>
    <w:rsid w:val="005E3606"/>
    <w:rsid w:val="005E3CCC"/>
    <w:rsid w:val="005E5222"/>
    <w:rsid w:val="005E661C"/>
    <w:rsid w:val="005F1229"/>
    <w:rsid w:val="005F1958"/>
    <w:rsid w:val="005F24B9"/>
    <w:rsid w:val="005F53B5"/>
    <w:rsid w:val="005F7FCC"/>
    <w:rsid w:val="00601432"/>
    <w:rsid w:val="0060310B"/>
    <w:rsid w:val="00605A55"/>
    <w:rsid w:val="00607AA5"/>
    <w:rsid w:val="00610218"/>
    <w:rsid w:val="00611815"/>
    <w:rsid w:val="00612961"/>
    <w:rsid w:val="00612A8D"/>
    <w:rsid w:val="00613F6F"/>
    <w:rsid w:val="006140B1"/>
    <w:rsid w:val="0061461F"/>
    <w:rsid w:val="00615059"/>
    <w:rsid w:val="0062681A"/>
    <w:rsid w:val="00632E79"/>
    <w:rsid w:val="00632FD9"/>
    <w:rsid w:val="00637DC7"/>
    <w:rsid w:val="00640631"/>
    <w:rsid w:val="006410E0"/>
    <w:rsid w:val="00641763"/>
    <w:rsid w:val="00643409"/>
    <w:rsid w:val="00643993"/>
    <w:rsid w:val="00643F63"/>
    <w:rsid w:val="00644FF1"/>
    <w:rsid w:val="006464D2"/>
    <w:rsid w:val="006470B8"/>
    <w:rsid w:val="00647FDC"/>
    <w:rsid w:val="00657372"/>
    <w:rsid w:val="00662941"/>
    <w:rsid w:val="006634FE"/>
    <w:rsid w:val="00671239"/>
    <w:rsid w:val="00674FB1"/>
    <w:rsid w:val="00677586"/>
    <w:rsid w:val="00680F35"/>
    <w:rsid w:val="00682B51"/>
    <w:rsid w:val="006863B9"/>
    <w:rsid w:val="00694F6B"/>
    <w:rsid w:val="006A3F9F"/>
    <w:rsid w:val="006A4277"/>
    <w:rsid w:val="006B29BB"/>
    <w:rsid w:val="006B3A57"/>
    <w:rsid w:val="006C1299"/>
    <w:rsid w:val="006C1E6C"/>
    <w:rsid w:val="006C2015"/>
    <w:rsid w:val="006C32E3"/>
    <w:rsid w:val="006C524F"/>
    <w:rsid w:val="006C5BCC"/>
    <w:rsid w:val="006C6F6E"/>
    <w:rsid w:val="006C7F0D"/>
    <w:rsid w:val="006D10E0"/>
    <w:rsid w:val="006D4E90"/>
    <w:rsid w:val="006D54AB"/>
    <w:rsid w:val="006D5A66"/>
    <w:rsid w:val="006D5B8D"/>
    <w:rsid w:val="006E004B"/>
    <w:rsid w:val="006E0F62"/>
    <w:rsid w:val="006E42CA"/>
    <w:rsid w:val="006E4856"/>
    <w:rsid w:val="006E4A7E"/>
    <w:rsid w:val="006E5A7A"/>
    <w:rsid w:val="006E5EDE"/>
    <w:rsid w:val="006E66DA"/>
    <w:rsid w:val="006F345A"/>
    <w:rsid w:val="006F4344"/>
    <w:rsid w:val="006F4760"/>
    <w:rsid w:val="006F72A0"/>
    <w:rsid w:val="007034BF"/>
    <w:rsid w:val="007058B7"/>
    <w:rsid w:val="0071055F"/>
    <w:rsid w:val="00710D16"/>
    <w:rsid w:val="00711356"/>
    <w:rsid w:val="007120DE"/>
    <w:rsid w:val="00712B0D"/>
    <w:rsid w:val="00713C0A"/>
    <w:rsid w:val="00716298"/>
    <w:rsid w:val="007211EB"/>
    <w:rsid w:val="00721760"/>
    <w:rsid w:val="007230E2"/>
    <w:rsid w:val="007241E1"/>
    <w:rsid w:val="00725011"/>
    <w:rsid w:val="00726C8B"/>
    <w:rsid w:val="00727413"/>
    <w:rsid w:val="00730279"/>
    <w:rsid w:val="00733A88"/>
    <w:rsid w:val="00734369"/>
    <w:rsid w:val="007379EF"/>
    <w:rsid w:val="00741D01"/>
    <w:rsid w:val="0074495F"/>
    <w:rsid w:val="00745C74"/>
    <w:rsid w:val="00750AF4"/>
    <w:rsid w:val="0075307A"/>
    <w:rsid w:val="00754AA8"/>
    <w:rsid w:val="00755DD4"/>
    <w:rsid w:val="00757468"/>
    <w:rsid w:val="00761FD7"/>
    <w:rsid w:val="00765A00"/>
    <w:rsid w:val="00765F81"/>
    <w:rsid w:val="0076682C"/>
    <w:rsid w:val="00773104"/>
    <w:rsid w:val="0077340E"/>
    <w:rsid w:val="00777F58"/>
    <w:rsid w:val="007828C4"/>
    <w:rsid w:val="00784515"/>
    <w:rsid w:val="0079109F"/>
    <w:rsid w:val="0079162A"/>
    <w:rsid w:val="007916E9"/>
    <w:rsid w:val="007956BA"/>
    <w:rsid w:val="00795992"/>
    <w:rsid w:val="00797A23"/>
    <w:rsid w:val="007A0A53"/>
    <w:rsid w:val="007A72A9"/>
    <w:rsid w:val="007B0929"/>
    <w:rsid w:val="007B1734"/>
    <w:rsid w:val="007B2B92"/>
    <w:rsid w:val="007B37DA"/>
    <w:rsid w:val="007B4603"/>
    <w:rsid w:val="007B4DD0"/>
    <w:rsid w:val="007B5454"/>
    <w:rsid w:val="007B6775"/>
    <w:rsid w:val="007B6E64"/>
    <w:rsid w:val="007C2861"/>
    <w:rsid w:val="007C28A9"/>
    <w:rsid w:val="007C42DC"/>
    <w:rsid w:val="007D09A1"/>
    <w:rsid w:val="007D0E2D"/>
    <w:rsid w:val="007D1BAC"/>
    <w:rsid w:val="007D23B1"/>
    <w:rsid w:val="007D3455"/>
    <w:rsid w:val="007D3863"/>
    <w:rsid w:val="007E042A"/>
    <w:rsid w:val="007E1719"/>
    <w:rsid w:val="007E1999"/>
    <w:rsid w:val="007E2979"/>
    <w:rsid w:val="007E2DA5"/>
    <w:rsid w:val="007E50A7"/>
    <w:rsid w:val="007E50A8"/>
    <w:rsid w:val="007E5D22"/>
    <w:rsid w:val="007E711C"/>
    <w:rsid w:val="007F156E"/>
    <w:rsid w:val="007F1FFC"/>
    <w:rsid w:val="007F4A11"/>
    <w:rsid w:val="007F66B1"/>
    <w:rsid w:val="007F778C"/>
    <w:rsid w:val="007F7ACF"/>
    <w:rsid w:val="007F7C91"/>
    <w:rsid w:val="008012A4"/>
    <w:rsid w:val="00803890"/>
    <w:rsid w:val="00804045"/>
    <w:rsid w:val="008054DF"/>
    <w:rsid w:val="00806C2E"/>
    <w:rsid w:val="008132D6"/>
    <w:rsid w:val="0081446A"/>
    <w:rsid w:val="00814EF7"/>
    <w:rsid w:val="0082076E"/>
    <w:rsid w:val="00823FA9"/>
    <w:rsid w:val="008256EF"/>
    <w:rsid w:val="0082742F"/>
    <w:rsid w:val="00827664"/>
    <w:rsid w:val="00827FD8"/>
    <w:rsid w:val="008329AE"/>
    <w:rsid w:val="00833FA3"/>
    <w:rsid w:val="00837E24"/>
    <w:rsid w:val="00841223"/>
    <w:rsid w:val="0084632E"/>
    <w:rsid w:val="00847208"/>
    <w:rsid w:val="00847991"/>
    <w:rsid w:val="00850FCF"/>
    <w:rsid w:val="0085115C"/>
    <w:rsid w:val="008531C2"/>
    <w:rsid w:val="008558B8"/>
    <w:rsid w:val="00860371"/>
    <w:rsid w:val="0086136C"/>
    <w:rsid w:val="00867F69"/>
    <w:rsid w:val="008710CF"/>
    <w:rsid w:val="00871E14"/>
    <w:rsid w:val="00872182"/>
    <w:rsid w:val="00872505"/>
    <w:rsid w:val="00875114"/>
    <w:rsid w:val="008766AF"/>
    <w:rsid w:val="00876A2D"/>
    <w:rsid w:val="008779DB"/>
    <w:rsid w:val="00881947"/>
    <w:rsid w:val="00881F55"/>
    <w:rsid w:val="00883410"/>
    <w:rsid w:val="00886082"/>
    <w:rsid w:val="00891161"/>
    <w:rsid w:val="00891667"/>
    <w:rsid w:val="00894C16"/>
    <w:rsid w:val="00895DCC"/>
    <w:rsid w:val="00897C8D"/>
    <w:rsid w:val="008A1115"/>
    <w:rsid w:val="008A5C9E"/>
    <w:rsid w:val="008A72A7"/>
    <w:rsid w:val="008B017B"/>
    <w:rsid w:val="008B0B27"/>
    <w:rsid w:val="008B36ED"/>
    <w:rsid w:val="008B53DC"/>
    <w:rsid w:val="008B6288"/>
    <w:rsid w:val="008B6B16"/>
    <w:rsid w:val="008B732E"/>
    <w:rsid w:val="008C0F19"/>
    <w:rsid w:val="008C3ADC"/>
    <w:rsid w:val="008C4270"/>
    <w:rsid w:val="008C51AE"/>
    <w:rsid w:val="008D061D"/>
    <w:rsid w:val="008D114D"/>
    <w:rsid w:val="008D1F43"/>
    <w:rsid w:val="008D4618"/>
    <w:rsid w:val="008E4BBF"/>
    <w:rsid w:val="008E71EB"/>
    <w:rsid w:val="008E7C0F"/>
    <w:rsid w:val="008E7C37"/>
    <w:rsid w:val="008F02BB"/>
    <w:rsid w:val="008F197F"/>
    <w:rsid w:val="008F1AFB"/>
    <w:rsid w:val="008F298E"/>
    <w:rsid w:val="008F6439"/>
    <w:rsid w:val="009008F5"/>
    <w:rsid w:val="00900F14"/>
    <w:rsid w:val="00901694"/>
    <w:rsid w:val="0090253D"/>
    <w:rsid w:val="00902669"/>
    <w:rsid w:val="00903BF6"/>
    <w:rsid w:val="00904683"/>
    <w:rsid w:val="00905308"/>
    <w:rsid w:val="00905E9C"/>
    <w:rsid w:val="00912031"/>
    <w:rsid w:val="0091222D"/>
    <w:rsid w:val="0091339A"/>
    <w:rsid w:val="00913654"/>
    <w:rsid w:val="00917316"/>
    <w:rsid w:val="00921782"/>
    <w:rsid w:val="009276AA"/>
    <w:rsid w:val="00933E28"/>
    <w:rsid w:val="00935D2A"/>
    <w:rsid w:val="00937587"/>
    <w:rsid w:val="00937E33"/>
    <w:rsid w:val="00941816"/>
    <w:rsid w:val="009516B1"/>
    <w:rsid w:val="00956739"/>
    <w:rsid w:val="009567A3"/>
    <w:rsid w:val="00957272"/>
    <w:rsid w:val="00960375"/>
    <w:rsid w:val="00960562"/>
    <w:rsid w:val="00962E54"/>
    <w:rsid w:val="00962FBA"/>
    <w:rsid w:val="0096314A"/>
    <w:rsid w:val="009632CC"/>
    <w:rsid w:val="00964E40"/>
    <w:rsid w:val="009651B4"/>
    <w:rsid w:val="00965D72"/>
    <w:rsid w:val="00977A21"/>
    <w:rsid w:val="00977EDD"/>
    <w:rsid w:val="00977EF5"/>
    <w:rsid w:val="00981F2C"/>
    <w:rsid w:val="00982785"/>
    <w:rsid w:val="00982D5D"/>
    <w:rsid w:val="00983E8A"/>
    <w:rsid w:val="0098581D"/>
    <w:rsid w:val="00985A7B"/>
    <w:rsid w:val="009919EB"/>
    <w:rsid w:val="00993EB8"/>
    <w:rsid w:val="009940AD"/>
    <w:rsid w:val="0099688B"/>
    <w:rsid w:val="00996B6B"/>
    <w:rsid w:val="009A1618"/>
    <w:rsid w:val="009A24F4"/>
    <w:rsid w:val="009A2CB2"/>
    <w:rsid w:val="009A4333"/>
    <w:rsid w:val="009A4FCA"/>
    <w:rsid w:val="009A637F"/>
    <w:rsid w:val="009A6817"/>
    <w:rsid w:val="009B0254"/>
    <w:rsid w:val="009B2C44"/>
    <w:rsid w:val="009B376C"/>
    <w:rsid w:val="009B4CE5"/>
    <w:rsid w:val="009B5300"/>
    <w:rsid w:val="009B6524"/>
    <w:rsid w:val="009C1833"/>
    <w:rsid w:val="009C31D1"/>
    <w:rsid w:val="009C4689"/>
    <w:rsid w:val="009E0342"/>
    <w:rsid w:val="009E0CAF"/>
    <w:rsid w:val="009E222B"/>
    <w:rsid w:val="009E3906"/>
    <w:rsid w:val="009E6A31"/>
    <w:rsid w:val="009E7A2E"/>
    <w:rsid w:val="009E7EEF"/>
    <w:rsid w:val="009F1DB0"/>
    <w:rsid w:val="009F2B0F"/>
    <w:rsid w:val="009F2F7F"/>
    <w:rsid w:val="009F35E9"/>
    <w:rsid w:val="009F5E46"/>
    <w:rsid w:val="009F6C51"/>
    <w:rsid w:val="00A01925"/>
    <w:rsid w:val="00A03A5D"/>
    <w:rsid w:val="00A06521"/>
    <w:rsid w:val="00A073AE"/>
    <w:rsid w:val="00A104F4"/>
    <w:rsid w:val="00A13B91"/>
    <w:rsid w:val="00A15B8A"/>
    <w:rsid w:val="00A178C2"/>
    <w:rsid w:val="00A1798F"/>
    <w:rsid w:val="00A22F35"/>
    <w:rsid w:val="00A250CC"/>
    <w:rsid w:val="00A256A9"/>
    <w:rsid w:val="00A25B56"/>
    <w:rsid w:val="00A267FD"/>
    <w:rsid w:val="00A26BDC"/>
    <w:rsid w:val="00A3139A"/>
    <w:rsid w:val="00A3421F"/>
    <w:rsid w:val="00A34D54"/>
    <w:rsid w:val="00A43585"/>
    <w:rsid w:val="00A442F4"/>
    <w:rsid w:val="00A564CD"/>
    <w:rsid w:val="00A612E4"/>
    <w:rsid w:val="00A625E6"/>
    <w:rsid w:val="00A62917"/>
    <w:rsid w:val="00A62AE5"/>
    <w:rsid w:val="00A6507F"/>
    <w:rsid w:val="00A676D9"/>
    <w:rsid w:val="00A729A8"/>
    <w:rsid w:val="00A73502"/>
    <w:rsid w:val="00A740A8"/>
    <w:rsid w:val="00A75470"/>
    <w:rsid w:val="00A756D7"/>
    <w:rsid w:val="00A77179"/>
    <w:rsid w:val="00A82B43"/>
    <w:rsid w:val="00A8468A"/>
    <w:rsid w:val="00A86232"/>
    <w:rsid w:val="00A91893"/>
    <w:rsid w:val="00A942B3"/>
    <w:rsid w:val="00A955DD"/>
    <w:rsid w:val="00A966C2"/>
    <w:rsid w:val="00AA0E6D"/>
    <w:rsid w:val="00AA4393"/>
    <w:rsid w:val="00AA4D3D"/>
    <w:rsid w:val="00AA7C07"/>
    <w:rsid w:val="00AB1888"/>
    <w:rsid w:val="00AB30FF"/>
    <w:rsid w:val="00AB58C8"/>
    <w:rsid w:val="00AC0495"/>
    <w:rsid w:val="00AC078E"/>
    <w:rsid w:val="00AC3226"/>
    <w:rsid w:val="00AC696C"/>
    <w:rsid w:val="00AC7B25"/>
    <w:rsid w:val="00AD0153"/>
    <w:rsid w:val="00AD0819"/>
    <w:rsid w:val="00AD0B79"/>
    <w:rsid w:val="00AD4A31"/>
    <w:rsid w:val="00AD4DFD"/>
    <w:rsid w:val="00AD54AF"/>
    <w:rsid w:val="00AD6308"/>
    <w:rsid w:val="00AD6DC1"/>
    <w:rsid w:val="00AD7294"/>
    <w:rsid w:val="00AD7536"/>
    <w:rsid w:val="00AE03BF"/>
    <w:rsid w:val="00AE1C96"/>
    <w:rsid w:val="00AE2C2E"/>
    <w:rsid w:val="00AE63D7"/>
    <w:rsid w:val="00AE71C4"/>
    <w:rsid w:val="00AF082A"/>
    <w:rsid w:val="00AF0A56"/>
    <w:rsid w:val="00AF3AA8"/>
    <w:rsid w:val="00AF5BCD"/>
    <w:rsid w:val="00B001EB"/>
    <w:rsid w:val="00B004C6"/>
    <w:rsid w:val="00B00A0D"/>
    <w:rsid w:val="00B017BB"/>
    <w:rsid w:val="00B06702"/>
    <w:rsid w:val="00B07D5C"/>
    <w:rsid w:val="00B15C1E"/>
    <w:rsid w:val="00B16577"/>
    <w:rsid w:val="00B17014"/>
    <w:rsid w:val="00B20850"/>
    <w:rsid w:val="00B20C6E"/>
    <w:rsid w:val="00B23785"/>
    <w:rsid w:val="00B237D3"/>
    <w:rsid w:val="00B250B5"/>
    <w:rsid w:val="00B251CC"/>
    <w:rsid w:val="00B369B1"/>
    <w:rsid w:val="00B37CFE"/>
    <w:rsid w:val="00B41BD5"/>
    <w:rsid w:val="00B42F3D"/>
    <w:rsid w:val="00B4317C"/>
    <w:rsid w:val="00B43F4B"/>
    <w:rsid w:val="00B4458B"/>
    <w:rsid w:val="00B46632"/>
    <w:rsid w:val="00B5366A"/>
    <w:rsid w:val="00B54CDB"/>
    <w:rsid w:val="00B55111"/>
    <w:rsid w:val="00B55824"/>
    <w:rsid w:val="00B648D3"/>
    <w:rsid w:val="00B654ED"/>
    <w:rsid w:val="00B715F8"/>
    <w:rsid w:val="00B718F0"/>
    <w:rsid w:val="00B734E6"/>
    <w:rsid w:val="00B73B7A"/>
    <w:rsid w:val="00B73F62"/>
    <w:rsid w:val="00B80F4F"/>
    <w:rsid w:val="00B83053"/>
    <w:rsid w:val="00B835F9"/>
    <w:rsid w:val="00B838B0"/>
    <w:rsid w:val="00B840D6"/>
    <w:rsid w:val="00B8654D"/>
    <w:rsid w:val="00B879D1"/>
    <w:rsid w:val="00B91E60"/>
    <w:rsid w:val="00BA5ECC"/>
    <w:rsid w:val="00BA6227"/>
    <w:rsid w:val="00BA78B8"/>
    <w:rsid w:val="00BB280E"/>
    <w:rsid w:val="00BB6912"/>
    <w:rsid w:val="00BB6E3B"/>
    <w:rsid w:val="00BC167A"/>
    <w:rsid w:val="00BC5697"/>
    <w:rsid w:val="00BC5C07"/>
    <w:rsid w:val="00BC5C6B"/>
    <w:rsid w:val="00BC61E8"/>
    <w:rsid w:val="00BD07FE"/>
    <w:rsid w:val="00BD08D2"/>
    <w:rsid w:val="00BD327F"/>
    <w:rsid w:val="00BD383D"/>
    <w:rsid w:val="00BD5634"/>
    <w:rsid w:val="00BD5C9F"/>
    <w:rsid w:val="00BD5DE6"/>
    <w:rsid w:val="00BD6D17"/>
    <w:rsid w:val="00BD76B6"/>
    <w:rsid w:val="00BF36BA"/>
    <w:rsid w:val="00BF6459"/>
    <w:rsid w:val="00C053CA"/>
    <w:rsid w:val="00C055B3"/>
    <w:rsid w:val="00C061C3"/>
    <w:rsid w:val="00C06D51"/>
    <w:rsid w:val="00C079B4"/>
    <w:rsid w:val="00C10B6D"/>
    <w:rsid w:val="00C10FE9"/>
    <w:rsid w:val="00C1274B"/>
    <w:rsid w:val="00C16F74"/>
    <w:rsid w:val="00C17834"/>
    <w:rsid w:val="00C20E93"/>
    <w:rsid w:val="00C25250"/>
    <w:rsid w:val="00C252AC"/>
    <w:rsid w:val="00C26815"/>
    <w:rsid w:val="00C2684C"/>
    <w:rsid w:val="00C26EA8"/>
    <w:rsid w:val="00C3259A"/>
    <w:rsid w:val="00C329A2"/>
    <w:rsid w:val="00C3436D"/>
    <w:rsid w:val="00C34A4A"/>
    <w:rsid w:val="00C34ED4"/>
    <w:rsid w:val="00C3530F"/>
    <w:rsid w:val="00C35A30"/>
    <w:rsid w:val="00C37F08"/>
    <w:rsid w:val="00C41001"/>
    <w:rsid w:val="00C41F78"/>
    <w:rsid w:val="00C438A8"/>
    <w:rsid w:val="00C4487D"/>
    <w:rsid w:val="00C46639"/>
    <w:rsid w:val="00C4728E"/>
    <w:rsid w:val="00C475DB"/>
    <w:rsid w:val="00C47E81"/>
    <w:rsid w:val="00C51BB1"/>
    <w:rsid w:val="00C54FF9"/>
    <w:rsid w:val="00C5682B"/>
    <w:rsid w:val="00C6242D"/>
    <w:rsid w:val="00C62E8D"/>
    <w:rsid w:val="00C659D5"/>
    <w:rsid w:val="00C667A9"/>
    <w:rsid w:val="00C66E14"/>
    <w:rsid w:val="00C712D8"/>
    <w:rsid w:val="00C7401F"/>
    <w:rsid w:val="00C76BF2"/>
    <w:rsid w:val="00C81989"/>
    <w:rsid w:val="00C82D65"/>
    <w:rsid w:val="00C83104"/>
    <w:rsid w:val="00C86606"/>
    <w:rsid w:val="00C86806"/>
    <w:rsid w:val="00C90DD9"/>
    <w:rsid w:val="00C95DD4"/>
    <w:rsid w:val="00C97BE1"/>
    <w:rsid w:val="00CA3C44"/>
    <w:rsid w:val="00CA4F35"/>
    <w:rsid w:val="00CA6D84"/>
    <w:rsid w:val="00CB3F12"/>
    <w:rsid w:val="00CB6BA0"/>
    <w:rsid w:val="00CB7C5F"/>
    <w:rsid w:val="00CB7F87"/>
    <w:rsid w:val="00CC6600"/>
    <w:rsid w:val="00CC6DC7"/>
    <w:rsid w:val="00CD21BB"/>
    <w:rsid w:val="00CD31B1"/>
    <w:rsid w:val="00CE2C2B"/>
    <w:rsid w:val="00CE41C5"/>
    <w:rsid w:val="00CE4E11"/>
    <w:rsid w:val="00CE4F24"/>
    <w:rsid w:val="00CF1140"/>
    <w:rsid w:val="00CF1D0E"/>
    <w:rsid w:val="00CF208A"/>
    <w:rsid w:val="00CF297B"/>
    <w:rsid w:val="00CF2C51"/>
    <w:rsid w:val="00CF6031"/>
    <w:rsid w:val="00D00FD6"/>
    <w:rsid w:val="00D042EA"/>
    <w:rsid w:val="00D0639D"/>
    <w:rsid w:val="00D075A9"/>
    <w:rsid w:val="00D11B4B"/>
    <w:rsid w:val="00D1292E"/>
    <w:rsid w:val="00D13597"/>
    <w:rsid w:val="00D17CA3"/>
    <w:rsid w:val="00D232CA"/>
    <w:rsid w:val="00D245F5"/>
    <w:rsid w:val="00D2637A"/>
    <w:rsid w:val="00D271AA"/>
    <w:rsid w:val="00D27F28"/>
    <w:rsid w:val="00D31FF1"/>
    <w:rsid w:val="00D3547A"/>
    <w:rsid w:val="00D36C7E"/>
    <w:rsid w:val="00D40E8C"/>
    <w:rsid w:val="00D42FB1"/>
    <w:rsid w:val="00D43EDA"/>
    <w:rsid w:val="00D45D34"/>
    <w:rsid w:val="00D4612C"/>
    <w:rsid w:val="00D46325"/>
    <w:rsid w:val="00D51C1E"/>
    <w:rsid w:val="00D51ED7"/>
    <w:rsid w:val="00D522D3"/>
    <w:rsid w:val="00D5570D"/>
    <w:rsid w:val="00D564B1"/>
    <w:rsid w:val="00D56B0E"/>
    <w:rsid w:val="00D5743E"/>
    <w:rsid w:val="00D57727"/>
    <w:rsid w:val="00D645C1"/>
    <w:rsid w:val="00D705CF"/>
    <w:rsid w:val="00D803D6"/>
    <w:rsid w:val="00D81498"/>
    <w:rsid w:val="00D82E18"/>
    <w:rsid w:val="00D85C4F"/>
    <w:rsid w:val="00D86787"/>
    <w:rsid w:val="00D87CE2"/>
    <w:rsid w:val="00D87FFB"/>
    <w:rsid w:val="00D90DEB"/>
    <w:rsid w:val="00D93BC1"/>
    <w:rsid w:val="00D95988"/>
    <w:rsid w:val="00D97ACC"/>
    <w:rsid w:val="00DA3DC2"/>
    <w:rsid w:val="00DA4612"/>
    <w:rsid w:val="00DA5A79"/>
    <w:rsid w:val="00DA6E54"/>
    <w:rsid w:val="00DA6F28"/>
    <w:rsid w:val="00DA7674"/>
    <w:rsid w:val="00DB6109"/>
    <w:rsid w:val="00DB7270"/>
    <w:rsid w:val="00DC6671"/>
    <w:rsid w:val="00DC6CAC"/>
    <w:rsid w:val="00DC7959"/>
    <w:rsid w:val="00DD026D"/>
    <w:rsid w:val="00DD2B5B"/>
    <w:rsid w:val="00DD4D35"/>
    <w:rsid w:val="00DD50FD"/>
    <w:rsid w:val="00DD55EE"/>
    <w:rsid w:val="00DD685D"/>
    <w:rsid w:val="00DE6D10"/>
    <w:rsid w:val="00DF1E8B"/>
    <w:rsid w:val="00DF5E81"/>
    <w:rsid w:val="00DF6760"/>
    <w:rsid w:val="00DF73FF"/>
    <w:rsid w:val="00DF7444"/>
    <w:rsid w:val="00DF78D9"/>
    <w:rsid w:val="00E03D28"/>
    <w:rsid w:val="00E04C21"/>
    <w:rsid w:val="00E11712"/>
    <w:rsid w:val="00E1225C"/>
    <w:rsid w:val="00E167FD"/>
    <w:rsid w:val="00E1683A"/>
    <w:rsid w:val="00E17331"/>
    <w:rsid w:val="00E200AF"/>
    <w:rsid w:val="00E204B0"/>
    <w:rsid w:val="00E237C5"/>
    <w:rsid w:val="00E26696"/>
    <w:rsid w:val="00E33841"/>
    <w:rsid w:val="00E338B7"/>
    <w:rsid w:val="00E3443D"/>
    <w:rsid w:val="00E40A3A"/>
    <w:rsid w:val="00E40B8C"/>
    <w:rsid w:val="00E42609"/>
    <w:rsid w:val="00E42867"/>
    <w:rsid w:val="00E4595B"/>
    <w:rsid w:val="00E46B1E"/>
    <w:rsid w:val="00E47AF1"/>
    <w:rsid w:val="00E55052"/>
    <w:rsid w:val="00E5607A"/>
    <w:rsid w:val="00E565CA"/>
    <w:rsid w:val="00E56D3B"/>
    <w:rsid w:val="00E607CF"/>
    <w:rsid w:val="00E65FAC"/>
    <w:rsid w:val="00E661A1"/>
    <w:rsid w:val="00E73A07"/>
    <w:rsid w:val="00E73EB5"/>
    <w:rsid w:val="00E73F0F"/>
    <w:rsid w:val="00E75D50"/>
    <w:rsid w:val="00E76418"/>
    <w:rsid w:val="00E76A10"/>
    <w:rsid w:val="00E7770A"/>
    <w:rsid w:val="00E81309"/>
    <w:rsid w:val="00E857BA"/>
    <w:rsid w:val="00E868BE"/>
    <w:rsid w:val="00E87426"/>
    <w:rsid w:val="00E87557"/>
    <w:rsid w:val="00E877DF"/>
    <w:rsid w:val="00E90A7F"/>
    <w:rsid w:val="00E91453"/>
    <w:rsid w:val="00E9216F"/>
    <w:rsid w:val="00E930D3"/>
    <w:rsid w:val="00E94CE9"/>
    <w:rsid w:val="00E97AC5"/>
    <w:rsid w:val="00EA6D19"/>
    <w:rsid w:val="00EA70F2"/>
    <w:rsid w:val="00EA76FA"/>
    <w:rsid w:val="00EB013A"/>
    <w:rsid w:val="00EB09FD"/>
    <w:rsid w:val="00EB108A"/>
    <w:rsid w:val="00EB4B19"/>
    <w:rsid w:val="00EB53D8"/>
    <w:rsid w:val="00EB5A5D"/>
    <w:rsid w:val="00EB5C92"/>
    <w:rsid w:val="00EB745F"/>
    <w:rsid w:val="00ED19DC"/>
    <w:rsid w:val="00ED1FDB"/>
    <w:rsid w:val="00ED487B"/>
    <w:rsid w:val="00ED540A"/>
    <w:rsid w:val="00EE11A3"/>
    <w:rsid w:val="00EE1E5E"/>
    <w:rsid w:val="00EE3A7D"/>
    <w:rsid w:val="00EE3AA8"/>
    <w:rsid w:val="00EE5E1B"/>
    <w:rsid w:val="00EE655C"/>
    <w:rsid w:val="00EF2654"/>
    <w:rsid w:val="00EF3005"/>
    <w:rsid w:val="00EF36FE"/>
    <w:rsid w:val="00EF519B"/>
    <w:rsid w:val="00F009C9"/>
    <w:rsid w:val="00F03CD4"/>
    <w:rsid w:val="00F050A7"/>
    <w:rsid w:val="00F050C0"/>
    <w:rsid w:val="00F07D2C"/>
    <w:rsid w:val="00F07F5D"/>
    <w:rsid w:val="00F1025D"/>
    <w:rsid w:val="00F10A12"/>
    <w:rsid w:val="00F10CD6"/>
    <w:rsid w:val="00F10EEA"/>
    <w:rsid w:val="00F117BE"/>
    <w:rsid w:val="00F12CD5"/>
    <w:rsid w:val="00F20590"/>
    <w:rsid w:val="00F208EA"/>
    <w:rsid w:val="00F25F6E"/>
    <w:rsid w:val="00F26558"/>
    <w:rsid w:val="00F27560"/>
    <w:rsid w:val="00F275F3"/>
    <w:rsid w:val="00F3140B"/>
    <w:rsid w:val="00F316CF"/>
    <w:rsid w:val="00F354C8"/>
    <w:rsid w:val="00F355BA"/>
    <w:rsid w:val="00F36C2E"/>
    <w:rsid w:val="00F4015A"/>
    <w:rsid w:val="00F41B66"/>
    <w:rsid w:val="00F42256"/>
    <w:rsid w:val="00F53366"/>
    <w:rsid w:val="00F601B2"/>
    <w:rsid w:val="00F62780"/>
    <w:rsid w:val="00F62C93"/>
    <w:rsid w:val="00F709CC"/>
    <w:rsid w:val="00F724CC"/>
    <w:rsid w:val="00F72E70"/>
    <w:rsid w:val="00F74606"/>
    <w:rsid w:val="00F808CB"/>
    <w:rsid w:val="00F819FA"/>
    <w:rsid w:val="00F83A9A"/>
    <w:rsid w:val="00F867F4"/>
    <w:rsid w:val="00F8685A"/>
    <w:rsid w:val="00F9105C"/>
    <w:rsid w:val="00F91BAE"/>
    <w:rsid w:val="00F95DDD"/>
    <w:rsid w:val="00F95FC8"/>
    <w:rsid w:val="00F97A33"/>
    <w:rsid w:val="00F97F4C"/>
    <w:rsid w:val="00FA24E0"/>
    <w:rsid w:val="00FA4C3F"/>
    <w:rsid w:val="00FB5479"/>
    <w:rsid w:val="00FB6304"/>
    <w:rsid w:val="00FC0274"/>
    <w:rsid w:val="00FC3D2B"/>
    <w:rsid w:val="00FC409E"/>
    <w:rsid w:val="00FC55E8"/>
    <w:rsid w:val="00FC7EF8"/>
    <w:rsid w:val="00FD26D3"/>
    <w:rsid w:val="00FD3464"/>
    <w:rsid w:val="00FD3539"/>
    <w:rsid w:val="00FD53E8"/>
    <w:rsid w:val="00FD579B"/>
    <w:rsid w:val="00FD63A4"/>
    <w:rsid w:val="00FE2772"/>
    <w:rsid w:val="00FE337F"/>
    <w:rsid w:val="00FE5ADA"/>
    <w:rsid w:val="00FF07C8"/>
    <w:rsid w:val="00FF490F"/>
    <w:rsid w:val="00FF4D4E"/>
    <w:rsid w:val="00FF6AB0"/>
    <w:rsid w:val="00FF6AF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able of figures" w:qFormat="1"/>
    <w:lsdException w:name="footnote reference" w:qFormat="1"/>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371"/>
    <w:pPr>
      <w:spacing w:line="240" w:lineRule="auto"/>
      <w:jc w:val="both"/>
    </w:pPr>
    <w:rPr>
      <w:rFonts w:ascii="Arial" w:hAnsi="Arial"/>
    </w:rPr>
  </w:style>
  <w:style w:type="paragraph" w:styleId="Heading1">
    <w:name w:val="heading 1"/>
    <w:basedOn w:val="Normal"/>
    <w:next w:val="Normal"/>
    <w:link w:val="Heading1Char"/>
    <w:uiPriority w:val="9"/>
    <w:qFormat/>
    <w:rsid w:val="007B1734"/>
    <w:pPr>
      <w:keepNext/>
      <w:keepLines/>
      <w:numPr>
        <w:numId w:val="3"/>
      </w:numPr>
      <w:spacing w:before="480" w:after="0"/>
      <w:outlineLvl w:val="0"/>
    </w:pPr>
    <w:rPr>
      <w:rFonts w:eastAsiaTheme="majorEastAsia" w:cs="Arial"/>
      <w:b/>
      <w:bCs/>
    </w:rPr>
  </w:style>
  <w:style w:type="paragraph" w:styleId="Heading2">
    <w:name w:val="heading 2"/>
    <w:basedOn w:val="Normal"/>
    <w:next w:val="Normal"/>
    <w:link w:val="Heading2Char"/>
    <w:uiPriority w:val="9"/>
    <w:unhideWhenUsed/>
    <w:qFormat/>
    <w:rsid w:val="00222C11"/>
    <w:pPr>
      <w:keepNext/>
      <w:keepLines/>
      <w:numPr>
        <w:ilvl w:val="1"/>
        <w:numId w:val="19"/>
      </w:numPr>
      <w:spacing w:before="200" w:after="0"/>
      <w:outlineLvl w:val="1"/>
    </w:pPr>
    <w:rPr>
      <w:rFonts w:eastAsiaTheme="majorEastAsia" w:cs="Arial"/>
      <w:b/>
      <w:bCs/>
    </w:rPr>
  </w:style>
  <w:style w:type="paragraph" w:styleId="Heading3">
    <w:name w:val="heading 3"/>
    <w:basedOn w:val="Normal"/>
    <w:next w:val="Normal"/>
    <w:link w:val="Heading3Char"/>
    <w:uiPriority w:val="9"/>
    <w:semiHidden/>
    <w:unhideWhenUsed/>
    <w:qFormat/>
    <w:rsid w:val="00D042E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5607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5607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5607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5607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5607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5607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1734"/>
    <w:rPr>
      <w:rFonts w:ascii="Arial" w:eastAsiaTheme="majorEastAsia" w:hAnsi="Arial" w:cs="Arial"/>
      <w:b/>
      <w:bCs/>
    </w:rPr>
  </w:style>
  <w:style w:type="character" w:customStyle="1" w:styleId="Heading2Char">
    <w:name w:val="Heading 2 Char"/>
    <w:basedOn w:val="DefaultParagraphFont"/>
    <w:link w:val="Heading2"/>
    <w:uiPriority w:val="9"/>
    <w:rsid w:val="00222C11"/>
    <w:rPr>
      <w:rFonts w:ascii="Arial" w:eastAsiaTheme="majorEastAsia" w:hAnsi="Arial" w:cs="Arial"/>
      <w:b/>
      <w:bCs/>
    </w:rPr>
  </w:style>
  <w:style w:type="character" w:customStyle="1" w:styleId="Heading3Char">
    <w:name w:val="Heading 3 Char"/>
    <w:basedOn w:val="DefaultParagraphFont"/>
    <w:link w:val="Heading3"/>
    <w:uiPriority w:val="9"/>
    <w:semiHidden/>
    <w:rsid w:val="00D042E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5607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5607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5607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5607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560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5607A"/>
    <w:rPr>
      <w:rFonts w:asciiTheme="majorHAnsi" w:eastAsiaTheme="majorEastAsia" w:hAnsiTheme="majorHAnsi" w:cstheme="majorBidi"/>
      <w:i/>
      <w:iCs/>
      <w:color w:val="404040" w:themeColor="text1" w:themeTint="BF"/>
      <w:sz w:val="20"/>
      <w:szCs w:val="20"/>
    </w:rPr>
  </w:style>
  <w:style w:type="paragraph" w:customStyle="1" w:styleId="Default">
    <w:name w:val="Default"/>
    <w:rsid w:val="004B52A9"/>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numbered list"/>
    <w:basedOn w:val="Normal"/>
    <w:link w:val="ListParagraphChar"/>
    <w:uiPriority w:val="34"/>
    <w:qFormat/>
    <w:rsid w:val="00E3443D"/>
    <w:pPr>
      <w:ind w:left="720"/>
      <w:contextualSpacing/>
    </w:pPr>
  </w:style>
  <w:style w:type="character" w:customStyle="1" w:styleId="ListParagraphChar">
    <w:name w:val="List Paragraph Char"/>
    <w:aliases w:val="numbered list Char"/>
    <w:link w:val="ListParagraph"/>
    <w:uiPriority w:val="34"/>
    <w:locked/>
    <w:rsid w:val="00AE2C2E"/>
    <w:rPr>
      <w:rFonts w:ascii="Arial" w:hAnsi="Arial"/>
    </w:rPr>
  </w:style>
  <w:style w:type="paragraph" w:styleId="BalloonText">
    <w:name w:val="Balloon Text"/>
    <w:basedOn w:val="Normal"/>
    <w:link w:val="BalloonTextChar"/>
    <w:uiPriority w:val="99"/>
    <w:semiHidden/>
    <w:unhideWhenUsed/>
    <w:rsid w:val="00CF1D0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1D0E"/>
    <w:rPr>
      <w:rFonts w:ascii="Tahoma" w:hAnsi="Tahoma" w:cs="Tahoma"/>
      <w:sz w:val="16"/>
      <w:szCs w:val="16"/>
    </w:rPr>
  </w:style>
  <w:style w:type="character" w:customStyle="1" w:styleId="twitter">
    <w:name w:val="twitter"/>
    <w:basedOn w:val="DefaultParagraphFont"/>
    <w:rsid w:val="001350F6"/>
  </w:style>
  <w:style w:type="paragraph" w:styleId="NormalWeb">
    <w:name w:val="Normal (Web)"/>
    <w:basedOn w:val="Normal"/>
    <w:uiPriority w:val="99"/>
    <w:unhideWhenUsed/>
    <w:rsid w:val="002142F8"/>
    <w:pPr>
      <w:spacing w:before="100" w:beforeAutospacing="1" w:after="100" w:afterAutospacing="1"/>
      <w:jc w:val="left"/>
    </w:pPr>
    <w:rPr>
      <w:rFonts w:ascii="Times New Roman" w:eastAsia="Times New Roman" w:hAnsi="Times New Roman" w:cs="Times New Roman"/>
      <w:sz w:val="24"/>
      <w:szCs w:val="24"/>
      <w:lang w:eastAsia="sl-SI"/>
    </w:rPr>
  </w:style>
  <w:style w:type="paragraph" w:customStyle="1" w:styleId="NormalSP">
    <w:name w:val="Normal SP"/>
    <w:basedOn w:val="Normal"/>
    <w:rsid w:val="00083C23"/>
    <w:pPr>
      <w:spacing w:after="0" w:line="264" w:lineRule="auto"/>
    </w:pPr>
    <w:rPr>
      <w:rFonts w:eastAsia="Times New Roman" w:cs="Times New Roman"/>
      <w:sz w:val="20"/>
      <w:szCs w:val="24"/>
      <w:lang w:val="en-US" w:eastAsia="sl-SI"/>
    </w:rPr>
  </w:style>
  <w:style w:type="paragraph" w:styleId="Caption">
    <w:name w:val="caption"/>
    <w:aliases w:val="Caption Char1,Caption Char Char"/>
    <w:basedOn w:val="Normal"/>
    <w:next w:val="Normal"/>
    <w:link w:val="CaptionChar"/>
    <w:uiPriority w:val="35"/>
    <w:qFormat/>
    <w:rsid w:val="00083C23"/>
    <w:pPr>
      <w:spacing w:before="120" w:after="120"/>
    </w:pPr>
    <w:rPr>
      <w:rFonts w:ascii="Times New Roman" w:eastAsia="Times New Roman" w:hAnsi="Times New Roman" w:cs="Times New Roman"/>
      <w:szCs w:val="20"/>
      <w:lang w:val="en-AU" w:eastAsia="sl-SI"/>
    </w:rPr>
  </w:style>
  <w:style w:type="character" w:customStyle="1" w:styleId="CaptionChar">
    <w:name w:val="Caption Char"/>
    <w:aliases w:val="Caption Char1 Char,Caption Char Char Char"/>
    <w:link w:val="Caption"/>
    <w:uiPriority w:val="35"/>
    <w:locked/>
    <w:rsid w:val="00083C23"/>
    <w:rPr>
      <w:rFonts w:ascii="Times New Roman" w:eastAsia="Times New Roman" w:hAnsi="Times New Roman" w:cs="Times New Roman"/>
      <w:szCs w:val="20"/>
      <w:lang w:val="en-AU" w:eastAsia="sl-SI"/>
    </w:rPr>
  </w:style>
  <w:style w:type="paragraph" w:customStyle="1" w:styleId="Style1">
    <w:name w:val="Style1"/>
    <w:basedOn w:val="Heading2"/>
    <w:rsid w:val="00083C23"/>
    <w:pPr>
      <w:keepLines w:val="0"/>
      <w:tabs>
        <w:tab w:val="num" w:pos="576"/>
      </w:tabs>
      <w:autoSpaceDE w:val="0"/>
      <w:autoSpaceDN w:val="0"/>
      <w:adjustRightInd w:val="0"/>
      <w:spacing w:before="0" w:line="264" w:lineRule="auto"/>
      <w:ind w:left="576" w:right="134" w:hanging="576"/>
    </w:pPr>
    <w:rPr>
      <w:rFonts w:eastAsia="Times New Roman"/>
      <w:bCs w:val="0"/>
      <w:spacing w:val="-2"/>
      <w:sz w:val="20"/>
      <w:szCs w:val="24"/>
    </w:rPr>
  </w:style>
  <w:style w:type="table" w:styleId="TableGrid">
    <w:name w:val="Table Grid"/>
    <w:basedOn w:val="TableNormal"/>
    <w:uiPriority w:val="39"/>
    <w:rsid w:val="00083C2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4317C"/>
    <w:rPr>
      <w:b/>
      <w:bCs/>
    </w:rPr>
  </w:style>
  <w:style w:type="character" w:customStyle="1" w:styleId="vsebinanovice">
    <w:name w:val="vsebinanovice"/>
    <w:basedOn w:val="DefaultParagraphFont"/>
    <w:rsid w:val="00B4317C"/>
  </w:style>
  <w:style w:type="paragraph" w:customStyle="1" w:styleId="odstavek1">
    <w:name w:val="odstavek1"/>
    <w:basedOn w:val="Normal"/>
    <w:uiPriority w:val="99"/>
    <w:rsid w:val="00015F9A"/>
    <w:pPr>
      <w:spacing w:before="240" w:after="0"/>
      <w:ind w:firstLine="1021"/>
    </w:pPr>
    <w:rPr>
      <w:rFonts w:eastAsia="Times New Roman" w:cs="Arial"/>
      <w:lang w:eastAsia="sl-SI"/>
    </w:rPr>
  </w:style>
  <w:style w:type="paragraph" w:customStyle="1" w:styleId="tevilnatoka1">
    <w:name w:val="tevilnatoka1"/>
    <w:basedOn w:val="Normal"/>
    <w:rsid w:val="00015F9A"/>
    <w:pPr>
      <w:spacing w:after="0"/>
      <w:ind w:left="425" w:hanging="425"/>
    </w:pPr>
    <w:rPr>
      <w:rFonts w:eastAsia="Times New Roman" w:cs="Arial"/>
      <w:lang w:eastAsia="sl-SI"/>
    </w:rPr>
  </w:style>
  <w:style w:type="paragraph" w:customStyle="1" w:styleId="besedilo">
    <w:name w:val="besedilo"/>
    <w:basedOn w:val="Normal"/>
    <w:link w:val="besediloChar"/>
    <w:qFormat/>
    <w:rsid w:val="00EB745F"/>
    <w:pPr>
      <w:spacing w:after="0" w:line="276" w:lineRule="auto"/>
    </w:pPr>
    <w:rPr>
      <w:rFonts w:cs="Arial"/>
      <w:bCs/>
      <w:color w:val="000000"/>
    </w:rPr>
  </w:style>
  <w:style w:type="character" w:customStyle="1" w:styleId="besediloChar">
    <w:name w:val="besedilo Char"/>
    <w:link w:val="besedilo"/>
    <w:locked/>
    <w:rsid w:val="00EB745F"/>
    <w:rPr>
      <w:rFonts w:ascii="Arial" w:hAnsi="Arial" w:cs="Arial"/>
      <w:bCs/>
      <w:color w:val="000000"/>
    </w:rPr>
  </w:style>
  <w:style w:type="character" w:customStyle="1" w:styleId="BodyTextChar">
    <w:name w:val="Body Text Char"/>
    <w:aliases w:val="Body Char,block style Char,12345 Char,Body HDR Char"/>
    <w:basedOn w:val="DefaultParagraphFont"/>
    <w:link w:val="BodyText"/>
    <w:semiHidden/>
    <w:locked/>
    <w:rsid w:val="009E6A31"/>
    <w:rPr>
      <w:sz w:val="24"/>
      <w:szCs w:val="24"/>
      <w:lang w:eastAsia="ar-SA"/>
    </w:rPr>
  </w:style>
  <w:style w:type="paragraph" w:styleId="BodyText">
    <w:name w:val="Body Text"/>
    <w:aliases w:val="Body,block style,12345,Body HDR"/>
    <w:basedOn w:val="Normal"/>
    <w:link w:val="BodyTextChar"/>
    <w:semiHidden/>
    <w:unhideWhenUsed/>
    <w:rsid w:val="009E6A31"/>
    <w:pPr>
      <w:suppressAutoHyphens/>
      <w:spacing w:after="120"/>
      <w:jc w:val="left"/>
    </w:pPr>
    <w:rPr>
      <w:rFonts w:asciiTheme="minorHAnsi" w:hAnsiTheme="minorHAnsi"/>
      <w:sz w:val="24"/>
      <w:szCs w:val="24"/>
      <w:lang w:eastAsia="ar-SA"/>
    </w:rPr>
  </w:style>
  <w:style w:type="character" w:customStyle="1" w:styleId="TelobesedilaZnak1">
    <w:name w:val="Telo besedila Znak1"/>
    <w:basedOn w:val="DefaultParagraphFont"/>
    <w:uiPriority w:val="99"/>
    <w:semiHidden/>
    <w:rsid w:val="009E6A31"/>
    <w:rPr>
      <w:rFonts w:ascii="Arial" w:hAnsi="Arial"/>
    </w:rPr>
  </w:style>
  <w:style w:type="paragraph" w:customStyle="1" w:styleId="Navaden1">
    <w:name w:val="Navaden1"/>
    <w:basedOn w:val="Caption"/>
    <w:rsid w:val="00E90A7F"/>
    <w:pPr>
      <w:spacing w:before="0" w:after="0"/>
      <w:ind w:left="1440" w:hanging="1440"/>
    </w:pPr>
    <w:rPr>
      <w:rFonts w:ascii="Arial" w:hAnsi="Arial" w:cs="Arial"/>
      <w:b/>
      <w:bCs/>
      <w:sz w:val="20"/>
      <w:lang w:val="sl-SI"/>
    </w:rPr>
  </w:style>
  <w:style w:type="character" w:styleId="CommentReference">
    <w:name w:val="annotation reference"/>
    <w:basedOn w:val="DefaultParagraphFont"/>
    <w:uiPriority w:val="99"/>
    <w:semiHidden/>
    <w:unhideWhenUsed/>
    <w:rsid w:val="009E6A31"/>
    <w:rPr>
      <w:sz w:val="16"/>
      <w:szCs w:val="16"/>
    </w:rPr>
  </w:style>
  <w:style w:type="paragraph" w:styleId="CommentText">
    <w:name w:val="annotation text"/>
    <w:basedOn w:val="Normal"/>
    <w:link w:val="CommentTextChar"/>
    <w:uiPriority w:val="99"/>
    <w:semiHidden/>
    <w:unhideWhenUsed/>
    <w:rsid w:val="009E6A31"/>
    <w:rPr>
      <w:sz w:val="20"/>
      <w:szCs w:val="20"/>
    </w:rPr>
  </w:style>
  <w:style w:type="character" w:customStyle="1" w:styleId="CommentTextChar">
    <w:name w:val="Comment Text Char"/>
    <w:basedOn w:val="DefaultParagraphFont"/>
    <w:link w:val="CommentText"/>
    <w:uiPriority w:val="99"/>
    <w:semiHidden/>
    <w:rsid w:val="009E6A3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E6A31"/>
    <w:rPr>
      <w:b/>
      <w:bCs/>
    </w:rPr>
  </w:style>
  <w:style w:type="character" w:customStyle="1" w:styleId="CommentSubjectChar">
    <w:name w:val="Comment Subject Char"/>
    <w:basedOn w:val="CommentTextChar"/>
    <w:link w:val="CommentSubject"/>
    <w:uiPriority w:val="99"/>
    <w:semiHidden/>
    <w:rsid w:val="009E6A31"/>
    <w:rPr>
      <w:rFonts w:ascii="Arial" w:hAnsi="Arial"/>
      <w:b/>
      <w:bCs/>
      <w:sz w:val="20"/>
      <w:szCs w:val="20"/>
    </w:rPr>
  </w:style>
  <w:style w:type="paragraph" w:styleId="ListNumber">
    <w:name w:val="List Number"/>
    <w:basedOn w:val="Normal"/>
    <w:rsid w:val="009E6A31"/>
    <w:pPr>
      <w:numPr>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2">
    <w:name w:val="List Number (Level 2)"/>
    <w:basedOn w:val="Normal"/>
    <w:rsid w:val="009E6A31"/>
    <w:pPr>
      <w:numPr>
        <w:ilvl w:val="1"/>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3">
    <w:name w:val="List Number (Level 3)"/>
    <w:basedOn w:val="Normal"/>
    <w:rsid w:val="009E6A31"/>
    <w:pPr>
      <w:spacing w:before="120" w:after="120"/>
      <w:ind w:left="2160" w:hanging="360"/>
    </w:pPr>
    <w:rPr>
      <w:rFonts w:ascii="Times New Roman" w:eastAsia="Times New Roman" w:hAnsi="Times New Roman" w:cs="Times New Roman"/>
      <w:sz w:val="24"/>
      <w:szCs w:val="20"/>
      <w:lang w:val="en-GB" w:eastAsia="en-GB"/>
    </w:rPr>
  </w:style>
  <w:style w:type="paragraph" w:styleId="Header">
    <w:name w:val="header"/>
    <w:basedOn w:val="Normal"/>
    <w:link w:val="HeaderChar"/>
    <w:uiPriority w:val="99"/>
    <w:unhideWhenUsed/>
    <w:rsid w:val="00503BA8"/>
    <w:pPr>
      <w:tabs>
        <w:tab w:val="center" w:pos="4536"/>
        <w:tab w:val="right" w:pos="9072"/>
      </w:tabs>
      <w:spacing w:after="0"/>
    </w:pPr>
  </w:style>
  <w:style w:type="character" w:customStyle="1" w:styleId="HeaderChar">
    <w:name w:val="Header Char"/>
    <w:basedOn w:val="DefaultParagraphFont"/>
    <w:link w:val="Header"/>
    <w:uiPriority w:val="99"/>
    <w:rsid w:val="00503BA8"/>
    <w:rPr>
      <w:rFonts w:ascii="Arial" w:hAnsi="Arial"/>
    </w:rPr>
  </w:style>
  <w:style w:type="paragraph" w:styleId="Footer">
    <w:name w:val="footer"/>
    <w:basedOn w:val="Normal"/>
    <w:link w:val="FooterChar"/>
    <w:uiPriority w:val="99"/>
    <w:unhideWhenUsed/>
    <w:rsid w:val="00503BA8"/>
    <w:pPr>
      <w:tabs>
        <w:tab w:val="center" w:pos="4536"/>
        <w:tab w:val="right" w:pos="9072"/>
      </w:tabs>
      <w:spacing w:after="0"/>
    </w:pPr>
  </w:style>
  <w:style w:type="character" w:customStyle="1" w:styleId="FooterChar">
    <w:name w:val="Footer Char"/>
    <w:basedOn w:val="DefaultParagraphFont"/>
    <w:link w:val="Footer"/>
    <w:uiPriority w:val="99"/>
    <w:rsid w:val="00503BA8"/>
    <w:rPr>
      <w:rFonts w:ascii="Arial" w:hAnsi="Arial"/>
    </w:rPr>
  </w:style>
  <w:style w:type="paragraph" w:styleId="FootnoteText">
    <w:name w:val="footnote text"/>
    <w:aliases w:val=" Char Char,Char Char,Sprotna opomba-besedilo,Char Char Char Char,Sprotna opomba - besedilo Znak1,Sprotna opomba - besedilo Znak Znak2,Sprotna opomba - besedilo Znak1 Znak Znak1,Sprotna opomba - besedilo Znak1 Znak Znak Znak,fn,Footnote,o"/>
    <w:basedOn w:val="Normal"/>
    <w:link w:val="FootnoteTextChar"/>
    <w:uiPriority w:val="99"/>
    <w:unhideWhenUsed/>
    <w:qFormat/>
    <w:rsid w:val="00116A2C"/>
    <w:pPr>
      <w:spacing w:after="0"/>
      <w:jc w:val="left"/>
    </w:pPr>
    <w:rPr>
      <w:sz w:val="20"/>
      <w:szCs w:val="20"/>
    </w:rPr>
  </w:style>
  <w:style w:type="character" w:customStyle="1" w:styleId="FootnoteTextChar">
    <w:name w:val="Footnote Text Char"/>
    <w:aliases w:val=" Char Char Char,Char Char Char,Sprotna opomba-besedilo Char,Char Char Char Char Char,Sprotna opomba - besedilo Znak1 Char,Sprotna opomba - besedilo Znak Znak2 Char,Sprotna opomba - besedilo Znak1 Znak Znak1 Char,fn Char,Footnote Char"/>
    <w:basedOn w:val="DefaultParagraphFont"/>
    <w:link w:val="FootnoteText"/>
    <w:uiPriority w:val="99"/>
    <w:rsid w:val="00116A2C"/>
    <w:rPr>
      <w:rFonts w:ascii="Arial" w:hAnsi="Arial"/>
      <w:sz w:val="20"/>
      <w:szCs w:val="20"/>
    </w:rPr>
  </w:style>
  <w:style w:type="character" w:styleId="FootnoteReference">
    <w:name w:val="footnote reference"/>
    <w:aliases w:val="Fussnota,Footnote symbol,Footnote reference number,Times 10 Point,Exposant 3 Point,EN Footnote Reference,note TESI,E...,nota de rodapé,Footnote Reference_LVL6,Footnote Reference_LVL61,Footnote Reference_LVL62,Footnot,stylish,SUPER,Re"/>
    <w:uiPriority w:val="99"/>
    <w:qFormat/>
    <w:rsid w:val="00116A2C"/>
    <w:rPr>
      <w:vertAlign w:val="superscript"/>
    </w:rPr>
  </w:style>
  <w:style w:type="paragraph" w:customStyle="1" w:styleId="vstavek">
    <w:name w:val="vstavek"/>
    <w:basedOn w:val="besedilo"/>
    <w:link w:val="vstavekChar"/>
    <w:qFormat/>
    <w:rsid w:val="00E90A7F"/>
    <w:pPr>
      <w:spacing w:before="20" w:after="20"/>
    </w:pPr>
    <w:rPr>
      <w:rFonts w:eastAsia="Calibri" w:cs="Times New Roman"/>
      <w:b/>
      <w:bCs w:val="0"/>
      <w:i/>
      <w:noProof/>
      <w:color w:val="auto"/>
      <w:sz w:val="19"/>
    </w:rPr>
  </w:style>
  <w:style w:type="character" w:customStyle="1" w:styleId="vstavekChar">
    <w:name w:val="vstavek Char"/>
    <w:link w:val="vstavek"/>
    <w:locked/>
    <w:rsid w:val="00E90A7F"/>
    <w:rPr>
      <w:rFonts w:ascii="Arial" w:eastAsia="Calibri" w:hAnsi="Arial" w:cs="Times New Roman"/>
      <w:b/>
      <w:i/>
      <w:noProof/>
      <w:sz w:val="19"/>
    </w:rPr>
  </w:style>
  <w:style w:type="character" w:styleId="IntenseEmphasis">
    <w:name w:val="Intense Emphasis"/>
    <w:qFormat/>
    <w:rsid w:val="000C201A"/>
    <w:rPr>
      <w:rFonts w:cs="Times New Roman"/>
      <w:b/>
      <w:bCs/>
      <w:i/>
      <w:iCs/>
      <w:color w:val="4F81BD"/>
    </w:rPr>
  </w:style>
  <w:style w:type="paragraph" w:styleId="IntenseQuote">
    <w:name w:val="Intense Quote"/>
    <w:basedOn w:val="Normal"/>
    <w:next w:val="Normal"/>
    <w:link w:val="IntenseQuoteChar"/>
    <w:qFormat/>
    <w:rsid w:val="000C201A"/>
    <w:pPr>
      <w:pBdr>
        <w:bottom w:val="single" w:sz="4" w:space="4" w:color="4F81BD"/>
      </w:pBdr>
      <w:spacing w:before="200" w:after="280"/>
      <w:ind w:left="936" w:right="936"/>
      <w:jc w:val="left"/>
    </w:pPr>
    <w:rPr>
      <w:rFonts w:ascii="Times New Roman" w:eastAsia="Times New Roman" w:hAnsi="Times New Roman" w:cs="Times New Roman"/>
      <w:b/>
      <w:bCs/>
      <w:i/>
      <w:iCs/>
      <w:color w:val="4F81BD"/>
      <w:sz w:val="20"/>
      <w:szCs w:val="20"/>
    </w:rPr>
  </w:style>
  <w:style w:type="character" w:customStyle="1" w:styleId="IntenseQuoteChar">
    <w:name w:val="Intense Quote Char"/>
    <w:basedOn w:val="DefaultParagraphFont"/>
    <w:link w:val="IntenseQuote"/>
    <w:rsid w:val="000C201A"/>
    <w:rPr>
      <w:rFonts w:ascii="Times New Roman" w:eastAsia="Times New Roman" w:hAnsi="Times New Roman" w:cs="Times New Roman"/>
      <w:b/>
      <w:bCs/>
      <w:i/>
      <w:iCs/>
      <w:color w:val="4F81BD"/>
      <w:sz w:val="20"/>
      <w:szCs w:val="20"/>
    </w:rPr>
  </w:style>
  <w:style w:type="paragraph" w:styleId="NoSpacing">
    <w:name w:val="No Spacing"/>
    <w:link w:val="NoSpacingChar"/>
    <w:uiPriority w:val="1"/>
    <w:qFormat/>
    <w:rsid w:val="00E90A7F"/>
    <w:pPr>
      <w:spacing w:after="0" w:line="240" w:lineRule="auto"/>
      <w:jc w:val="both"/>
    </w:pPr>
    <w:rPr>
      <w:rFonts w:ascii="Arial" w:hAnsi="Arial"/>
    </w:rPr>
  </w:style>
  <w:style w:type="paragraph" w:styleId="TOCHeading">
    <w:name w:val="TOC Heading"/>
    <w:basedOn w:val="Heading1"/>
    <w:next w:val="Normal"/>
    <w:uiPriority w:val="39"/>
    <w:unhideWhenUsed/>
    <w:qFormat/>
    <w:rsid w:val="006D5B8D"/>
    <w:pPr>
      <w:numPr>
        <w:numId w:val="0"/>
      </w:numPr>
      <w:spacing w:line="276" w:lineRule="auto"/>
      <w:jc w:val="left"/>
      <w:outlineLvl w:val="9"/>
    </w:pPr>
    <w:rPr>
      <w:rFonts w:asciiTheme="majorHAnsi" w:hAnsiTheme="majorHAnsi" w:cstheme="majorBidi"/>
      <w:color w:val="365F91" w:themeColor="accent1" w:themeShade="BF"/>
      <w:sz w:val="28"/>
      <w:szCs w:val="28"/>
      <w:lang w:eastAsia="sl-SI"/>
    </w:rPr>
  </w:style>
  <w:style w:type="paragraph" w:styleId="TOC1">
    <w:name w:val="toc 1"/>
    <w:basedOn w:val="Normal"/>
    <w:next w:val="Normal"/>
    <w:autoRedefine/>
    <w:uiPriority w:val="39"/>
    <w:unhideWhenUsed/>
    <w:rsid w:val="006C32E3"/>
    <w:pPr>
      <w:tabs>
        <w:tab w:val="left" w:pos="660"/>
        <w:tab w:val="right" w:leader="dot" w:pos="9288"/>
      </w:tabs>
      <w:spacing w:after="100" w:line="23" w:lineRule="atLeast"/>
    </w:pPr>
  </w:style>
  <w:style w:type="paragraph" w:styleId="TOC2">
    <w:name w:val="toc 2"/>
    <w:basedOn w:val="Normal"/>
    <w:next w:val="Normal"/>
    <w:autoRedefine/>
    <w:uiPriority w:val="39"/>
    <w:unhideWhenUsed/>
    <w:rsid w:val="006C32E3"/>
    <w:pPr>
      <w:tabs>
        <w:tab w:val="left" w:pos="880"/>
        <w:tab w:val="right" w:leader="dot" w:pos="9288"/>
      </w:tabs>
      <w:spacing w:after="100" w:line="23" w:lineRule="atLeast"/>
      <w:ind w:left="851" w:hanging="631"/>
    </w:pPr>
  </w:style>
  <w:style w:type="character" w:styleId="Hyperlink">
    <w:name w:val="Hyperlink"/>
    <w:basedOn w:val="DefaultParagraphFont"/>
    <w:uiPriority w:val="99"/>
    <w:unhideWhenUsed/>
    <w:rsid w:val="006D5B8D"/>
    <w:rPr>
      <w:color w:val="0000FF" w:themeColor="hyperlink"/>
      <w:u w:val="single"/>
    </w:rPr>
  </w:style>
  <w:style w:type="paragraph" w:customStyle="1" w:styleId="normalsp0">
    <w:name w:val="normalsp"/>
    <w:basedOn w:val="Normal"/>
    <w:rsid w:val="00E55052"/>
    <w:pPr>
      <w:spacing w:after="0" w:line="264" w:lineRule="auto"/>
    </w:pPr>
    <w:rPr>
      <w:rFonts w:cs="Arial"/>
      <w:sz w:val="20"/>
      <w:szCs w:val="20"/>
      <w:lang w:eastAsia="sl-SI"/>
    </w:rPr>
  </w:style>
  <w:style w:type="character" w:customStyle="1" w:styleId="apple-converted-space">
    <w:name w:val="apple-converted-space"/>
    <w:basedOn w:val="DefaultParagraphFont"/>
    <w:rsid w:val="009A4FCA"/>
  </w:style>
  <w:style w:type="paragraph" w:styleId="PlainText">
    <w:name w:val="Plain Text"/>
    <w:basedOn w:val="Normal"/>
    <w:link w:val="PlainTextChar"/>
    <w:uiPriority w:val="99"/>
    <w:unhideWhenUsed/>
    <w:rsid w:val="000C4CB5"/>
    <w:pPr>
      <w:spacing w:before="100" w:beforeAutospacing="1" w:after="100" w:afterAutospacing="1"/>
      <w:jc w:val="left"/>
    </w:pPr>
    <w:rPr>
      <w:rFonts w:ascii="Times New Roman" w:hAnsi="Times New Roman" w:cs="Times New Roman"/>
      <w:sz w:val="24"/>
      <w:szCs w:val="24"/>
      <w:lang w:eastAsia="sl-SI"/>
    </w:rPr>
  </w:style>
  <w:style w:type="character" w:customStyle="1" w:styleId="PlainTextChar">
    <w:name w:val="Plain Text Char"/>
    <w:basedOn w:val="DefaultParagraphFont"/>
    <w:link w:val="PlainText"/>
    <w:uiPriority w:val="99"/>
    <w:rsid w:val="000C4CB5"/>
    <w:rPr>
      <w:rFonts w:ascii="Times New Roman" w:hAnsi="Times New Roman" w:cs="Times New Roman"/>
      <w:sz w:val="24"/>
      <w:szCs w:val="24"/>
      <w:lang w:eastAsia="sl-SI"/>
    </w:rPr>
  </w:style>
  <w:style w:type="table" w:customStyle="1" w:styleId="Tabelamrea1">
    <w:name w:val="Tabela – mreža1"/>
    <w:basedOn w:val="TableNormal"/>
    <w:next w:val="TableGrid"/>
    <w:uiPriority w:val="59"/>
    <w:rsid w:val="00A86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1032E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elobesedila21">
    <w:name w:val="Telo besedila 21"/>
    <w:basedOn w:val="Normal"/>
    <w:link w:val="Telobesedila21Char"/>
    <w:rsid w:val="00AD6308"/>
    <w:pPr>
      <w:tabs>
        <w:tab w:val="right" w:pos="9072"/>
      </w:tabs>
      <w:suppressAutoHyphens/>
      <w:spacing w:after="0"/>
    </w:pPr>
    <w:rPr>
      <w:rFonts w:eastAsia="Times New Roman" w:cs="Times New Roman"/>
      <w:noProof/>
      <w:szCs w:val="20"/>
      <w:lang w:eastAsia="ar-SA"/>
    </w:rPr>
  </w:style>
  <w:style w:type="character" w:customStyle="1" w:styleId="Telobesedila21Char">
    <w:name w:val="Telo besedila 21 Char"/>
    <w:link w:val="Telobesedila21"/>
    <w:rsid w:val="00AD6308"/>
    <w:rPr>
      <w:rFonts w:ascii="Arial" w:eastAsia="Times New Roman" w:hAnsi="Arial" w:cs="Times New Roman"/>
      <w:noProof/>
      <w:szCs w:val="20"/>
      <w:lang w:eastAsia="ar-SA"/>
    </w:rPr>
  </w:style>
  <w:style w:type="paragraph" w:customStyle="1" w:styleId="Pa3">
    <w:name w:val="Pa3"/>
    <w:basedOn w:val="Normal"/>
    <w:next w:val="Normal"/>
    <w:uiPriority w:val="99"/>
    <w:rsid w:val="007D09A1"/>
    <w:pPr>
      <w:autoSpaceDE w:val="0"/>
      <w:autoSpaceDN w:val="0"/>
      <w:adjustRightInd w:val="0"/>
      <w:spacing w:after="0" w:line="301" w:lineRule="atLeast"/>
      <w:jc w:val="left"/>
    </w:pPr>
    <w:rPr>
      <w:rFonts w:ascii="Myriad Pro" w:hAnsi="Myriad Pro"/>
      <w:sz w:val="24"/>
      <w:szCs w:val="24"/>
    </w:rPr>
  </w:style>
  <w:style w:type="table" w:styleId="LightShading-Accent1">
    <w:name w:val="Light Shading Accent 1"/>
    <w:basedOn w:val="TableNormal"/>
    <w:uiPriority w:val="60"/>
    <w:rsid w:val="00ED1FD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odytext0">
    <w:name w:val="bodytext"/>
    <w:basedOn w:val="Normal"/>
    <w:rsid w:val="003873CF"/>
    <w:pPr>
      <w:spacing w:after="0"/>
      <w:jc w:val="left"/>
    </w:pPr>
    <w:rPr>
      <w:rFonts w:ascii="Times New Roman" w:eastAsia="Times New Roman" w:hAnsi="Times New Roman" w:cs="Times New Roman"/>
      <w:sz w:val="24"/>
      <w:szCs w:val="24"/>
      <w:lang w:eastAsia="sl-SI"/>
    </w:rPr>
  </w:style>
  <w:style w:type="paragraph" w:customStyle="1" w:styleId="poglavje1">
    <w:name w:val="poglavje1"/>
    <w:basedOn w:val="Normal"/>
    <w:uiPriority w:val="99"/>
    <w:rsid w:val="005229D1"/>
    <w:pPr>
      <w:spacing w:before="480" w:after="0"/>
      <w:jc w:val="center"/>
    </w:pPr>
    <w:rPr>
      <w:rFonts w:cs="Arial"/>
      <w:lang w:eastAsia="sl-SI"/>
    </w:rPr>
  </w:style>
  <w:style w:type="paragraph" w:customStyle="1" w:styleId="prehodneinkoncnedolocbe1">
    <w:name w:val="prehodneinkoncnedolocbe1"/>
    <w:basedOn w:val="Normal"/>
    <w:uiPriority w:val="99"/>
    <w:rsid w:val="005229D1"/>
    <w:pPr>
      <w:spacing w:before="400" w:after="600"/>
    </w:pPr>
    <w:rPr>
      <w:rFonts w:cs="Arial"/>
      <w:b/>
      <w:bCs/>
      <w:lang w:eastAsia="sl-SI"/>
    </w:rPr>
  </w:style>
  <w:style w:type="paragraph" w:customStyle="1" w:styleId="lennovele1">
    <w:name w:val="lennovele1"/>
    <w:basedOn w:val="Normal"/>
    <w:uiPriority w:val="99"/>
    <w:rsid w:val="005229D1"/>
    <w:pPr>
      <w:spacing w:before="480" w:after="0"/>
      <w:jc w:val="center"/>
    </w:pPr>
    <w:rPr>
      <w:rFonts w:cs="Arial"/>
      <w:lang w:eastAsia="sl-SI"/>
    </w:rPr>
  </w:style>
  <w:style w:type="table" w:customStyle="1" w:styleId="GridTable21">
    <w:name w:val="Grid Table 21"/>
    <w:basedOn w:val="TableNormal"/>
    <w:uiPriority w:val="47"/>
    <w:rsid w:val="00FD3464"/>
    <w:pPr>
      <w:spacing w:after="0" w:line="240" w:lineRule="auto"/>
    </w:pPr>
    <w:rPr>
      <w:rFonts w:ascii="Calibri" w:eastAsia="Times New Roman" w:hAnsi="Calibri" w:cs="Arial"/>
      <w:lang w:eastAsia="sl-S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Shading-Accent5">
    <w:name w:val="Light Shading Accent 5"/>
    <w:basedOn w:val="TableNormal"/>
    <w:uiPriority w:val="60"/>
    <w:rsid w:val="007B5454"/>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FollowedHyperlink">
    <w:name w:val="FollowedHyperlink"/>
    <w:basedOn w:val="DefaultParagraphFont"/>
    <w:uiPriority w:val="99"/>
    <w:semiHidden/>
    <w:unhideWhenUsed/>
    <w:rsid w:val="0031681B"/>
    <w:rPr>
      <w:color w:val="800080" w:themeColor="followedHyperlink"/>
      <w:u w:val="single"/>
    </w:rPr>
  </w:style>
  <w:style w:type="paragraph" w:customStyle="1" w:styleId="CM4">
    <w:name w:val="CM4"/>
    <w:basedOn w:val="Default"/>
    <w:next w:val="Default"/>
    <w:uiPriority w:val="99"/>
    <w:rsid w:val="00F12CD5"/>
    <w:rPr>
      <w:color w:val="auto"/>
      <w:lang w:val="en-US"/>
    </w:rPr>
  </w:style>
  <w:style w:type="paragraph" w:styleId="TableofFigures">
    <w:name w:val="table of figures"/>
    <w:basedOn w:val="Normal"/>
    <w:next w:val="Normal"/>
    <w:autoRedefine/>
    <w:uiPriority w:val="99"/>
    <w:semiHidden/>
    <w:unhideWhenUsed/>
    <w:qFormat/>
    <w:rsid w:val="00224122"/>
    <w:pPr>
      <w:spacing w:after="0"/>
    </w:pPr>
  </w:style>
  <w:style w:type="table" w:customStyle="1" w:styleId="ListTable2-Accent11">
    <w:name w:val="List Table 2 - Accent 11"/>
    <w:basedOn w:val="TableNormal"/>
    <w:uiPriority w:val="47"/>
    <w:rsid w:val="0030563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ED19DC"/>
    <w:pPr>
      <w:spacing w:after="0" w:line="240" w:lineRule="auto"/>
    </w:pPr>
    <w:rPr>
      <w:rFonts w:ascii="Arial" w:hAnsi="Arial"/>
    </w:rPr>
  </w:style>
  <w:style w:type="numbering" w:customStyle="1" w:styleId="NoList1">
    <w:name w:val="No List1"/>
    <w:next w:val="NoList"/>
    <w:uiPriority w:val="99"/>
    <w:semiHidden/>
    <w:unhideWhenUsed/>
    <w:rsid w:val="008A5C9E"/>
  </w:style>
  <w:style w:type="table" w:customStyle="1" w:styleId="LightShading-Accent51">
    <w:name w:val="Light Shading - Accent 51"/>
    <w:basedOn w:val="TableNormal"/>
    <w:next w:val="LightShading-Accent5"/>
    <w:uiPriority w:val="60"/>
    <w:rsid w:val="008A5C9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next w:val="LightShading-Accent1"/>
    <w:uiPriority w:val="60"/>
    <w:rsid w:val="008A5C9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lid-translation">
    <w:name w:val="tlid-translation"/>
    <w:basedOn w:val="DefaultParagraphFont"/>
    <w:rsid w:val="00EE1E5E"/>
  </w:style>
  <w:style w:type="character" w:customStyle="1" w:styleId="NoSpacingChar">
    <w:name w:val="No Spacing Char"/>
    <w:basedOn w:val="DefaultParagraphFont"/>
    <w:link w:val="NoSpacing"/>
    <w:uiPriority w:val="1"/>
    <w:rsid w:val="00146BB8"/>
    <w:rPr>
      <w:rFonts w:ascii="Arial" w:hAnsi="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able of figures" w:qFormat="1"/>
    <w:lsdException w:name="footnote reference" w:qFormat="1"/>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371"/>
    <w:pPr>
      <w:spacing w:line="240" w:lineRule="auto"/>
      <w:jc w:val="both"/>
    </w:pPr>
    <w:rPr>
      <w:rFonts w:ascii="Arial" w:hAnsi="Arial"/>
    </w:rPr>
  </w:style>
  <w:style w:type="paragraph" w:styleId="Heading1">
    <w:name w:val="heading 1"/>
    <w:basedOn w:val="Normal"/>
    <w:next w:val="Normal"/>
    <w:link w:val="Heading1Char"/>
    <w:uiPriority w:val="9"/>
    <w:qFormat/>
    <w:rsid w:val="007B1734"/>
    <w:pPr>
      <w:keepNext/>
      <w:keepLines/>
      <w:numPr>
        <w:numId w:val="3"/>
      </w:numPr>
      <w:spacing w:before="480" w:after="0"/>
      <w:outlineLvl w:val="0"/>
    </w:pPr>
    <w:rPr>
      <w:rFonts w:eastAsiaTheme="majorEastAsia" w:cs="Arial"/>
      <w:b/>
      <w:bCs/>
    </w:rPr>
  </w:style>
  <w:style w:type="paragraph" w:styleId="Heading2">
    <w:name w:val="heading 2"/>
    <w:basedOn w:val="Normal"/>
    <w:next w:val="Normal"/>
    <w:link w:val="Heading2Char"/>
    <w:uiPriority w:val="9"/>
    <w:unhideWhenUsed/>
    <w:qFormat/>
    <w:rsid w:val="00222C11"/>
    <w:pPr>
      <w:keepNext/>
      <w:keepLines/>
      <w:numPr>
        <w:ilvl w:val="1"/>
        <w:numId w:val="19"/>
      </w:numPr>
      <w:spacing w:before="200" w:after="0"/>
      <w:outlineLvl w:val="1"/>
    </w:pPr>
    <w:rPr>
      <w:rFonts w:eastAsiaTheme="majorEastAsia" w:cs="Arial"/>
      <w:b/>
      <w:bCs/>
    </w:rPr>
  </w:style>
  <w:style w:type="paragraph" w:styleId="Heading3">
    <w:name w:val="heading 3"/>
    <w:basedOn w:val="Normal"/>
    <w:next w:val="Normal"/>
    <w:link w:val="Heading3Char"/>
    <w:uiPriority w:val="9"/>
    <w:semiHidden/>
    <w:unhideWhenUsed/>
    <w:qFormat/>
    <w:rsid w:val="00D042E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5607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5607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5607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5607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5607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5607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1734"/>
    <w:rPr>
      <w:rFonts w:ascii="Arial" w:eastAsiaTheme="majorEastAsia" w:hAnsi="Arial" w:cs="Arial"/>
      <w:b/>
      <w:bCs/>
    </w:rPr>
  </w:style>
  <w:style w:type="character" w:customStyle="1" w:styleId="Heading2Char">
    <w:name w:val="Heading 2 Char"/>
    <w:basedOn w:val="DefaultParagraphFont"/>
    <w:link w:val="Heading2"/>
    <w:uiPriority w:val="9"/>
    <w:rsid w:val="00222C11"/>
    <w:rPr>
      <w:rFonts w:ascii="Arial" w:eastAsiaTheme="majorEastAsia" w:hAnsi="Arial" w:cs="Arial"/>
      <w:b/>
      <w:bCs/>
    </w:rPr>
  </w:style>
  <w:style w:type="character" w:customStyle="1" w:styleId="Heading3Char">
    <w:name w:val="Heading 3 Char"/>
    <w:basedOn w:val="DefaultParagraphFont"/>
    <w:link w:val="Heading3"/>
    <w:uiPriority w:val="9"/>
    <w:semiHidden/>
    <w:rsid w:val="00D042E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5607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5607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5607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5607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560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5607A"/>
    <w:rPr>
      <w:rFonts w:asciiTheme="majorHAnsi" w:eastAsiaTheme="majorEastAsia" w:hAnsiTheme="majorHAnsi" w:cstheme="majorBidi"/>
      <w:i/>
      <w:iCs/>
      <w:color w:val="404040" w:themeColor="text1" w:themeTint="BF"/>
      <w:sz w:val="20"/>
      <w:szCs w:val="20"/>
    </w:rPr>
  </w:style>
  <w:style w:type="paragraph" w:customStyle="1" w:styleId="Default">
    <w:name w:val="Default"/>
    <w:rsid w:val="004B52A9"/>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numbered list"/>
    <w:basedOn w:val="Normal"/>
    <w:link w:val="ListParagraphChar"/>
    <w:uiPriority w:val="34"/>
    <w:qFormat/>
    <w:rsid w:val="00E3443D"/>
    <w:pPr>
      <w:ind w:left="720"/>
      <w:contextualSpacing/>
    </w:pPr>
  </w:style>
  <w:style w:type="character" w:customStyle="1" w:styleId="ListParagraphChar">
    <w:name w:val="List Paragraph Char"/>
    <w:aliases w:val="numbered list Char"/>
    <w:link w:val="ListParagraph"/>
    <w:uiPriority w:val="34"/>
    <w:locked/>
    <w:rsid w:val="00AE2C2E"/>
    <w:rPr>
      <w:rFonts w:ascii="Arial" w:hAnsi="Arial"/>
    </w:rPr>
  </w:style>
  <w:style w:type="paragraph" w:styleId="BalloonText">
    <w:name w:val="Balloon Text"/>
    <w:basedOn w:val="Normal"/>
    <w:link w:val="BalloonTextChar"/>
    <w:uiPriority w:val="99"/>
    <w:semiHidden/>
    <w:unhideWhenUsed/>
    <w:rsid w:val="00CF1D0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1D0E"/>
    <w:rPr>
      <w:rFonts w:ascii="Tahoma" w:hAnsi="Tahoma" w:cs="Tahoma"/>
      <w:sz w:val="16"/>
      <w:szCs w:val="16"/>
    </w:rPr>
  </w:style>
  <w:style w:type="character" w:customStyle="1" w:styleId="twitter">
    <w:name w:val="twitter"/>
    <w:basedOn w:val="DefaultParagraphFont"/>
    <w:rsid w:val="001350F6"/>
  </w:style>
  <w:style w:type="paragraph" w:styleId="NormalWeb">
    <w:name w:val="Normal (Web)"/>
    <w:basedOn w:val="Normal"/>
    <w:uiPriority w:val="99"/>
    <w:unhideWhenUsed/>
    <w:rsid w:val="002142F8"/>
    <w:pPr>
      <w:spacing w:before="100" w:beforeAutospacing="1" w:after="100" w:afterAutospacing="1"/>
      <w:jc w:val="left"/>
    </w:pPr>
    <w:rPr>
      <w:rFonts w:ascii="Times New Roman" w:eastAsia="Times New Roman" w:hAnsi="Times New Roman" w:cs="Times New Roman"/>
      <w:sz w:val="24"/>
      <w:szCs w:val="24"/>
      <w:lang w:eastAsia="sl-SI"/>
    </w:rPr>
  </w:style>
  <w:style w:type="paragraph" w:customStyle="1" w:styleId="NormalSP">
    <w:name w:val="Normal SP"/>
    <w:basedOn w:val="Normal"/>
    <w:rsid w:val="00083C23"/>
    <w:pPr>
      <w:spacing w:after="0" w:line="264" w:lineRule="auto"/>
    </w:pPr>
    <w:rPr>
      <w:rFonts w:eastAsia="Times New Roman" w:cs="Times New Roman"/>
      <w:sz w:val="20"/>
      <w:szCs w:val="24"/>
      <w:lang w:val="en-US" w:eastAsia="sl-SI"/>
    </w:rPr>
  </w:style>
  <w:style w:type="paragraph" w:styleId="Caption">
    <w:name w:val="caption"/>
    <w:aliases w:val="Caption Char1,Caption Char Char"/>
    <w:basedOn w:val="Normal"/>
    <w:next w:val="Normal"/>
    <w:link w:val="CaptionChar"/>
    <w:uiPriority w:val="35"/>
    <w:qFormat/>
    <w:rsid w:val="00083C23"/>
    <w:pPr>
      <w:spacing w:before="120" w:after="120"/>
    </w:pPr>
    <w:rPr>
      <w:rFonts w:ascii="Times New Roman" w:eastAsia="Times New Roman" w:hAnsi="Times New Roman" w:cs="Times New Roman"/>
      <w:szCs w:val="20"/>
      <w:lang w:val="en-AU" w:eastAsia="sl-SI"/>
    </w:rPr>
  </w:style>
  <w:style w:type="character" w:customStyle="1" w:styleId="CaptionChar">
    <w:name w:val="Caption Char"/>
    <w:aliases w:val="Caption Char1 Char,Caption Char Char Char"/>
    <w:link w:val="Caption"/>
    <w:uiPriority w:val="35"/>
    <w:locked/>
    <w:rsid w:val="00083C23"/>
    <w:rPr>
      <w:rFonts w:ascii="Times New Roman" w:eastAsia="Times New Roman" w:hAnsi="Times New Roman" w:cs="Times New Roman"/>
      <w:szCs w:val="20"/>
      <w:lang w:val="en-AU" w:eastAsia="sl-SI"/>
    </w:rPr>
  </w:style>
  <w:style w:type="paragraph" w:customStyle="1" w:styleId="Style1">
    <w:name w:val="Style1"/>
    <w:basedOn w:val="Heading2"/>
    <w:rsid w:val="00083C23"/>
    <w:pPr>
      <w:keepLines w:val="0"/>
      <w:tabs>
        <w:tab w:val="num" w:pos="576"/>
      </w:tabs>
      <w:autoSpaceDE w:val="0"/>
      <w:autoSpaceDN w:val="0"/>
      <w:adjustRightInd w:val="0"/>
      <w:spacing w:before="0" w:line="264" w:lineRule="auto"/>
      <w:ind w:left="576" w:right="134" w:hanging="576"/>
    </w:pPr>
    <w:rPr>
      <w:rFonts w:eastAsia="Times New Roman"/>
      <w:bCs w:val="0"/>
      <w:spacing w:val="-2"/>
      <w:sz w:val="20"/>
      <w:szCs w:val="24"/>
    </w:rPr>
  </w:style>
  <w:style w:type="table" w:styleId="TableGrid">
    <w:name w:val="Table Grid"/>
    <w:basedOn w:val="TableNormal"/>
    <w:uiPriority w:val="39"/>
    <w:rsid w:val="00083C2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4317C"/>
    <w:rPr>
      <w:b/>
      <w:bCs/>
    </w:rPr>
  </w:style>
  <w:style w:type="character" w:customStyle="1" w:styleId="vsebinanovice">
    <w:name w:val="vsebinanovice"/>
    <w:basedOn w:val="DefaultParagraphFont"/>
    <w:rsid w:val="00B4317C"/>
  </w:style>
  <w:style w:type="paragraph" w:customStyle="1" w:styleId="odstavek1">
    <w:name w:val="odstavek1"/>
    <w:basedOn w:val="Normal"/>
    <w:uiPriority w:val="99"/>
    <w:rsid w:val="00015F9A"/>
    <w:pPr>
      <w:spacing w:before="240" w:after="0"/>
      <w:ind w:firstLine="1021"/>
    </w:pPr>
    <w:rPr>
      <w:rFonts w:eastAsia="Times New Roman" w:cs="Arial"/>
      <w:lang w:eastAsia="sl-SI"/>
    </w:rPr>
  </w:style>
  <w:style w:type="paragraph" w:customStyle="1" w:styleId="tevilnatoka1">
    <w:name w:val="tevilnatoka1"/>
    <w:basedOn w:val="Normal"/>
    <w:rsid w:val="00015F9A"/>
    <w:pPr>
      <w:spacing w:after="0"/>
      <w:ind w:left="425" w:hanging="425"/>
    </w:pPr>
    <w:rPr>
      <w:rFonts w:eastAsia="Times New Roman" w:cs="Arial"/>
      <w:lang w:eastAsia="sl-SI"/>
    </w:rPr>
  </w:style>
  <w:style w:type="paragraph" w:customStyle="1" w:styleId="besedilo">
    <w:name w:val="besedilo"/>
    <w:basedOn w:val="Normal"/>
    <w:link w:val="besediloChar"/>
    <w:qFormat/>
    <w:rsid w:val="00EB745F"/>
    <w:pPr>
      <w:spacing w:after="0" w:line="276" w:lineRule="auto"/>
    </w:pPr>
    <w:rPr>
      <w:rFonts w:cs="Arial"/>
      <w:bCs/>
      <w:color w:val="000000"/>
    </w:rPr>
  </w:style>
  <w:style w:type="character" w:customStyle="1" w:styleId="besediloChar">
    <w:name w:val="besedilo Char"/>
    <w:link w:val="besedilo"/>
    <w:locked/>
    <w:rsid w:val="00EB745F"/>
    <w:rPr>
      <w:rFonts w:ascii="Arial" w:hAnsi="Arial" w:cs="Arial"/>
      <w:bCs/>
      <w:color w:val="000000"/>
    </w:rPr>
  </w:style>
  <w:style w:type="character" w:customStyle="1" w:styleId="BodyTextChar">
    <w:name w:val="Body Text Char"/>
    <w:aliases w:val="Body Char,block style Char,12345 Char,Body HDR Char"/>
    <w:basedOn w:val="DefaultParagraphFont"/>
    <w:link w:val="BodyText"/>
    <w:semiHidden/>
    <w:locked/>
    <w:rsid w:val="009E6A31"/>
    <w:rPr>
      <w:sz w:val="24"/>
      <w:szCs w:val="24"/>
      <w:lang w:eastAsia="ar-SA"/>
    </w:rPr>
  </w:style>
  <w:style w:type="paragraph" w:styleId="BodyText">
    <w:name w:val="Body Text"/>
    <w:aliases w:val="Body,block style,12345,Body HDR"/>
    <w:basedOn w:val="Normal"/>
    <w:link w:val="BodyTextChar"/>
    <w:semiHidden/>
    <w:unhideWhenUsed/>
    <w:rsid w:val="009E6A31"/>
    <w:pPr>
      <w:suppressAutoHyphens/>
      <w:spacing w:after="120"/>
      <w:jc w:val="left"/>
    </w:pPr>
    <w:rPr>
      <w:rFonts w:asciiTheme="minorHAnsi" w:hAnsiTheme="minorHAnsi"/>
      <w:sz w:val="24"/>
      <w:szCs w:val="24"/>
      <w:lang w:eastAsia="ar-SA"/>
    </w:rPr>
  </w:style>
  <w:style w:type="character" w:customStyle="1" w:styleId="TelobesedilaZnak1">
    <w:name w:val="Telo besedila Znak1"/>
    <w:basedOn w:val="DefaultParagraphFont"/>
    <w:uiPriority w:val="99"/>
    <w:semiHidden/>
    <w:rsid w:val="009E6A31"/>
    <w:rPr>
      <w:rFonts w:ascii="Arial" w:hAnsi="Arial"/>
    </w:rPr>
  </w:style>
  <w:style w:type="paragraph" w:customStyle="1" w:styleId="Navaden1">
    <w:name w:val="Navaden1"/>
    <w:basedOn w:val="Caption"/>
    <w:rsid w:val="00E90A7F"/>
    <w:pPr>
      <w:spacing w:before="0" w:after="0"/>
      <w:ind w:left="1440" w:hanging="1440"/>
    </w:pPr>
    <w:rPr>
      <w:rFonts w:ascii="Arial" w:hAnsi="Arial" w:cs="Arial"/>
      <w:b/>
      <w:bCs/>
      <w:sz w:val="20"/>
      <w:lang w:val="sl-SI"/>
    </w:rPr>
  </w:style>
  <w:style w:type="character" w:styleId="CommentReference">
    <w:name w:val="annotation reference"/>
    <w:basedOn w:val="DefaultParagraphFont"/>
    <w:uiPriority w:val="99"/>
    <w:semiHidden/>
    <w:unhideWhenUsed/>
    <w:rsid w:val="009E6A31"/>
    <w:rPr>
      <w:sz w:val="16"/>
      <w:szCs w:val="16"/>
    </w:rPr>
  </w:style>
  <w:style w:type="paragraph" w:styleId="CommentText">
    <w:name w:val="annotation text"/>
    <w:basedOn w:val="Normal"/>
    <w:link w:val="CommentTextChar"/>
    <w:uiPriority w:val="99"/>
    <w:semiHidden/>
    <w:unhideWhenUsed/>
    <w:rsid w:val="009E6A31"/>
    <w:rPr>
      <w:sz w:val="20"/>
      <w:szCs w:val="20"/>
    </w:rPr>
  </w:style>
  <w:style w:type="character" w:customStyle="1" w:styleId="CommentTextChar">
    <w:name w:val="Comment Text Char"/>
    <w:basedOn w:val="DefaultParagraphFont"/>
    <w:link w:val="CommentText"/>
    <w:uiPriority w:val="99"/>
    <w:semiHidden/>
    <w:rsid w:val="009E6A3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E6A31"/>
    <w:rPr>
      <w:b/>
      <w:bCs/>
    </w:rPr>
  </w:style>
  <w:style w:type="character" w:customStyle="1" w:styleId="CommentSubjectChar">
    <w:name w:val="Comment Subject Char"/>
    <w:basedOn w:val="CommentTextChar"/>
    <w:link w:val="CommentSubject"/>
    <w:uiPriority w:val="99"/>
    <w:semiHidden/>
    <w:rsid w:val="009E6A31"/>
    <w:rPr>
      <w:rFonts w:ascii="Arial" w:hAnsi="Arial"/>
      <w:b/>
      <w:bCs/>
      <w:sz w:val="20"/>
      <w:szCs w:val="20"/>
    </w:rPr>
  </w:style>
  <w:style w:type="paragraph" w:styleId="ListNumber">
    <w:name w:val="List Number"/>
    <w:basedOn w:val="Normal"/>
    <w:rsid w:val="009E6A31"/>
    <w:pPr>
      <w:numPr>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2">
    <w:name w:val="List Number (Level 2)"/>
    <w:basedOn w:val="Normal"/>
    <w:rsid w:val="009E6A31"/>
    <w:pPr>
      <w:numPr>
        <w:ilvl w:val="1"/>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3">
    <w:name w:val="List Number (Level 3)"/>
    <w:basedOn w:val="Normal"/>
    <w:rsid w:val="009E6A31"/>
    <w:pPr>
      <w:spacing w:before="120" w:after="120"/>
      <w:ind w:left="2160" w:hanging="360"/>
    </w:pPr>
    <w:rPr>
      <w:rFonts w:ascii="Times New Roman" w:eastAsia="Times New Roman" w:hAnsi="Times New Roman" w:cs="Times New Roman"/>
      <w:sz w:val="24"/>
      <w:szCs w:val="20"/>
      <w:lang w:val="en-GB" w:eastAsia="en-GB"/>
    </w:rPr>
  </w:style>
  <w:style w:type="paragraph" w:styleId="Header">
    <w:name w:val="header"/>
    <w:basedOn w:val="Normal"/>
    <w:link w:val="HeaderChar"/>
    <w:uiPriority w:val="99"/>
    <w:unhideWhenUsed/>
    <w:rsid w:val="00503BA8"/>
    <w:pPr>
      <w:tabs>
        <w:tab w:val="center" w:pos="4536"/>
        <w:tab w:val="right" w:pos="9072"/>
      </w:tabs>
      <w:spacing w:after="0"/>
    </w:pPr>
  </w:style>
  <w:style w:type="character" w:customStyle="1" w:styleId="HeaderChar">
    <w:name w:val="Header Char"/>
    <w:basedOn w:val="DefaultParagraphFont"/>
    <w:link w:val="Header"/>
    <w:uiPriority w:val="99"/>
    <w:rsid w:val="00503BA8"/>
    <w:rPr>
      <w:rFonts w:ascii="Arial" w:hAnsi="Arial"/>
    </w:rPr>
  </w:style>
  <w:style w:type="paragraph" w:styleId="Footer">
    <w:name w:val="footer"/>
    <w:basedOn w:val="Normal"/>
    <w:link w:val="FooterChar"/>
    <w:uiPriority w:val="99"/>
    <w:unhideWhenUsed/>
    <w:rsid w:val="00503BA8"/>
    <w:pPr>
      <w:tabs>
        <w:tab w:val="center" w:pos="4536"/>
        <w:tab w:val="right" w:pos="9072"/>
      </w:tabs>
      <w:spacing w:after="0"/>
    </w:pPr>
  </w:style>
  <w:style w:type="character" w:customStyle="1" w:styleId="FooterChar">
    <w:name w:val="Footer Char"/>
    <w:basedOn w:val="DefaultParagraphFont"/>
    <w:link w:val="Footer"/>
    <w:uiPriority w:val="99"/>
    <w:rsid w:val="00503BA8"/>
    <w:rPr>
      <w:rFonts w:ascii="Arial" w:hAnsi="Arial"/>
    </w:rPr>
  </w:style>
  <w:style w:type="paragraph" w:styleId="FootnoteText">
    <w:name w:val="footnote text"/>
    <w:aliases w:val=" Char Char,Char Char,Sprotna opomba-besedilo,Char Char Char Char,Sprotna opomba - besedilo Znak1,Sprotna opomba - besedilo Znak Znak2,Sprotna opomba - besedilo Znak1 Znak Znak1,Sprotna opomba - besedilo Znak1 Znak Znak Znak,fn,Footnote,o"/>
    <w:basedOn w:val="Normal"/>
    <w:link w:val="FootnoteTextChar"/>
    <w:uiPriority w:val="99"/>
    <w:unhideWhenUsed/>
    <w:qFormat/>
    <w:rsid w:val="00116A2C"/>
    <w:pPr>
      <w:spacing w:after="0"/>
      <w:jc w:val="left"/>
    </w:pPr>
    <w:rPr>
      <w:sz w:val="20"/>
      <w:szCs w:val="20"/>
    </w:rPr>
  </w:style>
  <w:style w:type="character" w:customStyle="1" w:styleId="FootnoteTextChar">
    <w:name w:val="Footnote Text Char"/>
    <w:aliases w:val=" Char Char Char,Char Char Char,Sprotna opomba-besedilo Char,Char Char Char Char Char,Sprotna opomba - besedilo Znak1 Char,Sprotna opomba - besedilo Znak Znak2 Char,Sprotna opomba - besedilo Znak1 Znak Znak1 Char,fn Char,Footnote Char"/>
    <w:basedOn w:val="DefaultParagraphFont"/>
    <w:link w:val="FootnoteText"/>
    <w:uiPriority w:val="99"/>
    <w:rsid w:val="00116A2C"/>
    <w:rPr>
      <w:rFonts w:ascii="Arial" w:hAnsi="Arial"/>
      <w:sz w:val="20"/>
      <w:szCs w:val="20"/>
    </w:rPr>
  </w:style>
  <w:style w:type="character" w:styleId="FootnoteReference">
    <w:name w:val="footnote reference"/>
    <w:aliases w:val="Fussnota,Footnote symbol,Footnote reference number,Times 10 Point,Exposant 3 Point,EN Footnote Reference,note TESI,E...,nota de rodapé,Footnote Reference_LVL6,Footnote Reference_LVL61,Footnote Reference_LVL62,Footnot,stylish,SUPER,Re"/>
    <w:uiPriority w:val="99"/>
    <w:qFormat/>
    <w:rsid w:val="00116A2C"/>
    <w:rPr>
      <w:vertAlign w:val="superscript"/>
    </w:rPr>
  </w:style>
  <w:style w:type="paragraph" w:customStyle="1" w:styleId="vstavek">
    <w:name w:val="vstavek"/>
    <w:basedOn w:val="besedilo"/>
    <w:link w:val="vstavekChar"/>
    <w:qFormat/>
    <w:rsid w:val="00E90A7F"/>
    <w:pPr>
      <w:spacing w:before="20" w:after="20"/>
    </w:pPr>
    <w:rPr>
      <w:rFonts w:eastAsia="Calibri" w:cs="Times New Roman"/>
      <w:b/>
      <w:bCs w:val="0"/>
      <w:i/>
      <w:noProof/>
      <w:color w:val="auto"/>
      <w:sz w:val="19"/>
    </w:rPr>
  </w:style>
  <w:style w:type="character" w:customStyle="1" w:styleId="vstavekChar">
    <w:name w:val="vstavek Char"/>
    <w:link w:val="vstavek"/>
    <w:locked/>
    <w:rsid w:val="00E90A7F"/>
    <w:rPr>
      <w:rFonts w:ascii="Arial" w:eastAsia="Calibri" w:hAnsi="Arial" w:cs="Times New Roman"/>
      <w:b/>
      <w:i/>
      <w:noProof/>
      <w:sz w:val="19"/>
    </w:rPr>
  </w:style>
  <w:style w:type="character" w:styleId="IntenseEmphasis">
    <w:name w:val="Intense Emphasis"/>
    <w:qFormat/>
    <w:rsid w:val="000C201A"/>
    <w:rPr>
      <w:rFonts w:cs="Times New Roman"/>
      <w:b/>
      <w:bCs/>
      <w:i/>
      <w:iCs/>
      <w:color w:val="4F81BD"/>
    </w:rPr>
  </w:style>
  <w:style w:type="paragraph" w:styleId="IntenseQuote">
    <w:name w:val="Intense Quote"/>
    <w:basedOn w:val="Normal"/>
    <w:next w:val="Normal"/>
    <w:link w:val="IntenseQuoteChar"/>
    <w:qFormat/>
    <w:rsid w:val="000C201A"/>
    <w:pPr>
      <w:pBdr>
        <w:bottom w:val="single" w:sz="4" w:space="4" w:color="4F81BD"/>
      </w:pBdr>
      <w:spacing w:before="200" w:after="280"/>
      <w:ind w:left="936" w:right="936"/>
      <w:jc w:val="left"/>
    </w:pPr>
    <w:rPr>
      <w:rFonts w:ascii="Times New Roman" w:eastAsia="Times New Roman" w:hAnsi="Times New Roman" w:cs="Times New Roman"/>
      <w:b/>
      <w:bCs/>
      <w:i/>
      <w:iCs/>
      <w:color w:val="4F81BD"/>
      <w:sz w:val="20"/>
      <w:szCs w:val="20"/>
    </w:rPr>
  </w:style>
  <w:style w:type="character" w:customStyle="1" w:styleId="IntenseQuoteChar">
    <w:name w:val="Intense Quote Char"/>
    <w:basedOn w:val="DefaultParagraphFont"/>
    <w:link w:val="IntenseQuote"/>
    <w:rsid w:val="000C201A"/>
    <w:rPr>
      <w:rFonts w:ascii="Times New Roman" w:eastAsia="Times New Roman" w:hAnsi="Times New Roman" w:cs="Times New Roman"/>
      <w:b/>
      <w:bCs/>
      <w:i/>
      <w:iCs/>
      <w:color w:val="4F81BD"/>
      <w:sz w:val="20"/>
      <w:szCs w:val="20"/>
    </w:rPr>
  </w:style>
  <w:style w:type="paragraph" w:styleId="NoSpacing">
    <w:name w:val="No Spacing"/>
    <w:link w:val="NoSpacingChar"/>
    <w:uiPriority w:val="1"/>
    <w:qFormat/>
    <w:rsid w:val="00E90A7F"/>
    <w:pPr>
      <w:spacing w:after="0" w:line="240" w:lineRule="auto"/>
      <w:jc w:val="both"/>
    </w:pPr>
    <w:rPr>
      <w:rFonts w:ascii="Arial" w:hAnsi="Arial"/>
    </w:rPr>
  </w:style>
  <w:style w:type="paragraph" w:styleId="TOCHeading">
    <w:name w:val="TOC Heading"/>
    <w:basedOn w:val="Heading1"/>
    <w:next w:val="Normal"/>
    <w:uiPriority w:val="39"/>
    <w:unhideWhenUsed/>
    <w:qFormat/>
    <w:rsid w:val="006D5B8D"/>
    <w:pPr>
      <w:numPr>
        <w:numId w:val="0"/>
      </w:numPr>
      <w:spacing w:line="276" w:lineRule="auto"/>
      <w:jc w:val="left"/>
      <w:outlineLvl w:val="9"/>
    </w:pPr>
    <w:rPr>
      <w:rFonts w:asciiTheme="majorHAnsi" w:hAnsiTheme="majorHAnsi" w:cstheme="majorBidi"/>
      <w:color w:val="365F91" w:themeColor="accent1" w:themeShade="BF"/>
      <w:sz w:val="28"/>
      <w:szCs w:val="28"/>
      <w:lang w:eastAsia="sl-SI"/>
    </w:rPr>
  </w:style>
  <w:style w:type="paragraph" w:styleId="TOC1">
    <w:name w:val="toc 1"/>
    <w:basedOn w:val="Normal"/>
    <w:next w:val="Normal"/>
    <w:autoRedefine/>
    <w:uiPriority w:val="39"/>
    <w:unhideWhenUsed/>
    <w:rsid w:val="006C32E3"/>
    <w:pPr>
      <w:tabs>
        <w:tab w:val="left" w:pos="660"/>
        <w:tab w:val="right" w:leader="dot" w:pos="9288"/>
      </w:tabs>
      <w:spacing w:after="100" w:line="23" w:lineRule="atLeast"/>
    </w:pPr>
  </w:style>
  <w:style w:type="paragraph" w:styleId="TOC2">
    <w:name w:val="toc 2"/>
    <w:basedOn w:val="Normal"/>
    <w:next w:val="Normal"/>
    <w:autoRedefine/>
    <w:uiPriority w:val="39"/>
    <w:unhideWhenUsed/>
    <w:rsid w:val="006C32E3"/>
    <w:pPr>
      <w:tabs>
        <w:tab w:val="left" w:pos="880"/>
        <w:tab w:val="right" w:leader="dot" w:pos="9288"/>
      </w:tabs>
      <w:spacing w:after="100" w:line="23" w:lineRule="atLeast"/>
      <w:ind w:left="851" w:hanging="631"/>
    </w:pPr>
  </w:style>
  <w:style w:type="character" w:styleId="Hyperlink">
    <w:name w:val="Hyperlink"/>
    <w:basedOn w:val="DefaultParagraphFont"/>
    <w:uiPriority w:val="99"/>
    <w:unhideWhenUsed/>
    <w:rsid w:val="006D5B8D"/>
    <w:rPr>
      <w:color w:val="0000FF" w:themeColor="hyperlink"/>
      <w:u w:val="single"/>
    </w:rPr>
  </w:style>
  <w:style w:type="paragraph" w:customStyle="1" w:styleId="normalsp0">
    <w:name w:val="normalsp"/>
    <w:basedOn w:val="Normal"/>
    <w:rsid w:val="00E55052"/>
    <w:pPr>
      <w:spacing w:after="0" w:line="264" w:lineRule="auto"/>
    </w:pPr>
    <w:rPr>
      <w:rFonts w:cs="Arial"/>
      <w:sz w:val="20"/>
      <w:szCs w:val="20"/>
      <w:lang w:eastAsia="sl-SI"/>
    </w:rPr>
  </w:style>
  <w:style w:type="character" w:customStyle="1" w:styleId="apple-converted-space">
    <w:name w:val="apple-converted-space"/>
    <w:basedOn w:val="DefaultParagraphFont"/>
    <w:rsid w:val="009A4FCA"/>
  </w:style>
  <w:style w:type="paragraph" w:styleId="PlainText">
    <w:name w:val="Plain Text"/>
    <w:basedOn w:val="Normal"/>
    <w:link w:val="PlainTextChar"/>
    <w:uiPriority w:val="99"/>
    <w:unhideWhenUsed/>
    <w:rsid w:val="000C4CB5"/>
    <w:pPr>
      <w:spacing w:before="100" w:beforeAutospacing="1" w:after="100" w:afterAutospacing="1"/>
      <w:jc w:val="left"/>
    </w:pPr>
    <w:rPr>
      <w:rFonts w:ascii="Times New Roman" w:hAnsi="Times New Roman" w:cs="Times New Roman"/>
      <w:sz w:val="24"/>
      <w:szCs w:val="24"/>
      <w:lang w:eastAsia="sl-SI"/>
    </w:rPr>
  </w:style>
  <w:style w:type="character" w:customStyle="1" w:styleId="PlainTextChar">
    <w:name w:val="Plain Text Char"/>
    <w:basedOn w:val="DefaultParagraphFont"/>
    <w:link w:val="PlainText"/>
    <w:uiPriority w:val="99"/>
    <w:rsid w:val="000C4CB5"/>
    <w:rPr>
      <w:rFonts w:ascii="Times New Roman" w:hAnsi="Times New Roman" w:cs="Times New Roman"/>
      <w:sz w:val="24"/>
      <w:szCs w:val="24"/>
      <w:lang w:eastAsia="sl-SI"/>
    </w:rPr>
  </w:style>
  <w:style w:type="table" w:customStyle="1" w:styleId="Tabelamrea1">
    <w:name w:val="Tabela – mreža1"/>
    <w:basedOn w:val="TableNormal"/>
    <w:next w:val="TableGrid"/>
    <w:uiPriority w:val="59"/>
    <w:rsid w:val="00A86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1032E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elobesedila21">
    <w:name w:val="Telo besedila 21"/>
    <w:basedOn w:val="Normal"/>
    <w:link w:val="Telobesedila21Char"/>
    <w:rsid w:val="00AD6308"/>
    <w:pPr>
      <w:tabs>
        <w:tab w:val="right" w:pos="9072"/>
      </w:tabs>
      <w:suppressAutoHyphens/>
      <w:spacing w:after="0"/>
    </w:pPr>
    <w:rPr>
      <w:rFonts w:eastAsia="Times New Roman" w:cs="Times New Roman"/>
      <w:noProof/>
      <w:szCs w:val="20"/>
      <w:lang w:eastAsia="ar-SA"/>
    </w:rPr>
  </w:style>
  <w:style w:type="character" w:customStyle="1" w:styleId="Telobesedila21Char">
    <w:name w:val="Telo besedila 21 Char"/>
    <w:link w:val="Telobesedila21"/>
    <w:rsid w:val="00AD6308"/>
    <w:rPr>
      <w:rFonts w:ascii="Arial" w:eastAsia="Times New Roman" w:hAnsi="Arial" w:cs="Times New Roman"/>
      <w:noProof/>
      <w:szCs w:val="20"/>
      <w:lang w:eastAsia="ar-SA"/>
    </w:rPr>
  </w:style>
  <w:style w:type="paragraph" w:customStyle="1" w:styleId="Pa3">
    <w:name w:val="Pa3"/>
    <w:basedOn w:val="Normal"/>
    <w:next w:val="Normal"/>
    <w:uiPriority w:val="99"/>
    <w:rsid w:val="007D09A1"/>
    <w:pPr>
      <w:autoSpaceDE w:val="0"/>
      <w:autoSpaceDN w:val="0"/>
      <w:adjustRightInd w:val="0"/>
      <w:spacing w:after="0" w:line="301" w:lineRule="atLeast"/>
      <w:jc w:val="left"/>
    </w:pPr>
    <w:rPr>
      <w:rFonts w:ascii="Myriad Pro" w:hAnsi="Myriad Pro"/>
      <w:sz w:val="24"/>
      <w:szCs w:val="24"/>
    </w:rPr>
  </w:style>
  <w:style w:type="table" w:styleId="LightShading-Accent1">
    <w:name w:val="Light Shading Accent 1"/>
    <w:basedOn w:val="TableNormal"/>
    <w:uiPriority w:val="60"/>
    <w:rsid w:val="00ED1FD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odytext0">
    <w:name w:val="bodytext"/>
    <w:basedOn w:val="Normal"/>
    <w:rsid w:val="003873CF"/>
    <w:pPr>
      <w:spacing w:after="0"/>
      <w:jc w:val="left"/>
    </w:pPr>
    <w:rPr>
      <w:rFonts w:ascii="Times New Roman" w:eastAsia="Times New Roman" w:hAnsi="Times New Roman" w:cs="Times New Roman"/>
      <w:sz w:val="24"/>
      <w:szCs w:val="24"/>
      <w:lang w:eastAsia="sl-SI"/>
    </w:rPr>
  </w:style>
  <w:style w:type="paragraph" w:customStyle="1" w:styleId="poglavje1">
    <w:name w:val="poglavje1"/>
    <w:basedOn w:val="Normal"/>
    <w:uiPriority w:val="99"/>
    <w:rsid w:val="005229D1"/>
    <w:pPr>
      <w:spacing w:before="480" w:after="0"/>
      <w:jc w:val="center"/>
    </w:pPr>
    <w:rPr>
      <w:rFonts w:cs="Arial"/>
      <w:lang w:eastAsia="sl-SI"/>
    </w:rPr>
  </w:style>
  <w:style w:type="paragraph" w:customStyle="1" w:styleId="prehodneinkoncnedolocbe1">
    <w:name w:val="prehodneinkoncnedolocbe1"/>
    <w:basedOn w:val="Normal"/>
    <w:uiPriority w:val="99"/>
    <w:rsid w:val="005229D1"/>
    <w:pPr>
      <w:spacing w:before="400" w:after="600"/>
    </w:pPr>
    <w:rPr>
      <w:rFonts w:cs="Arial"/>
      <w:b/>
      <w:bCs/>
      <w:lang w:eastAsia="sl-SI"/>
    </w:rPr>
  </w:style>
  <w:style w:type="paragraph" w:customStyle="1" w:styleId="lennovele1">
    <w:name w:val="lennovele1"/>
    <w:basedOn w:val="Normal"/>
    <w:uiPriority w:val="99"/>
    <w:rsid w:val="005229D1"/>
    <w:pPr>
      <w:spacing w:before="480" w:after="0"/>
      <w:jc w:val="center"/>
    </w:pPr>
    <w:rPr>
      <w:rFonts w:cs="Arial"/>
      <w:lang w:eastAsia="sl-SI"/>
    </w:rPr>
  </w:style>
  <w:style w:type="table" w:customStyle="1" w:styleId="GridTable21">
    <w:name w:val="Grid Table 21"/>
    <w:basedOn w:val="TableNormal"/>
    <w:uiPriority w:val="47"/>
    <w:rsid w:val="00FD3464"/>
    <w:pPr>
      <w:spacing w:after="0" w:line="240" w:lineRule="auto"/>
    </w:pPr>
    <w:rPr>
      <w:rFonts w:ascii="Calibri" w:eastAsia="Times New Roman" w:hAnsi="Calibri" w:cs="Arial"/>
      <w:lang w:eastAsia="sl-S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Shading-Accent5">
    <w:name w:val="Light Shading Accent 5"/>
    <w:basedOn w:val="TableNormal"/>
    <w:uiPriority w:val="60"/>
    <w:rsid w:val="007B5454"/>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FollowedHyperlink">
    <w:name w:val="FollowedHyperlink"/>
    <w:basedOn w:val="DefaultParagraphFont"/>
    <w:uiPriority w:val="99"/>
    <w:semiHidden/>
    <w:unhideWhenUsed/>
    <w:rsid w:val="0031681B"/>
    <w:rPr>
      <w:color w:val="800080" w:themeColor="followedHyperlink"/>
      <w:u w:val="single"/>
    </w:rPr>
  </w:style>
  <w:style w:type="paragraph" w:customStyle="1" w:styleId="CM4">
    <w:name w:val="CM4"/>
    <w:basedOn w:val="Default"/>
    <w:next w:val="Default"/>
    <w:uiPriority w:val="99"/>
    <w:rsid w:val="00F12CD5"/>
    <w:rPr>
      <w:color w:val="auto"/>
      <w:lang w:val="en-US"/>
    </w:rPr>
  </w:style>
  <w:style w:type="paragraph" w:styleId="TableofFigures">
    <w:name w:val="table of figures"/>
    <w:basedOn w:val="Normal"/>
    <w:next w:val="Normal"/>
    <w:autoRedefine/>
    <w:uiPriority w:val="99"/>
    <w:semiHidden/>
    <w:unhideWhenUsed/>
    <w:qFormat/>
    <w:rsid w:val="00224122"/>
    <w:pPr>
      <w:spacing w:after="0"/>
    </w:pPr>
  </w:style>
  <w:style w:type="table" w:customStyle="1" w:styleId="ListTable2-Accent11">
    <w:name w:val="List Table 2 - Accent 11"/>
    <w:basedOn w:val="TableNormal"/>
    <w:uiPriority w:val="47"/>
    <w:rsid w:val="0030563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ED19DC"/>
    <w:pPr>
      <w:spacing w:after="0" w:line="240" w:lineRule="auto"/>
    </w:pPr>
    <w:rPr>
      <w:rFonts w:ascii="Arial" w:hAnsi="Arial"/>
    </w:rPr>
  </w:style>
  <w:style w:type="numbering" w:customStyle="1" w:styleId="NoList1">
    <w:name w:val="No List1"/>
    <w:next w:val="NoList"/>
    <w:uiPriority w:val="99"/>
    <w:semiHidden/>
    <w:unhideWhenUsed/>
    <w:rsid w:val="008A5C9E"/>
  </w:style>
  <w:style w:type="table" w:customStyle="1" w:styleId="LightShading-Accent51">
    <w:name w:val="Light Shading - Accent 51"/>
    <w:basedOn w:val="TableNormal"/>
    <w:next w:val="LightShading-Accent5"/>
    <w:uiPriority w:val="60"/>
    <w:rsid w:val="008A5C9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next w:val="LightShading-Accent1"/>
    <w:uiPriority w:val="60"/>
    <w:rsid w:val="008A5C9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lid-translation">
    <w:name w:val="tlid-translation"/>
    <w:basedOn w:val="DefaultParagraphFont"/>
    <w:rsid w:val="00EE1E5E"/>
  </w:style>
  <w:style w:type="character" w:customStyle="1" w:styleId="NoSpacingChar">
    <w:name w:val="No Spacing Char"/>
    <w:basedOn w:val="DefaultParagraphFont"/>
    <w:link w:val="NoSpacing"/>
    <w:uiPriority w:val="1"/>
    <w:rsid w:val="00146BB8"/>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793">
      <w:bodyDiv w:val="1"/>
      <w:marLeft w:val="0"/>
      <w:marRight w:val="0"/>
      <w:marTop w:val="0"/>
      <w:marBottom w:val="0"/>
      <w:divBdr>
        <w:top w:val="none" w:sz="0" w:space="0" w:color="auto"/>
        <w:left w:val="none" w:sz="0" w:space="0" w:color="auto"/>
        <w:bottom w:val="none" w:sz="0" w:space="0" w:color="auto"/>
        <w:right w:val="none" w:sz="0" w:space="0" w:color="auto"/>
      </w:divBdr>
    </w:div>
    <w:div w:id="21253932">
      <w:bodyDiv w:val="1"/>
      <w:marLeft w:val="0"/>
      <w:marRight w:val="0"/>
      <w:marTop w:val="0"/>
      <w:marBottom w:val="0"/>
      <w:divBdr>
        <w:top w:val="none" w:sz="0" w:space="0" w:color="auto"/>
        <w:left w:val="none" w:sz="0" w:space="0" w:color="auto"/>
        <w:bottom w:val="none" w:sz="0" w:space="0" w:color="auto"/>
        <w:right w:val="none" w:sz="0" w:space="0" w:color="auto"/>
      </w:divBdr>
    </w:div>
    <w:div w:id="24912594">
      <w:bodyDiv w:val="1"/>
      <w:marLeft w:val="0"/>
      <w:marRight w:val="0"/>
      <w:marTop w:val="0"/>
      <w:marBottom w:val="0"/>
      <w:divBdr>
        <w:top w:val="none" w:sz="0" w:space="0" w:color="auto"/>
        <w:left w:val="none" w:sz="0" w:space="0" w:color="auto"/>
        <w:bottom w:val="none" w:sz="0" w:space="0" w:color="auto"/>
        <w:right w:val="none" w:sz="0" w:space="0" w:color="auto"/>
      </w:divBdr>
    </w:div>
    <w:div w:id="55127250">
      <w:bodyDiv w:val="1"/>
      <w:marLeft w:val="0"/>
      <w:marRight w:val="0"/>
      <w:marTop w:val="0"/>
      <w:marBottom w:val="0"/>
      <w:divBdr>
        <w:top w:val="none" w:sz="0" w:space="0" w:color="auto"/>
        <w:left w:val="none" w:sz="0" w:space="0" w:color="auto"/>
        <w:bottom w:val="none" w:sz="0" w:space="0" w:color="auto"/>
        <w:right w:val="none" w:sz="0" w:space="0" w:color="auto"/>
      </w:divBdr>
    </w:div>
    <w:div w:id="56435478">
      <w:bodyDiv w:val="1"/>
      <w:marLeft w:val="0"/>
      <w:marRight w:val="0"/>
      <w:marTop w:val="0"/>
      <w:marBottom w:val="0"/>
      <w:divBdr>
        <w:top w:val="none" w:sz="0" w:space="0" w:color="auto"/>
        <w:left w:val="none" w:sz="0" w:space="0" w:color="auto"/>
        <w:bottom w:val="none" w:sz="0" w:space="0" w:color="auto"/>
        <w:right w:val="none" w:sz="0" w:space="0" w:color="auto"/>
      </w:divBdr>
    </w:div>
    <w:div w:id="77026743">
      <w:bodyDiv w:val="1"/>
      <w:marLeft w:val="0"/>
      <w:marRight w:val="0"/>
      <w:marTop w:val="0"/>
      <w:marBottom w:val="0"/>
      <w:divBdr>
        <w:top w:val="none" w:sz="0" w:space="0" w:color="auto"/>
        <w:left w:val="none" w:sz="0" w:space="0" w:color="auto"/>
        <w:bottom w:val="none" w:sz="0" w:space="0" w:color="auto"/>
        <w:right w:val="none" w:sz="0" w:space="0" w:color="auto"/>
      </w:divBdr>
      <w:divsChild>
        <w:div w:id="216207024">
          <w:marLeft w:val="450"/>
          <w:marRight w:val="450"/>
          <w:marTop w:val="0"/>
          <w:marBottom w:val="150"/>
          <w:divBdr>
            <w:top w:val="single" w:sz="6" w:space="8" w:color="112449"/>
            <w:left w:val="single" w:sz="6" w:space="8" w:color="112449"/>
            <w:bottom w:val="single" w:sz="6" w:space="8" w:color="112449"/>
            <w:right w:val="single" w:sz="6" w:space="8" w:color="112449"/>
          </w:divBdr>
        </w:div>
      </w:divsChild>
    </w:div>
    <w:div w:id="133375177">
      <w:bodyDiv w:val="1"/>
      <w:marLeft w:val="0"/>
      <w:marRight w:val="0"/>
      <w:marTop w:val="0"/>
      <w:marBottom w:val="0"/>
      <w:divBdr>
        <w:top w:val="none" w:sz="0" w:space="0" w:color="auto"/>
        <w:left w:val="none" w:sz="0" w:space="0" w:color="auto"/>
        <w:bottom w:val="none" w:sz="0" w:space="0" w:color="auto"/>
        <w:right w:val="none" w:sz="0" w:space="0" w:color="auto"/>
      </w:divBdr>
      <w:divsChild>
        <w:div w:id="466974278">
          <w:marLeft w:val="0"/>
          <w:marRight w:val="0"/>
          <w:marTop w:val="0"/>
          <w:marBottom w:val="0"/>
          <w:divBdr>
            <w:top w:val="none" w:sz="0" w:space="0" w:color="auto"/>
            <w:left w:val="none" w:sz="0" w:space="0" w:color="auto"/>
            <w:bottom w:val="none" w:sz="0" w:space="0" w:color="auto"/>
            <w:right w:val="none" w:sz="0" w:space="0" w:color="auto"/>
          </w:divBdr>
          <w:divsChild>
            <w:div w:id="1201287732">
              <w:marLeft w:val="0"/>
              <w:marRight w:val="0"/>
              <w:marTop w:val="150"/>
              <w:marBottom w:val="150"/>
              <w:divBdr>
                <w:top w:val="none" w:sz="0" w:space="0" w:color="auto"/>
                <w:left w:val="none" w:sz="0" w:space="0" w:color="auto"/>
                <w:bottom w:val="none" w:sz="0" w:space="0" w:color="auto"/>
                <w:right w:val="none" w:sz="0" w:space="0" w:color="auto"/>
              </w:divBdr>
              <w:divsChild>
                <w:div w:id="1355307850">
                  <w:marLeft w:val="0"/>
                  <w:marRight w:val="0"/>
                  <w:marTop w:val="0"/>
                  <w:marBottom w:val="0"/>
                  <w:divBdr>
                    <w:top w:val="none" w:sz="0" w:space="0" w:color="auto"/>
                    <w:left w:val="none" w:sz="0" w:space="0" w:color="auto"/>
                    <w:bottom w:val="none" w:sz="0" w:space="0" w:color="auto"/>
                    <w:right w:val="none" w:sz="0" w:space="0" w:color="auto"/>
                  </w:divBdr>
                  <w:divsChild>
                    <w:div w:id="132449039">
                      <w:marLeft w:val="0"/>
                      <w:marRight w:val="0"/>
                      <w:marTop w:val="0"/>
                      <w:marBottom w:val="0"/>
                      <w:divBdr>
                        <w:top w:val="none" w:sz="0" w:space="0" w:color="auto"/>
                        <w:left w:val="none" w:sz="0" w:space="0" w:color="auto"/>
                        <w:bottom w:val="none" w:sz="0" w:space="0" w:color="auto"/>
                        <w:right w:val="none" w:sz="0" w:space="0" w:color="auto"/>
                      </w:divBdr>
                      <w:divsChild>
                        <w:div w:id="1565681968">
                          <w:marLeft w:val="180"/>
                          <w:marRight w:val="0"/>
                          <w:marTop w:val="0"/>
                          <w:marBottom w:val="0"/>
                          <w:divBdr>
                            <w:top w:val="none" w:sz="0" w:space="0" w:color="auto"/>
                            <w:left w:val="none" w:sz="0" w:space="0" w:color="auto"/>
                            <w:bottom w:val="none" w:sz="0" w:space="0" w:color="auto"/>
                            <w:right w:val="none" w:sz="0" w:space="0" w:color="auto"/>
                          </w:divBdr>
                          <w:divsChild>
                            <w:div w:id="357969462">
                              <w:marLeft w:val="0"/>
                              <w:marRight w:val="0"/>
                              <w:marTop w:val="0"/>
                              <w:marBottom w:val="0"/>
                              <w:divBdr>
                                <w:top w:val="none" w:sz="0" w:space="0" w:color="auto"/>
                                <w:left w:val="none" w:sz="0" w:space="0" w:color="auto"/>
                                <w:bottom w:val="none" w:sz="0" w:space="0" w:color="auto"/>
                                <w:right w:val="none" w:sz="0" w:space="0" w:color="auto"/>
                              </w:divBdr>
                              <w:divsChild>
                                <w:div w:id="5532410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515422">
      <w:bodyDiv w:val="1"/>
      <w:marLeft w:val="0"/>
      <w:marRight w:val="0"/>
      <w:marTop w:val="0"/>
      <w:marBottom w:val="0"/>
      <w:divBdr>
        <w:top w:val="none" w:sz="0" w:space="0" w:color="auto"/>
        <w:left w:val="none" w:sz="0" w:space="0" w:color="auto"/>
        <w:bottom w:val="none" w:sz="0" w:space="0" w:color="auto"/>
        <w:right w:val="none" w:sz="0" w:space="0" w:color="auto"/>
      </w:divBdr>
    </w:div>
    <w:div w:id="192152402">
      <w:bodyDiv w:val="1"/>
      <w:marLeft w:val="0"/>
      <w:marRight w:val="0"/>
      <w:marTop w:val="0"/>
      <w:marBottom w:val="0"/>
      <w:divBdr>
        <w:top w:val="none" w:sz="0" w:space="0" w:color="auto"/>
        <w:left w:val="none" w:sz="0" w:space="0" w:color="auto"/>
        <w:bottom w:val="none" w:sz="0" w:space="0" w:color="auto"/>
        <w:right w:val="none" w:sz="0" w:space="0" w:color="auto"/>
      </w:divBdr>
    </w:div>
    <w:div w:id="208343783">
      <w:bodyDiv w:val="1"/>
      <w:marLeft w:val="0"/>
      <w:marRight w:val="0"/>
      <w:marTop w:val="0"/>
      <w:marBottom w:val="0"/>
      <w:divBdr>
        <w:top w:val="none" w:sz="0" w:space="0" w:color="auto"/>
        <w:left w:val="none" w:sz="0" w:space="0" w:color="auto"/>
        <w:bottom w:val="none" w:sz="0" w:space="0" w:color="auto"/>
        <w:right w:val="none" w:sz="0" w:space="0" w:color="auto"/>
      </w:divBdr>
    </w:div>
    <w:div w:id="214509233">
      <w:bodyDiv w:val="1"/>
      <w:marLeft w:val="0"/>
      <w:marRight w:val="0"/>
      <w:marTop w:val="0"/>
      <w:marBottom w:val="0"/>
      <w:divBdr>
        <w:top w:val="none" w:sz="0" w:space="0" w:color="auto"/>
        <w:left w:val="none" w:sz="0" w:space="0" w:color="auto"/>
        <w:bottom w:val="none" w:sz="0" w:space="0" w:color="auto"/>
        <w:right w:val="none" w:sz="0" w:space="0" w:color="auto"/>
      </w:divBdr>
    </w:div>
    <w:div w:id="227881801">
      <w:bodyDiv w:val="1"/>
      <w:marLeft w:val="0"/>
      <w:marRight w:val="0"/>
      <w:marTop w:val="0"/>
      <w:marBottom w:val="0"/>
      <w:divBdr>
        <w:top w:val="none" w:sz="0" w:space="0" w:color="auto"/>
        <w:left w:val="none" w:sz="0" w:space="0" w:color="auto"/>
        <w:bottom w:val="none" w:sz="0" w:space="0" w:color="auto"/>
        <w:right w:val="none" w:sz="0" w:space="0" w:color="auto"/>
      </w:divBdr>
    </w:div>
    <w:div w:id="265767895">
      <w:bodyDiv w:val="1"/>
      <w:marLeft w:val="0"/>
      <w:marRight w:val="0"/>
      <w:marTop w:val="0"/>
      <w:marBottom w:val="0"/>
      <w:divBdr>
        <w:top w:val="none" w:sz="0" w:space="0" w:color="auto"/>
        <w:left w:val="none" w:sz="0" w:space="0" w:color="auto"/>
        <w:bottom w:val="none" w:sz="0" w:space="0" w:color="auto"/>
        <w:right w:val="none" w:sz="0" w:space="0" w:color="auto"/>
      </w:divBdr>
    </w:div>
    <w:div w:id="269045132">
      <w:bodyDiv w:val="1"/>
      <w:marLeft w:val="0"/>
      <w:marRight w:val="0"/>
      <w:marTop w:val="0"/>
      <w:marBottom w:val="0"/>
      <w:divBdr>
        <w:top w:val="none" w:sz="0" w:space="0" w:color="auto"/>
        <w:left w:val="none" w:sz="0" w:space="0" w:color="auto"/>
        <w:bottom w:val="none" w:sz="0" w:space="0" w:color="auto"/>
        <w:right w:val="none" w:sz="0" w:space="0" w:color="auto"/>
      </w:divBdr>
      <w:divsChild>
        <w:div w:id="668022448">
          <w:marLeft w:val="0"/>
          <w:marRight w:val="0"/>
          <w:marTop w:val="0"/>
          <w:marBottom w:val="0"/>
          <w:divBdr>
            <w:top w:val="none" w:sz="0" w:space="0" w:color="auto"/>
            <w:left w:val="none" w:sz="0" w:space="0" w:color="auto"/>
            <w:bottom w:val="none" w:sz="0" w:space="0" w:color="auto"/>
            <w:right w:val="none" w:sz="0" w:space="0" w:color="auto"/>
          </w:divBdr>
          <w:divsChild>
            <w:div w:id="437993998">
              <w:marLeft w:val="0"/>
              <w:marRight w:val="0"/>
              <w:marTop w:val="150"/>
              <w:marBottom w:val="150"/>
              <w:divBdr>
                <w:top w:val="none" w:sz="0" w:space="0" w:color="auto"/>
                <w:left w:val="none" w:sz="0" w:space="0" w:color="auto"/>
                <w:bottom w:val="none" w:sz="0" w:space="0" w:color="auto"/>
                <w:right w:val="none" w:sz="0" w:space="0" w:color="auto"/>
              </w:divBdr>
              <w:divsChild>
                <w:div w:id="2011786388">
                  <w:marLeft w:val="0"/>
                  <w:marRight w:val="0"/>
                  <w:marTop w:val="0"/>
                  <w:marBottom w:val="0"/>
                  <w:divBdr>
                    <w:top w:val="none" w:sz="0" w:space="0" w:color="auto"/>
                    <w:left w:val="none" w:sz="0" w:space="0" w:color="auto"/>
                    <w:bottom w:val="none" w:sz="0" w:space="0" w:color="auto"/>
                    <w:right w:val="none" w:sz="0" w:space="0" w:color="auto"/>
                  </w:divBdr>
                  <w:divsChild>
                    <w:div w:id="624048926">
                      <w:marLeft w:val="0"/>
                      <w:marRight w:val="0"/>
                      <w:marTop w:val="0"/>
                      <w:marBottom w:val="0"/>
                      <w:divBdr>
                        <w:top w:val="none" w:sz="0" w:space="0" w:color="auto"/>
                        <w:left w:val="none" w:sz="0" w:space="0" w:color="auto"/>
                        <w:bottom w:val="none" w:sz="0" w:space="0" w:color="auto"/>
                        <w:right w:val="none" w:sz="0" w:space="0" w:color="auto"/>
                      </w:divBdr>
                      <w:divsChild>
                        <w:div w:id="1568147758">
                          <w:marLeft w:val="180"/>
                          <w:marRight w:val="0"/>
                          <w:marTop w:val="0"/>
                          <w:marBottom w:val="0"/>
                          <w:divBdr>
                            <w:top w:val="none" w:sz="0" w:space="0" w:color="auto"/>
                            <w:left w:val="none" w:sz="0" w:space="0" w:color="auto"/>
                            <w:bottom w:val="none" w:sz="0" w:space="0" w:color="auto"/>
                            <w:right w:val="none" w:sz="0" w:space="0" w:color="auto"/>
                          </w:divBdr>
                          <w:divsChild>
                            <w:div w:id="1135220406">
                              <w:marLeft w:val="0"/>
                              <w:marRight w:val="0"/>
                              <w:marTop w:val="0"/>
                              <w:marBottom w:val="0"/>
                              <w:divBdr>
                                <w:top w:val="none" w:sz="0" w:space="0" w:color="auto"/>
                                <w:left w:val="none" w:sz="0" w:space="0" w:color="auto"/>
                                <w:bottom w:val="none" w:sz="0" w:space="0" w:color="auto"/>
                                <w:right w:val="none" w:sz="0" w:space="0" w:color="auto"/>
                              </w:divBdr>
                              <w:divsChild>
                                <w:div w:id="112508032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917177">
      <w:bodyDiv w:val="1"/>
      <w:marLeft w:val="0"/>
      <w:marRight w:val="0"/>
      <w:marTop w:val="0"/>
      <w:marBottom w:val="0"/>
      <w:divBdr>
        <w:top w:val="none" w:sz="0" w:space="0" w:color="auto"/>
        <w:left w:val="none" w:sz="0" w:space="0" w:color="auto"/>
        <w:bottom w:val="none" w:sz="0" w:space="0" w:color="auto"/>
        <w:right w:val="none" w:sz="0" w:space="0" w:color="auto"/>
      </w:divBdr>
    </w:div>
    <w:div w:id="279528575">
      <w:bodyDiv w:val="1"/>
      <w:marLeft w:val="0"/>
      <w:marRight w:val="0"/>
      <w:marTop w:val="0"/>
      <w:marBottom w:val="0"/>
      <w:divBdr>
        <w:top w:val="none" w:sz="0" w:space="0" w:color="auto"/>
        <w:left w:val="none" w:sz="0" w:space="0" w:color="auto"/>
        <w:bottom w:val="none" w:sz="0" w:space="0" w:color="auto"/>
        <w:right w:val="none" w:sz="0" w:space="0" w:color="auto"/>
      </w:divBdr>
    </w:div>
    <w:div w:id="282856670">
      <w:bodyDiv w:val="1"/>
      <w:marLeft w:val="0"/>
      <w:marRight w:val="0"/>
      <w:marTop w:val="0"/>
      <w:marBottom w:val="0"/>
      <w:divBdr>
        <w:top w:val="none" w:sz="0" w:space="0" w:color="auto"/>
        <w:left w:val="none" w:sz="0" w:space="0" w:color="auto"/>
        <w:bottom w:val="none" w:sz="0" w:space="0" w:color="auto"/>
        <w:right w:val="none" w:sz="0" w:space="0" w:color="auto"/>
      </w:divBdr>
    </w:div>
    <w:div w:id="299045202">
      <w:bodyDiv w:val="1"/>
      <w:marLeft w:val="0"/>
      <w:marRight w:val="0"/>
      <w:marTop w:val="0"/>
      <w:marBottom w:val="0"/>
      <w:divBdr>
        <w:top w:val="none" w:sz="0" w:space="0" w:color="auto"/>
        <w:left w:val="none" w:sz="0" w:space="0" w:color="auto"/>
        <w:bottom w:val="none" w:sz="0" w:space="0" w:color="auto"/>
        <w:right w:val="none" w:sz="0" w:space="0" w:color="auto"/>
      </w:divBdr>
    </w:div>
    <w:div w:id="354111332">
      <w:bodyDiv w:val="1"/>
      <w:marLeft w:val="0"/>
      <w:marRight w:val="0"/>
      <w:marTop w:val="0"/>
      <w:marBottom w:val="0"/>
      <w:divBdr>
        <w:top w:val="none" w:sz="0" w:space="0" w:color="auto"/>
        <w:left w:val="none" w:sz="0" w:space="0" w:color="auto"/>
        <w:bottom w:val="none" w:sz="0" w:space="0" w:color="auto"/>
        <w:right w:val="none" w:sz="0" w:space="0" w:color="auto"/>
      </w:divBdr>
    </w:div>
    <w:div w:id="355883900">
      <w:bodyDiv w:val="1"/>
      <w:marLeft w:val="0"/>
      <w:marRight w:val="0"/>
      <w:marTop w:val="0"/>
      <w:marBottom w:val="0"/>
      <w:divBdr>
        <w:top w:val="none" w:sz="0" w:space="0" w:color="auto"/>
        <w:left w:val="none" w:sz="0" w:space="0" w:color="auto"/>
        <w:bottom w:val="none" w:sz="0" w:space="0" w:color="auto"/>
        <w:right w:val="none" w:sz="0" w:space="0" w:color="auto"/>
      </w:divBdr>
    </w:div>
    <w:div w:id="424494255">
      <w:bodyDiv w:val="1"/>
      <w:marLeft w:val="0"/>
      <w:marRight w:val="0"/>
      <w:marTop w:val="0"/>
      <w:marBottom w:val="0"/>
      <w:divBdr>
        <w:top w:val="none" w:sz="0" w:space="0" w:color="auto"/>
        <w:left w:val="none" w:sz="0" w:space="0" w:color="auto"/>
        <w:bottom w:val="none" w:sz="0" w:space="0" w:color="auto"/>
        <w:right w:val="none" w:sz="0" w:space="0" w:color="auto"/>
      </w:divBdr>
    </w:div>
    <w:div w:id="455415864">
      <w:bodyDiv w:val="1"/>
      <w:marLeft w:val="0"/>
      <w:marRight w:val="0"/>
      <w:marTop w:val="0"/>
      <w:marBottom w:val="0"/>
      <w:divBdr>
        <w:top w:val="none" w:sz="0" w:space="0" w:color="auto"/>
        <w:left w:val="none" w:sz="0" w:space="0" w:color="auto"/>
        <w:bottom w:val="none" w:sz="0" w:space="0" w:color="auto"/>
        <w:right w:val="none" w:sz="0" w:space="0" w:color="auto"/>
      </w:divBdr>
    </w:div>
    <w:div w:id="469785273">
      <w:bodyDiv w:val="1"/>
      <w:marLeft w:val="0"/>
      <w:marRight w:val="0"/>
      <w:marTop w:val="0"/>
      <w:marBottom w:val="0"/>
      <w:divBdr>
        <w:top w:val="none" w:sz="0" w:space="0" w:color="auto"/>
        <w:left w:val="none" w:sz="0" w:space="0" w:color="auto"/>
        <w:bottom w:val="none" w:sz="0" w:space="0" w:color="auto"/>
        <w:right w:val="none" w:sz="0" w:space="0" w:color="auto"/>
      </w:divBdr>
    </w:div>
    <w:div w:id="527916397">
      <w:bodyDiv w:val="1"/>
      <w:marLeft w:val="0"/>
      <w:marRight w:val="0"/>
      <w:marTop w:val="0"/>
      <w:marBottom w:val="0"/>
      <w:divBdr>
        <w:top w:val="none" w:sz="0" w:space="0" w:color="auto"/>
        <w:left w:val="none" w:sz="0" w:space="0" w:color="auto"/>
        <w:bottom w:val="none" w:sz="0" w:space="0" w:color="auto"/>
        <w:right w:val="none" w:sz="0" w:space="0" w:color="auto"/>
      </w:divBdr>
    </w:div>
    <w:div w:id="539320442">
      <w:bodyDiv w:val="1"/>
      <w:marLeft w:val="0"/>
      <w:marRight w:val="0"/>
      <w:marTop w:val="0"/>
      <w:marBottom w:val="0"/>
      <w:divBdr>
        <w:top w:val="none" w:sz="0" w:space="0" w:color="auto"/>
        <w:left w:val="none" w:sz="0" w:space="0" w:color="auto"/>
        <w:bottom w:val="none" w:sz="0" w:space="0" w:color="auto"/>
        <w:right w:val="none" w:sz="0" w:space="0" w:color="auto"/>
      </w:divBdr>
    </w:div>
    <w:div w:id="646516287">
      <w:bodyDiv w:val="1"/>
      <w:marLeft w:val="0"/>
      <w:marRight w:val="0"/>
      <w:marTop w:val="0"/>
      <w:marBottom w:val="0"/>
      <w:divBdr>
        <w:top w:val="none" w:sz="0" w:space="0" w:color="auto"/>
        <w:left w:val="none" w:sz="0" w:space="0" w:color="auto"/>
        <w:bottom w:val="none" w:sz="0" w:space="0" w:color="auto"/>
        <w:right w:val="none" w:sz="0" w:space="0" w:color="auto"/>
      </w:divBdr>
    </w:div>
    <w:div w:id="674844371">
      <w:bodyDiv w:val="1"/>
      <w:marLeft w:val="0"/>
      <w:marRight w:val="0"/>
      <w:marTop w:val="0"/>
      <w:marBottom w:val="0"/>
      <w:divBdr>
        <w:top w:val="none" w:sz="0" w:space="0" w:color="auto"/>
        <w:left w:val="none" w:sz="0" w:space="0" w:color="auto"/>
        <w:bottom w:val="none" w:sz="0" w:space="0" w:color="auto"/>
        <w:right w:val="none" w:sz="0" w:space="0" w:color="auto"/>
      </w:divBdr>
    </w:div>
    <w:div w:id="699474107">
      <w:bodyDiv w:val="1"/>
      <w:marLeft w:val="0"/>
      <w:marRight w:val="0"/>
      <w:marTop w:val="0"/>
      <w:marBottom w:val="0"/>
      <w:divBdr>
        <w:top w:val="none" w:sz="0" w:space="0" w:color="auto"/>
        <w:left w:val="none" w:sz="0" w:space="0" w:color="auto"/>
        <w:bottom w:val="none" w:sz="0" w:space="0" w:color="auto"/>
        <w:right w:val="none" w:sz="0" w:space="0" w:color="auto"/>
      </w:divBdr>
    </w:div>
    <w:div w:id="736247211">
      <w:bodyDiv w:val="1"/>
      <w:marLeft w:val="0"/>
      <w:marRight w:val="0"/>
      <w:marTop w:val="0"/>
      <w:marBottom w:val="0"/>
      <w:divBdr>
        <w:top w:val="none" w:sz="0" w:space="0" w:color="auto"/>
        <w:left w:val="none" w:sz="0" w:space="0" w:color="auto"/>
        <w:bottom w:val="none" w:sz="0" w:space="0" w:color="auto"/>
        <w:right w:val="none" w:sz="0" w:space="0" w:color="auto"/>
      </w:divBdr>
    </w:div>
    <w:div w:id="777990502">
      <w:bodyDiv w:val="1"/>
      <w:marLeft w:val="0"/>
      <w:marRight w:val="0"/>
      <w:marTop w:val="0"/>
      <w:marBottom w:val="0"/>
      <w:divBdr>
        <w:top w:val="none" w:sz="0" w:space="0" w:color="auto"/>
        <w:left w:val="none" w:sz="0" w:space="0" w:color="auto"/>
        <w:bottom w:val="none" w:sz="0" w:space="0" w:color="auto"/>
        <w:right w:val="none" w:sz="0" w:space="0" w:color="auto"/>
      </w:divBdr>
    </w:div>
    <w:div w:id="800877209">
      <w:bodyDiv w:val="1"/>
      <w:marLeft w:val="0"/>
      <w:marRight w:val="0"/>
      <w:marTop w:val="0"/>
      <w:marBottom w:val="0"/>
      <w:divBdr>
        <w:top w:val="none" w:sz="0" w:space="0" w:color="auto"/>
        <w:left w:val="none" w:sz="0" w:space="0" w:color="auto"/>
        <w:bottom w:val="none" w:sz="0" w:space="0" w:color="auto"/>
        <w:right w:val="none" w:sz="0" w:space="0" w:color="auto"/>
      </w:divBdr>
    </w:div>
    <w:div w:id="831261640">
      <w:bodyDiv w:val="1"/>
      <w:marLeft w:val="0"/>
      <w:marRight w:val="0"/>
      <w:marTop w:val="0"/>
      <w:marBottom w:val="0"/>
      <w:divBdr>
        <w:top w:val="none" w:sz="0" w:space="0" w:color="auto"/>
        <w:left w:val="none" w:sz="0" w:space="0" w:color="auto"/>
        <w:bottom w:val="none" w:sz="0" w:space="0" w:color="auto"/>
        <w:right w:val="none" w:sz="0" w:space="0" w:color="auto"/>
      </w:divBdr>
    </w:div>
    <w:div w:id="839124661">
      <w:bodyDiv w:val="1"/>
      <w:marLeft w:val="0"/>
      <w:marRight w:val="0"/>
      <w:marTop w:val="0"/>
      <w:marBottom w:val="0"/>
      <w:divBdr>
        <w:top w:val="none" w:sz="0" w:space="0" w:color="auto"/>
        <w:left w:val="none" w:sz="0" w:space="0" w:color="auto"/>
        <w:bottom w:val="none" w:sz="0" w:space="0" w:color="auto"/>
        <w:right w:val="none" w:sz="0" w:space="0" w:color="auto"/>
      </w:divBdr>
      <w:divsChild>
        <w:div w:id="242689992">
          <w:marLeft w:val="0"/>
          <w:marRight w:val="0"/>
          <w:marTop w:val="0"/>
          <w:marBottom w:val="0"/>
          <w:divBdr>
            <w:top w:val="none" w:sz="0" w:space="0" w:color="auto"/>
            <w:left w:val="none" w:sz="0" w:space="0" w:color="auto"/>
            <w:bottom w:val="none" w:sz="0" w:space="0" w:color="auto"/>
            <w:right w:val="none" w:sz="0" w:space="0" w:color="auto"/>
          </w:divBdr>
          <w:divsChild>
            <w:div w:id="1290744909">
              <w:marLeft w:val="0"/>
              <w:marRight w:val="0"/>
              <w:marTop w:val="0"/>
              <w:marBottom w:val="0"/>
              <w:divBdr>
                <w:top w:val="none" w:sz="0" w:space="0" w:color="auto"/>
                <w:left w:val="none" w:sz="0" w:space="0" w:color="auto"/>
                <w:bottom w:val="none" w:sz="0" w:space="0" w:color="auto"/>
                <w:right w:val="none" w:sz="0" w:space="0" w:color="auto"/>
              </w:divBdr>
            </w:div>
            <w:div w:id="1625232881">
              <w:marLeft w:val="0"/>
              <w:marRight w:val="0"/>
              <w:marTop w:val="300"/>
              <w:marBottom w:val="0"/>
              <w:divBdr>
                <w:top w:val="none" w:sz="0" w:space="0" w:color="auto"/>
                <w:left w:val="none" w:sz="0" w:space="0" w:color="auto"/>
                <w:bottom w:val="none" w:sz="0" w:space="0" w:color="auto"/>
                <w:right w:val="none" w:sz="0" w:space="0" w:color="auto"/>
              </w:divBdr>
            </w:div>
          </w:divsChild>
        </w:div>
        <w:div w:id="510027746">
          <w:marLeft w:val="0"/>
          <w:marRight w:val="0"/>
          <w:marTop w:val="0"/>
          <w:marBottom w:val="0"/>
          <w:divBdr>
            <w:top w:val="none" w:sz="0" w:space="0" w:color="auto"/>
            <w:left w:val="none" w:sz="0" w:space="0" w:color="auto"/>
            <w:bottom w:val="none" w:sz="0" w:space="0" w:color="auto"/>
            <w:right w:val="none" w:sz="0" w:space="0" w:color="auto"/>
          </w:divBdr>
          <w:divsChild>
            <w:div w:id="24426191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62741941">
      <w:bodyDiv w:val="1"/>
      <w:marLeft w:val="0"/>
      <w:marRight w:val="0"/>
      <w:marTop w:val="0"/>
      <w:marBottom w:val="0"/>
      <w:divBdr>
        <w:top w:val="none" w:sz="0" w:space="0" w:color="auto"/>
        <w:left w:val="none" w:sz="0" w:space="0" w:color="auto"/>
        <w:bottom w:val="none" w:sz="0" w:space="0" w:color="auto"/>
        <w:right w:val="none" w:sz="0" w:space="0" w:color="auto"/>
      </w:divBdr>
    </w:div>
    <w:div w:id="900795084">
      <w:bodyDiv w:val="1"/>
      <w:marLeft w:val="0"/>
      <w:marRight w:val="0"/>
      <w:marTop w:val="0"/>
      <w:marBottom w:val="0"/>
      <w:divBdr>
        <w:top w:val="none" w:sz="0" w:space="0" w:color="auto"/>
        <w:left w:val="none" w:sz="0" w:space="0" w:color="auto"/>
        <w:bottom w:val="none" w:sz="0" w:space="0" w:color="auto"/>
        <w:right w:val="none" w:sz="0" w:space="0" w:color="auto"/>
      </w:divBdr>
    </w:div>
    <w:div w:id="932474684">
      <w:bodyDiv w:val="1"/>
      <w:marLeft w:val="0"/>
      <w:marRight w:val="0"/>
      <w:marTop w:val="945"/>
      <w:marBottom w:val="0"/>
      <w:divBdr>
        <w:top w:val="none" w:sz="0" w:space="0" w:color="auto"/>
        <w:left w:val="none" w:sz="0" w:space="0" w:color="auto"/>
        <w:bottom w:val="none" w:sz="0" w:space="0" w:color="auto"/>
        <w:right w:val="none" w:sz="0" w:space="0" w:color="auto"/>
      </w:divBdr>
      <w:divsChild>
        <w:div w:id="622034814">
          <w:marLeft w:val="0"/>
          <w:marRight w:val="0"/>
          <w:marTop w:val="0"/>
          <w:marBottom w:val="0"/>
          <w:divBdr>
            <w:top w:val="none" w:sz="0" w:space="0" w:color="auto"/>
            <w:left w:val="none" w:sz="0" w:space="0" w:color="auto"/>
            <w:bottom w:val="none" w:sz="0" w:space="0" w:color="auto"/>
            <w:right w:val="none" w:sz="0" w:space="0" w:color="auto"/>
          </w:divBdr>
          <w:divsChild>
            <w:div w:id="696124397">
              <w:marLeft w:val="0"/>
              <w:marRight w:val="0"/>
              <w:marTop w:val="0"/>
              <w:marBottom w:val="0"/>
              <w:divBdr>
                <w:top w:val="none" w:sz="0" w:space="0" w:color="auto"/>
                <w:left w:val="none" w:sz="0" w:space="0" w:color="auto"/>
                <w:bottom w:val="none" w:sz="0" w:space="0" w:color="auto"/>
                <w:right w:val="none" w:sz="0" w:space="0" w:color="auto"/>
              </w:divBdr>
              <w:divsChild>
                <w:div w:id="38894929">
                  <w:marLeft w:val="-225"/>
                  <w:marRight w:val="-225"/>
                  <w:marTop w:val="0"/>
                  <w:marBottom w:val="0"/>
                  <w:divBdr>
                    <w:top w:val="none" w:sz="0" w:space="0" w:color="auto"/>
                    <w:left w:val="none" w:sz="0" w:space="0" w:color="auto"/>
                    <w:bottom w:val="none" w:sz="0" w:space="0" w:color="auto"/>
                    <w:right w:val="none" w:sz="0" w:space="0" w:color="auto"/>
                  </w:divBdr>
                  <w:divsChild>
                    <w:div w:id="2116167135">
                      <w:marLeft w:val="0"/>
                      <w:marRight w:val="0"/>
                      <w:marTop w:val="0"/>
                      <w:marBottom w:val="0"/>
                      <w:divBdr>
                        <w:top w:val="none" w:sz="0" w:space="0" w:color="auto"/>
                        <w:left w:val="none" w:sz="0" w:space="0" w:color="auto"/>
                        <w:bottom w:val="none" w:sz="0" w:space="0" w:color="auto"/>
                        <w:right w:val="none" w:sz="0" w:space="0" w:color="auto"/>
                      </w:divBdr>
                      <w:divsChild>
                        <w:div w:id="1714622662">
                          <w:marLeft w:val="-225"/>
                          <w:marRight w:val="-225"/>
                          <w:marTop w:val="0"/>
                          <w:marBottom w:val="0"/>
                          <w:divBdr>
                            <w:top w:val="none" w:sz="0" w:space="0" w:color="auto"/>
                            <w:left w:val="none" w:sz="0" w:space="0" w:color="auto"/>
                            <w:bottom w:val="none" w:sz="0" w:space="0" w:color="auto"/>
                            <w:right w:val="none" w:sz="0" w:space="0" w:color="auto"/>
                          </w:divBdr>
                          <w:divsChild>
                            <w:div w:id="136795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2996666">
      <w:bodyDiv w:val="1"/>
      <w:marLeft w:val="0"/>
      <w:marRight w:val="0"/>
      <w:marTop w:val="0"/>
      <w:marBottom w:val="0"/>
      <w:divBdr>
        <w:top w:val="none" w:sz="0" w:space="0" w:color="auto"/>
        <w:left w:val="none" w:sz="0" w:space="0" w:color="auto"/>
        <w:bottom w:val="none" w:sz="0" w:space="0" w:color="auto"/>
        <w:right w:val="none" w:sz="0" w:space="0" w:color="auto"/>
      </w:divBdr>
      <w:divsChild>
        <w:div w:id="1250968399">
          <w:marLeft w:val="0"/>
          <w:marRight w:val="0"/>
          <w:marTop w:val="0"/>
          <w:marBottom w:val="0"/>
          <w:divBdr>
            <w:top w:val="none" w:sz="0" w:space="0" w:color="auto"/>
            <w:left w:val="none" w:sz="0" w:space="0" w:color="auto"/>
            <w:bottom w:val="none" w:sz="0" w:space="0" w:color="auto"/>
            <w:right w:val="none" w:sz="0" w:space="0" w:color="auto"/>
          </w:divBdr>
          <w:divsChild>
            <w:div w:id="1257905059">
              <w:marLeft w:val="0"/>
              <w:marRight w:val="0"/>
              <w:marTop w:val="150"/>
              <w:marBottom w:val="150"/>
              <w:divBdr>
                <w:top w:val="none" w:sz="0" w:space="0" w:color="auto"/>
                <w:left w:val="none" w:sz="0" w:space="0" w:color="auto"/>
                <w:bottom w:val="none" w:sz="0" w:space="0" w:color="auto"/>
                <w:right w:val="none" w:sz="0" w:space="0" w:color="auto"/>
              </w:divBdr>
              <w:divsChild>
                <w:div w:id="440732254">
                  <w:marLeft w:val="0"/>
                  <w:marRight w:val="0"/>
                  <w:marTop w:val="0"/>
                  <w:marBottom w:val="0"/>
                  <w:divBdr>
                    <w:top w:val="none" w:sz="0" w:space="0" w:color="auto"/>
                    <w:left w:val="none" w:sz="0" w:space="0" w:color="auto"/>
                    <w:bottom w:val="none" w:sz="0" w:space="0" w:color="auto"/>
                    <w:right w:val="none" w:sz="0" w:space="0" w:color="auto"/>
                  </w:divBdr>
                  <w:divsChild>
                    <w:div w:id="332496161">
                      <w:marLeft w:val="0"/>
                      <w:marRight w:val="0"/>
                      <w:marTop w:val="0"/>
                      <w:marBottom w:val="0"/>
                      <w:divBdr>
                        <w:top w:val="none" w:sz="0" w:space="0" w:color="auto"/>
                        <w:left w:val="none" w:sz="0" w:space="0" w:color="auto"/>
                        <w:bottom w:val="none" w:sz="0" w:space="0" w:color="auto"/>
                        <w:right w:val="none" w:sz="0" w:space="0" w:color="auto"/>
                      </w:divBdr>
                      <w:divsChild>
                        <w:div w:id="1912497543">
                          <w:marLeft w:val="180"/>
                          <w:marRight w:val="0"/>
                          <w:marTop w:val="0"/>
                          <w:marBottom w:val="0"/>
                          <w:divBdr>
                            <w:top w:val="none" w:sz="0" w:space="0" w:color="auto"/>
                            <w:left w:val="none" w:sz="0" w:space="0" w:color="auto"/>
                            <w:bottom w:val="none" w:sz="0" w:space="0" w:color="auto"/>
                            <w:right w:val="none" w:sz="0" w:space="0" w:color="auto"/>
                          </w:divBdr>
                          <w:divsChild>
                            <w:div w:id="1143816423">
                              <w:marLeft w:val="0"/>
                              <w:marRight w:val="0"/>
                              <w:marTop w:val="0"/>
                              <w:marBottom w:val="0"/>
                              <w:divBdr>
                                <w:top w:val="none" w:sz="0" w:space="0" w:color="auto"/>
                                <w:left w:val="none" w:sz="0" w:space="0" w:color="auto"/>
                                <w:bottom w:val="none" w:sz="0" w:space="0" w:color="auto"/>
                                <w:right w:val="none" w:sz="0" w:space="0" w:color="auto"/>
                              </w:divBdr>
                              <w:divsChild>
                                <w:div w:id="126996763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886566">
      <w:bodyDiv w:val="1"/>
      <w:marLeft w:val="0"/>
      <w:marRight w:val="0"/>
      <w:marTop w:val="0"/>
      <w:marBottom w:val="0"/>
      <w:divBdr>
        <w:top w:val="none" w:sz="0" w:space="0" w:color="auto"/>
        <w:left w:val="none" w:sz="0" w:space="0" w:color="auto"/>
        <w:bottom w:val="none" w:sz="0" w:space="0" w:color="auto"/>
        <w:right w:val="none" w:sz="0" w:space="0" w:color="auto"/>
      </w:divBdr>
    </w:div>
    <w:div w:id="1044599822">
      <w:bodyDiv w:val="1"/>
      <w:marLeft w:val="0"/>
      <w:marRight w:val="0"/>
      <w:marTop w:val="0"/>
      <w:marBottom w:val="0"/>
      <w:divBdr>
        <w:top w:val="none" w:sz="0" w:space="0" w:color="auto"/>
        <w:left w:val="none" w:sz="0" w:space="0" w:color="auto"/>
        <w:bottom w:val="none" w:sz="0" w:space="0" w:color="auto"/>
        <w:right w:val="none" w:sz="0" w:space="0" w:color="auto"/>
      </w:divBdr>
    </w:div>
    <w:div w:id="1073897490">
      <w:bodyDiv w:val="1"/>
      <w:marLeft w:val="0"/>
      <w:marRight w:val="0"/>
      <w:marTop w:val="0"/>
      <w:marBottom w:val="0"/>
      <w:divBdr>
        <w:top w:val="none" w:sz="0" w:space="0" w:color="auto"/>
        <w:left w:val="none" w:sz="0" w:space="0" w:color="auto"/>
        <w:bottom w:val="none" w:sz="0" w:space="0" w:color="auto"/>
        <w:right w:val="none" w:sz="0" w:space="0" w:color="auto"/>
      </w:divBdr>
    </w:div>
    <w:div w:id="1081102762">
      <w:bodyDiv w:val="1"/>
      <w:marLeft w:val="0"/>
      <w:marRight w:val="0"/>
      <w:marTop w:val="0"/>
      <w:marBottom w:val="0"/>
      <w:divBdr>
        <w:top w:val="none" w:sz="0" w:space="0" w:color="auto"/>
        <w:left w:val="none" w:sz="0" w:space="0" w:color="auto"/>
        <w:bottom w:val="none" w:sz="0" w:space="0" w:color="auto"/>
        <w:right w:val="none" w:sz="0" w:space="0" w:color="auto"/>
      </w:divBdr>
    </w:div>
    <w:div w:id="1125930420">
      <w:bodyDiv w:val="1"/>
      <w:marLeft w:val="0"/>
      <w:marRight w:val="0"/>
      <w:marTop w:val="0"/>
      <w:marBottom w:val="0"/>
      <w:divBdr>
        <w:top w:val="none" w:sz="0" w:space="0" w:color="auto"/>
        <w:left w:val="none" w:sz="0" w:space="0" w:color="auto"/>
        <w:bottom w:val="none" w:sz="0" w:space="0" w:color="auto"/>
        <w:right w:val="none" w:sz="0" w:space="0" w:color="auto"/>
      </w:divBdr>
    </w:div>
    <w:div w:id="1137262132">
      <w:bodyDiv w:val="1"/>
      <w:marLeft w:val="0"/>
      <w:marRight w:val="0"/>
      <w:marTop w:val="0"/>
      <w:marBottom w:val="0"/>
      <w:divBdr>
        <w:top w:val="none" w:sz="0" w:space="0" w:color="auto"/>
        <w:left w:val="none" w:sz="0" w:space="0" w:color="auto"/>
        <w:bottom w:val="none" w:sz="0" w:space="0" w:color="auto"/>
        <w:right w:val="none" w:sz="0" w:space="0" w:color="auto"/>
      </w:divBdr>
    </w:div>
    <w:div w:id="1142885387">
      <w:bodyDiv w:val="1"/>
      <w:marLeft w:val="0"/>
      <w:marRight w:val="0"/>
      <w:marTop w:val="0"/>
      <w:marBottom w:val="0"/>
      <w:divBdr>
        <w:top w:val="none" w:sz="0" w:space="0" w:color="auto"/>
        <w:left w:val="none" w:sz="0" w:space="0" w:color="auto"/>
        <w:bottom w:val="none" w:sz="0" w:space="0" w:color="auto"/>
        <w:right w:val="none" w:sz="0" w:space="0" w:color="auto"/>
      </w:divBdr>
    </w:div>
    <w:div w:id="1143504253">
      <w:bodyDiv w:val="1"/>
      <w:marLeft w:val="0"/>
      <w:marRight w:val="0"/>
      <w:marTop w:val="0"/>
      <w:marBottom w:val="0"/>
      <w:divBdr>
        <w:top w:val="none" w:sz="0" w:space="0" w:color="auto"/>
        <w:left w:val="none" w:sz="0" w:space="0" w:color="auto"/>
        <w:bottom w:val="none" w:sz="0" w:space="0" w:color="auto"/>
        <w:right w:val="none" w:sz="0" w:space="0" w:color="auto"/>
      </w:divBdr>
    </w:div>
    <w:div w:id="1144155766">
      <w:bodyDiv w:val="1"/>
      <w:marLeft w:val="0"/>
      <w:marRight w:val="0"/>
      <w:marTop w:val="0"/>
      <w:marBottom w:val="0"/>
      <w:divBdr>
        <w:top w:val="none" w:sz="0" w:space="0" w:color="auto"/>
        <w:left w:val="none" w:sz="0" w:space="0" w:color="auto"/>
        <w:bottom w:val="none" w:sz="0" w:space="0" w:color="auto"/>
        <w:right w:val="none" w:sz="0" w:space="0" w:color="auto"/>
      </w:divBdr>
    </w:div>
    <w:div w:id="1155876833">
      <w:bodyDiv w:val="1"/>
      <w:marLeft w:val="0"/>
      <w:marRight w:val="0"/>
      <w:marTop w:val="0"/>
      <w:marBottom w:val="0"/>
      <w:divBdr>
        <w:top w:val="none" w:sz="0" w:space="0" w:color="auto"/>
        <w:left w:val="none" w:sz="0" w:space="0" w:color="auto"/>
        <w:bottom w:val="none" w:sz="0" w:space="0" w:color="auto"/>
        <w:right w:val="none" w:sz="0" w:space="0" w:color="auto"/>
      </w:divBdr>
    </w:div>
    <w:div w:id="1180460972">
      <w:bodyDiv w:val="1"/>
      <w:marLeft w:val="0"/>
      <w:marRight w:val="0"/>
      <w:marTop w:val="0"/>
      <w:marBottom w:val="0"/>
      <w:divBdr>
        <w:top w:val="none" w:sz="0" w:space="0" w:color="auto"/>
        <w:left w:val="none" w:sz="0" w:space="0" w:color="auto"/>
        <w:bottom w:val="none" w:sz="0" w:space="0" w:color="auto"/>
        <w:right w:val="none" w:sz="0" w:space="0" w:color="auto"/>
      </w:divBdr>
      <w:divsChild>
        <w:div w:id="1633822865">
          <w:marLeft w:val="0"/>
          <w:marRight w:val="0"/>
          <w:marTop w:val="0"/>
          <w:marBottom w:val="0"/>
          <w:divBdr>
            <w:top w:val="none" w:sz="0" w:space="0" w:color="auto"/>
            <w:left w:val="none" w:sz="0" w:space="0" w:color="auto"/>
            <w:bottom w:val="none" w:sz="0" w:space="0" w:color="auto"/>
            <w:right w:val="none" w:sz="0" w:space="0" w:color="auto"/>
          </w:divBdr>
          <w:divsChild>
            <w:div w:id="1968002260">
              <w:marLeft w:val="0"/>
              <w:marRight w:val="0"/>
              <w:marTop w:val="0"/>
              <w:marBottom w:val="0"/>
              <w:divBdr>
                <w:top w:val="none" w:sz="0" w:space="0" w:color="auto"/>
                <w:left w:val="none" w:sz="0" w:space="0" w:color="auto"/>
                <w:bottom w:val="none" w:sz="0" w:space="0" w:color="auto"/>
                <w:right w:val="none" w:sz="0" w:space="0" w:color="auto"/>
              </w:divBdr>
              <w:divsChild>
                <w:div w:id="1755125101">
                  <w:marLeft w:val="-225"/>
                  <w:marRight w:val="-225"/>
                  <w:marTop w:val="0"/>
                  <w:marBottom w:val="0"/>
                  <w:divBdr>
                    <w:top w:val="none" w:sz="0" w:space="0" w:color="auto"/>
                    <w:left w:val="none" w:sz="0" w:space="0" w:color="auto"/>
                    <w:bottom w:val="none" w:sz="0" w:space="0" w:color="auto"/>
                    <w:right w:val="none" w:sz="0" w:space="0" w:color="auto"/>
                  </w:divBdr>
                  <w:divsChild>
                    <w:div w:id="981539284">
                      <w:marLeft w:val="0"/>
                      <w:marRight w:val="0"/>
                      <w:marTop w:val="0"/>
                      <w:marBottom w:val="0"/>
                      <w:divBdr>
                        <w:top w:val="none" w:sz="0" w:space="0" w:color="auto"/>
                        <w:left w:val="none" w:sz="0" w:space="0" w:color="auto"/>
                        <w:bottom w:val="none" w:sz="0" w:space="0" w:color="auto"/>
                        <w:right w:val="none" w:sz="0" w:space="0" w:color="auto"/>
                      </w:divBdr>
                      <w:divsChild>
                        <w:div w:id="1731685475">
                          <w:marLeft w:val="-225"/>
                          <w:marRight w:val="-225"/>
                          <w:marTop w:val="0"/>
                          <w:marBottom w:val="0"/>
                          <w:divBdr>
                            <w:top w:val="none" w:sz="0" w:space="0" w:color="auto"/>
                            <w:left w:val="none" w:sz="0" w:space="0" w:color="auto"/>
                            <w:bottom w:val="none" w:sz="0" w:space="0" w:color="auto"/>
                            <w:right w:val="none" w:sz="0" w:space="0" w:color="auto"/>
                          </w:divBdr>
                          <w:divsChild>
                            <w:div w:id="138375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103963">
      <w:bodyDiv w:val="1"/>
      <w:marLeft w:val="0"/>
      <w:marRight w:val="0"/>
      <w:marTop w:val="0"/>
      <w:marBottom w:val="0"/>
      <w:divBdr>
        <w:top w:val="none" w:sz="0" w:space="0" w:color="auto"/>
        <w:left w:val="none" w:sz="0" w:space="0" w:color="auto"/>
        <w:bottom w:val="none" w:sz="0" w:space="0" w:color="auto"/>
        <w:right w:val="none" w:sz="0" w:space="0" w:color="auto"/>
      </w:divBdr>
    </w:div>
    <w:div w:id="1224607072">
      <w:bodyDiv w:val="1"/>
      <w:marLeft w:val="0"/>
      <w:marRight w:val="0"/>
      <w:marTop w:val="0"/>
      <w:marBottom w:val="0"/>
      <w:divBdr>
        <w:top w:val="none" w:sz="0" w:space="0" w:color="auto"/>
        <w:left w:val="none" w:sz="0" w:space="0" w:color="auto"/>
        <w:bottom w:val="none" w:sz="0" w:space="0" w:color="auto"/>
        <w:right w:val="none" w:sz="0" w:space="0" w:color="auto"/>
      </w:divBdr>
    </w:div>
    <w:div w:id="1247501444">
      <w:bodyDiv w:val="1"/>
      <w:marLeft w:val="0"/>
      <w:marRight w:val="0"/>
      <w:marTop w:val="0"/>
      <w:marBottom w:val="0"/>
      <w:divBdr>
        <w:top w:val="none" w:sz="0" w:space="0" w:color="auto"/>
        <w:left w:val="none" w:sz="0" w:space="0" w:color="auto"/>
        <w:bottom w:val="none" w:sz="0" w:space="0" w:color="auto"/>
        <w:right w:val="none" w:sz="0" w:space="0" w:color="auto"/>
      </w:divBdr>
    </w:div>
    <w:div w:id="1272396241">
      <w:bodyDiv w:val="1"/>
      <w:marLeft w:val="0"/>
      <w:marRight w:val="0"/>
      <w:marTop w:val="0"/>
      <w:marBottom w:val="0"/>
      <w:divBdr>
        <w:top w:val="none" w:sz="0" w:space="0" w:color="auto"/>
        <w:left w:val="none" w:sz="0" w:space="0" w:color="auto"/>
        <w:bottom w:val="none" w:sz="0" w:space="0" w:color="auto"/>
        <w:right w:val="none" w:sz="0" w:space="0" w:color="auto"/>
      </w:divBdr>
    </w:div>
    <w:div w:id="1273436670">
      <w:bodyDiv w:val="1"/>
      <w:marLeft w:val="0"/>
      <w:marRight w:val="0"/>
      <w:marTop w:val="0"/>
      <w:marBottom w:val="0"/>
      <w:divBdr>
        <w:top w:val="none" w:sz="0" w:space="0" w:color="auto"/>
        <w:left w:val="none" w:sz="0" w:space="0" w:color="auto"/>
        <w:bottom w:val="none" w:sz="0" w:space="0" w:color="auto"/>
        <w:right w:val="none" w:sz="0" w:space="0" w:color="auto"/>
      </w:divBdr>
    </w:div>
    <w:div w:id="1328052272">
      <w:bodyDiv w:val="1"/>
      <w:marLeft w:val="0"/>
      <w:marRight w:val="0"/>
      <w:marTop w:val="0"/>
      <w:marBottom w:val="0"/>
      <w:divBdr>
        <w:top w:val="none" w:sz="0" w:space="0" w:color="auto"/>
        <w:left w:val="none" w:sz="0" w:space="0" w:color="auto"/>
        <w:bottom w:val="none" w:sz="0" w:space="0" w:color="auto"/>
        <w:right w:val="none" w:sz="0" w:space="0" w:color="auto"/>
      </w:divBdr>
    </w:div>
    <w:div w:id="1331443840">
      <w:bodyDiv w:val="1"/>
      <w:marLeft w:val="0"/>
      <w:marRight w:val="0"/>
      <w:marTop w:val="0"/>
      <w:marBottom w:val="0"/>
      <w:divBdr>
        <w:top w:val="none" w:sz="0" w:space="0" w:color="auto"/>
        <w:left w:val="none" w:sz="0" w:space="0" w:color="auto"/>
        <w:bottom w:val="none" w:sz="0" w:space="0" w:color="auto"/>
        <w:right w:val="none" w:sz="0" w:space="0" w:color="auto"/>
      </w:divBdr>
    </w:div>
    <w:div w:id="1364750082">
      <w:bodyDiv w:val="1"/>
      <w:marLeft w:val="0"/>
      <w:marRight w:val="0"/>
      <w:marTop w:val="0"/>
      <w:marBottom w:val="0"/>
      <w:divBdr>
        <w:top w:val="none" w:sz="0" w:space="0" w:color="auto"/>
        <w:left w:val="none" w:sz="0" w:space="0" w:color="auto"/>
        <w:bottom w:val="none" w:sz="0" w:space="0" w:color="auto"/>
        <w:right w:val="none" w:sz="0" w:space="0" w:color="auto"/>
      </w:divBdr>
    </w:div>
    <w:div w:id="1375689325">
      <w:bodyDiv w:val="1"/>
      <w:marLeft w:val="0"/>
      <w:marRight w:val="0"/>
      <w:marTop w:val="0"/>
      <w:marBottom w:val="0"/>
      <w:divBdr>
        <w:top w:val="none" w:sz="0" w:space="0" w:color="auto"/>
        <w:left w:val="none" w:sz="0" w:space="0" w:color="auto"/>
        <w:bottom w:val="none" w:sz="0" w:space="0" w:color="auto"/>
        <w:right w:val="none" w:sz="0" w:space="0" w:color="auto"/>
      </w:divBdr>
    </w:div>
    <w:div w:id="1397556060">
      <w:bodyDiv w:val="1"/>
      <w:marLeft w:val="0"/>
      <w:marRight w:val="0"/>
      <w:marTop w:val="0"/>
      <w:marBottom w:val="0"/>
      <w:divBdr>
        <w:top w:val="none" w:sz="0" w:space="0" w:color="auto"/>
        <w:left w:val="none" w:sz="0" w:space="0" w:color="auto"/>
        <w:bottom w:val="none" w:sz="0" w:space="0" w:color="auto"/>
        <w:right w:val="none" w:sz="0" w:space="0" w:color="auto"/>
      </w:divBdr>
    </w:div>
    <w:div w:id="1445612988">
      <w:bodyDiv w:val="1"/>
      <w:marLeft w:val="0"/>
      <w:marRight w:val="0"/>
      <w:marTop w:val="0"/>
      <w:marBottom w:val="0"/>
      <w:divBdr>
        <w:top w:val="none" w:sz="0" w:space="0" w:color="auto"/>
        <w:left w:val="none" w:sz="0" w:space="0" w:color="auto"/>
        <w:bottom w:val="none" w:sz="0" w:space="0" w:color="auto"/>
        <w:right w:val="none" w:sz="0" w:space="0" w:color="auto"/>
      </w:divBdr>
    </w:div>
    <w:div w:id="1467434269">
      <w:bodyDiv w:val="1"/>
      <w:marLeft w:val="0"/>
      <w:marRight w:val="0"/>
      <w:marTop w:val="0"/>
      <w:marBottom w:val="0"/>
      <w:divBdr>
        <w:top w:val="none" w:sz="0" w:space="0" w:color="auto"/>
        <w:left w:val="none" w:sz="0" w:space="0" w:color="auto"/>
        <w:bottom w:val="none" w:sz="0" w:space="0" w:color="auto"/>
        <w:right w:val="none" w:sz="0" w:space="0" w:color="auto"/>
      </w:divBdr>
    </w:div>
    <w:div w:id="1494638130">
      <w:bodyDiv w:val="1"/>
      <w:marLeft w:val="0"/>
      <w:marRight w:val="0"/>
      <w:marTop w:val="0"/>
      <w:marBottom w:val="0"/>
      <w:divBdr>
        <w:top w:val="none" w:sz="0" w:space="0" w:color="auto"/>
        <w:left w:val="none" w:sz="0" w:space="0" w:color="auto"/>
        <w:bottom w:val="none" w:sz="0" w:space="0" w:color="auto"/>
        <w:right w:val="none" w:sz="0" w:space="0" w:color="auto"/>
      </w:divBdr>
    </w:div>
    <w:div w:id="1499616093">
      <w:bodyDiv w:val="1"/>
      <w:marLeft w:val="0"/>
      <w:marRight w:val="0"/>
      <w:marTop w:val="0"/>
      <w:marBottom w:val="0"/>
      <w:divBdr>
        <w:top w:val="none" w:sz="0" w:space="0" w:color="auto"/>
        <w:left w:val="none" w:sz="0" w:space="0" w:color="auto"/>
        <w:bottom w:val="none" w:sz="0" w:space="0" w:color="auto"/>
        <w:right w:val="none" w:sz="0" w:space="0" w:color="auto"/>
      </w:divBdr>
    </w:div>
    <w:div w:id="1505166629">
      <w:bodyDiv w:val="1"/>
      <w:marLeft w:val="0"/>
      <w:marRight w:val="0"/>
      <w:marTop w:val="0"/>
      <w:marBottom w:val="0"/>
      <w:divBdr>
        <w:top w:val="none" w:sz="0" w:space="0" w:color="auto"/>
        <w:left w:val="none" w:sz="0" w:space="0" w:color="auto"/>
        <w:bottom w:val="none" w:sz="0" w:space="0" w:color="auto"/>
        <w:right w:val="none" w:sz="0" w:space="0" w:color="auto"/>
      </w:divBdr>
    </w:div>
    <w:div w:id="1533179208">
      <w:bodyDiv w:val="1"/>
      <w:marLeft w:val="0"/>
      <w:marRight w:val="0"/>
      <w:marTop w:val="0"/>
      <w:marBottom w:val="0"/>
      <w:divBdr>
        <w:top w:val="none" w:sz="0" w:space="0" w:color="auto"/>
        <w:left w:val="none" w:sz="0" w:space="0" w:color="auto"/>
        <w:bottom w:val="none" w:sz="0" w:space="0" w:color="auto"/>
        <w:right w:val="none" w:sz="0" w:space="0" w:color="auto"/>
      </w:divBdr>
    </w:div>
    <w:div w:id="1577548324">
      <w:bodyDiv w:val="1"/>
      <w:marLeft w:val="0"/>
      <w:marRight w:val="0"/>
      <w:marTop w:val="0"/>
      <w:marBottom w:val="0"/>
      <w:divBdr>
        <w:top w:val="none" w:sz="0" w:space="0" w:color="auto"/>
        <w:left w:val="none" w:sz="0" w:space="0" w:color="auto"/>
        <w:bottom w:val="none" w:sz="0" w:space="0" w:color="auto"/>
        <w:right w:val="none" w:sz="0" w:space="0" w:color="auto"/>
      </w:divBdr>
    </w:div>
    <w:div w:id="1588613051">
      <w:bodyDiv w:val="1"/>
      <w:marLeft w:val="0"/>
      <w:marRight w:val="0"/>
      <w:marTop w:val="0"/>
      <w:marBottom w:val="0"/>
      <w:divBdr>
        <w:top w:val="none" w:sz="0" w:space="0" w:color="auto"/>
        <w:left w:val="none" w:sz="0" w:space="0" w:color="auto"/>
        <w:bottom w:val="none" w:sz="0" w:space="0" w:color="auto"/>
        <w:right w:val="none" w:sz="0" w:space="0" w:color="auto"/>
      </w:divBdr>
    </w:div>
    <w:div w:id="1597785564">
      <w:bodyDiv w:val="1"/>
      <w:marLeft w:val="0"/>
      <w:marRight w:val="0"/>
      <w:marTop w:val="0"/>
      <w:marBottom w:val="0"/>
      <w:divBdr>
        <w:top w:val="none" w:sz="0" w:space="0" w:color="auto"/>
        <w:left w:val="none" w:sz="0" w:space="0" w:color="auto"/>
        <w:bottom w:val="none" w:sz="0" w:space="0" w:color="auto"/>
        <w:right w:val="none" w:sz="0" w:space="0" w:color="auto"/>
      </w:divBdr>
    </w:div>
    <w:div w:id="1607813161">
      <w:bodyDiv w:val="1"/>
      <w:marLeft w:val="0"/>
      <w:marRight w:val="0"/>
      <w:marTop w:val="0"/>
      <w:marBottom w:val="0"/>
      <w:divBdr>
        <w:top w:val="none" w:sz="0" w:space="0" w:color="auto"/>
        <w:left w:val="none" w:sz="0" w:space="0" w:color="auto"/>
        <w:bottom w:val="none" w:sz="0" w:space="0" w:color="auto"/>
        <w:right w:val="none" w:sz="0" w:space="0" w:color="auto"/>
      </w:divBdr>
    </w:div>
    <w:div w:id="1633098946">
      <w:bodyDiv w:val="1"/>
      <w:marLeft w:val="0"/>
      <w:marRight w:val="0"/>
      <w:marTop w:val="0"/>
      <w:marBottom w:val="0"/>
      <w:divBdr>
        <w:top w:val="none" w:sz="0" w:space="0" w:color="auto"/>
        <w:left w:val="none" w:sz="0" w:space="0" w:color="auto"/>
        <w:bottom w:val="none" w:sz="0" w:space="0" w:color="auto"/>
        <w:right w:val="none" w:sz="0" w:space="0" w:color="auto"/>
      </w:divBdr>
    </w:div>
    <w:div w:id="1722628468">
      <w:bodyDiv w:val="1"/>
      <w:marLeft w:val="0"/>
      <w:marRight w:val="0"/>
      <w:marTop w:val="0"/>
      <w:marBottom w:val="0"/>
      <w:divBdr>
        <w:top w:val="none" w:sz="0" w:space="0" w:color="auto"/>
        <w:left w:val="none" w:sz="0" w:space="0" w:color="auto"/>
        <w:bottom w:val="none" w:sz="0" w:space="0" w:color="auto"/>
        <w:right w:val="none" w:sz="0" w:space="0" w:color="auto"/>
      </w:divBdr>
    </w:div>
    <w:div w:id="1727726537">
      <w:bodyDiv w:val="1"/>
      <w:marLeft w:val="0"/>
      <w:marRight w:val="0"/>
      <w:marTop w:val="0"/>
      <w:marBottom w:val="0"/>
      <w:divBdr>
        <w:top w:val="none" w:sz="0" w:space="0" w:color="auto"/>
        <w:left w:val="none" w:sz="0" w:space="0" w:color="auto"/>
        <w:bottom w:val="none" w:sz="0" w:space="0" w:color="auto"/>
        <w:right w:val="none" w:sz="0" w:space="0" w:color="auto"/>
      </w:divBdr>
    </w:div>
    <w:div w:id="1740253710">
      <w:bodyDiv w:val="1"/>
      <w:marLeft w:val="0"/>
      <w:marRight w:val="0"/>
      <w:marTop w:val="0"/>
      <w:marBottom w:val="0"/>
      <w:divBdr>
        <w:top w:val="none" w:sz="0" w:space="0" w:color="auto"/>
        <w:left w:val="none" w:sz="0" w:space="0" w:color="auto"/>
        <w:bottom w:val="none" w:sz="0" w:space="0" w:color="auto"/>
        <w:right w:val="none" w:sz="0" w:space="0" w:color="auto"/>
      </w:divBdr>
    </w:div>
    <w:div w:id="1751150769">
      <w:bodyDiv w:val="1"/>
      <w:marLeft w:val="0"/>
      <w:marRight w:val="0"/>
      <w:marTop w:val="0"/>
      <w:marBottom w:val="0"/>
      <w:divBdr>
        <w:top w:val="none" w:sz="0" w:space="0" w:color="auto"/>
        <w:left w:val="none" w:sz="0" w:space="0" w:color="auto"/>
        <w:bottom w:val="none" w:sz="0" w:space="0" w:color="auto"/>
        <w:right w:val="none" w:sz="0" w:space="0" w:color="auto"/>
      </w:divBdr>
      <w:divsChild>
        <w:div w:id="1429036595">
          <w:marLeft w:val="0"/>
          <w:marRight w:val="0"/>
          <w:marTop w:val="0"/>
          <w:marBottom w:val="0"/>
          <w:divBdr>
            <w:top w:val="none" w:sz="0" w:space="0" w:color="auto"/>
            <w:left w:val="none" w:sz="0" w:space="0" w:color="auto"/>
            <w:bottom w:val="none" w:sz="0" w:space="0" w:color="auto"/>
            <w:right w:val="none" w:sz="0" w:space="0" w:color="auto"/>
          </w:divBdr>
          <w:divsChild>
            <w:div w:id="961614985">
              <w:marLeft w:val="0"/>
              <w:marRight w:val="0"/>
              <w:marTop w:val="150"/>
              <w:marBottom w:val="150"/>
              <w:divBdr>
                <w:top w:val="none" w:sz="0" w:space="0" w:color="auto"/>
                <w:left w:val="none" w:sz="0" w:space="0" w:color="auto"/>
                <w:bottom w:val="none" w:sz="0" w:space="0" w:color="auto"/>
                <w:right w:val="none" w:sz="0" w:space="0" w:color="auto"/>
              </w:divBdr>
              <w:divsChild>
                <w:div w:id="141777988">
                  <w:marLeft w:val="0"/>
                  <w:marRight w:val="0"/>
                  <w:marTop w:val="0"/>
                  <w:marBottom w:val="0"/>
                  <w:divBdr>
                    <w:top w:val="none" w:sz="0" w:space="0" w:color="auto"/>
                    <w:left w:val="none" w:sz="0" w:space="0" w:color="auto"/>
                    <w:bottom w:val="none" w:sz="0" w:space="0" w:color="auto"/>
                    <w:right w:val="none" w:sz="0" w:space="0" w:color="auto"/>
                  </w:divBdr>
                  <w:divsChild>
                    <w:div w:id="316539107">
                      <w:marLeft w:val="0"/>
                      <w:marRight w:val="0"/>
                      <w:marTop w:val="0"/>
                      <w:marBottom w:val="0"/>
                      <w:divBdr>
                        <w:top w:val="none" w:sz="0" w:space="0" w:color="auto"/>
                        <w:left w:val="none" w:sz="0" w:space="0" w:color="auto"/>
                        <w:bottom w:val="none" w:sz="0" w:space="0" w:color="auto"/>
                        <w:right w:val="none" w:sz="0" w:space="0" w:color="auto"/>
                      </w:divBdr>
                      <w:divsChild>
                        <w:div w:id="557402645">
                          <w:marLeft w:val="180"/>
                          <w:marRight w:val="0"/>
                          <w:marTop w:val="0"/>
                          <w:marBottom w:val="0"/>
                          <w:divBdr>
                            <w:top w:val="none" w:sz="0" w:space="0" w:color="auto"/>
                            <w:left w:val="none" w:sz="0" w:space="0" w:color="auto"/>
                            <w:bottom w:val="none" w:sz="0" w:space="0" w:color="auto"/>
                            <w:right w:val="none" w:sz="0" w:space="0" w:color="auto"/>
                          </w:divBdr>
                          <w:divsChild>
                            <w:div w:id="1845625713">
                              <w:marLeft w:val="0"/>
                              <w:marRight w:val="0"/>
                              <w:marTop w:val="0"/>
                              <w:marBottom w:val="0"/>
                              <w:divBdr>
                                <w:top w:val="none" w:sz="0" w:space="0" w:color="auto"/>
                                <w:left w:val="none" w:sz="0" w:space="0" w:color="auto"/>
                                <w:bottom w:val="none" w:sz="0" w:space="0" w:color="auto"/>
                                <w:right w:val="none" w:sz="0" w:space="0" w:color="auto"/>
                              </w:divBdr>
                              <w:divsChild>
                                <w:div w:id="14387126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112967">
      <w:bodyDiv w:val="1"/>
      <w:marLeft w:val="0"/>
      <w:marRight w:val="0"/>
      <w:marTop w:val="0"/>
      <w:marBottom w:val="0"/>
      <w:divBdr>
        <w:top w:val="none" w:sz="0" w:space="0" w:color="auto"/>
        <w:left w:val="none" w:sz="0" w:space="0" w:color="auto"/>
        <w:bottom w:val="none" w:sz="0" w:space="0" w:color="auto"/>
        <w:right w:val="none" w:sz="0" w:space="0" w:color="auto"/>
      </w:divBdr>
    </w:div>
    <w:div w:id="1786924870">
      <w:bodyDiv w:val="1"/>
      <w:marLeft w:val="0"/>
      <w:marRight w:val="0"/>
      <w:marTop w:val="0"/>
      <w:marBottom w:val="0"/>
      <w:divBdr>
        <w:top w:val="none" w:sz="0" w:space="0" w:color="auto"/>
        <w:left w:val="none" w:sz="0" w:space="0" w:color="auto"/>
        <w:bottom w:val="none" w:sz="0" w:space="0" w:color="auto"/>
        <w:right w:val="none" w:sz="0" w:space="0" w:color="auto"/>
      </w:divBdr>
    </w:div>
    <w:div w:id="1799687573">
      <w:bodyDiv w:val="1"/>
      <w:marLeft w:val="0"/>
      <w:marRight w:val="0"/>
      <w:marTop w:val="0"/>
      <w:marBottom w:val="0"/>
      <w:divBdr>
        <w:top w:val="none" w:sz="0" w:space="0" w:color="auto"/>
        <w:left w:val="none" w:sz="0" w:space="0" w:color="auto"/>
        <w:bottom w:val="none" w:sz="0" w:space="0" w:color="auto"/>
        <w:right w:val="none" w:sz="0" w:space="0" w:color="auto"/>
      </w:divBdr>
    </w:div>
    <w:div w:id="1809207883">
      <w:bodyDiv w:val="1"/>
      <w:marLeft w:val="0"/>
      <w:marRight w:val="0"/>
      <w:marTop w:val="0"/>
      <w:marBottom w:val="0"/>
      <w:divBdr>
        <w:top w:val="none" w:sz="0" w:space="0" w:color="auto"/>
        <w:left w:val="none" w:sz="0" w:space="0" w:color="auto"/>
        <w:bottom w:val="none" w:sz="0" w:space="0" w:color="auto"/>
        <w:right w:val="none" w:sz="0" w:space="0" w:color="auto"/>
      </w:divBdr>
    </w:div>
    <w:div w:id="1836072394">
      <w:bodyDiv w:val="1"/>
      <w:marLeft w:val="0"/>
      <w:marRight w:val="0"/>
      <w:marTop w:val="0"/>
      <w:marBottom w:val="0"/>
      <w:divBdr>
        <w:top w:val="none" w:sz="0" w:space="0" w:color="auto"/>
        <w:left w:val="none" w:sz="0" w:space="0" w:color="auto"/>
        <w:bottom w:val="none" w:sz="0" w:space="0" w:color="auto"/>
        <w:right w:val="none" w:sz="0" w:space="0" w:color="auto"/>
      </w:divBdr>
    </w:div>
    <w:div w:id="1841313048">
      <w:bodyDiv w:val="1"/>
      <w:marLeft w:val="0"/>
      <w:marRight w:val="0"/>
      <w:marTop w:val="0"/>
      <w:marBottom w:val="0"/>
      <w:divBdr>
        <w:top w:val="none" w:sz="0" w:space="0" w:color="auto"/>
        <w:left w:val="none" w:sz="0" w:space="0" w:color="auto"/>
        <w:bottom w:val="none" w:sz="0" w:space="0" w:color="auto"/>
        <w:right w:val="none" w:sz="0" w:space="0" w:color="auto"/>
      </w:divBdr>
    </w:div>
    <w:div w:id="1849440178">
      <w:bodyDiv w:val="1"/>
      <w:marLeft w:val="0"/>
      <w:marRight w:val="0"/>
      <w:marTop w:val="0"/>
      <w:marBottom w:val="0"/>
      <w:divBdr>
        <w:top w:val="none" w:sz="0" w:space="0" w:color="auto"/>
        <w:left w:val="none" w:sz="0" w:space="0" w:color="auto"/>
        <w:bottom w:val="none" w:sz="0" w:space="0" w:color="auto"/>
        <w:right w:val="none" w:sz="0" w:space="0" w:color="auto"/>
      </w:divBdr>
    </w:div>
    <w:div w:id="1892643580">
      <w:bodyDiv w:val="1"/>
      <w:marLeft w:val="0"/>
      <w:marRight w:val="0"/>
      <w:marTop w:val="0"/>
      <w:marBottom w:val="0"/>
      <w:divBdr>
        <w:top w:val="none" w:sz="0" w:space="0" w:color="auto"/>
        <w:left w:val="none" w:sz="0" w:space="0" w:color="auto"/>
        <w:bottom w:val="none" w:sz="0" w:space="0" w:color="auto"/>
        <w:right w:val="none" w:sz="0" w:space="0" w:color="auto"/>
      </w:divBdr>
    </w:div>
    <w:div w:id="1949388337">
      <w:bodyDiv w:val="1"/>
      <w:marLeft w:val="0"/>
      <w:marRight w:val="0"/>
      <w:marTop w:val="0"/>
      <w:marBottom w:val="0"/>
      <w:divBdr>
        <w:top w:val="none" w:sz="0" w:space="0" w:color="auto"/>
        <w:left w:val="none" w:sz="0" w:space="0" w:color="auto"/>
        <w:bottom w:val="none" w:sz="0" w:space="0" w:color="auto"/>
        <w:right w:val="none" w:sz="0" w:space="0" w:color="auto"/>
      </w:divBdr>
    </w:div>
    <w:div w:id="2037340349">
      <w:bodyDiv w:val="1"/>
      <w:marLeft w:val="0"/>
      <w:marRight w:val="0"/>
      <w:marTop w:val="0"/>
      <w:marBottom w:val="0"/>
      <w:divBdr>
        <w:top w:val="none" w:sz="0" w:space="0" w:color="auto"/>
        <w:left w:val="none" w:sz="0" w:space="0" w:color="auto"/>
        <w:bottom w:val="none" w:sz="0" w:space="0" w:color="auto"/>
        <w:right w:val="none" w:sz="0" w:space="0" w:color="auto"/>
      </w:divBdr>
    </w:div>
    <w:div w:id="2042124619">
      <w:bodyDiv w:val="1"/>
      <w:marLeft w:val="0"/>
      <w:marRight w:val="0"/>
      <w:marTop w:val="0"/>
      <w:marBottom w:val="0"/>
      <w:divBdr>
        <w:top w:val="none" w:sz="0" w:space="0" w:color="auto"/>
        <w:left w:val="none" w:sz="0" w:space="0" w:color="auto"/>
        <w:bottom w:val="none" w:sz="0" w:space="0" w:color="auto"/>
        <w:right w:val="none" w:sz="0" w:space="0" w:color="auto"/>
      </w:divBdr>
    </w:div>
    <w:div w:id="2081705592">
      <w:bodyDiv w:val="1"/>
      <w:marLeft w:val="0"/>
      <w:marRight w:val="0"/>
      <w:marTop w:val="0"/>
      <w:marBottom w:val="0"/>
      <w:divBdr>
        <w:top w:val="none" w:sz="0" w:space="0" w:color="auto"/>
        <w:left w:val="none" w:sz="0" w:space="0" w:color="auto"/>
        <w:bottom w:val="none" w:sz="0" w:space="0" w:color="auto"/>
        <w:right w:val="none" w:sz="0" w:space="0" w:color="auto"/>
      </w:divBdr>
    </w:div>
    <w:div w:id="2144538881">
      <w:bodyDiv w:val="1"/>
      <w:marLeft w:val="0"/>
      <w:marRight w:val="0"/>
      <w:marTop w:val="0"/>
      <w:marBottom w:val="0"/>
      <w:divBdr>
        <w:top w:val="none" w:sz="0" w:space="0" w:color="auto"/>
        <w:left w:val="none" w:sz="0" w:space="0" w:color="auto"/>
        <w:bottom w:val="none" w:sz="0" w:space="0" w:color="auto"/>
        <w:right w:val="none" w:sz="0" w:space="0" w:color="auto"/>
      </w:divBdr>
    </w:div>
    <w:div w:id="2147316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chart" Target="charts/chart7.xml"/><Relationship Id="rId26" Type="http://schemas.openxmlformats.org/officeDocument/2006/relationships/chart" Target="charts/chart15.xml"/><Relationship Id="rId3" Type="http://schemas.openxmlformats.org/officeDocument/2006/relationships/styles" Target="styles.xml"/><Relationship Id="rId21" Type="http://schemas.openxmlformats.org/officeDocument/2006/relationships/chart" Target="charts/chart10.xml"/><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chart" Target="charts/chart8.xml"/><Relationship Id="rId31" Type="http://schemas.openxmlformats.org/officeDocument/2006/relationships/chart" Target="charts/chart20.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ecb.europa.eu/pub/pdf/scpops/ecbop156.en.pdf?12f64165c5623d34b98b978cbe614ed9" TargetMode="External"/><Relationship Id="rId2" Type="http://schemas.openxmlformats.org/officeDocument/2006/relationships/hyperlink" Target="https://ec.europa.eu/info/publications/economy-finance/quarterly-report-euro-area-qrea-vol14-no3-2015_en" TargetMode="External"/><Relationship Id="rId1" Type="http://schemas.openxmlformats.org/officeDocument/2006/relationships/hyperlink" Target="https://ec.europa.eu/info/publications/economy-finance/2018-ageing-report-economic-and-budgetary-projections-eu-member-states-2016-2070_en" TargetMode="External"/><Relationship Id="rId4" Type="http://schemas.openxmlformats.org/officeDocument/2006/relationships/hyperlink" Target="https://ec.europa.eu/info/sites/info/files/economy-finance/ip065_en.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f15014\Desktop\gradivo\program%20stabilnosti\Copy%20of%20zaposlenos%20starejsih.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MFRSW12SEFS03\UserHomeDirs_10ARH\mf11145\_00ARH\Excel\Potencialni%20BDP\IZRACUN\SAEP\2019\SF_2019\Variante%20OG_SF2019_podrobneje_konc1.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MFRSW12SEFS03\UserHomeDirs_10ARH\mf11145\_00ARH\Excel\Potencialni%20BDP\IZRACUN\SAEP\2019\SF_2019\EK_AF2018.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5.xml.rels><?xml version="1.0" encoding="UTF-8" standalone="yes"?>
<Relationships xmlns="http://schemas.openxmlformats.org/package/2006/relationships"><Relationship Id="rId1" Type="http://schemas.openxmlformats.org/officeDocument/2006/relationships/oleObject" Target="file:///E:\Copy%20of%20Strukturni%20deficit_izra&#269;un_PS%20pom195.4%20popravki!!%20esa_rev_exp.xls"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7.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Copy%20of%20za%20PS%20prihodki_2019_nova%20oblika_17.4.2019.xlsx" TargetMode="External"/></Relationships>
</file>

<file path=word/charts/_rels/chart18.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Worksheet8.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produktivnost_ameco.xlsb"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1.xml.rels><?xml version="1.0" encoding="UTF-8" standalone="yes"?>
<Relationships xmlns="http://schemas.openxmlformats.org/package/2006/relationships"><Relationship Id="rId1" Type="http://schemas.openxmlformats.org/officeDocument/2006/relationships/oleObject" Target="file:///\\MFRSWDNSEFS01\SUFPDUSERS\SEAJS\7%20-%20Poro&#353;tva\24_PRORA&#268;UN\3_Program%20stabilnosti_Prora&#269;unski%20memorandum_(DBP)Osnutek%20prora&#269;unskega%20na&#269;rta\11_2019_2022_Program%20stabilnosti\1_Graf.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grafi.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produktivnost_ameco.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143489574532779E-2"/>
          <c:y val="3.3375047763109691E-2"/>
          <c:w val="0.89599878341387595"/>
          <c:h val="0.62970136067954829"/>
        </c:manualLayout>
      </c:layout>
      <c:barChart>
        <c:barDir val="col"/>
        <c:grouping val="clustered"/>
        <c:varyColors val="0"/>
        <c:ser>
          <c:idx val="0"/>
          <c:order val="1"/>
          <c:tx>
            <c:strRef>
              <c:f>Sheet1!$B$5</c:f>
              <c:strCache>
                <c:ptCount val="1"/>
                <c:pt idx="0">
                  <c:v>Slovenia</c:v>
                </c:pt>
              </c:strCache>
            </c:strRef>
          </c:tx>
          <c:spPr>
            <a:solidFill>
              <a:schemeClr val="accent1">
                <a:lumMod val="40000"/>
                <a:lumOff val="60000"/>
              </a:schemeClr>
            </a:solidFill>
            <a:ln>
              <a:noFill/>
            </a:ln>
            <a:effectLst>
              <a:glow>
                <a:schemeClr val="accent1">
                  <a:alpha val="1000"/>
                </a:schemeClr>
              </a:glow>
            </a:effectLst>
          </c:spPr>
          <c:invertIfNegative val="0"/>
          <c:cat>
            <c:strRef>
              <c:f>Sheet1!$AQ$3:$BE$3</c:f>
              <c:strCache>
                <c:ptCount val="15"/>
                <c:pt idx="0">
                  <c:v>2015Q1</c:v>
                </c:pt>
                <c:pt idx="1">
                  <c:v>2015Q2</c:v>
                </c:pt>
                <c:pt idx="2">
                  <c:v>2015Q3</c:v>
                </c:pt>
                <c:pt idx="3">
                  <c:v>2015Q4</c:v>
                </c:pt>
                <c:pt idx="4">
                  <c:v>2016Q1</c:v>
                </c:pt>
                <c:pt idx="5">
                  <c:v>2016Q2</c:v>
                </c:pt>
                <c:pt idx="6">
                  <c:v>2016Q3</c:v>
                </c:pt>
                <c:pt idx="7">
                  <c:v>2016Q4</c:v>
                </c:pt>
                <c:pt idx="8">
                  <c:v>2017Q1</c:v>
                </c:pt>
                <c:pt idx="9">
                  <c:v>2017Q2</c:v>
                </c:pt>
                <c:pt idx="10">
                  <c:v>2017Q3</c:v>
                </c:pt>
                <c:pt idx="11">
                  <c:v>2017Q4</c:v>
                </c:pt>
                <c:pt idx="12">
                  <c:v>2018Q1</c:v>
                </c:pt>
                <c:pt idx="13">
                  <c:v>2018Q2</c:v>
                </c:pt>
                <c:pt idx="14">
                  <c:v>2018Q3</c:v>
                </c:pt>
              </c:strCache>
            </c:strRef>
          </c:cat>
          <c:val>
            <c:numRef>
              <c:f>Sheet1!$AQ$5:$BE$5</c:f>
              <c:numCache>
                <c:formatCode>General</c:formatCode>
                <c:ptCount val="15"/>
                <c:pt idx="0">
                  <c:v>35.299999999999997</c:v>
                </c:pt>
                <c:pt idx="1">
                  <c:v>38.200000000000003</c:v>
                </c:pt>
                <c:pt idx="2">
                  <c:v>37.200000000000003</c:v>
                </c:pt>
                <c:pt idx="3">
                  <c:v>35.700000000000003</c:v>
                </c:pt>
                <c:pt idx="4">
                  <c:v>38.200000000000003</c:v>
                </c:pt>
                <c:pt idx="5">
                  <c:v>39.5</c:v>
                </c:pt>
                <c:pt idx="6">
                  <c:v>37.6</c:v>
                </c:pt>
                <c:pt idx="7">
                  <c:v>38.9</c:v>
                </c:pt>
                <c:pt idx="8">
                  <c:v>40.5</c:v>
                </c:pt>
                <c:pt idx="9">
                  <c:v>43.5</c:v>
                </c:pt>
                <c:pt idx="10">
                  <c:v>42.8</c:v>
                </c:pt>
                <c:pt idx="11">
                  <c:v>44.2</c:v>
                </c:pt>
                <c:pt idx="12">
                  <c:v>44.4</c:v>
                </c:pt>
                <c:pt idx="13">
                  <c:v>47.6</c:v>
                </c:pt>
                <c:pt idx="14">
                  <c:v>47.3</c:v>
                </c:pt>
              </c:numCache>
            </c:numRef>
          </c:val>
          <c:extLst xmlns:c16r2="http://schemas.microsoft.com/office/drawing/2015/06/chart">
            <c:ext xmlns:c16="http://schemas.microsoft.com/office/drawing/2014/chart" uri="{C3380CC4-5D6E-409C-BE32-E72D297353CC}">
              <c16:uniqueId val="{00000000-82D7-4BD4-858F-D1DE0511AA94}"/>
            </c:ext>
          </c:extLst>
        </c:ser>
        <c:dLbls>
          <c:showLegendKey val="0"/>
          <c:showVal val="0"/>
          <c:showCatName val="0"/>
          <c:showSerName val="0"/>
          <c:showPercent val="0"/>
          <c:showBubbleSize val="0"/>
        </c:dLbls>
        <c:gapWidth val="101"/>
        <c:overlap val="-20"/>
        <c:axId val="61620608"/>
        <c:axId val="73092096"/>
      </c:barChart>
      <c:lineChart>
        <c:grouping val="standard"/>
        <c:varyColors val="0"/>
        <c:ser>
          <c:idx val="1"/>
          <c:order val="0"/>
          <c:tx>
            <c:strRef>
              <c:f>Sheet1!$B$4</c:f>
              <c:strCache>
                <c:ptCount val="1"/>
                <c:pt idx="0">
                  <c:v>Euroobmočje</c:v>
                </c:pt>
              </c:strCache>
            </c:strRef>
          </c:tx>
          <c:spPr>
            <a:ln w="28575" cap="rnd">
              <a:noFill/>
              <a:round/>
            </a:ln>
            <a:effectLst/>
          </c:spPr>
          <c:marker>
            <c:symbol val="diamond"/>
            <c:size val="8"/>
            <c:spPr>
              <a:solidFill>
                <a:srgbClr val="0070C0"/>
              </a:solidFill>
              <a:ln w="9525">
                <a:solidFill>
                  <a:srgbClr val="0070C0"/>
                </a:solidFill>
              </a:ln>
              <a:effectLst/>
            </c:spPr>
          </c:marker>
          <c:cat>
            <c:strRef>
              <c:f>Sheet1!$AQ$3:$BE$3</c:f>
              <c:strCache>
                <c:ptCount val="15"/>
                <c:pt idx="0">
                  <c:v>2015Q1</c:v>
                </c:pt>
                <c:pt idx="1">
                  <c:v>2015Q2</c:v>
                </c:pt>
                <c:pt idx="2">
                  <c:v>2015Q3</c:v>
                </c:pt>
                <c:pt idx="3">
                  <c:v>2015Q4</c:v>
                </c:pt>
                <c:pt idx="4">
                  <c:v>2016Q1</c:v>
                </c:pt>
                <c:pt idx="5">
                  <c:v>2016Q2</c:v>
                </c:pt>
                <c:pt idx="6">
                  <c:v>2016Q3</c:v>
                </c:pt>
                <c:pt idx="7">
                  <c:v>2016Q4</c:v>
                </c:pt>
                <c:pt idx="8">
                  <c:v>2017Q1</c:v>
                </c:pt>
                <c:pt idx="9">
                  <c:v>2017Q2</c:v>
                </c:pt>
                <c:pt idx="10">
                  <c:v>2017Q3</c:v>
                </c:pt>
                <c:pt idx="11">
                  <c:v>2017Q4</c:v>
                </c:pt>
                <c:pt idx="12">
                  <c:v>2018Q1</c:v>
                </c:pt>
                <c:pt idx="13">
                  <c:v>2018Q2</c:v>
                </c:pt>
                <c:pt idx="14">
                  <c:v>2018Q3</c:v>
                </c:pt>
              </c:strCache>
            </c:strRef>
          </c:cat>
          <c:val>
            <c:numRef>
              <c:f>Sheet1!$AQ$4:$BE$4</c:f>
              <c:numCache>
                <c:formatCode>General</c:formatCode>
                <c:ptCount val="15"/>
                <c:pt idx="0">
                  <c:v>52.4</c:v>
                </c:pt>
                <c:pt idx="1">
                  <c:v>53.2</c:v>
                </c:pt>
                <c:pt idx="2">
                  <c:v>53.7</c:v>
                </c:pt>
                <c:pt idx="3">
                  <c:v>53.8</c:v>
                </c:pt>
                <c:pt idx="4">
                  <c:v>54.4</c:v>
                </c:pt>
                <c:pt idx="5">
                  <c:v>55.3</c:v>
                </c:pt>
                <c:pt idx="6">
                  <c:v>55.6</c:v>
                </c:pt>
                <c:pt idx="7">
                  <c:v>55.8</c:v>
                </c:pt>
                <c:pt idx="8">
                  <c:v>55.9</c:v>
                </c:pt>
                <c:pt idx="9">
                  <c:v>57.2</c:v>
                </c:pt>
                <c:pt idx="10">
                  <c:v>57.4</c:v>
                </c:pt>
                <c:pt idx="11">
                  <c:v>58</c:v>
                </c:pt>
                <c:pt idx="12">
                  <c:v>57.9</c:v>
                </c:pt>
                <c:pt idx="13">
                  <c:v>58.5</c:v>
                </c:pt>
                <c:pt idx="14">
                  <c:v>59.1</c:v>
                </c:pt>
              </c:numCache>
            </c:numRef>
          </c:val>
          <c:smooth val="0"/>
          <c:extLst xmlns:c16r2="http://schemas.microsoft.com/office/drawing/2015/06/chart">
            <c:ext xmlns:c16="http://schemas.microsoft.com/office/drawing/2014/chart" uri="{C3380CC4-5D6E-409C-BE32-E72D297353CC}">
              <c16:uniqueId val="{00000001-82D7-4BD4-858F-D1DE0511AA94}"/>
            </c:ext>
          </c:extLst>
        </c:ser>
        <c:dLbls>
          <c:showLegendKey val="0"/>
          <c:showVal val="0"/>
          <c:showCatName val="0"/>
          <c:showSerName val="0"/>
          <c:showPercent val="0"/>
          <c:showBubbleSize val="0"/>
        </c:dLbls>
        <c:marker val="1"/>
        <c:smooth val="0"/>
        <c:axId val="61620608"/>
        <c:axId val="73092096"/>
      </c:lineChart>
      <c:catAx>
        <c:axId val="6162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3092096"/>
        <c:crosses val="autoZero"/>
        <c:auto val="0"/>
        <c:lblAlgn val="ctr"/>
        <c:lblOffset val="100"/>
        <c:noMultiLvlLbl val="0"/>
      </c:catAx>
      <c:valAx>
        <c:axId val="73092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sl-SI"/>
                  <a:t>%</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162060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937292213473315"/>
          <c:y val="6.785521923800189E-2"/>
          <c:w val="0.71932961868138567"/>
          <c:h val="0.70286070624150709"/>
        </c:manualLayout>
      </c:layout>
      <c:barChart>
        <c:barDir val="col"/>
        <c:grouping val="stacked"/>
        <c:varyColors val="0"/>
        <c:ser>
          <c:idx val="1"/>
          <c:order val="1"/>
          <c:tx>
            <c:strRef>
              <c:f>SF19_variante!$E$4</c:f>
              <c:strCache>
                <c:ptCount val="1"/>
                <c:pt idx="0">
                  <c:v>Delo (potencialna zaposlenost)</c:v>
                </c:pt>
              </c:strCache>
            </c:strRef>
          </c:tx>
          <c:spPr>
            <a:solidFill>
              <a:schemeClr val="tx2">
                <a:lumMod val="20000"/>
                <a:lumOff val="80000"/>
              </a:schemeClr>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SF19_variante!$E$7:$E$27</c:f>
              <c:numCache>
                <c:formatCode>0.0</c:formatCode>
                <c:ptCount val="21"/>
                <c:pt idx="0">
                  <c:v>0.2436020037630304</c:v>
                </c:pt>
                <c:pt idx="1">
                  <c:v>0.16520986965589346</c:v>
                </c:pt>
                <c:pt idx="2">
                  <c:v>0.14401873721375802</c:v>
                </c:pt>
                <c:pt idx="3">
                  <c:v>-2.4740729898609093E-3</c:v>
                </c:pt>
                <c:pt idx="4">
                  <c:v>1.0204161962310554E-2</c:v>
                </c:pt>
                <c:pt idx="5">
                  <c:v>-0.19174218962042408</c:v>
                </c:pt>
                <c:pt idx="6">
                  <c:v>3.7742943626033476E-2</c:v>
                </c:pt>
                <c:pt idx="7">
                  <c:v>0.3747960594524713</c:v>
                </c:pt>
                <c:pt idx="8">
                  <c:v>0.31561079342356635</c:v>
                </c:pt>
                <c:pt idx="9">
                  <c:v>0.4210372526635941</c:v>
                </c:pt>
                <c:pt idx="10">
                  <c:v>0.13304334886693692</c:v>
                </c:pt>
                <c:pt idx="11">
                  <c:v>-0.31449167383527876</c:v>
                </c:pt>
                <c:pt idx="12">
                  <c:v>-0.10805780505936723</c:v>
                </c:pt>
                <c:pt idx="13">
                  <c:v>-7.8976788857842983E-2</c:v>
                </c:pt>
                <c:pt idx="14">
                  <c:v>0.1535116876505338</c:v>
                </c:pt>
                <c:pt idx="15">
                  <c:v>-0.10167830657452302</c:v>
                </c:pt>
                <c:pt idx="16">
                  <c:v>5.9289465165126558E-2</c:v>
                </c:pt>
                <c:pt idx="17">
                  <c:v>5.9119868561294808E-2</c:v>
                </c:pt>
                <c:pt idx="18">
                  <c:v>0.14627473035171201</c:v>
                </c:pt>
                <c:pt idx="19">
                  <c:v>0.15903083848908484</c:v>
                </c:pt>
                <c:pt idx="20">
                  <c:v>0.29892581365969395</c:v>
                </c:pt>
              </c:numCache>
            </c:numRef>
          </c:val>
          <c:extLst xmlns:c16r2="http://schemas.microsoft.com/office/drawing/2015/06/chart">
            <c:ext xmlns:c16="http://schemas.microsoft.com/office/drawing/2014/chart" uri="{C3380CC4-5D6E-409C-BE32-E72D297353CC}">
              <c16:uniqueId val="{00000000-838F-4093-BF3C-D57E53C43865}"/>
            </c:ext>
          </c:extLst>
        </c:ser>
        <c:ser>
          <c:idx val="2"/>
          <c:order val="2"/>
          <c:tx>
            <c:strRef>
              <c:f>SF19_variante!$F$4</c:f>
              <c:strCache>
                <c:ptCount val="1"/>
                <c:pt idx="0">
                  <c:v>Rast TFP_KF</c:v>
                </c:pt>
              </c:strCache>
            </c:strRef>
          </c:tx>
          <c:spPr>
            <a:solidFill>
              <a:schemeClr val="tx2"/>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SF19_variante!$F$7:$F$27</c:f>
              <c:numCache>
                <c:formatCode>0.0</c:formatCode>
                <c:ptCount val="21"/>
                <c:pt idx="0">
                  <c:v>1.642926281724022</c:v>
                </c:pt>
                <c:pt idx="1">
                  <c:v>1.4555153387858732</c:v>
                </c:pt>
                <c:pt idx="2">
                  <c:v>1.4043405636034567</c:v>
                </c:pt>
                <c:pt idx="3">
                  <c:v>1.5490072380080822</c:v>
                </c:pt>
                <c:pt idx="4">
                  <c:v>1.7249277549650222</c:v>
                </c:pt>
                <c:pt idx="5">
                  <c:v>1.9034101466141706</c:v>
                </c:pt>
                <c:pt idx="6">
                  <c:v>1.7228094164360996</c:v>
                </c:pt>
                <c:pt idx="7">
                  <c:v>1.4146730869764035</c:v>
                </c:pt>
                <c:pt idx="8">
                  <c:v>0.99829232126666945</c:v>
                </c:pt>
                <c:pt idx="9">
                  <c:v>0.59929752497136501</c:v>
                </c:pt>
                <c:pt idx="10">
                  <c:v>0.56112627892053202</c:v>
                </c:pt>
                <c:pt idx="11">
                  <c:v>0.42527624372012962</c:v>
                </c:pt>
                <c:pt idx="12">
                  <c:v>0.33276193736202497</c:v>
                </c:pt>
                <c:pt idx="13">
                  <c:v>0.40579333051682376</c:v>
                </c:pt>
                <c:pt idx="14">
                  <c:v>0.70862700253997435</c:v>
                </c:pt>
                <c:pt idx="15">
                  <c:v>1.0462700646024725</c:v>
                </c:pt>
                <c:pt idx="16">
                  <c:v>1.6250167091957479</c:v>
                </c:pt>
                <c:pt idx="17">
                  <c:v>1.9786969039166324</c:v>
                </c:pt>
                <c:pt idx="18">
                  <c:v>2.0025710345921599</c:v>
                </c:pt>
                <c:pt idx="19">
                  <c:v>1.9406895322593876</c:v>
                </c:pt>
                <c:pt idx="20">
                  <c:v>1.8798989531061183</c:v>
                </c:pt>
              </c:numCache>
            </c:numRef>
          </c:val>
          <c:extLst xmlns:c16r2="http://schemas.microsoft.com/office/drawing/2015/06/chart">
            <c:ext xmlns:c16="http://schemas.microsoft.com/office/drawing/2014/chart" uri="{C3380CC4-5D6E-409C-BE32-E72D297353CC}">
              <c16:uniqueId val="{00000001-838F-4093-BF3C-D57E53C43865}"/>
            </c:ext>
          </c:extLst>
        </c:ser>
        <c:ser>
          <c:idx val="3"/>
          <c:order val="3"/>
          <c:tx>
            <c:strRef>
              <c:f>SF19_variante!$G$4</c:f>
              <c:strCache>
                <c:ptCount val="1"/>
                <c:pt idx="0">
                  <c:v>Kapital</c:v>
                </c:pt>
              </c:strCache>
            </c:strRef>
          </c:tx>
          <c:spPr>
            <a:solidFill>
              <a:schemeClr val="tx2">
                <a:lumMod val="60000"/>
                <a:lumOff val="40000"/>
              </a:schemeClr>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SF19_variante!$G$7:$G$27</c:f>
              <c:numCache>
                <c:formatCode>0.0</c:formatCode>
                <c:ptCount val="21"/>
                <c:pt idx="0">
                  <c:v>2.0020773094813227</c:v>
                </c:pt>
                <c:pt idx="1">
                  <c:v>1.8160104558822534</c:v>
                </c:pt>
                <c:pt idx="2">
                  <c:v>1.6031853227494766</c:v>
                </c:pt>
                <c:pt idx="3">
                  <c:v>1.6188383496862735</c:v>
                </c:pt>
                <c:pt idx="4">
                  <c:v>1.6186651520804765</c:v>
                </c:pt>
                <c:pt idx="5">
                  <c:v>1.5479629492156957</c:v>
                </c:pt>
                <c:pt idx="6">
                  <c:v>1.7298716250291293</c:v>
                </c:pt>
                <c:pt idx="7">
                  <c:v>1.9628332977992338</c:v>
                </c:pt>
                <c:pt idx="8">
                  <c:v>1.9817867512709535</c:v>
                </c:pt>
                <c:pt idx="9">
                  <c:v>0.84596107591862224</c:v>
                </c:pt>
                <c:pt idx="10">
                  <c:v>0.36037231274161702</c:v>
                </c:pt>
                <c:pt idx="11">
                  <c:v>0.20223097585365446</c:v>
                </c:pt>
                <c:pt idx="12">
                  <c:v>-2.9402837971280741E-2</c:v>
                </c:pt>
                <c:pt idx="13">
                  <c:v>4.2979744550504247E-2</c:v>
                </c:pt>
                <c:pt idx="14">
                  <c:v>6.2804133168079548E-2</c:v>
                </c:pt>
                <c:pt idx="15">
                  <c:v>2.0724108236149789E-2</c:v>
                </c:pt>
                <c:pt idx="16">
                  <c:v>-6.4493255603061975E-2</c:v>
                </c:pt>
                <c:pt idx="17">
                  <c:v>0.17487560822541995</c:v>
                </c:pt>
                <c:pt idx="18">
                  <c:v>0.41600053003106657</c:v>
                </c:pt>
                <c:pt idx="19">
                  <c:v>0.58332646085948137</c:v>
                </c:pt>
                <c:pt idx="20">
                  <c:v>0.72383541682382602</c:v>
                </c:pt>
              </c:numCache>
            </c:numRef>
          </c:val>
          <c:extLst xmlns:c16r2="http://schemas.microsoft.com/office/drawing/2015/06/chart">
            <c:ext xmlns:c16="http://schemas.microsoft.com/office/drawing/2014/chart" uri="{C3380CC4-5D6E-409C-BE32-E72D297353CC}">
              <c16:uniqueId val="{00000002-838F-4093-BF3C-D57E53C43865}"/>
            </c:ext>
          </c:extLst>
        </c:ser>
        <c:dLbls>
          <c:showLegendKey val="0"/>
          <c:showVal val="0"/>
          <c:showCatName val="0"/>
          <c:showSerName val="0"/>
          <c:showPercent val="0"/>
          <c:showBubbleSize val="0"/>
        </c:dLbls>
        <c:gapWidth val="150"/>
        <c:overlap val="100"/>
        <c:axId val="127880576"/>
        <c:axId val="127890560"/>
      </c:barChart>
      <c:lineChart>
        <c:grouping val="standard"/>
        <c:varyColors val="0"/>
        <c:ser>
          <c:idx val="0"/>
          <c:order val="0"/>
          <c:tx>
            <c:strRef>
              <c:f>SF19_variante!$D$4</c:f>
              <c:strCache>
                <c:ptCount val="1"/>
                <c:pt idx="0">
                  <c:v>Rast potencialnega BDP</c:v>
                </c:pt>
              </c:strCache>
            </c:strRef>
          </c:tx>
          <c:marker>
            <c:symbol val="none"/>
          </c:marker>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SF19_variante!$D$7:$D$27</c:f>
              <c:numCache>
                <c:formatCode>0.0</c:formatCode>
                <c:ptCount val="21"/>
                <c:pt idx="0">
                  <c:v>3.8844028928746832</c:v>
                </c:pt>
                <c:pt idx="1">
                  <c:v>3.4307450221997327</c:v>
                </c:pt>
                <c:pt idx="2">
                  <c:v>3.1488164125905715</c:v>
                </c:pt>
                <c:pt idx="3">
                  <c:v>3.1602375974465025</c:v>
                </c:pt>
                <c:pt idx="4">
                  <c:v>3.3518811855857145</c:v>
                </c:pt>
                <c:pt idx="5">
                  <c:v>3.2547095983686436</c:v>
                </c:pt>
                <c:pt idx="6">
                  <c:v>3.4871282699320494</c:v>
                </c:pt>
                <c:pt idx="7">
                  <c:v>3.7483924193291385</c:v>
                </c:pt>
                <c:pt idx="8">
                  <c:v>3.2799623244745169</c:v>
                </c:pt>
                <c:pt idx="9">
                  <c:v>1.8687853677726185</c:v>
                </c:pt>
                <c:pt idx="10">
                  <c:v>1.0562391630730916</c:v>
                </c:pt>
                <c:pt idx="11">
                  <c:v>0.31120989517010589</c:v>
                </c:pt>
                <c:pt idx="12">
                  <c:v>0.19484052729841217</c:v>
                </c:pt>
                <c:pt idx="13">
                  <c:v>0.3695810943789013</c:v>
                </c:pt>
                <c:pt idx="14">
                  <c:v>0.92647559109877431</c:v>
                </c:pt>
                <c:pt idx="15">
                  <c:v>0.96442011391559834</c:v>
                </c:pt>
                <c:pt idx="16">
                  <c:v>1.6196324458055855</c:v>
                </c:pt>
                <c:pt idx="17">
                  <c:v>2.2170573646930647</c:v>
                </c:pt>
                <c:pt idx="18">
                  <c:v>2.5746336473935205</c:v>
                </c:pt>
                <c:pt idx="19">
                  <c:v>2.6943346338492047</c:v>
                </c:pt>
                <c:pt idx="20">
                  <c:v>2.9177332527452693</c:v>
                </c:pt>
              </c:numCache>
            </c:numRef>
          </c:val>
          <c:smooth val="0"/>
          <c:extLst xmlns:c16r2="http://schemas.microsoft.com/office/drawing/2015/06/chart">
            <c:ext xmlns:c16="http://schemas.microsoft.com/office/drawing/2014/chart" uri="{C3380CC4-5D6E-409C-BE32-E72D297353CC}">
              <c16:uniqueId val="{00000003-838F-4093-BF3C-D57E53C43865}"/>
            </c:ext>
          </c:extLst>
        </c:ser>
        <c:dLbls>
          <c:showLegendKey val="0"/>
          <c:showVal val="0"/>
          <c:showCatName val="0"/>
          <c:showSerName val="0"/>
          <c:showPercent val="0"/>
          <c:showBubbleSize val="0"/>
        </c:dLbls>
        <c:marker val="1"/>
        <c:smooth val="0"/>
        <c:axId val="127902848"/>
        <c:axId val="127892480"/>
      </c:lineChart>
      <c:catAx>
        <c:axId val="127880576"/>
        <c:scaling>
          <c:orientation val="minMax"/>
        </c:scaling>
        <c:delete val="0"/>
        <c:axPos val="b"/>
        <c:numFmt formatCode="General" sourceLinked="1"/>
        <c:majorTickMark val="none"/>
        <c:minorTickMark val="none"/>
        <c:tickLblPos val="low"/>
        <c:txPr>
          <a:bodyPr rot="-60000000" vert="horz"/>
          <a:lstStyle/>
          <a:p>
            <a:pPr>
              <a:defRPr/>
            </a:pPr>
            <a:endParaRPr lang="en-US"/>
          </a:p>
        </c:txPr>
        <c:crossAx val="127890560"/>
        <c:crosses val="autoZero"/>
        <c:auto val="1"/>
        <c:lblAlgn val="ctr"/>
        <c:lblOffset val="100"/>
        <c:noMultiLvlLbl val="0"/>
      </c:catAx>
      <c:valAx>
        <c:axId val="127890560"/>
        <c:scaling>
          <c:orientation val="minMax"/>
          <c:max val="4"/>
          <c:min val="-0.5"/>
        </c:scaling>
        <c:delete val="0"/>
        <c:axPos val="l"/>
        <c:majorGridlines/>
        <c:title>
          <c:tx>
            <c:rich>
              <a:bodyPr rot="-5400000" vert="horz"/>
              <a:lstStyle/>
              <a:p>
                <a:pPr>
                  <a:defRPr/>
                </a:pPr>
                <a:r>
                  <a:rPr lang="sl-SI"/>
                  <a:t>v o.t.</a:t>
                </a:r>
              </a:p>
            </c:rich>
          </c:tx>
          <c:overlay val="0"/>
        </c:title>
        <c:numFmt formatCode="0.0" sourceLinked="1"/>
        <c:majorTickMark val="none"/>
        <c:minorTickMark val="none"/>
        <c:tickLblPos val="nextTo"/>
        <c:txPr>
          <a:bodyPr rot="-60000000" vert="horz"/>
          <a:lstStyle/>
          <a:p>
            <a:pPr>
              <a:defRPr/>
            </a:pPr>
            <a:endParaRPr lang="en-US"/>
          </a:p>
        </c:txPr>
        <c:crossAx val="127880576"/>
        <c:crosses val="autoZero"/>
        <c:crossBetween val="between"/>
      </c:valAx>
      <c:valAx>
        <c:axId val="127892480"/>
        <c:scaling>
          <c:orientation val="minMax"/>
          <c:max val="4"/>
          <c:min val="-0.5"/>
        </c:scaling>
        <c:delete val="0"/>
        <c:axPos val="r"/>
        <c:title>
          <c:tx>
            <c:rich>
              <a:bodyPr rot="-5400000" vert="horz"/>
              <a:lstStyle/>
              <a:p>
                <a:pPr>
                  <a:defRPr/>
                </a:pPr>
                <a:r>
                  <a:rPr lang="sl-SI"/>
                  <a:t>Rast potencialnega BDP (v %)</a:t>
                </a:r>
              </a:p>
            </c:rich>
          </c:tx>
          <c:overlay val="0"/>
        </c:title>
        <c:numFmt formatCode="0.0" sourceLinked="1"/>
        <c:majorTickMark val="out"/>
        <c:minorTickMark val="none"/>
        <c:tickLblPos val="nextTo"/>
        <c:crossAx val="127902848"/>
        <c:crosses val="max"/>
        <c:crossBetween val="between"/>
      </c:valAx>
      <c:catAx>
        <c:axId val="127902848"/>
        <c:scaling>
          <c:orientation val="minMax"/>
        </c:scaling>
        <c:delete val="1"/>
        <c:axPos val="b"/>
        <c:numFmt formatCode="General" sourceLinked="1"/>
        <c:majorTickMark val="out"/>
        <c:minorTickMark val="none"/>
        <c:tickLblPos val="nextTo"/>
        <c:crossAx val="127892480"/>
        <c:crosses val="autoZero"/>
        <c:auto val="1"/>
        <c:lblAlgn val="ctr"/>
        <c:lblOffset val="100"/>
        <c:noMultiLvlLbl val="0"/>
      </c:catAx>
    </c:plotArea>
    <c:legend>
      <c:legendPos val="b"/>
      <c:layout>
        <c:manualLayout>
          <c:xMode val="edge"/>
          <c:yMode val="edge"/>
          <c:x val="2.0708049842832386E-2"/>
          <c:y val="0.90538697413977687"/>
          <c:w val="0.92192277330612749"/>
          <c:h val="9.1625053323192179E-2"/>
        </c:manualLayout>
      </c:layout>
      <c:overlay val="0"/>
      <c:txPr>
        <a:bodyPr rot="0" vert="horz"/>
        <a:lstStyle/>
        <a:p>
          <a:pPr>
            <a:defRPr/>
          </a:pPr>
          <a:endParaRPr lang="en-US"/>
        </a:p>
      </c:txPr>
    </c:legend>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213670166229221"/>
          <c:y val="6.9538514892845599E-2"/>
          <c:w val="0.84730774278215226"/>
          <c:h val="0.78221402504867077"/>
        </c:manualLayout>
      </c:layout>
      <c:lineChart>
        <c:grouping val="standard"/>
        <c:varyColors val="0"/>
        <c:ser>
          <c:idx val="0"/>
          <c:order val="0"/>
          <c:tx>
            <c:strRef>
              <c:f>OG_PF!$AP$40</c:f>
              <c:strCache>
                <c:ptCount val="1"/>
                <c:pt idx="0">
                  <c:v>EU</c:v>
                </c:pt>
              </c:strCache>
            </c:strRef>
          </c:tx>
          <c:spPr>
            <a:ln>
              <a:solidFill>
                <a:schemeClr val="accent1">
                  <a:lumMod val="75000"/>
                </a:schemeClr>
              </a:solidFill>
              <a:prstDash val="sysDot"/>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OG_PF!$AP$41:$AP$62</c:f>
              <c:numCache>
                <c:formatCode>0.0</c:formatCode>
                <c:ptCount val="22"/>
                <c:pt idx="0">
                  <c:v>8.976699419986911E-2</c:v>
                </c:pt>
                <c:pt idx="1">
                  <c:v>7.3523441402634226E-2</c:v>
                </c:pt>
                <c:pt idx="2">
                  <c:v>-7.3157481125452062E-2</c:v>
                </c:pt>
                <c:pt idx="3">
                  <c:v>0.94213385910708602</c:v>
                </c:pt>
                <c:pt idx="4">
                  <c:v>1.763038394229266</c:v>
                </c:pt>
                <c:pt idx="5">
                  <c:v>3.178008112371189</c:v>
                </c:pt>
                <c:pt idx="6">
                  <c:v>2.7194788681873527</c:v>
                </c:pt>
                <c:pt idx="7">
                  <c:v>1.9498015942490232</c:v>
                </c:pt>
                <c:pt idx="8">
                  <c:v>-4.1720273347094272</c:v>
                </c:pt>
                <c:pt idx="9">
                  <c:v>-3.0527417030461024</c:v>
                </c:pt>
                <c:pt idx="10">
                  <c:v>-1.773767333329046</c:v>
                </c:pt>
                <c:pt idx="11">
                  <c:v>-3.1676491243740057</c:v>
                </c:pt>
                <c:pt idx="12">
                  <c:v>-2.8944606430016284</c:v>
                </c:pt>
                <c:pt idx="13">
                  <c:v>-1.4846195564919951</c:v>
                </c:pt>
                <c:pt idx="14">
                  <c:v>-0.33277402765962139</c:v>
                </c:pt>
                <c:pt idx="15">
                  <c:v>-2.9798467565766984E-2</c:v>
                </c:pt>
                <c:pt idx="16">
                  <c:v>1.0916369918110735</c:v>
                </c:pt>
                <c:pt idx="17">
                  <c:v>1.8090223363691038</c:v>
                </c:pt>
                <c:pt idx="18">
                  <c:v>1.8864142540147899</c:v>
                </c:pt>
                <c:pt idx="19">
                  <c:v>1.5712246231551541</c:v>
                </c:pt>
                <c:pt idx="20">
                  <c:v>1.0508650205634629</c:v>
                </c:pt>
                <c:pt idx="21">
                  <c:v>0.52687099599069143</c:v>
                </c:pt>
              </c:numCache>
            </c:numRef>
          </c:val>
          <c:smooth val="0"/>
          <c:extLst xmlns:c16r2="http://schemas.microsoft.com/office/drawing/2015/06/chart">
            <c:ext xmlns:c16="http://schemas.microsoft.com/office/drawing/2014/chart" uri="{C3380CC4-5D6E-409C-BE32-E72D297353CC}">
              <c16:uniqueId val="{00000000-B4DA-41A3-9BA0-0A674795031A}"/>
            </c:ext>
          </c:extLst>
        </c:ser>
        <c:ser>
          <c:idx val="1"/>
          <c:order val="1"/>
          <c:tx>
            <c:strRef>
              <c:f>OG_PF!$AQ$40</c:f>
              <c:strCache>
                <c:ptCount val="1"/>
                <c:pt idx="0">
                  <c:v>EURO območje</c:v>
                </c:pt>
              </c:strCache>
            </c:strRef>
          </c:tx>
          <c:spPr>
            <a:ln>
              <a:solidFill>
                <a:schemeClr val="accent1">
                  <a:lumMod val="75000"/>
                </a:schemeClr>
              </a:solidFill>
              <a:prstDash val="solid"/>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OG_PF!$AQ$41:$AQ$62</c:f>
              <c:numCache>
                <c:formatCode>0.0</c:formatCode>
                <c:ptCount val="22"/>
                <c:pt idx="0">
                  <c:v>1.9088615823244837</c:v>
                </c:pt>
                <c:pt idx="1">
                  <c:v>0.97334644418431981</c:v>
                </c:pt>
                <c:pt idx="2">
                  <c:v>-0.21138546453505214</c:v>
                </c:pt>
                <c:pt idx="3">
                  <c:v>0.18563650145482224</c:v>
                </c:pt>
                <c:pt idx="4">
                  <c:v>0.11837528950671139</c:v>
                </c:pt>
                <c:pt idx="5">
                  <c:v>1.4835442607494587</c:v>
                </c:pt>
                <c:pt idx="6">
                  <c:v>2.6987444013318207</c:v>
                </c:pt>
                <c:pt idx="7">
                  <c:v>1.7259353661431831</c:v>
                </c:pt>
                <c:pt idx="8">
                  <c:v>-3.4349418158452161</c:v>
                </c:pt>
                <c:pt idx="9">
                  <c:v>-2.1466769878240366</c:v>
                </c:pt>
                <c:pt idx="10">
                  <c:v>-1.2053707045526663</c:v>
                </c:pt>
                <c:pt idx="11">
                  <c:v>-2.3279553172409928</c:v>
                </c:pt>
                <c:pt idx="12">
                  <c:v>-3.1690444328849821</c:v>
                </c:pt>
                <c:pt idx="13">
                  <c:v>-2.6289517531254969</c:v>
                </c:pt>
                <c:pt idx="14">
                  <c:v>-1.9557788224781714</c:v>
                </c:pt>
                <c:pt idx="15">
                  <c:v>-1.151407768235202</c:v>
                </c:pt>
                <c:pt idx="16">
                  <c:v>-0.18005254750176336</c:v>
                </c:pt>
                <c:pt idx="17">
                  <c:v>0.31353627147865382</c:v>
                </c:pt>
                <c:pt idx="18">
                  <c:v>0.62930760370252248</c:v>
                </c:pt>
                <c:pt idx="19">
                  <c:v>0.75598012082720434</c:v>
                </c:pt>
                <c:pt idx="20">
                  <c:v>0.50384020485574332</c:v>
                </c:pt>
                <c:pt idx="21">
                  <c:v>0.25187238881994034</c:v>
                </c:pt>
              </c:numCache>
            </c:numRef>
          </c:val>
          <c:smooth val="0"/>
          <c:extLst xmlns:c16r2="http://schemas.microsoft.com/office/drawing/2015/06/chart">
            <c:ext xmlns:c16="http://schemas.microsoft.com/office/drawing/2014/chart" uri="{C3380CC4-5D6E-409C-BE32-E72D297353CC}">
              <c16:uniqueId val="{00000001-B4DA-41A3-9BA0-0A674795031A}"/>
            </c:ext>
          </c:extLst>
        </c:ser>
        <c:ser>
          <c:idx val="2"/>
          <c:order val="2"/>
          <c:tx>
            <c:strRef>
              <c:f>OG_PF!$AR$40</c:f>
              <c:strCache>
                <c:ptCount val="1"/>
                <c:pt idx="0">
                  <c:v>SI</c:v>
                </c:pt>
              </c:strCache>
            </c:strRef>
          </c:tx>
          <c:spPr>
            <a:ln>
              <a:solidFill>
                <a:schemeClr val="accent1">
                  <a:lumMod val="60000"/>
                  <a:lumOff val="40000"/>
                </a:schemeClr>
              </a:solidFill>
              <a:prstDash val="sysDash"/>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OG_PF!$AR$41:$AR$62</c:f>
              <c:numCache>
                <c:formatCode>0.0</c:formatCode>
                <c:ptCount val="22"/>
                <c:pt idx="0">
                  <c:v>5.4382211284220716E-2</c:v>
                </c:pt>
                <c:pt idx="1">
                  <c:v>0.78306118903477273</c:v>
                </c:pt>
                <c:pt idx="2">
                  <c:v>0.37909766962485048</c:v>
                </c:pt>
                <c:pt idx="3">
                  <c:v>1.2255903795190815</c:v>
                </c:pt>
                <c:pt idx="4">
                  <c:v>1.7903673297776868</c:v>
                </c:pt>
                <c:pt idx="5">
                  <c:v>3.7404308856080482</c:v>
                </c:pt>
                <c:pt idx="6">
                  <c:v>6.9924042425506316</c:v>
                </c:pt>
                <c:pt idx="7">
                  <c:v>6.6828876972443441</c:v>
                </c:pt>
                <c:pt idx="8">
                  <c:v>-3.3791450355414088</c:v>
                </c:pt>
                <c:pt idx="9">
                  <c:v>-2.9606890790767726</c:v>
                </c:pt>
                <c:pt idx="10">
                  <c:v>-2.6458678822219084</c:v>
                </c:pt>
                <c:pt idx="11">
                  <c:v>-5.2855228994947101</c:v>
                </c:pt>
                <c:pt idx="12">
                  <c:v>-6.5262743267294976</c:v>
                </c:pt>
                <c:pt idx="13">
                  <c:v>-4.4527446991996733</c:v>
                </c:pt>
                <c:pt idx="14">
                  <c:v>-3.1734077813433403</c:v>
                </c:pt>
                <c:pt idx="15">
                  <c:v>-1.5799572891279867</c:v>
                </c:pt>
                <c:pt idx="16">
                  <c:v>1.0929213252423464</c:v>
                </c:pt>
                <c:pt idx="17">
                  <c:v>2.7382959784939764</c:v>
                </c:pt>
                <c:pt idx="18">
                  <c:v>2.9951789797264983</c:v>
                </c:pt>
                <c:pt idx="19">
                  <c:v>2.5438750075186034</c:v>
                </c:pt>
                <c:pt idx="20">
                  <c:v>1.6959165886145433</c:v>
                </c:pt>
                <c:pt idx="21">
                  <c:v>0.84795825454806462</c:v>
                </c:pt>
              </c:numCache>
            </c:numRef>
          </c:val>
          <c:smooth val="0"/>
          <c:extLst xmlns:c16r2="http://schemas.microsoft.com/office/drawing/2015/06/chart">
            <c:ext xmlns:c16="http://schemas.microsoft.com/office/drawing/2014/chart" uri="{C3380CC4-5D6E-409C-BE32-E72D297353CC}">
              <c16:uniqueId val="{00000002-B4DA-41A3-9BA0-0A674795031A}"/>
            </c:ext>
          </c:extLst>
        </c:ser>
        <c:dLbls>
          <c:showLegendKey val="0"/>
          <c:showVal val="0"/>
          <c:showCatName val="0"/>
          <c:showSerName val="0"/>
          <c:showPercent val="0"/>
          <c:showBubbleSize val="0"/>
        </c:dLbls>
        <c:marker val="1"/>
        <c:smooth val="0"/>
        <c:axId val="128130432"/>
        <c:axId val="128132224"/>
      </c:lineChart>
      <c:catAx>
        <c:axId val="128130432"/>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128132224"/>
        <c:crosses val="autoZero"/>
        <c:auto val="1"/>
        <c:lblAlgn val="ctr"/>
        <c:lblOffset val="100"/>
        <c:noMultiLvlLbl val="0"/>
      </c:catAx>
      <c:valAx>
        <c:axId val="128132224"/>
        <c:scaling>
          <c:orientation val="minMax"/>
        </c:scaling>
        <c:delete val="0"/>
        <c:axPos val="l"/>
        <c:majorGridlines/>
        <c:title>
          <c:tx>
            <c:rich>
              <a:bodyPr/>
              <a:lstStyle/>
              <a:p>
                <a:pPr>
                  <a:defRPr/>
                </a:pPr>
                <a:r>
                  <a:rPr lang="sl-SI"/>
                  <a:t>V % potencialnega BDP</a:t>
                </a:r>
              </a:p>
            </c:rich>
          </c:tx>
          <c:overlay val="0"/>
        </c:title>
        <c:numFmt formatCode="0.0" sourceLinked="1"/>
        <c:majorTickMark val="none"/>
        <c:minorTickMark val="none"/>
        <c:tickLblPos val="nextTo"/>
        <c:txPr>
          <a:bodyPr rot="-60000000" vert="horz"/>
          <a:lstStyle/>
          <a:p>
            <a:pPr>
              <a:defRPr/>
            </a:pPr>
            <a:endParaRPr lang="en-US"/>
          </a:p>
        </c:txPr>
        <c:crossAx val="128130432"/>
        <c:crosses val="autoZero"/>
        <c:crossBetween val="between"/>
      </c:valAx>
    </c:plotArea>
    <c:legend>
      <c:legendPos val="b"/>
      <c:layout>
        <c:manualLayout>
          <c:xMode val="edge"/>
          <c:yMode val="edge"/>
          <c:x val="0.12253864100320794"/>
          <c:y val="0.88112808809301724"/>
          <c:w val="0.83455249343832016"/>
          <c:h val="8.7384806065908455E-2"/>
        </c:manualLayout>
      </c:layout>
      <c:overlay val="0"/>
      <c:txPr>
        <a:bodyPr rot="0" vert="horz"/>
        <a:lstStyle/>
        <a:p>
          <a:pPr>
            <a:defRPr/>
          </a:pPr>
          <a:endParaRPr lang="en-US"/>
        </a:p>
      </c:txPr>
    </c:legend>
    <c:plotVisOnly val="1"/>
    <c:dispBlanksAs val="gap"/>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2"/>
          <c:tx>
            <c:strRef>
              <c:f>List1!$F$38</c:f>
              <c:strCache>
                <c:ptCount val="1"/>
                <c:pt idx="0">
                  <c:v>Fiskalni napor v % BDP (desna os)</c:v>
                </c:pt>
              </c:strCache>
            </c:strRef>
          </c:tx>
          <c:spPr>
            <a:solidFill>
              <a:schemeClr val="tx2">
                <a:lumMod val="60000"/>
                <a:lumOff val="40000"/>
              </a:schemeClr>
            </a:solidFill>
            <a:ln>
              <a:solidFill>
                <a:schemeClr val="accent1">
                  <a:lumMod val="60000"/>
                  <a:lumOff val="40000"/>
                </a:schemeClr>
              </a:solidFill>
            </a:ln>
            <a:effectLst/>
          </c:spPr>
          <c:invertIfNegative val="0"/>
          <c:cat>
            <c:numRef>
              <c:f>List1!$G$35:$N$35</c:f>
              <c:numCache>
                <c:formatCode>General</c:formatCode>
                <c:ptCount val="8"/>
                <c:pt idx="0">
                  <c:v>2015</c:v>
                </c:pt>
                <c:pt idx="1">
                  <c:v>2016</c:v>
                </c:pt>
                <c:pt idx="2">
                  <c:v>2017</c:v>
                </c:pt>
                <c:pt idx="3">
                  <c:v>2018</c:v>
                </c:pt>
                <c:pt idx="4">
                  <c:v>2019</c:v>
                </c:pt>
                <c:pt idx="5">
                  <c:v>2020</c:v>
                </c:pt>
                <c:pt idx="6">
                  <c:v>2021</c:v>
                </c:pt>
                <c:pt idx="7">
                  <c:v>2022</c:v>
                </c:pt>
              </c:numCache>
            </c:numRef>
          </c:cat>
          <c:val>
            <c:numRef>
              <c:f>List1!$G$38:$N$38</c:f>
              <c:numCache>
                <c:formatCode>0.0%</c:formatCode>
                <c:ptCount val="8"/>
                <c:pt idx="0">
                  <c:v>4.5647671810704511E-3</c:v>
                </c:pt>
                <c:pt idx="1">
                  <c:v>3.4474278363229695E-3</c:v>
                </c:pt>
                <c:pt idx="2">
                  <c:v>7.3585540973928974E-3</c:v>
                </c:pt>
                <c:pt idx="3">
                  <c:v>-1.5690292396002559E-3</c:v>
                </c:pt>
                <c:pt idx="4">
                  <c:v>-1.2795242250883306E-3</c:v>
                </c:pt>
                <c:pt idx="5">
                  <c:v>-6.0862664326803684E-4</c:v>
                </c:pt>
                <c:pt idx="6">
                  <c:v>1.0700569888491703E-3</c:v>
                </c:pt>
                <c:pt idx="7">
                  <c:v>1.2732592627618818E-3</c:v>
                </c:pt>
              </c:numCache>
            </c:numRef>
          </c:val>
          <c:extLst xmlns:c16r2="http://schemas.microsoft.com/office/drawing/2015/06/chart">
            <c:ext xmlns:c16="http://schemas.microsoft.com/office/drawing/2014/chart" uri="{C3380CC4-5D6E-409C-BE32-E72D297353CC}">
              <c16:uniqueId val="{00000000-AA22-4058-AC18-469502165EA2}"/>
            </c:ext>
          </c:extLst>
        </c:ser>
        <c:dLbls>
          <c:showLegendKey val="0"/>
          <c:showVal val="0"/>
          <c:showCatName val="0"/>
          <c:showSerName val="0"/>
          <c:showPercent val="0"/>
          <c:showBubbleSize val="0"/>
        </c:dLbls>
        <c:gapWidth val="219"/>
        <c:overlap val="-27"/>
        <c:axId val="128181376"/>
        <c:axId val="128182912"/>
      </c:barChart>
      <c:lineChart>
        <c:grouping val="standard"/>
        <c:varyColors val="0"/>
        <c:ser>
          <c:idx val="3"/>
          <c:order val="3"/>
          <c:tx>
            <c:strRef>
              <c:f>List1!$F$39</c:f>
              <c:strCache>
                <c:ptCount val="1"/>
                <c:pt idx="0">
                  <c:v>saldo sektorja država v % BDP (desna os)</c:v>
                </c:pt>
              </c:strCache>
            </c:strRef>
          </c:tx>
          <c:spPr>
            <a:ln w="28575">
              <a:noFill/>
            </a:ln>
          </c:spPr>
          <c:marker>
            <c:symbol val="diamond"/>
            <c:size val="10"/>
            <c:spPr>
              <a:solidFill>
                <a:schemeClr val="tx2">
                  <a:lumMod val="75000"/>
                </a:schemeClr>
              </a:solidFill>
              <a:ln w="9525">
                <a:noFill/>
              </a:ln>
              <a:effectLst/>
            </c:spPr>
          </c:marker>
          <c:dLbls>
            <c:spPr>
              <a:noFill/>
              <a:ln w="25400">
                <a:noFill/>
              </a:ln>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List1!$G$35:$N$35</c:f>
              <c:numCache>
                <c:formatCode>General</c:formatCode>
                <c:ptCount val="8"/>
                <c:pt idx="0">
                  <c:v>2015</c:v>
                </c:pt>
                <c:pt idx="1">
                  <c:v>2016</c:v>
                </c:pt>
                <c:pt idx="2">
                  <c:v>2017</c:v>
                </c:pt>
                <c:pt idx="3">
                  <c:v>2018</c:v>
                </c:pt>
                <c:pt idx="4">
                  <c:v>2019</c:v>
                </c:pt>
                <c:pt idx="5">
                  <c:v>2020</c:v>
                </c:pt>
                <c:pt idx="6">
                  <c:v>2021</c:v>
                </c:pt>
                <c:pt idx="7">
                  <c:v>2022</c:v>
                </c:pt>
              </c:numCache>
            </c:numRef>
          </c:cat>
          <c:val>
            <c:numRef>
              <c:f>List1!$G$39:$N$39</c:f>
              <c:numCache>
                <c:formatCode>0.0%</c:formatCode>
                <c:ptCount val="8"/>
                <c:pt idx="0">
                  <c:v>-2.8400721520794821E-2</c:v>
                </c:pt>
                <c:pt idx="1">
                  <c:v>-1.9362385598854937E-2</c:v>
                </c:pt>
                <c:pt idx="2">
                  <c:v>1.2267585960168751E-4</c:v>
                </c:pt>
                <c:pt idx="3">
                  <c:v>7.3266908691007274E-3</c:v>
                </c:pt>
                <c:pt idx="4">
                  <c:v>9.4766630939493099E-3</c:v>
                </c:pt>
                <c:pt idx="5">
                  <c:v>9.5359214659437568E-3</c:v>
                </c:pt>
                <c:pt idx="6">
                  <c:v>1.116457352738732E-2</c:v>
                </c:pt>
                <c:pt idx="7">
                  <c:v>1.1546155228833939E-2</c:v>
                </c:pt>
              </c:numCache>
            </c:numRef>
          </c:val>
          <c:smooth val="0"/>
          <c:extLst xmlns:c16r2="http://schemas.microsoft.com/office/drawing/2015/06/chart">
            <c:ext xmlns:c16="http://schemas.microsoft.com/office/drawing/2014/chart" uri="{C3380CC4-5D6E-409C-BE32-E72D297353CC}">
              <c16:uniqueId val="{00000001-AA22-4058-AC18-469502165EA2}"/>
            </c:ext>
          </c:extLst>
        </c:ser>
        <c:dLbls>
          <c:showLegendKey val="0"/>
          <c:showVal val="0"/>
          <c:showCatName val="0"/>
          <c:showSerName val="0"/>
          <c:showPercent val="0"/>
          <c:showBubbleSize val="0"/>
        </c:dLbls>
        <c:marker val="1"/>
        <c:smooth val="0"/>
        <c:axId val="128181376"/>
        <c:axId val="128182912"/>
      </c:lineChart>
      <c:lineChart>
        <c:grouping val="standard"/>
        <c:varyColors val="0"/>
        <c:ser>
          <c:idx val="0"/>
          <c:order val="0"/>
          <c:tx>
            <c:strRef>
              <c:f>List1!$F$36</c:f>
              <c:strCache>
                <c:ptCount val="1"/>
                <c:pt idx="0">
                  <c:v>Prihodki sektorja država (leva os)</c:v>
                </c:pt>
              </c:strCache>
            </c:strRef>
          </c:tx>
          <c:spPr>
            <a:ln w="28575" cap="rnd">
              <a:solidFill>
                <a:schemeClr val="accent1">
                  <a:lumMod val="60000"/>
                  <a:lumOff val="40000"/>
                </a:schemeClr>
              </a:solidFill>
              <a:prstDash val="sysDash"/>
              <a:round/>
            </a:ln>
            <a:effectLst/>
          </c:spPr>
          <c:marker>
            <c:symbol val="none"/>
          </c:marker>
          <c:cat>
            <c:numRef>
              <c:f>List1!$G$35:$N$35</c:f>
              <c:numCache>
                <c:formatCode>General</c:formatCode>
                <c:ptCount val="8"/>
                <c:pt idx="0">
                  <c:v>2015</c:v>
                </c:pt>
                <c:pt idx="1">
                  <c:v>2016</c:v>
                </c:pt>
                <c:pt idx="2">
                  <c:v>2017</c:v>
                </c:pt>
                <c:pt idx="3">
                  <c:v>2018</c:v>
                </c:pt>
                <c:pt idx="4">
                  <c:v>2019</c:v>
                </c:pt>
                <c:pt idx="5">
                  <c:v>2020</c:v>
                </c:pt>
                <c:pt idx="6">
                  <c:v>2021</c:v>
                </c:pt>
                <c:pt idx="7">
                  <c:v>2022</c:v>
                </c:pt>
              </c:numCache>
            </c:numRef>
          </c:cat>
          <c:val>
            <c:numRef>
              <c:f>List1!$G$36:$N$36</c:f>
              <c:numCache>
                <c:formatCode>#,##0</c:formatCode>
                <c:ptCount val="8"/>
                <c:pt idx="0">
                  <c:v>17440.716689000001</c:v>
                </c:pt>
                <c:pt idx="1">
                  <c:v>17510.307476999998</c:v>
                </c:pt>
                <c:pt idx="2">
                  <c:v>18569.617292999999</c:v>
                </c:pt>
                <c:pt idx="3">
                  <c:v>19800.390244707323</c:v>
                </c:pt>
                <c:pt idx="4">
                  <c:v>21072.249664999999</c:v>
                </c:pt>
                <c:pt idx="5">
                  <c:v>21968.059065000001</c:v>
                </c:pt>
                <c:pt idx="6">
                  <c:v>22767.319236044823</c:v>
                </c:pt>
                <c:pt idx="7">
                  <c:v>23660.360601</c:v>
                </c:pt>
              </c:numCache>
            </c:numRef>
          </c:val>
          <c:smooth val="0"/>
          <c:extLst xmlns:c16r2="http://schemas.microsoft.com/office/drawing/2015/06/chart">
            <c:ext xmlns:c16="http://schemas.microsoft.com/office/drawing/2014/chart" uri="{C3380CC4-5D6E-409C-BE32-E72D297353CC}">
              <c16:uniqueId val="{00000002-AA22-4058-AC18-469502165EA2}"/>
            </c:ext>
          </c:extLst>
        </c:ser>
        <c:ser>
          <c:idx val="1"/>
          <c:order val="1"/>
          <c:tx>
            <c:strRef>
              <c:f>List1!$F$37</c:f>
              <c:strCache>
                <c:ptCount val="1"/>
                <c:pt idx="0">
                  <c:v>Izdatki sektorja država (leva os)</c:v>
                </c:pt>
              </c:strCache>
            </c:strRef>
          </c:tx>
          <c:spPr>
            <a:ln w="28575" cap="rnd">
              <a:solidFill>
                <a:schemeClr val="accent1">
                  <a:lumMod val="75000"/>
                </a:schemeClr>
              </a:solidFill>
              <a:round/>
            </a:ln>
            <a:effectLst/>
          </c:spPr>
          <c:marker>
            <c:symbol val="none"/>
          </c:marker>
          <c:cat>
            <c:numRef>
              <c:f>List1!$G$35:$N$35</c:f>
              <c:numCache>
                <c:formatCode>General</c:formatCode>
                <c:ptCount val="8"/>
                <c:pt idx="0">
                  <c:v>2015</c:v>
                </c:pt>
                <c:pt idx="1">
                  <c:v>2016</c:v>
                </c:pt>
                <c:pt idx="2">
                  <c:v>2017</c:v>
                </c:pt>
                <c:pt idx="3">
                  <c:v>2018</c:v>
                </c:pt>
                <c:pt idx="4">
                  <c:v>2019</c:v>
                </c:pt>
                <c:pt idx="5">
                  <c:v>2020</c:v>
                </c:pt>
                <c:pt idx="6">
                  <c:v>2021</c:v>
                </c:pt>
                <c:pt idx="7">
                  <c:v>2022</c:v>
                </c:pt>
              </c:numCache>
            </c:numRef>
          </c:cat>
          <c:val>
            <c:numRef>
              <c:f>List1!$G$37:$N$37</c:f>
              <c:numCache>
                <c:formatCode>#,##0</c:formatCode>
                <c:ptCount val="8"/>
                <c:pt idx="0">
                  <c:v>18544.463713000001</c:v>
                </c:pt>
                <c:pt idx="1">
                  <c:v>18291.719576</c:v>
                </c:pt>
                <c:pt idx="2">
                  <c:v>18564.342272999998</c:v>
                </c:pt>
                <c:pt idx="3">
                  <c:v>19463.746652718004</c:v>
                </c:pt>
                <c:pt idx="4">
                  <c:v>20609.816213844922</c:v>
                </c:pt>
                <c:pt idx="5">
                  <c:v>21476.218966</c:v>
                </c:pt>
                <c:pt idx="6">
                  <c:v>22159.485688000001</c:v>
                </c:pt>
                <c:pt idx="7">
                  <c:v>22999.638071305792</c:v>
                </c:pt>
              </c:numCache>
            </c:numRef>
          </c:val>
          <c:smooth val="0"/>
          <c:extLst xmlns:c16r2="http://schemas.microsoft.com/office/drawing/2015/06/chart">
            <c:ext xmlns:c16="http://schemas.microsoft.com/office/drawing/2014/chart" uri="{C3380CC4-5D6E-409C-BE32-E72D297353CC}">
              <c16:uniqueId val="{00000003-AA22-4058-AC18-469502165EA2}"/>
            </c:ext>
          </c:extLst>
        </c:ser>
        <c:dLbls>
          <c:showLegendKey val="0"/>
          <c:showVal val="0"/>
          <c:showCatName val="0"/>
          <c:showSerName val="0"/>
          <c:showPercent val="0"/>
          <c:showBubbleSize val="0"/>
        </c:dLbls>
        <c:marker val="1"/>
        <c:smooth val="0"/>
        <c:axId val="127935232"/>
        <c:axId val="127936768"/>
      </c:lineChart>
      <c:catAx>
        <c:axId val="12818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8182912"/>
        <c:crosses val="autoZero"/>
        <c:auto val="1"/>
        <c:lblAlgn val="ctr"/>
        <c:lblOffset val="100"/>
        <c:noMultiLvlLbl val="0"/>
      </c:catAx>
      <c:valAx>
        <c:axId val="128182912"/>
        <c:scaling>
          <c:orientation val="minMax"/>
          <c:min val="-3.0000000000000006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sl-SI"/>
                  <a:t>v %</a:t>
                </a:r>
              </a:p>
            </c:rich>
          </c:tx>
          <c:overlay val="0"/>
          <c:spPr>
            <a:noFill/>
            <a:ln w="25400">
              <a:noFill/>
            </a:ln>
          </c:spPr>
        </c:title>
        <c:numFmt formatCode="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8181376"/>
        <c:crosses val="autoZero"/>
        <c:crossBetween val="between"/>
      </c:valAx>
      <c:catAx>
        <c:axId val="127935232"/>
        <c:scaling>
          <c:orientation val="minMax"/>
        </c:scaling>
        <c:delete val="1"/>
        <c:axPos val="b"/>
        <c:numFmt formatCode="General" sourceLinked="1"/>
        <c:majorTickMark val="out"/>
        <c:minorTickMark val="none"/>
        <c:tickLblPos val="nextTo"/>
        <c:crossAx val="127936768"/>
        <c:crosses val="autoZero"/>
        <c:auto val="1"/>
        <c:lblAlgn val="ctr"/>
        <c:lblOffset val="100"/>
        <c:noMultiLvlLbl val="0"/>
      </c:catAx>
      <c:valAx>
        <c:axId val="127936768"/>
        <c:scaling>
          <c:orientation val="minMax"/>
          <c:max val="24000"/>
          <c:min val="17000"/>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sl-SI"/>
                  <a:t>v mio EUR</a:t>
                </a:r>
              </a:p>
            </c:rich>
          </c:tx>
          <c:overlay val="0"/>
          <c:spPr>
            <a:noFill/>
            <a:ln w="25400">
              <a:noFill/>
            </a:ln>
          </c:spPr>
        </c:title>
        <c:numFmt formatCode="#,##0" sourceLinked="1"/>
        <c:majorTickMark val="out"/>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7935232"/>
        <c:crosses val="max"/>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1"/>
          <c:tx>
            <c:strRef>
              <c:f>EB!$D$61</c:f>
              <c:strCache>
                <c:ptCount val="1"/>
                <c:pt idx="0">
                  <c:v>rast prihodkov</c:v>
                </c:pt>
              </c:strCache>
            </c:strRef>
          </c:tx>
          <c:spPr>
            <a:solidFill>
              <a:schemeClr val="tx2">
                <a:lumMod val="60000"/>
                <a:lumOff val="40000"/>
              </a:schemeClr>
            </a:solidFill>
            <a:ln>
              <a:no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EB!$E$59:$L$59</c:f>
              <c:numCache>
                <c:formatCode>General</c:formatCode>
                <c:ptCount val="8"/>
                <c:pt idx="0">
                  <c:v>2015</c:v>
                </c:pt>
                <c:pt idx="1">
                  <c:v>2016</c:v>
                </c:pt>
                <c:pt idx="2">
                  <c:v>2017</c:v>
                </c:pt>
                <c:pt idx="3">
                  <c:v>2018</c:v>
                </c:pt>
                <c:pt idx="4">
                  <c:v>2019</c:v>
                </c:pt>
                <c:pt idx="5">
                  <c:v>2020</c:v>
                </c:pt>
                <c:pt idx="6">
                  <c:v>2021</c:v>
                </c:pt>
                <c:pt idx="7">
                  <c:v>2022</c:v>
                </c:pt>
              </c:numCache>
            </c:numRef>
          </c:cat>
          <c:val>
            <c:numRef>
              <c:f>EB!$E$61:$L$61</c:f>
              <c:numCache>
                <c:formatCode>0.0</c:formatCode>
                <c:ptCount val="8"/>
                <c:pt idx="0">
                  <c:v>4.5676814007776301</c:v>
                </c:pt>
                <c:pt idx="1">
                  <c:v>0.39901335043124675</c:v>
                </c:pt>
                <c:pt idx="2">
                  <c:v>6.0496357210826517</c:v>
                </c:pt>
                <c:pt idx="3">
                  <c:v>6.6278853908921178</c:v>
                </c:pt>
                <c:pt idx="4">
                  <c:v>6.4234058247041048</c:v>
                </c:pt>
                <c:pt idx="5">
                  <c:v>4.2511331929020173</c:v>
                </c:pt>
                <c:pt idx="6">
                  <c:v>3.6382830575971212</c:v>
                </c:pt>
                <c:pt idx="7">
                  <c:v>3.9224704309558405</c:v>
                </c:pt>
              </c:numCache>
            </c:numRef>
          </c:val>
          <c:extLst xmlns:c16r2="http://schemas.microsoft.com/office/drawing/2015/06/chart">
            <c:ext xmlns:c16="http://schemas.microsoft.com/office/drawing/2014/chart" uri="{C3380CC4-5D6E-409C-BE32-E72D297353CC}">
              <c16:uniqueId val="{00000000-C080-4508-BC0C-E12F23893A52}"/>
            </c:ext>
          </c:extLst>
        </c:ser>
        <c:ser>
          <c:idx val="3"/>
          <c:order val="2"/>
          <c:tx>
            <c:strRef>
              <c:f>EB!$D$62</c:f>
              <c:strCache>
                <c:ptCount val="1"/>
                <c:pt idx="0">
                  <c:v>rast izdatkov</c:v>
                </c:pt>
              </c:strCache>
            </c:strRef>
          </c:tx>
          <c:spPr>
            <a:solidFill>
              <a:schemeClr val="tx2">
                <a:lumMod val="40000"/>
                <a:lumOff val="60000"/>
              </a:schemeClr>
            </a:solidFill>
            <a:ln>
              <a:noFill/>
            </a:ln>
            <a:effectLst/>
          </c:spPr>
          <c:invertIfNegative val="0"/>
          <c:cat>
            <c:numRef>
              <c:f>EB!$E$59:$L$59</c:f>
              <c:numCache>
                <c:formatCode>General</c:formatCode>
                <c:ptCount val="8"/>
                <c:pt idx="0">
                  <c:v>2015</c:v>
                </c:pt>
                <c:pt idx="1">
                  <c:v>2016</c:v>
                </c:pt>
                <c:pt idx="2">
                  <c:v>2017</c:v>
                </c:pt>
                <c:pt idx="3">
                  <c:v>2018</c:v>
                </c:pt>
                <c:pt idx="4">
                  <c:v>2019</c:v>
                </c:pt>
                <c:pt idx="5">
                  <c:v>2020</c:v>
                </c:pt>
                <c:pt idx="6">
                  <c:v>2021</c:v>
                </c:pt>
                <c:pt idx="7">
                  <c:v>2022</c:v>
                </c:pt>
              </c:numCache>
            </c:numRef>
          </c:cat>
          <c:val>
            <c:numRef>
              <c:f>EB!$E$62:$L$62</c:f>
              <c:numCache>
                <c:formatCode>0.0</c:formatCode>
                <c:ptCount val="8"/>
                <c:pt idx="0">
                  <c:v>-1.1141845944173383</c:v>
                </c:pt>
                <c:pt idx="1">
                  <c:v>-1.36290884930159</c:v>
                </c:pt>
                <c:pt idx="2">
                  <c:v>1.4904159003055213</c:v>
                </c:pt>
                <c:pt idx="3">
                  <c:v>4.8447952881481626</c:v>
                </c:pt>
                <c:pt idx="4">
                  <c:v>5.888226874176226</c:v>
                </c:pt>
                <c:pt idx="5">
                  <c:v>4.2038354110749481</c:v>
                </c:pt>
                <c:pt idx="6">
                  <c:v>3.1815037976736562</c:v>
                </c:pt>
                <c:pt idx="7">
                  <c:v>3.7913893631599649</c:v>
                </c:pt>
              </c:numCache>
            </c:numRef>
          </c:val>
          <c:extLst xmlns:c16r2="http://schemas.microsoft.com/office/drawing/2015/06/chart">
            <c:ext xmlns:c16="http://schemas.microsoft.com/office/drawing/2014/chart" uri="{C3380CC4-5D6E-409C-BE32-E72D297353CC}">
              <c16:uniqueId val="{00000001-C080-4508-BC0C-E12F23893A52}"/>
            </c:ext>
          </c:extLst>
        </c:ser>
        <c:dLbls>
          <c:showLegendKey val="0"/>
          <c:showVal val="0"/>
          <c:showCatName val="0"/>
          <c:showSerName val="0"/>
          <c:showPercent val="0"/>
          <c:showBubbleSize val="0"/>
        </c:dLbls>
        <c:gapWidth val="150"/>
        <c:axId val="128245120"/>
        <c:axId val="128001152"/>
      </c:barChart>
      <c:lineChart>
        <c:grouping val="standard"/>
        <c:varyColors val="0"/>
        <c:ser>
          <c:idx val="0"/>
          <c:order val="0"/>
          <c:tx>
            <c:strRef>
              <c:f>EB!$D$60</c:f>
              <c:strCache>
                <c:ptCount val="1"/>
                <c:pt idx="0">
                  <c:v>real.rast BDP</c:v>
                </c:pt>
              </c:strCache>
            </c:strRef>
          </c:tx>
          <c:spPr>
            <a:ln w="28575" cap="rnd">
              <a:solidFill>
                <a:schemeClr val="tx2">
                  <a:lumMod val="75000"/>
                </a:schemeClr>
              </a:solidFill>
              <a:prstDash val="sysDash"/>
              <a:round/>
            </a:ln>
            <a:effectLst/>
          </c:spPr>
          <c:marker>
            <c:symbol val="none"/>
          </c:marker>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EB!$E$59:$L$59</c:f>
              <c:numCache>
                <c:formatCode>General</c:formatCode>
                <c:ptCount val="8"/>
                <c:pt idx="0">
                  <c:v>2015</c:v>
                </c:pt>
                <c:pt idx="1">
                  <c:v>2016</c:v>
                </c:pt>
                <c:pt idx="2">
                  <c:v>2017</c:v>
                </c:pt>
                <c:pt idx="3">
                  <c:v>2018</c:v>
                </c:pt>
                <c:pt idx="4">
                  <c:v>2019</c:v>
                </c:pt>
                <c:pt idx="5">
                  <c:v>2020</c:v>
                </c:pt>
                <c:pt idx="6">
                  <c:v>2021</c:v>
                </c:pt>
                <c:pt idx="7">
                  <c:v>2022</c:v>
                </c:pt>
              </c:numCache>
            </c:numRef>
          </c:cat>
          <c:val>
            <c:numRef>
              <c:f>EB!$E$60:$L$60</c:f>
              <c:numCache>
                <c:formatCode>0.0</c:formatCode>
                <c:ptCount val="8"/>
                <c:pt idx="0">
                  <c:v>2.2999999999999998</c:v>
                </c:pt>
                <c:pt idx="1">
                  <c:v>3.1</c:v>
                </c:pt>
                <c:pt idx="2">
                  <c:v>4.9000000000000004</c:v>
                </c:pt>
                <c:pt idx="3">
                  <c:v>4.4872199999999998</c:v>
                </c:pt>
                <c:pt idx="4">
                  <c:v>3.390765883805912</c:v>
                </c:pt>
                <c:pt idx="5">
                  <c:v>3.1216834085652891</c:v>
                </c:pt>
                <c:pt idx="6">
                  <c:v>2.8344312221541372</c:v>
                </c:pt>
                <c:pt idx="7">
                  <c:v>2.6728278076103322</c:v>
                </c:pt>
              </c:numCache>
            </c:numRef>
          </c:val>
          <c:smooth val="0"/>
          <c:extLst xmlns:c16r2="http://schemas.microsoft.com/office/drawing/2015/06/chart">
            <c:ext xmlns:c16="http://schemas.microsoft.com/office/drawing/2014/chart" uri="{C3380CC4-5D6E-409C-BE32-E72D297353CC}">
              <c16:uniqueId val="{00000002-C080-4508-BC0C-E12F23893A52}"/>
            </c:ext>
          </c:extLst>
        </c:ser>
        <c:ser>
          <c:idx val="4"/>
          <c:order val="3"/>
          <c:tx>
            <c:strRef>
              <c:f>EB!$D$63</c:f>
              <c:strCache>
                <c:ptCount val="1"/>
                <c:pt idx="0">
                  <c:v>rast investicij</c:v>
                </c:pt>
              </c:strCache>
            </c:strRef>
          </c:tx>
          <c:spPr>
            <a:ln w="28575" cap="rnd">
              <a:solidFill>
                <a:srgbClr val="0070C0"/>
              </a:solidFill>
              <a:round/>
            </a:ln>
            <a:effectLst/>
          </c:spPr>
          <c:marker>
            <c:symbol val="none"/>
          </c:marker>
          <c:cat>
            <c:numRef>
              <c:f>EB!$E$59:$L$59</c:f>
              <c:numCache>
                <c:formatCode>General</c:formatCode>
                <c:ptCount val="8"/>
                <c:pt idx="0">
                  <c:v>2015</c:v>
                </c:pt>
                <c:pt idx="1">
                  <c:v>2016</c:v>
                </c:pt>
                <c:pt idx="2">
                  <c:v>2017</c:v>
                </c:pt>
                <c:pt idx="3">
                  <c:v>2018</c:v>
                </c:pt>
                <c:pt idx="4">
                  <c:v>2019</c:v>
                </c:pt>
                <c:pt idx="5">
                  <c:v>2020</c:v>
                </c:pt>
                <c:pt idx="6">
                  <c:v>2021</c:v>
                </c:pt>
                <c:pt idx="7">
                  <c:v>2022</c:v>
                </c:pt>
              </c:numCache>
            </c:numRef>
          </c:cat>
          <c:val>
            <c:numRef>
              <c:f>EB!$E$63:$L$63</c:f>
              <c:numCache>
                <c:formatCode>0.0</c:formatCode>
                <c:ptCount val="8"/>
                <c:pt idx="0">
                  <c:v>-4.7</c:v>
                </c:pt>
                <c:pt idx="1">
                  <c:v>-31.3</c:v>
                </c:pt>
                <c:pt idx="2">
                  <c:v>6.2</c:v>
                </c:pt>
                <c:pt idx="3">
                  <c:v>24.9</c:v>
                </c:pt>
                <c:pt idx="4">
                  <c:v>20.2</c:v>
                </c:pt>
                <c:pt idx="5">
                  <c:v>6.7</c:v>
                </c:pt>
                <c:pt idx="6">
                  <c:v>3.7</c:v>
                </c:pt>
                <c:pt idx="7">
                  <c:v>6.1</c:v>
                </c:pt>
              </c:numCache>
            </c:numRef>
          </c:val>
          <c:smooth val="0"/>
          <c:extLst xmlns:c16r2="http://schemas.microsoft.com/office/drawing/2015/06/chart">
            <c:ext xmlns:c16="http://schemas.microsoft.com/office/drawing/2014/chart" uri="{C3380CC4-5D6E-409C-BE32-E72D297353CC}">
              <c16:uniqueId val="{00000003-C080-4508-BC0C-E12F23893A52}"/>
            </c:ext>
          </c:extLst>
        </c:ser>
        <c:dLbls>
          <c:showLegendKey val="0"/>
          <c:showVal val="0"/>
          <c:showCatName val="0"/>
          <c:showSerName val="0"/>
          <c:showPercent val="0"/>
          <c:showBubbleSize val="0"/>
        </c:dLbls>
        <c:marker val="1"/>
        <c:smooth val="0"/>
        <c:axId val="128245120"/>
        <c:axId val="128001152"/>
      </c:lineChart>
      <c:catAx>
        <c:axId val="1282451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8001152"/>
        <c:crosses val="autoZero"/>
        <c:auto val="1"/>
        <c:lblAlgn val="ctr"/>
        <c:lblOffset val="100"/>
        <c:noMultiLvlLbl val="0"/>
      </c:catAx>
      <c:valAx>
        <c:axId val="128001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sl-SI"/>
                  <a:t>v %</a:t>
                </a:r>
              </a:p>
            </c:rich>
          </c:tx>
          <c:overlay val="0"/>
          <c:spPr>
            <a:noFill/>
            <a:ln w="25400">
              <a:noFill/>
            </a:ln>
          </c:spPr>
        </c:title>
        <c:numFmt formatCode="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824512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EB!$B$33</c:f>
              <c:strCache>
                <c:ptCount val="1"/>
                <c:pt idx="0">
                  <c:v>saldo sektorja država</c:v>
                </c:pt>
              </c:strCache>
            </c:strRef>
          </c:tx>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EB!$C$32:$J$32</c:f>
              <c:numCache>
                <c:formatCode>General</c:formatCode>
                <c:ptCount val="8"/>
                <c:pt idx="0">
                  <c:v>2015</c:v>
                </c:pt>
                <c:pt idx="1">
                  <c:v>2016</c:v>
                </c:pt>
                <c:pt idx="2">
                  <c:v>2017</c:v>
                </c:pt>
                <c:pt idx="3">
                  <c:v>2018</c:v>
                </c:pt>
                <c:pt idx="4">
                  <c:v>2019</c:v>
                </c:pt>
                <c:pt idx="5">
                  <c:v>2020</c:v>
                </c:pt>
                <c:pt idx="6">
                  <c:v>2021</c:v>
                </c:pt>
                <c:pt idx="7">
                  <c:v>2022</c:v>
                </c:pt>
              </c:numCache>
            </c:numRef>
          </c:cat>
          <c:val>
            <c:numRef>
              <c:f>EB!$C$33:$J$33</c:f>
              <c:numCache>
                <c:formatCode>0.0%</c:formatCode>
                <c:ptCount val="8"/>
                <c:pt idx="0">
                  <c:v>-2.8400721520794821E-2</c:v>
                </c:pt>
                <c:pt idx="1">
                  <c:v>-1.9362385598854937E-2</c:v>
                </c:pt>
                <c:pt idx="2">
                  <c:v>1.2267585960168751E-4</c:v>
                </c:pt>
                <c:pt idx="3">
                  <c:v>7.3266908691007274E-3</c:v>
                </c:pt>
                <c:pt idx="4">
                  <c:v>9.4766630939493099E-3</c:v>
                </c:pt>
                <c:pt idx="5">
                  <c:v>9.5359214659437568E-3</c:v>
                </c:pt>
                <c:pt idx="6">
                  <c:v>1.116457352738732E-2</c:v>
                </c:pt>
                <c:pt idx="7">
                  <c:v>1.1546155228833939E-2</c:v>
                </c:pt>
              </c:numCache>
            </c:numRef>
          </c:val>
          <c:extLst xmlns:c16r2="http://schemas.microsoft.com/office/drawing/2015/06/chart">
            <c:ext xmlns:c16="http://schemas.microsoft.com/office/drawing/2014/chart" uri="{C3380CC4-5D6E-409C-BE32-E72D297353CC}">
              <c16:uniqueId val="{00000000-72E7-4E84-914B-76AA6BF3CAAA}"/>
            </c:ext>
          </c:extLst>
        </c:ser>
        <c:ser>
          <c:idx val="1"/>
          <c:order val="1"/>
          <c:tx>
            <c:strRef>
              <c:f>EB!$B$34</c:f>
              <c:strCache>
                <c:ptCount val="1"/>
                <c:pt idx="0">
                  <c:v>strukturni saldo</c:v>
                </c:pt>
              </c:strCache>
            </c:strRef>
          </c:tx>
          <c:invertIfNegative val="0"/>
          <c:dLbls>
            <c:dLbl>
              <c:idx val="2"/>
              <c:layout>
                <c:manualLayout>
                  <c:x val="1.2484394506866416E-2"/>
                  <c:y val="9.813874788494071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2E7-4E84-914B-76AA6BF3CAAA}"/>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EB!$C$32:$J$32</c:f>
              <c:numCache>
                <c:formatCode>General</c:formatCode>
                <c:ptCount val="8"/>
                <c:pt idx="0">
                  <c:v>2015</c:v>
                </c:pt>
                <c:pt idx="1">
                  <c:v>2016</c:v>
                </c:pt>
                <c:pt idx="2">
                  <c:v>2017</c:v>
                </c:pt>
                <c:pt idx="3">
                  <c:v>2018</c:v>
                </c:pt>
                <c:pt idx="4">
                  <c:v>2019</c:v>
                </c:pt>
                <c:pt idx="5">
                  <c:v>2020</c:v>
                </c:pt>
                <c:pt idx="6">
                  <c:v>2021</c:v>
                </c:pt>
                <c:pt idx="7">
                  <c:v>2022</c:v>
                </c:pt>
              </c:numCache>
            </c:numRef>
          </c:cat>
          <c:val>
            <c:numRef>
              <c:f>EB!$C$34:$J$34</c:f>
              <c:numCache>
                <c:formatCode>0.0%</c:formatCode>
                <c:ptCount val="8"/>
                <c:pt idx="0">
                  <c:v>-9.0697324661164272E-3</c:v>
                </c:pt>
                <c:pt idx="1">
                  <c:v>-5.6223046297934577E-3</c:v>
                </c:pt>
                <c:pt idx="2">
                  <c:v>1.7362494675994392E-3</c:v>
                </c:pt>
                <c:pt idx="3" formatCode="0.00%">
                  <c:v>1.6722022799918338E-4</c:v>
                </c:pt>
                <c:pt idx="4" formatCode="0.00%">
                  <c:v>-1.1123039970891472E-3</c:v>
                </c:pt>
                <c:pt idx="5" formatCode="0.00%">
                  <c:v>-1.720930640357184E-3</c:v>
                </c:pt>
                <c:pt idx="6" formatCode="0.00%">
                  <c:v>-6.5087365150801383E-4</c:v>
                </c:pt>
                <c:pt idx="7" formatCode="0.00%">
                  <c:v>6.2238561125386798E-4</c:v>
                </c:pt>
              </c:numCache>
            </c:numRef>
          </c:val>
          <c:extLst xmlns:c16r2="http://schemas.microsoft.com/office/drawing/2015/06/chart">
            <c:ext xmlns:c16="http://schemas.microsoft.com/office/drawing/2014/chart" uri="{C3380CC4-5D6E-409C-BE32-E72D297353CC}">
              <c16:uniqueId val="{00000002-72E7-4E84-914B-76AA6BF3CAAA}"/>
            </c:ext>
          </c:extLst>
        </c:ser>
        <c:dLbls>
          <c:showLegendKey val="0"/>
          <c:showVal val="0"/>
          <c:showCatName val="0"/>
          <c:showSerName val="0"/>
          <c:showPercent val="0"/>
          <c:showBubbleSize val="0"/>
        </c:dLbls>
        <c:gapWidth val="150"/>
        <c:axId val="128452864"/>
        <c:axId val="128454656"/>
      </c:barChart>
      <c:lineChart>
        <c:grouping val="standard"/>
        <c:varyColors val="0"/>
        <c:ser>
          <c:idx val="2"/>
          <c:order val="2"/>
          <c:tx>
            <c:strRef>
              <c:f>EB!$B$35</c:f>
              <c:strCache>
                <c:ptCount val="1"/>
                <c:pt idx="0">
                  <c:v>proizvodna vrzel </c:v>
                </c:pt>
              </c:strCache>
            </c:strRef>
          </c:tx>
          <c:marker>
            <c:symbol val="none"/>
          </c:marker>
          <c:cat>
            <c:numRef>
              <c:f>EB!$C$32:$J$32</c:f>
              <c:numCache>
                <c:formatCode>General</c:formatCode>
                <c:ptCount val="8"/>
                <c:pt idx="0">
                  <c:v>2015</c:v>
                </c:pt>
                <c:pt idx="1">
                  <c:v>2016</c:v>
                </c:pt>
                <c:pt idx="2">
                  <c:v>2017</c:v>
                </c:pt>
                <c:pt idx="3">
                  <c:v>2018</c:v>
                </c:pt>
                <c:pt idx="4">
                  <c:v>2019</c:v>
                </c:pt>
                <c:pt idx="5">
                  <c:v>2020</c:v>
                </c:pt>
                <c:pt idx="6">
                  <c:v>2021</c:v>
                </c:pt>
                <c:pt idx="7">
                  <c:v>2022</c:v>
                </c:pt>
              </c:numCache>
            </c:numRef>
          </c:cat>
          <c:val>
            <c:numRef>
              <c:f>EB!$C$35:$J$35</c:f>
              <c:numCache>
                <c:formatCode>0.0%</c:formatCode>
                <c:ptCount val="8"/>
                <c:pt idx="0">
                  <c:v>-4.0524439972960839E-2</c:v>
                </c:pt>
                <c:pt idx="1">
                  <c:v>-2.6830062045853142E-2</c:v>
                </c:pt>
                <c:pt idx="2">
                  <c:v>-1.4520047540560466E-3</c:v>
                </c:pt>
                <c:pt idx="3">
                  <c:v>1.7185027444920342E-2</c:v>
                </c:pt>
                <c:pt idx="4">
                  <c:v>2.4105583328139168E-2</c:v>
                </c:pt>
                <c:pt idx="5">
                  <c:v>2.6158944068539025E-2</c:v>
                </c:pt>
                <c:pt idx="6">
                  <c:v>2.524742491199361E-2</c:v>
                </c:pt>
                <c:pt idx="7">
                  <c:v>2.3331622013188946E-2</c:v>
                </c:pt>
              </c:numCache>
            </c:numRef>
          </c:val>
          <c:smooth val="0"/>
          <c:extLst xmlns:c16r2="http://schemas.microsoft.com/office/drawing/2015/06/chart">
            <c:ext xmlns:c16="http://schemas.microsoft.com/office/drawing/2014/chart" uri="{C3380CC4-5D6E-409C-BE32-E72D297353CC}">
              <c16:uniqueId val="{00000003-72E7-4E84-914B-76AA6BF3CAAA}"/>
            </c:ext>
          </c:extLst>
        </c:ser>
        <c:dLbls>
          <c:showLegendKey val="0"/>
          <c:showVal val="0"/>
          <c:showCatName val="0"/>
          <c:showSerName val="0"/>
          <c:showPercent val="0"/>
          <c:showBubbleSize val="0"/>
        </c:dLbls>
        <c:marker val="1"/>
        <c:smooth val="0"/>
        <c:axId val="128452864"/>
        <c:axId val="128454656"/>
      </c:lineChart>
      <c:catAx>
        <c:axId val="128452864"/>
        <c:scaling>
          <c:orientation val="minMax"/>
        </c:scaling>
        <c:delete val="0"/>
        <c:axPos val="b"/>
        <c:numFmt formatCode="General" sourceLinked="1"/>
        <c:majorTickMark val="out"/>
        <c:minorTickMark val="none"/>
        <c:tickLblPos val="low"/>
        <c:txPr>
          <a:bodyPr rot="0" vert="horz"/>
          <a:lstStyle/>
          <a:p>
            <a:pPr>
              <a:defRPr sz="1000" b="0" i="0" u="none" strike="noStrike" baseline="0">
                <a:solidFill>
                  <a:srgbClr val="000000"/>
                </a:solidFill>
                <a:latin typeface="Calibri"/>
                <a:ea typeface="Calibri"/>
                <a:cs typeface="Calibri"/>
              </a:defRPr>
            </a:pPr>
            <a:endParaRPr lang="en-US"/>
          </a:p>
        </c:txPr>
        <c:crossAx val="128454656"/>
        <c:crosses val="autoZero"/>
        <c:auto val="1"/>
        <c:lblAlgn val="ctr"/>
        <c:lblOffset val="100"/>
        <c:noMultiLvlLbl val="0"/>
      </c:catAx>
      <c:valAx>
        <c:axId val="128454656"/>
        <c:scaling>
          <c:orientation val="minMax"/>
          <c:min val="-5.000000000000001E-2"/>
        </c:scaling>
        <c:delete val="0"/>
        <c:axPos val="l"/>
        <c:majorGridlines/>
        <c:numFmt formatCode="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28452864"/>
        <c:crosses val="autoZero"/>
        <c:crossBetween val="between"/>
      </c:valAx>
    </c:plotArea>
    <c:legend>
      <c:legendPos val="b"/>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SB!$A$55</c:f>
              <c:strCache>
                <c:ptCount val="1"/>
                <c:pt idx="0">
                  <c:v>Strukturni saldo</c:v>
                </c:pt>
              </c:strCache>
            </c:strRef>
          </c:tx>
          <c:invertIfNegative val="0"/>
          <c:cat>
            <c:strRef>
              <c:f>SB!$C$54:$J$54</c:f>
              <c:strCache>
                <c:ptCount val="8"/>
                <c:pt idx="0">
                  <c:v>2016</c:v>
                </c:pt>
                <c:pt idx="1">
                  <c:v>2017</c:v>
                </c:pt>
                <c:pt idx="2">
                  <c:v>2018</c:v>
                </c:pt>
                <c:pt idx="3">
                  <c:v>povprečje 3 let</c:v>
                </c:pt>
                <c:pt idx="4">
                  <c:v>2019</c:v>
                </c:pt>
                <c:pt idx="5">
                  <c:v>2020</c:v>
                </c:pt>
                <c:pt idx="6">
                  <c:v>2021</c:v>
                </c:pt>
                <c:pt idx="7">
                  <c:v>2022</c:v>
                </c:pt>
              </c:strCache>
            </c:strRef>
          </c:cat>
          <c:val>
            <c:numRef>
              <c:f>SB!$C$55:$J$55</c:f>
              <c:numCache>
                <c:formatCode>0.00%</c:formatCode>
                <c:ptCount val="8"/>
                <c:pt idx="0">
                  <c:v>-5.6223046297934577E-3</c:v>
                </c:pt>
                <c:pt idx="1">
                  <c:v>1.7362494675994392E-3</c:v>
                </c:pt>
                <c:pt idx="2">
                  <c:v>1.6722022799918338E-4</c:v>
                </c:pt>
                <c:pt idx="4">
                  <c:v>-1.1123039970891472E-3</c:v>
                </c:pt>
                <c:pt idx="5">
                  <c:v>-1.720930640357184E-3</c:v>
                </c:pt>
                <c:pt idx="6">
                  <c:v>-6.5087365150801383E-4</c:v>
                </c:pt>
                <c:pt idx="7">
                  <c:v>6.2238561125386798E-4</c:v>
                </c:pt>
              </c:numCache>
            </c:numRef>
          </c:val>
          <c:extLst xmlns:c16r2="http://schemas.microsoft.com/office/drawing/2015/06/chart">
            <c:ext xmlns:c16="http://schemas.microsoft.com/office/drawing/2014/chart" uri="{C3380CC4-5D6E-409C-BE32-E72D297353CC}">
              <c16:uniqueId val="{00000000-C13D-4EE9-9AF5-595676BDFC4A}"/>
            </c:ext>
          </c:extLst>
        </c:ser>
        <c:ser>
          <c:idx val="1"/>
          <c:order val="1"/>
          <c:tx>
            <c:strRef>
              <c:f>SB!$A$56</c:f>
              <c:strCache>
                <c:ptCount val="1"/>
                <c:pt idx="0">
                  <c:v>povprečje 2 letnih naporov, 2019 naprej fisk.napor</c:v>
                </c:pt>
              </c:strCache>
            </c:strRef>
          </c:tx>
          <c:spPr>
            <a:pattFill prst="pct80">
              <a:fgClr>
                <a:schemeClr val="accent1">
                  <a:lumMod val="50000"/>
                </a:schemeClr>
              </a:fgClr>
              <a:bgClr>
                <a:schemeClr val="bg1"/>
              </a:bgClr>
            </a:pattFill>
          </c:spPr>
          <c:invertIfNegative val="0"/>
          <c:dPt>
            <c:idx val="3"/>
            <c:invertIfNegative val="0"/>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2-C13D-4EE9-9AF5-595676BDFC4A}"/>
              </c:ext>
            </c:extLst>
          </c:dPt>
          <c:dPt>
            <c:idx val="8"/>
            <c:invertIfNegative val="0"/>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4-C13D-4EE9-9AF5-595676BDFC4A}"/>
              </c:ext>
            </c:extLst>
          </c:dPt>
          <c:dLbls>
            <c:dLbl>
              <c:idx val="3"/>
              <c:spPr>
                <a:solidFill>
                  <a:schemeClr val="accent1"/>
                </a:solidFill>
              </c:spPr>
              <c:txPr>
                <a:bodyPr/>
                <a:lstStyle/>
                <a:p>
                  <a:pPr>
                    <a:defRPr/>
                  </a:pPr>
                  <a:endParaRPr lang="en-US"/>
                </a:p>
              </c:txPr>
              <c:dLblPos val="outEnd"/>
              <c:showLegendKey val="0"/>
              <c:showVal val="1"/>
              <c:showCatName val="0"/>
              <c:showSerName val="0"/>
              <c:showPercent val="0"/>
              <c:showBubbleSize val="0"/>
            </c:dLbl>
            <c:dLbl>
              <c:idx val="8"/>
              <c:spPr>
                <a:solidFill>
                  <a:schemeClr val="accent1">
                    <a:lumMod val="20000"/>
                    <a:lumOff val="80000"/>
                  </a:schemeClr>
                </a:solidFill>
              </c:spPr>
              <c:txPr>
                <a:bodyPr/>
                <a:lstStyle/>
                <a:p>
                  <a:pPr>
                    <a:defRPr/>
                  </a:pPr>
                  <a:endParaRPr lang="en-US"/>
                </a:p>
              </c:txPr>
              <c:dLblPos val="outEnd"/>
              <c:showLegendKey val="0"/>
              <c:showVal val="1"/>
              <c:showCatName val="0"/>
              <c:showSerName val="0"/>
              <c:showPercent val="0"/>
              <c:showBubbleSize val="0"/>
            </c:dLbl>
            <c:spPr>
              <a:noFill/>
              <a:ln w="25400">
                <a:noFill/>
              </a:ln>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SB!$C$54:$J$54</c:f>
              <c:strCache>
                <c:ptCount val="8"/>
                <c:pt idx="0">
                  <c:v>2016</c:v>
                </c:pt>
                <c:pt idx="1">
                  <c:v>2017</c:v>
                </c:pt>
                <c:pt idx="2">
                  <c:v>2018</c:v>
                </c:pt>
                <c:pt idx="3">
                  <c:v>povprečje 3 let</c:v>
                </c:pt>
                <c:pt idx="4">
                  <c:v>2019</c:v>
                </c:pt>
                <c:pt idx="5">
                  <c:v>2020</c:v>
                </c:pt>
                <c:pt idx="6">
                  <c:v>2021</c:v>
                </c:pt>
                <c:pt idx="7">
                  <c:v>2022</c:v>
                </c:pt>
              </c:strCache>
            </c:strRef>
          </c:cat>
          <c:val>
            <c:numRef>
              <c:f>SB!$C$56:$J$56</c:f>
              <c:numCache>
                <c:formatCode>0.00%</c:formatCode>
                <c:ptCount val="8"/>
                <c:pt idx="0">
                  <c:v>4.0060975086967099E-3</c:v>
                </c:pt>
                <c:pt idx="1">
                  <c:v>5.4029909668579339E-3</c:v>
                </c:pt>
                <c:pt idx="2">
                  <c:v>2.8947624288963207E-3</c:v>
                </c:pt>
                <c:pt idx="3">
                  <c:v>4.1012836348169879E-3</c:v>
                </c:pt>
                <c:pt idx="4">
                  <c:v>-1.2795242250883306E-3</c:v>
                </c:pt>
                <c:pt idx="5">
                  <c:v>-6.0862664326803684E-4</c:v>
                </c:pt>
                <c:pt idx="6">
                  <c:v>1.0700569888491703E-3</c:v>
                </c:pt>
                <c:pt idx="7">
                  <c:v>1.2732592627618818E-3</c:v>
                </c:pt>
              </c:numCache>
            </c:numRef>
          </c:val>
          <c:extLst xmlns:c16r2="http://schemas.microsoft.com/office/drawing/2015/06/chart">
            <c:ext xmlns:c16="http://schemas.microsoft.com/office/drawing/2014/chart" uri="{C3380CC4-5D6E-409C-BE32-E72D297353CC}">
              <c16:uniqueId val="{00000005-C13D-4EE9-9AF5-595676BDFC4A}"/>
            </c:ext>
          </c:extLst>
        </c:ser>
        <c:dLbls>
          <c:showLegendKey val="0"/>
          <c:showVal val="0"/>
          <c:showCatName val="0"/>
          <c:showSerName val="0"/>
          <c:showPercent val="0"/>
          <c:showBubbleSize val="0"/>
        </c:dLbls>
        <c:gapWidth val="150"/>
        <c:axId val="128560512"/>
        <c:axId val="128939136"/>
      </c:barChart>
      <c:catAx>
        <c:axId val="128560512"/>
        <c:scaling>
          <c:orientation val="minMax"/>
        </c:scaling>
        <c:delete val="0"/>
        <c:axPos val="b"/>
        <c:numFmt formatCode="General" sourceLinked="1"/>
        <c:majorTickMark val="out"/>
        <c:minorTickMark val="none"/>
        <c:tickLblPos val="low"/>
        <c:txPr>
          <a:bodyPr rot="-5400000" vert="horz"/>
          <a:lstStyle/>
          <a:p>
            <a:pPr>
              <a:defRPr/>
            </a:pPr>
            <a:endParaRPr lang="en-US"/>
          </a:p>
        </c:txPr>
        <c:crossAx val="128939136"/>
        <c:crosses val="autoZero"/>
        <c:auto val="1"/>
        <c:lblAlgn val="ctr"/>
        <c:lblOffset val="100"/>
        <c:noMultiLvlLbl val="0"/>
      </c:catAx>
      <c:valAx>
        <c:axId val="128939136"/>
        <c:scaling>
          <c:orientation val="minMax"/>
          <c:max val="1.0000000000000002E-2"/>
          <c:min val="-1.0000000000000002E-2"/>
        </c:scaling>
        <c:delete val="0"/>
        <c:axPos val="l"/>
        <c:majorGridlines/>
        <c:numFmt formatCode="0.00%" sourceLinked="1"/>
        <c:majorTickMark val="out"/>
        <c:minorTickMark val="none"/>
        <c:tickLblPos val="nextTo"/>
        <c:txPr>
          <a:bodyPr rot="0" vert="horz"/>
          <a:lstStyle/>
          <a:p>
            <a:pPr>
              <a:defRPr/>
            </a:pPr>
            <a:endParaRPr lang="en-US"/>
          </a:p>
        </c:txPr>
        <c:crossAx val="128560512"/>
        <c:crosses val="autoZero"/>
        <c:crossBetween val="between"/>
      </c:valAx>
    </c:plotArea>
    <c:legend>
      <c:legendPos val="b"/>
      <c:overlay val="0"/>
    </c:legend>
    <c:plotVisOnly val="1"/>
    <c:dispBlanksAs val="gap"/>
    <c:showDLblsOverMax val="0"/>
  </c:chart>
  <c:spPr>
    <a:ln>
      <a:noFill/>
    </a:ln>
  </c:spPr>
  <c:txPr>
    <a:bodyPr/>
    <a:lstStyle/>
    <a:p>
      <a:pPr>
        <a:defRPr sz="1000" b="0" i="0" u="none" strike="noStrike" baseline="0">
          <a:solidFill>
            <a:sysClr val="windowText" lastClr="000000"/>
          </a:solidFill>
          <a:latin typeface="Arial" panose="020B0604020202020204" pitchFamily="34" charset="0"/>
          <a:ea typeface="Calibri"/>
          <a:cs typeface="Arial" panose="020B0604020202020204" pitchFamily="34"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9.1826793255781317E-2"/>
          <c:y val="5.1400554097404488E-2"/>
          <c:w val="0.8834818487195274"/>
          <c:h val="0.7178696412948381"/>
        </c:manualLayout>
      </c:layout>
      <c:barChart>
        <c:barDir val="col"/>
        <c:grouping val="clustered"/>
        <c:varyColors val="0"/>
        <c:ser>
          <c:idx val="2"/>
          <c:order val="2"/>
          <c:tx>
            <c:strRef>
              <c:f>EB!$F$6</c:f>
              <c:strCache>
                <c:ptCount val="1"/>
                <c:pt idx="0">
                  <c:v>rast prihodkov</c:v>
                </c:pt>
              </c:strCache>
            </c:strRef>
          </c:tx>
          <c:spPr>
            <a:pattFill prst="narVert">
              <a:fgClr>
                <a:schemeClr val="accent1"/>
              </a:fgClr>
              <a:bgClr>
                <a:schemeClr val="bg1"/>
              </a:bgClr>
            </a:pattFill>
          </c:spPr>
          <c:invertIfNegative val="0"/>
          <c:cat>
            <c:numRef>
              <c:f>EB!$J$3:$N$3</c:f>
              <c:numCache>
                <c:formatCode>General</c:formatCode>
                <c:ptCount val="5"/>
                <c:pt idx="0">
                  <c:v>2018</c:v>
                </c:pt>
                <c:pt idx="1">
                  <c:v>2019</c:v>
                </c:pt>
                <c:pt idx="2">
                  <c:v>2020</c:v>
                </c:pt>
                <c:pt idx="3">
                  <c:v>2021</c:v>
                </c:pt>
                <c:pt idx="4">
                  <c:v>2022</c:v>
                </c:pt>
              </c:numCache>
            </c:numRef>
          </c:cat>
          <c:val>
            <c:numRef>
              <c:f>EB!$J$6:$N$6</c:f>
              <c:numCache>
                <c:formatCode>0.0</c:formatCode>
                <c:ptCount val="5"/>
                <c:pt idx="0">
                  <c:v>6.6278853908921178</c:v>
                </c:pt>
                <c:pt idx="1">
                  <c:v>6.4234058247041048</c:v>
                </c:pt>
                <c:pt idx="2">
                  <c:v>4.2511331929020173</c:v>
                </c:pt>
                <c:pt idx="3">
                  <c:v>3.6382830575971212</c:v>
                </c:pt>
                <c:pt idx="4">
                  <c:v>3.9224704309558405</c:v>
                </c:pt>
              </c:numCache>
            </c:numRef>
          </c:val>
          <c:extLst xmlns:c16r2="http://schemas.microsoft.com/office/drawing/2015/06/chart">
            <c:ext xmlns:c16="http://schemas.microsoft.com/office/drawing/2014/chart" uri="{C3380CC4-5D6E-409C-BE32-E72D297353CC}">
              <c16:uniqueId val="{00000000-33AA-4E4C-AEDF-1DED00627900}"/>
            </c:ext>
          </c:extLst>
        </c:ser>
        <c:ser>
          <c:idx val="3"/>
          <c:order val="3"/>
          <c:tx>
            <c:strRef>
              <c:f>EB!$F$7</c:f>
              <c:strCache>
                <c:ptCount val="1"/>
                <c:pt idx="0">
                  <c:v>rast izdatkov</c:v>
                </c:pt>
              </c:strCache>
            </c:strRef>
          </c:tx>
          <c:invertIfNegative val="0"/>
          <c:cat>
            <c:numRef>
              <c:f>EB!$J$3:$N$3</c:f>
              <c:numCache>
                <c:formatCode>General</c:formatCode>
                <c:ptCount val="5"/>
                <c:pt idx="0">
                  <c:v>2018</c:v>
                </c:pt>
                <c:pt idx="1">
                  <c:v>2019</c:v>
                </c:pt>
                <c:pt idx="2">
                  <c:v>2020</c:v>
                </c:pt>
                <c:pt idx="3">
                  <c:v>2021</c:v>
                </c:pt>
                <c:pt idx="4">
                  <c:v>2022</c:v>
                </c:pt>
              </c:numCache>
            </c:numRef>
          </c:cat>
          <c:val>
            <c:numRef>
              <c:f>EB!$J$7:$N$7</c:f>
              <c:numCache>
                <c:formatCode>0.0</c:formatCode>
                <c:ptCount val="5"/>
                <c:pt idx="0">
                  <c:v>4.8447952881481626</c:v>
                </c:pt>
                <c:pt idx="1">
                  <c:v>5.888226874176226</c:v>
                </c:pt>
                <c:pt idx="2">
                  <c:v>4.2038354110749481</c:v>
                </c:pt>
                <c:pt idx="3">
                  <c:v>3.1815037976736562</c:v>
                </c:pt>
                <c:pt idx="4">
                  <c:v>3.7913893631599649</c:v>
                </c:pt>
              </c:numCache>
            </c:numRef>
          </c:val>
          <c:extLst xmlns:c16r2="http://schemas.microsoft.com/office/drawing/2015/06/chart">
            <c:ext xmlns:c16="http://schemas.microsoft.com/office/drawing/2014/chart" uri="{C3380CC4-5D6E-409C-BE32-E72D297353CC}">
              <c16:uniqueId val="{00000001-33AA-4E4C-AEDF-1DED00627900}"/>
            </c:ext>
          </c:extLst>
        </c:ser>
        <c:dLbls>
          <c:showLegendKey val="0"/>
          <c:showVal val="0"/>
          <c:showCatName val="0"/>
          <c:showSerName val="0"/>
          <c:showPercent val="0"/>
          <c:showBubbleSize val="0"/>
        </c:dLbls>
        <c:gapWidth val="150"/>
        <c:axId val="128844928"/>
        <c:axId val="128846464"/>
      </c:barChart>
      <c:lineChart>
        <c:grouping val="standard"/>
        <c:varyColors val="0"/>
        <c:ser>
          <c:idx val="0"/>
          <c:order val="0"/>
          <c:tx>
            <c:strRef>
              <c:f>EB!$F$4</c:f>
              <c:strCache>
                <c:ptCount val="1"/>
                <c:pt idx="0">
                  <c:v>real.rast BDP</c:v>
                </c:pt>
              </c:strCache>
            </c:strRef>
          </c:tx>
          <c:marker>
            <c:symbol val="none"/>
          </c:marker>
          <c:cat>
            <c:numRef>
              <c:f>EB!$J$3:$N$3</c:f>
              <c:numCache>
                <c:formatCode>General</c:formatCode>
                <c:ptCount val="5"/>
                <c:pt idx="0">
                  <c:v>2018</c:v>
                </c:pt>
                <c:pt idx="1">
                  <c:v>2019</c:v>
                </c:pt>
                <c:pt idx="2">
                  <c:v>2020</c:v>
                </c:pt>
                <c:pt idx="3">
                  <c:v>2021</c:v>
                </c:pt>
                <c:pt idx="4">
                  <c:v>2022</c:v>
                </c:pt>
              </c:numCache>
            </c:numRef>
          </c:cat>
          <c:val>
            <c:numRef>
              <c:f>EB!$J$4:$N$4</c:f>
              <c:numCache>
                <c:formatCode>0.0</c:formatCode>
                <c:ptCount val="5"/>
                <c:pt idx="0">
                  <c:v>4.4872199999999998</c:v>
                </c:pt>
                <c:pt idx="1">
                  <c:v>3.390765883805912</c:v>
                </c:pt>
                <c:pt idx="2">
                  <c:v>3.1216834085652891</c:v>
                </c:pt>
                <c:pt idx="3">
                  <c:v>2.8344312221541372</c:v>
                </c:pt>
                <c:pt idx="4">
                  <c:v>2.6728278076103322</c:v>
                </c:pt>
              </c:numCache>
            </c:numRef>
          </c:val>
          <c:smooth val="0"/>
          <c:extLst xmlns:c16r2="http://schemas.microsoft.com/office/drawing/2015/06/chart">
            <c:ext xmlns:c16="http://schemas.microsoft.com/office/drawing/2014/chart" uri="{C3380CC4-5D6E-409C-BE32-E72D297353CC}">
              <c16:uniqueId val="{00000002-33AA-4E4C-AEDF-1DED00627900}"/>
            </c:ext>
          </c:extLst>
        </c:ser>
        <c:ser>
          <c:idx val="1"/>
          <c:order val="1"/>
          <c:tx>
            <c:strRef>
              <c:f>EB!$F$5</c:f>
              <c:strCache>
                <c:ptCount val="1"/>
                <c:pt idx="0">
                  <c:v>poten.rast BDP</c:v>
                </c:pt>
              </c:strCache>
            </c:strRef>
          </c:tx>
          <c:spPr>
            <a:ln>
              <a:prstDash val="sysDot"/>
            </a:ln>
          </c:spPr>
          <c:marker>
            <c:symbol val="none"/>
          </c:marker>
          <c:cat>
            <c:numRef>
              <c:f>EB!$J$3:$N$3</c:f>
              <c:numCache>
                <c:formatCode>General</c:formatCode>
                <c:ptCount val="5"/>
                <c:pt idx="0">
                  <c:v>2018</c:v>
                </c:pt>
                <c:pt idx="1">
                  <c:v>2019</c:v>
                </c:pt>
                <c:pt idx="2">
                  <c:v>2020</c:v>
                </c:pt>
                <c:pt idx="3">
                  <c:v>2021</c:v>
                </c:pt>
                <c:pt idx="4">
                  <c:v>2022</c:v>
                </c:pt>
              </c:numCache>
            </c:numRef>
          </c:cat>
          <c:val>
            <c:numRef>
              <c:f>EB!$J$5:$N$5</c:f>
              <c:numCache>
                <c:formatCode>General</c:formatCode>
                <c:ptCount val="5"/>
                <c:pt idx="0">
                  <c:v>2.572579817214149</c:v>
                </c:pt>
                <c:pt idx="1">
                  <c:v>2.6920863875157242</c:v>
                </c:pt>
                <c:pt idx="2">
                  <c:v>2.9153352425048462</c:v>
                </c:pt>
                <c:pt idx="3">
                  <c:v>2.925858473502263</c:v>
                </c:pt>
                <c:pt idx="4">
                  <c:v>2.8650439933618488</c:v>
                </c:pt>
              </c:numCache>
            </c:numRef>
          </c:val>
          <c:smooth val="0"/>
          <c:extLst xmlns:c16r2="http://schemas.microsoft.com/office/drawing/2015/06/chart">
            <c:ext xmlns:c16="http://schemas.microsoft.com/office/drawing/2014/chart" uri="{C3380CC4-5D6E-409C-BE32-E72D297353CC}">
              <c16:uniqueId val="{00000003-33AA-4E4C-AEDF-1DED00627900}"/>
            </c:ext>
          </c:extLst>
        </c:ser>
        <c:dLbls>
          <c:showLegendKey val="0"/>
          <c:showVal val="0"/>
          <c:showCatName val="0"/>
          <c:showSerName val="0"/>
          <c:showPercent val="0"/>
          <c:showBubbleSize val="0"/>
        </c:dLbls>
        <c:marker val="1"/>
        <c:smooth val="0"/>
        <c:axId val="128844928"/>
        <c:axId val="128846464"/>
      </c:lineChart>
      <c:catAx>
        <c:axId val="128844928"/>
        <c:scaling>
          <c:orientation val="minMax"/>
        </c:scaling>
        <c:delete val="0"/>
        <c:axPos val="b"/>
        <c:numFmt formatCode="General" sourceLinked="1"/>
        <c:majorTickMark val="out"/>
        <c:minorTickMark val="none"/>
        <c:tickLblPos val="nextTo"/>
        <c:txPr>
          <a:bodyPr rot="0" vert="horz"/>
          <a:lstStyle/>
          <a:p>
            <a:pPr>
              <a:defRPr/>
            </a:pPr>
            <a:endParaRPr lang="en-US"/>
          </a:p>
        </c:txPr>
        <c:crossAx val="128846464"/>
        <c:crosses val="autoZero"/>
        <c:auto val="1"/>
        <c:lblAlgn val="ctr"/>
        <c:lblOffset val="100"/>
        <c:noMultiLvlLbl val="0"/>
      </c:catAx>
      <c:valAx>
        <c:axId val="128846464"/>
        <c:scaling>
          <c:orientation val="minMax"/>
          <c:max val="7"/>
          <c:min val="0"/>
        </c:scaling>
        <c:delete val="0"/>
        <c:axPos val="l"/>
        <c:majorGridlines/>
        <c:title>
          <c:tx>
            <c:rich>
              <a:bodyPr/>
              <a:lstStyle/>
              <a:p>
                <a:pPr>
                  <a:defRPr/>
                </a:pPr>
                <a:r>
                  <a:rPr lang="sl-SI"/>
                  <a:t>v %</a:t>
                </a:r>
              </a:p>
            </c:rich>
          </c:tx>
          <c:overlay val="0"/>
        </c:title>
        <c:numFmt formatCode="0.0" sourceLinked="1"/>
        <c:majorTickMark val="out"/>
        <c:minorTickMark val="none"/>
        <c:tickLblPos val="nextTo"/>
        <c:txPr>
          <a:bodyPr rot="0" vert="horz"/>
          <a:lstStyle/>
          <a:p>
            <a:pPr>
              <a:defRPr/>
            </a:pPr>
            <a:endParaRPr lang="en-US"/>
          </a:p>
        </c:txPr>
        <c:crossAx val="128844928"/>
        <c:crosses val="autoZero"/>
        <c:crossBetween val="between"/>
      </c:valAx>
    </c:plotArea>
    <c:legend>
      <c:legendPos val="b"/>
      <c:layout>
        <c:manualLayout>
          <c:xMode val="edge"/>
          <c:yMode val="edge"/>
          <c:x val="5.0644124825902886E-2"/>
          <c:y val="0.88085609877543436"/>
          <c:w val="0.87950742584497432"/>
          <c:h val="9.1366264104446815E-2"/>
        </c:manualLayout>
      </c:layout>
      <c:overlay val="0"/>
    </c:legend>
    <c:plotVisOnly val="1"/>
    <c:dispBlanksAs val="gap"/>
    <c:showDLblsOverMax val="0"/>
  </c:chart>
  <c:spPr>
    <a:ln>
      <a:noFill/>
    </a:ln>
  </c:spPr>
  <c:txPr>
    <a:bodyPr/>
    <a:lstStyle/>
    <a:p>
      <a:pPr>
        <a:defRPr sz="1000" b="0" i="0" u="none" strike="noStrike" baseline="0">
          <a:solidFill>
            <a:sysClr val="windowText" lastClr="000000"/>
          </a:solidFill>
          <a:latin typeface="Arial" panose="020B0604020202020204" pitchFamily="34" charset="0"/>
          <a:ea typeface="Calibri"/>
          <a:cs typeface="Arial" panose="020B0604020202020204" pitchFamily="34"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0156091778850225"/>
          <c:y val="1.4875124156098403E-2"/>
          <c:w val="0.78728676657353314"/>
          <c:h val="0.75322459692538435"/>
        </c:manualLayout>
      </c:layout>
      <c:barChart>
        <c:barDir val="col"/>
        <c:grouping val="stacked"/>
        <c:varyColors val="0"/>
        <c:ser>
          <c:idx val="1"/>
          <c:order val="1"/>
          <c:tx>
            <c:strRef>
              <c:f>Sheet1!$C$24</c:f>
              <c:strCache>
                <c:ptCount val="1"/>
                <c:pt idx="0">
                  <c:v>Skupaj davki kot  % BDP</c:v>
                </c:pt>
              </c:strCache>
            </c:strRef>
          </c:tx>
          <c:spPr>
            <a:solidFill>
              <a:schemeClr val="accent1">
                <a:lumMod val="75000"/>
              </a:schemeClr>
            </a:solidFill>
            <a:ln>
              <a:noFill/>
            </a:ln>
          </c:spPr>
          <c:invertIfNegative val="0"/>
          <c:cat>
            <c:numRef>
              <c:f>Sheet1!$E$22:$L$22</c:f>
              <c:numCache>
                <c:formatCode>General</c:formatCode>
                <c:ptCount val="8"/>
                <c:pt idx="0">
                  <c:v>2015</c:v>
                </c:pt>
                <c:pt idx="1">
                  <c:v>2016</c:v>
                </c:pt>
                <c:pt idx="2">
                  <c:v>2017</c:v>
                </c:pt>
                <c:pt idx="3">
                  <c:v>2018</c:v>
                </c:pt>
                <c:pt idx="4">
                  <c:v>2019</c:v>
                </c:pt>
                <c:pt idx="5">
                  <c:v>2020</c:v>
                </c:pt>
                <c:pt idx="6">
                  <c:v>2021</c:v>
                </c:pt>
                <c:pt idx="7">
                  <c:v>2022</c:v>
                </c:pt>
              </c:numCache>
            </c:numRef>
          </c:cat>
          <c:val>
            <c:numRef>
              <c:f>Sheet1!$E$24:$L$24</c:f>
              <c:numCache>
                <c:formatCode>0.0</c:formatCode>
                <c:ptCount val="8"/>
                <c:pt idx="0">
                  <c:v>21.974455216621635</c:v>
                </c:pt>
                <c:pt idx="1">
                  <c:v>22.104808842972471</c:v>
                </c:pt>
                <c:pt idx="2">
                  <c:v>21.784635726951997</c:v>
                </c:pt>
                <c:pt idx="3">
                  <c:v>21.901760009517755</c:v>
                </c:pt>
                <c:pt idx="4">
                  <c:v>21.836537699793084</c:v>
                </c:pt>
                <c:pt idx="5">
                  <c:v>21.528646555012951</c:v>
                </c:pt>
                <c:pt idx="6">
                  <c:v>21.206468692266238</c:v>
                </c:pt>
                <c:pt idx="7">
                  <c:v>20.93358872461431</c:v>
                </c:pt>
              </c:numCache>
            </c:numRef>
          </c:val>
          <c:extLst xmlns:c16r2="http://schemas.microsoft.com/office/drawing/2015/06/chart">
            <c:ext xmlns:c16="http://schemas.microsoft.com/office/drawing/2014/chart" uri="{C3380CC4-5D6E-409C-BE32-E72D297353CC}">
              <c16:uniqueId val="{00000004-B887-4A7A-89A7-A7FD897502F4}"/>
            </c:ext>
          </c:extLst>
        </c:ser>
        <c:ser>
          <c:idx val="3"/>
          <c:order val="3"/>
          <c:tx>
            <c:strRef>
              <c:f>Sheet1!$C$26</c:f>
              <c:strCache>
                <c:ptCount val="1"/>
                <c:pt idx="0">
                  <c:v>Skupaj socialni prispevki kot  %  BDP</c:v>
                </c:pt>
              </c:strCache>
            </c:strRef>
          </c:tx>
          <c:invertIfNegative val="0"/>
          <c:cat>
            <c:numRef>
              <c:f>Sheet1!$E$22:$L$22</c:f>
              <c:numCache>
                <c:formatCode>General</c:formatCode>
                <c:ptCount val="8"/>
                <c:pt idx="0">
                  <c:v>2015</c:v>
                </c:pt>
                <c:pt idx="1">
                  <c:v>2016</c:v>
                </c:pt>
                <c:pt idx="2">
                  <c:v>2017</c:v>
                </c:pt>
                <c:pt idx="3">
                  <c:v>2018</c:v>
                </c:pt>
                <c:pt idx="4">
                  <c:v>2019</c:v>
                </c:pt>
                <c:pt idx="5">
                  <c:v>2020</c:v>
                </c:pt>
                <c:pt idx="6">
                  <c:v>2021</c:v>
                </c:pt>
                <c:pt idx="7">
                  <c:v>2022</c:v>
                </c:pt>
              </c:numCache>
            </c:numRef>
          </c:cat>
          <c:val>
            <c:numRef>
              <c:f>Sheet1!$E$26:$L$26</c:f>
              <c:numCache>
                <c:formatCode>0.00</c:formatCode>
                <c:ptCount val="8"/>
                <c:pt idx="0">
                  <c:v>14.729610458703968</c:v>
                </c:pt>
                <c:pt idx="1">
                  <c:v>14.786150157078001</c:v>
                </c:pt>
                <c:pt idx="2">
                  <c:v>14.817503070222154</c:v>
                </c:pt>
                <c:pt idx="3">
                  <c:v>14.841475343355578</c:v>
                </c:pt>
                <c:pt idx="4">
                  <c:v>15.051482707257369</c:v>
                </c:pt>
                <c:pt idx="5">
                  <c:v>15.116261510247137</c:v>
                </c:pt>
                <c:pt idx="6">
                  <c:v>15.184673532227727</c:v>
                </c:pt>
                <c:pt idx="7">
                  <c:v>15.236109338632486</c:v>
                </c:pt>
              </c:numCache>
            </c:numRef>
          </c:val>
          <c:extLst xmlns:c16r2="http://schemas.microsoft.com/office/drawing/2015/06/chart">
            <c:ext xmlns:c16="http://schemas.microsoft.com/office/drawing/2014/chart" uri="{C3380CC4-5D6E-409C-BE32-E72D297353CC}">
              <c16:uniqueId val="{00000005-B887-4A7A-89A7-A7FD897502F4}"/>
            </c:ext>
          </c:extLst>
        </c:ser>
        <c:dLbls>
          <c:showLegendKey val="0"/>
          <c:showVal val="0"/>
          <c:showCatName val="0"/>
          <c:showSerName val="0"/>
          <c:showPercent val="0"/>
          <c:showBubbleSize val="0"/>
        </c:dLbls>
        <c:gapWidth val="150"/>
        <c:overlap val="100"/>
        <c:axId val="129364352"/>
        <c:axId val="129365888"/>
      </c:barChart>
      <c:lineChart>
        <c:grouping val="standard"/>
        <c:varyColors val="0"/>
        <c:ser>
          <c:idx val="0"/>
          <c:order val="0"/>
          <c:tx>
            <c:strRef>
              <c:f>Sheet1!$C$23</c:f>
              <c:strCache>
                <c:ptCount val="1"/>
                <c:pt idx="0">
                  <c:v>Skupaj davki (D.2+D.5+D.91)</c:v>
                </c:pt>
              </c:strCache>
            </c:strRef>
          </c:tx>
          <c:spPr>
            <a:ln w="38100">
              <a:solidFill>
                <a:srgbClr val="00B0F0"/>
              </a:solidFill>
            </a:ln>
          </c:spPr>
          <c:marker>
            <c:symbol val="none"/>
          </c:marker>
          <c:cat>
            <c:numRef>
              <c:f>Sheet1!$E$22:$L$22</c:f>
              <c:numCache>
                <c:formatCode>General</c:formatCode>
                <c:ptCount val="8"/>
                <c:pt idx="0">
                  <c:v>2015</c:v>
                </c:pt>
                <c:pt idx="1">
                  <c:v>2016</c:v>
                </c:pt>
                <c:pt idx="2">
                  <c:v>2017</c:v>
                </c:pt>
                <c:pt idx="3">
                  <c:v>2018</c:v>
                </c:pt>
                <c:pt idx="4">
                  <c:v>2019</c:v>
                </c:pt>
                <c:pt idx="5">
                  <c:v>2020</c:v>
                </c:pt>
                <c:pt idx="6">
                  <c:v>2021</c:v>
                </c:pt>
                <c:pt idx="7">
                  <c:v>2022</c:v>
                </c:pt>
              </c:numCache>
            </c:numRef>
          </c:cat>
          <c:val>
            <c:numRef>
              <c:f>Sheet1!$E$23:$L$23</c:f>
              <c:numCache>
                <c:formatCode>#,##0</c:formatCode>
                <c:ptCount val="8"/>
                <c:pt idx="0">
                  <c:v>8540.0082288784852</c:v>
                </c:pt>
                <c:pt idx="1">
                  <c:v>8920.8868338012944</c:v>
                </c:pt>
                <c:pt idx="2">
                  <c:v>9367.3188454108531</c:v>
                </c:pt>
                <c:pt idx="3">
                  <c:v>10063.325029294059</c:v>
                </c:pt>
                <c:pt idx="4">
                  <c:v>10655.591941616416</c:v>
                </c:pt>
                <c:pt idx="5">
                  <c:v>11103.962727345877</c:v>
                </c:pt>
                <c:pt idx="6">
                  <c:v>11545.450504700591</c:v>
                </c:pt>
                <c:pt idx="7">
                  <c:v>11979.133680009874</c:v>
                </c:pt>
              </c:numCache>
            </c:numRef>
          </c:val>
          <c:smooth val="0"/>
          <c:extLst xmlns:c16r2="http://schemas.microsoft.com/office/drawing/2015/06/chart">
            <c:ext xmlns:c16="http://schemas.microsoft.com/office/drawing/2014/chart" uri="{C3380CC4-5D6E-409C-BE32-E72D297353CC}">
              <c16:uniqueId val="{00000000-B887-4A7A-89A7-A7FD897502F4}"/>
            </c:ext>
          </c:extLst>
        </c:ser>
        <c:ser>
          <c:idx val="2"/>
          <c:order val="2"/>
          <c:tx>
            <c:strRef>
              <c:f>Sheet1!$C$25</c:f>
              <c:strCache>
                <c:ptCount val="1"/>
                <c:pt idx="0">
                  <c:v>Socialni prispevki (D.61)</c:v>
                </c:pt>
              </c:strCache>
            </c:strRef>
          </c:tx>
          <c:spPr>
            <a:ln w="38100">
              <a:solidFill>
                <a:schemeClr val="tx2">
                  <a:lumMod val="75000"/>
                </a:schemeClr>
              </a:solidFill>
            </a:ln>
          </c:spPr>
          <c:marker>
            <c:symbol val="none"/>
          </c:marker>
          <c:cat>
            <c:numRef>
              <c:f>Sheet1!$E$22:$L$22</c:f>
              <c:numCache>
                <c:formatCode>General</c:formatCode>
                <c:ptCount val="8"/>
                <c:pt idx="0">
                  <c:v>2015</c:v>
                </c:pt>
                <c:pt idx="1">
                  <c:v>2016</c:v>
                </c:pt>
                <c:pt idx="2">
                  <c:v>2017</c:v>
                </c:pt>
                <c:pt idx="3">
                  <c:v>2018</c:v>
                </c:pt>
                <c:pt idx="4">
                  <c:v>2019</c:v>
                </c:pt>
                <c:pt idx="5">
                  <c:v>2020</c:v>
                </c:pt>
                <c:pt idx="6">
                  <c:v>2021</c:v>
                </c:pt>
                <c:pt idx="7">
                  <c:v>2022</c:v>
                </c:pt>
              </c:numCache>
            </c:numRef>
          </c:cat>
          <c:val>
            <c:numRef>
              <c:f>Sheet1!$E$25:$L$25</c:f>
              <c:numCache>
                <c:formatCode>0</c:formatCode>
                <c:ptCount val="8"/>
                <c:pt idx="0">
                  <c:v>5724.4192534228232</c:v>
                </c:pt>
                <c:pt idx="1">
                  <c:v>5967.2794818500006</c:v>
                </c:pt>
                <c:pt idx="2">
                  <c:v>6371.4756349999998</c:v>
                </c:pt>
                <c:pt idx="3">
                  <c:v>6819.2962679499933</c:v>
                </c:pt>
                <c:pt idx="4">
                  <c:v>7344.6834864462153</c:v>
                </c:pt>
                <c:pt idx="5">
                  <c:v>7796.6073695196274</c:v>
                </c:pt>
                <c:pt idx="6">
                  <c:v>8267.0009439293081</c:v>
                </c:pt>
                <c:pt idx="7">
                  <c:v>8718.7817116192109</c:v>
                </c:pt>
              </c:numCache>
            </c:numRef>
          </c:val>
          <c:smooth val="0"/>
          <c:extLst xmlns:c16r2="http://schemas.microsoft.com/office/drawing/2015/06/chart">
            <c:ext xmlns:c16="http://schemas.microsoft.com/office/drawing/2014/chart" uri="{C3380CC4-5D6E-409C-BE32-E72D297353CC}">
              <c16:uniqueId val="{00000001-B887-4A7A-89A7-A7FD897502F4}"/>
            </c:ext>
          </c:extLst>
        </c:ser>
        <c:dLbls>
          <c:showLegendKey val="0"/>
          <c:showVal val="0"/>
          <c:showCatName val="0"/>
          <c:showSerName val="0"/>
          <c:showPercent val="0"/>
          <c:showBubbleSize val="0"/>
        </c:dLbls>
        <c:marker val="1"/>
        <c:smooth val="0"/>
        <c:axId val="129251200"/>
        <c:axId val="129249280"/>
      </c:lineChart>
      <c:catAx>
        <c:axId val="129364352"/>
        <c:scaling>
          <c:orientation val="minMax"/>
        </c:scaling>
        <c:delete val="0"/>
        <c:axPos val="b"/>
        <c:numFmt formatCode="General" sourceLinked="1"/>
        <c:majorTickMark val="out"/>
        <c:minorTickMark val="none"/>
        <c:tickLblPos val="nextTo"/>
        <c:crossAx val="129365888"/>
        <c:crosses val="autoZero"/>
        <c:auto val="1"/>
        <c:lblAlgn val="ctr"/>
        <c:lblOffset val="100"/>
        <c:noMultiLvlLbl val="0"/>
      </c:catAx>
      <c:valAx>
        <c:axId val="129365888"/>
        <c:scaling>
          <c:orientation val="minMax"/>
          <c:max val="40"/>
        </c:scaling>
        <c:delete val="0"/>
        <c:axPos val="l"/>
        <c:majorGridlines/>
        <c:title>
          <c:tx>
            <c:rich>
              <a:bodyPr rot="-5400000" vert="horz"/>
              <a:lstStyle/>
              <a:p>
                <a:pPr>
                  <a:defRPr b="0"/>
                </a:pPr>
                <a:r>
                  <a:rPr lang="sl-SI" b="0"/>
                  <a:t>v %</a:t>
                </a:r>
              </a:p>
            </c:rich>
          </c:tx>
          <c:overlay val="0"/>
        </c:title>
        <c:numFmt formatCode="#,##0.0" sourceLinked="0"/>
        <c:majorTickMark val="out"/>
        <c:minorTickMark val="none"/>
        <c:tickLblPos val="nextTo"/>
        <c:crossAx val="129364352"/>
        <c:crosses val="autoZero"/>
        <c:crossBetween val="between"/>
      </c:valAx>
      <c:valAx>
        <c:axId val="129249280"/>
        <c:scaling>
          <c:orientation val="minMax"/>
        </c:scaling>
        <c:delete val="0"/>
        <c:axPos val="r"/>
        <c:title>
          <c:tx>
            <c:rich>
              <a:bodyPr/>
              <a:lstStyle/>
              <a:p>
                <a:pPr>
                  <a:defRPr b="0"/>
                </a:pPr>
                <a:r>
                  <a:rPr lang="sl-SI" b="0"/>
                  <a:t>v mio EUR</a:t>
                </a:r>
              </a:p>
            </c:rich>
          </c:tx>
          <c:overlay val="0"/>
        </c:title>
        <c:numFmt formatCode="#,##0" sourceLinked="1"/>
        <c:majorTickMark val="out"/>
        <c:minorTickMark val="none"/>
        <c:tickLblPos val="nextTo"/>
        <c:crossAx val="129251200"/>
        <c:crosses val="max"/>
        <c:crossBetween val="between"/>
        <c:majorUnit val="2000"/>
      </c:valAx>
      <c:catAx>
        <c:axId val="129251200"/>
        <c:scaling>
          <c:orientation val="minMax"/>
        </c:scaling>
        <c:delete val="1"/>
        <c:axPos val="b"/>
        <c:numFmt formatCode="General" sourceLinked="1"/>
        <c:majorTickMark val="out"/>
        <c:minorTickMark val="none"/>
        <c:tickLblPos val="nextTo"/>
        <c:crossAx val="129249280"/>
        <c:crosses val="autoZero"/>
        <c:auto val="1"/>
        <c:lblAlgn val="ctr"/>
        <c:lblOffset val="100"/>
        <c:noMultiLvlLbl val="0"/>
      </c:catAx>
      <c:spPr>
        <a:ln>
          <a:solidFill>
            <a:schemeClr val="tx2">
              <a:lumMod val="40000"/>
              <a:lumOff val="60000"/>
            </a:schemeClr>
          </a:solidFill>
        </a:ln>
      </c:spPr>
    </c:plotArea>
    <c:legend>
      <c:legendPos val="b"/>
      <c:layout>
        <c:manualLayout>
          <c:xMode val="edge"/>
          <c:yMode val="edge"/>
          <c:x val="0"/>
          <c:y val="0.879786589176353"/>
          <c:w val="0.99915671831343666"/>
          <c:h val="0.10508436445444319"/>
        </c:manualLayout>
      </c:layout>
      <c:overlay val="0"/>
    </c:legend>
    <c:plotVisOnly val="1"/>
    <c:dispBlanksAs val="gap"/>
    <c:showDLblsOverMax val="0"/>
  </c:chart>
  <c:spPr>
    <a:ln>
      <a:noFill/>
    </a:ln>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stacked"/>
        <c:varyColors val="0"/>
        <c:ser>
          <c:idx val="0"/>
          <c:order val="0"/>
          <c:tx>
            <c:strRef>
              <c:f>izdatki!$G$39</c:f>
              <c:strCache>
                <c:ptCount val="1"/>
                <c:pt idx="0">
                  <c:v>Sredstva za zaposlene</c:v>
                </c:pt>
              </c:strCache>
            </c:strRef>
          </c:tx>
          <c:spPr>
            <a:solidFill>
              <a:srgbClr val="002060"/>
            </a:solidFill>
            <a:ln>
              <a:noFill/>
            </a:ln>
            <a:effectLst/>
          </c:spPr>
          <c:invertIfNegative val="0"/>
          <c:cat>
            <c:numRef>
              <c:f>izdatki!$H$38:$O$38</c:f>
              <c:numCache>
                <c:formatCode>General</c:formatCode>
                <c:ptCount val="8"/>
                <c:pt idx="0">
                  <c:v>2015</c:v>
                </c:pt>
                <c:pt idx="1">
                  <c:v>2016</c:v>
                </c:pt>
                <c:pt idx="2">
                  <c:v>2017</c:v>
                </c:pt>
                <c:pt idx="3">
                  <c:v>2018</c:v>
                </c:pt>
                <c:pt idx="4">
                  <c:v>2019</c:v>
                </c:pt>
                <c:pt idx="5">
                  <c:v>2020</c:v>
                </c:pt>
                <c:pt idx="6">
                  <c:v>2021</c:v>
                </c:pt>
                <c:pt idx="7">
                  <c:v>2022</c:v>
                </c:pt>
              </c:numCache>
            </c:numRef>
          </c:cat>
          <c:val>
            <c:numRef>
              <c:f>izdatki!$H$39:$O$39</c:f>
              <c:numCache>
                <c:formatCode>#,##0.0</c:formatCode>
                <c:ptCount val="8"/>
                <c:pt idx="0">
                  <c:v>11.052265815643858</c:v>
                </c:pt>
                <c:pt idx="1">
                  <c:v>11.353909607672032</c:v>
                </c:pt>
                <c:pt idx="2">
                  <c:v>11.191207995306522</c:v>
                </c:pt>
                <c:pt idx="3">
                  <c:v>10.930055118375424</c:v>
                </c:pt>
                <c:pt idx="4">
                  <c:v>11.210125719229447</c:v>
                </c:pt>
                <c:pt idx="5">
                  <c:v>11.092330639530942</c:v>
                </c:pt>
                <c:pt idx="6">
                  <c:v>10.894801613459093</c:v>
                </c:pt>
                <c:pt idx="7">
                  <c:v>10.718521899328451</c:v>
                </c:pt>
              </c:numCache>
            </c:numRef>
          </c:val>
          <c:extLst xmlns:c16r2="http://schemas.microsoft.com/office/drawing/2015/06/chart">
            <c:ext xmlns:c16="http://schemas.microsoft.com/office/drawing/2014/chart" uri="{C3380CC4-5D6E-409C-BE32-E72D297353CC}">
              <c16:uniqueId val="{00000000-DDB6-4160-BD0C-B5BC32E00D96}"/>
            </c:ext>
          </c:extLst>
        </c:ser>
        <c:ser>
          <c:idx val="1"/>
          <c:order val="1"/>
          <c:tx>
            <c:strRef>
              <c:f>izdatki!$G$40</c:f>
              <c:strCache>
                <c:ptCount val="1"/>
                <c:pt idx="0">
                  <c:v>Vmesna potrošnja</c:v>
                </c:pt>
              </c:strCache>
            </c:strRef>
          </c:tx>
          <c:spPr>
            <a:solidFill>
              <a:srgbClr val="00B0F0"/>
            </a:solidFill>
            <a:ln>
              <a:noFill/>
            </a:ln>
            <a:effectLst/>
          </c:spPr>
          <c:invertIfNegative val="0"/>
          <c:cat>
            <c:numRef>
              <c:f>izdatki!$H$38:$O$38</c:f>
              <c:numCache>
                <c:formatCode>General</c:formatCode>
                <c:ptCount val="8"/>
                <c:pt idx="0">
                  <c:v>2015</c:v>
                </c:pt>
                <c:pt idx="1">
                  <c:v>2016</c:v>
                </c:pt>
                <c:pt idx="2">
                  <c:v>2017</c:v>
                </c:pt>
                <c:pt idx="3">
                  <c:v>2018</c:v>
                </c:pt>
                <c:pt idx="4">
                  <c:v>2019</c:v>
                </c:pt>
                <c:pt idx="5">
                  <c:v>2020</c:v>
                </c:pt>
                <c:pt idx="6">
                  <c:v>2021</c:v>
                </c:pt>
                <c:pt idx="7">
                  <c:v>2022</c:v>
                </c:pt>
              </c:numCache>
            </c:numRef>
          </c:cat>
          <c:val>
            <c:numRef>
              <c:f>izdatki!$H$40:$O$40</c:f>
              <c:numCache>
                <c:formatCode>#,##0.0</c:formatCode>
                <c:ptCount val="8"/>
                <c:pt idx="0">
                  <c:v>6.5855768336803946</c:v>
                </c:pt>
                <c:pt idx="1">
                  <c:v>6.4458015880359802</c:v>
                </c:pt>
                <c:pt idx="2">
                  <c:v>6.2755012282971316</c:v>
                </c:pt>
                <c:pt idx="3">
                  <c:v>6.2833919231418882</c:v>
                </c:pt>
                <c:pt idx="4">
                  <c:v>6.0145887293818427</c:v>
                </c:pt>
                <c:pt idx="5">
                  <c:v>5.8489988063432765</c:v>
                </c:pt>
                <c:pt idx="6">
                  <c:v>5.6218860080213968</c:v>
                </c:pt>
                <c:pt idx="7">
                  <c:v>5.4633923763479384</c:v>
                </c:pt>
              </c:numCache>
            </c:numRef>
          </c:val>
          <c:extLst xmlns:c16r2="http://schemas.microsoft.com/office/drawing/2015/06/chart">
            <c:ext xmlns:c16="http://schemas.microsoft.com/office/drawing/2014/chart" uri="{C3380CC4-5D6E-409C-BE32-E72D297353CC}">
              <c16:uniqueId val="{00000001-DDB6-4160-BD0C-B5BC32E00D96}"/>
            </c:ext>
          </c:extLst>
        </c:ser>
        <c:ser>
          <c:idx val="2"/>
          <c:order val="2"/>
          <c:tx>
            <c:strRef>
              <c:f>izdatki!$G$41</c:f>
              <c:strCache>
                <c:ptCount val="1"/>
                <c:pt idx="0">
                  <c:v>Socialna nadomestila</c:v>
                </c:pt>
              </c:strCache>
            </c:strRef>
          </c:tx>
          <c:spPr>
            <a:solidFill>
              <a:schemeClr val="accent1">
                <a:lumMod val="75000"/>
              </a:schemeClr>
            </a:solidFill>
            <a:ln>
              <a:noFill/>
            </a:ln>
            <a:effectLst/>
          </c:spPr>
          <c:invertIfNegative val="0"/>
          <c:cat>
            <c:numRef>
              <c:f>izdatki!$H$38:$O$38</c:f>
              <c:numCache>
                <c:formatCode>General</c:formatCode>
                <c:ptCount val="8"/>
                <c:pt idx="0">
                  <c:v>2015</c:v>
                </c:pt>
                <c:pt idx="1">
                  <c:v>2016</c:v>
                </c:pt>
                <c:pt idx="2">
                  <c:v>2017</c:v>
                </c:pt>
                <c:pt idx="3">
                  <c:v>2018</c:v>
                </c:pt>
                <c:pt idx="4">
                  <c:v>2019</c:v>
                </c:pt>
                <c:pt idx="5">
                  <c:v>2020</c:v>
                </c:pt>
                <c:pt idx="6">
                  <c:v>2021</c:v>
                </c:pt>
                <c:pt idx="7">
                  <c:v>2022</c:v>
                </c:pt>
              </c:numCache>
            </c:numRef>
          </c:cat>
          <c:val>
            <c:numRef>
              <c:f>izdatki!$H$41:$O$41</c:f>
              <c:numCache>
                <c:formatCode>#,##0.0</c:formatCode>
                <c:ptCount val="8"/>
                <c:pt idx="0">
                  <c:v>18.060517869507841</c:v>
                </c:pt>
                <c:pt idx="1">
                  <c:v>17.531528065273182</c:v>
                </c:pt>
                <c:pt idx="2">
                  <c:v>17.038401539691762</c:v>
                </c:pt>
                <c:pt idx="3">
                  <c:v>16.524731004564103</c:v>
                </c:pt>
                <c:pt idx="4">
                  <c:v>16.307736027766065</c:v>
                </c:pt>
                <c:pt idx="5">
                  <c:v>16.151785209076134</c:v>
                </c:pt>
                <c:pt idx="6">
                  <c:v>16.10297581706546</c:v>
                </c:pt>
                <c:pt idx="7">
                  <c:v>16.120232564034307</c:v>
                </c:pt>
              </c:numCache>
            </c:numRef>
          </c:val>
          <c:extLst xmlns:c16r2="http://schemas.microsoft.com/office/drawing/2015/06/chart">
            <c:ext xmlns:c16="http://schemas.microsoft.com/office/drawing/2014/chart" uri="{C3380CC4-5D6E-409C-BE32-E72D297353CC}">
              <c16:uniqueId val="{00000002-DDB6-4160-BD0C-B5BC32E00D96}"/>
            </c:ext>
          </c:extLst>
        </c:ser>
        <c:ser>
          <c:idx val="3"/>
          <c:order val="3"/>
          <c:tx>
            <c:strRef>
              <c:f>izdatki!$G$42</c:f>
              <c:strCache>
                <c:ptCount val="1"/>
                <c:pt idx="0">
                  <c:v>Bruto investicije</c:v>
                </c:pt>
              </c:strCache>
            </c:strRef>
          </c:tx>
          <c:spPr>
            <a:solidFill>
              <a:schemeClr val="accent1">
                <a:lumMod val="40000"/>
                <a:lumOff val="60000"/>
              </a:schemeClr>
            </a:solidFill>
            <a:ln>
              <a:noFill/>
            </a:ln>
            <a:effectLst/>
          </c:spPr>
          <c:invertIfNegative val="0"/>
          <c:cat>
            <c:numRef>
              <c:f>izdatki!$H$38:$O$38</c:f>
              <c:numCache>
                <c:formatCode>General</c:formatCode>
                <c:ptCount val="8"/>
                <c:pt idx="0">
                  <c:v>2015</c:v>
                </c:pt>
                <c:pt idx="1">
                  <c:v>2016</c:v>
                </c:pt>
                <c:pt idx="2">
                  <c:v>2017</c:v>
                </c:pt>
                <c:pt idx="3">
                  <c:v>2018</c:v>
                </c:pt>
                <c:pt idx="4">
                  <c:v>2019</c:v>
                </c:pt>
                <c:pt idx="5">
                  <c:v>2020</c:v>
                </c:pt>
                <c:pt idx="6">
                  <c:v>2021</c:v>
                </c:pt>
                <c:pt idx="7">
                  <c:v>2022</c:v>
                </c:pt>
              </c:numCache>
            </c:numRef>
          </c:cat>
          <c:val>
            <c:numRef>
              <c:f>izdatki!$H$42:$O$42</c:f>
              <c:numCache>
                <c:formatCode>#,##0.0</c:formatCode>
                <c:ptCount val="8"/>
                <c:pt idx="0">
                  <c:v>4.6932297112122745</c:v>
                </c:pt>
                <c:pt idx="1">
                  <c:v>3.1066887881379532</c:v>
                </c:pt>
                <c:pt idx="2">
                  <c:v>3.096718315645516</c:v>
                </c:pt>
                <c:pt idx="3">
                  <c:v>3.6183623005324557</c:v>
                </c:pt>
                <c:pt idx="4">
                  <c:v>4.0957220243077046</c:v>
                </c:pt>
                <c:pt idx="5">
                  <c:v>4.1340087774559597</c:v>
                </c:pt>
                <c:pt idx="6">
                  <c:v>4.0625298266585368</c:v>
                </c:pt>
                <c:pt idx="7">
                  <c:v>4.0989950843850496</c:v>
                </c:pt>
              </c:numCache>
            </c:numRef>
          </c:val>
          <c:extLst xmlns:c16r2="http://schemas.microsoft.com/office/drawing/2015/06/chart">
            <c:ext xmlns:c16="http://schemas.microsoft.com/office/drawing/2014/chart" uri="{C3380CC4-5D6E-409C-BE32-E72D297353CC}">
              <c16:uniqueId val="{00000003-DDB6-4160-BD0C-B5BC32E00D96}"/>
            </c:ext>
          </c:extLst>
        </c:ser>
        <c:ser>
          <c:idx val="4"/>
          <c:order val="4"/>
          <c:tx>
            <c:strRef>
              <c:f>izdatki!$G$43</c:f>
              <c:strCache>
                <c:ptCount val="1"/>
                <c:pt idx="0">
                  <c:v>Odhodki za obresti</c:v>
                </c:pt>
              </c:strCache>
            </c:strRef>
          </c:tx>
          <c:spPr>
            <a:solidFill>
              <a:schemeClr val="tx2">
                <a:lumMod val="60000"/>
                <a:lumOff val="40000"/>
              </a:schemeClr>
            </a:solidFill>
            <a:ln>
              <a:noFill/>
            </a:ln>
            <a:effectLst/>
          </c:spPr>
          <c:invertIfNegative val="0"/>
          <c:cat>
            <c:numRef>
              <c:f>izdatki!$H$38:$O$38</c:f>
              <c:numCache>
                <c:formatCode>General</c:formatCode>
                <c:ptCount val="8"/>
                <c:pt idx="0">
                  <c:v>2015</c:v>
                </c:pt>
                <c:pt idx="1">
                  <c:v>2016</c:v>
                </c:pt>
                <c:pt idx="2">
                  <c:v>2017</c:v>
                </c:pt>
                <c:pt idx="3">
                  <c:v>2018</c:v>
                </c:pt>
                <c:pt idx="4">
                  <c:v>2019</c:v>
                </c:pt>
                <c:pt idx="5">
                  <c:v>2020</c:v>
                </c:pt>
                <c:pt idx="6">
                  <c:v>2021</c:v>
                </c:pt>
                <c:pt idx="7">
                  <c:v>2022</c:v>
                </c:pt>
              </c:numCache>
            </c:numRef>
          </c:cat>
          <c:val>
            <c:numRef>
              <c:f>izdatki!$H$43:$O$43</c:f>
              <c:numCache>
                <c:formatCode>#,##0.0</c:formatCode>
                <c:ptCount val="8"/>
                <c:pt idx="0">
                  <c:v>3.2210035521714611</c:v>
                </c:pt>
                <c:pt idx="1">
                  <c:v>3.0230292772759939</c:v>
                </c:pt>
                <c:pt idx="2">
                  <c:v>2.4915424009540801</c:v>
                </c:pt>
                <c:pt idx="3">
                  <c:v>1.9816741976119949</c:v>
                </c:pt>
                <c:pt idx="4">
                  <c:v>1.6301122925421676</c:v>
                </c:pt>
                <c:pt idx="5">
                  <c:v>1.4719131582131555</c:v>
                </c:pt>
                <c:pt idx="6">
                  <c:v>1.3119725243505693</c:v>
                </c:pt>
                <c:pt idx="7">
                  <c:v>1.1611147607701182</c:v>
                </c:pt>
              </c:numCache>
            </c:numRef>
          </c:val>
          <c:extLst xmlns:c16r2="http://schemas.microsoft.com/office/drawing/2015/06/chart">
            <c:ext xmlns:c16="http://schemas.microsoft.com/office/drawing/2014/chart" uri="{C3380CC4-5D6E-409C-BE32-E72D297353CC}">
              <c16:uniqueId val="{00000004-DDB6-4160-BD0C-B5BC32E00D96}"/>
            </c:ext>
          </c:extLst>
        </c:ser>
        <c:dLbls>
          <c:showLegendKey val="0"/>
          <c:showVal val="0"/>
          <c:showCatName val="0"/>
          <c:showSerName val="0"/>
          <c:showPercent val="0"/>
          <c:showBubbleSize val="0"/>
        </c:dLbls>
        <c:gapWidth val="150"/>
        <c:overlap val="100"/>
        <c:axId val="129284352"/>
        <c:axId val="129286144"/>
      </c:barChart>
      <c:catAx>
        <c:axId val="12928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9286144"/>
        <c:crosses val="autoZero"/>
        <c:auto val="1"/>
        <c:lblAlgn val="ctr"/>
        <c:lblOffset val="100"/>
        <c:noMultiLvlLbl val="0"/>
      </c:catAx>
      <c:valAx>
        <c:axId val="12928614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sl-SI"/>
                  <a:t>v % BDP</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928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48811606882473"/>
          <c:y val="6.8097966412734981E-2"/>
          <c:w val="0.86274004811898508"/>
          <c:h val="0.71985480538336966"/>
        </c:manualLayout>
      </c:layout>
      <c:barChart>
        <c:barDir val="col"/>
        <c:grouping val="clustered"/>
        <c:varyColors val="0"/>
        <c:ser>
          <c:idx val="0"/>
          <c:order val="0"/>
          <c:tx>
            <c:strRef>
              <c:f>Sheet1!$A$2</c:f>
              <c:strCache>
                <c:ptCount val="1"/>
                <c:pt idx="0">
                  <c:v>Dolg sektor država (ESA 2010)</c:v>
                </c:pt>
              </c:strCache>
            </c:strRef>
          </c:tx>
          <c:spPr>
            <a:solidFill>
              <a:schemeClr val="accent1">
                <a:lumMod val="75000"/>
              </a:schemeClr>
            </a:solidFill>
            <a:ln>
              <a:noFill/>
            </a:ln>
          </c:spPr>
          <c:invertIfNegative val="0"/>
          <c:cat>
            <c:strRef>
              <c:f>Sheet1!$B$1:$I$1</c:f>
              <c:strCache>
                <c:ptCount val="8"/>
                <c:pt idx="0">
                  <c:v>2015</c:v>
                </c:pt>
                <c:pt idx="1">
                  <c:v>2016</c:v>
                </c:pt>
                <c:pt idx="2">
                  <c:v>2017</c:v>
                </c:pt>
                <c:pt idx="3">
                  <c:v>2018</c:v>
                </c:pt>
                <c:pt idx="4">
                  <c:v>2019</c:v>
                </c:pt>
                <c:pt idx="5">
                  <c:v>2020</c:v>
                </c:pt>
                <c:pt idx="6">
                  <c:v>2021</c:v>
                </c:pt>
                <c:pt idx="7">
                  <c:v>2022</c:v>
                </c:pt>
              </c:strCache>
            </c:strRef>
          </c:cat>
          <c:val>
            <c:numRef>
              <c:f>Sheet1!$B$2:$I$2</c:f>
              <c:numCache>
                <c:formatCode>0.00%</c:formatCode>
                <c:ptCount val="8"/>
                <c:pt idx="0">
                  <c:v>0.82599999999999996</c:v>
                </c:pt>
                <c:pt idx="1">
                  <c:v>0.78700000000000003</c:v>
                </c:pt>
                <c:pt idx="2">
                  <c:v>0.74099999999999999</c:v>
                </c:pt>
                <c:pt idx="3">
                  <c:v>0.70099999999999996</c:v>
                </c:pt>
                <c:pt idx="4">
                  <c:v>0.65400000000000003</c:v>
                </c:pt>
                <c:pt idx="5">
                  <c:v>0.61299999999999999</c:v>
                </c:pt>
                <c:pt idx="6">
                  <c:v>0.57899999999999996</c:v>
                </c:pt>
                <c:pt idx="7">
                  <c:v>0.54700000000000004</c:v>
                </c:pt>
              </c:numCache>
            </c:numRef>
          </c:val>
          <c:extLst xmlns:c16r2="http://schemas.microsoft.com/office/drawing/2015/06/chart">
            <c:ext xmlns:c16="http://schemas.microsoft.com/office/drawing/2014/chart" uri="{C3380CC4-5D6E-409C-BE32-E72D297353CC}">
              <c16:uniqueId val="{00000000-37F8-4F63-8EB3-4B0764057483}"/>
            </c:ext>
          </c:extLst>
        </c:ser>
        <c:dLbls>
          <c:showLegendKey val="0"/>
          <c:showVal val="0"/>
          <c:showCatName val="0"/>
          <c:showSerName val="0"/>
          <c:showPercent val="0"/>
          <c:showBubbleSize val="0"/>
        </c:dLbls>
        <c:gapWidth val="150"/>
        <c:axId val="129729280"/>
        <c:axId val="129730816"/>
      </c:barChart>
      <c:lineChart>
        <c:grouping val="standard"/>
        <c:varyColors val="0"/>
        <c:ser>
          <c:idx val="1"/>
          <c:order val="1"/>
          <c:tx>
            <c:strRef>
              <c:f>Sheet1!$A$3</c:f>
              <c:strCache>
                <c:ptCount val="1"/>
                <c:pt idx="0">
                  <c:v>Ciklično prilagojen dolg sektor država/BDP</c:v>
                </c:pt>
              </c:strCache>
            </c:strRef>
          </c:tx>
          <c:spPr>
            <a:ln>
              <a:solidFill>
                <a:srgbClr val="C00000"/>
              </a:solidFill>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Sheet1!$B$3:$I$3</c:f>
              <c:numCache>
                <c:formatCode>0.00%</c:formatCode>
                <c:ptCount val="8"/>
                <c:pt idx="1">
                  <c:v>0.7734972016691668</c:v>
                </c:pt>
                <c:pt idx="2">
                  <c:v>0.75507910534109934</c:v>
                </c:pt>
                <c:pt idx="3">
                  <c:v>0.74228867661007902</c:v>
                </c:pt>
              </c:numCache>
            </c:numRef>
          </c:val>
          <c:smooth val="0"/>
          <c:extLst xmlns:c16r2="http://schemas.microsoft.com/office/drawing/2015/06/chart">
            <c:ext xmlns:c16="http://schemas.microsoft.com/office/drawing/2014/chart" uri="{C3380CC4-5D6E-409C-BE32-E72D297353CC}">
              <c16:uniqueId val="{00000001-37F8-4F63-8EB3-4B0764057483}"/>
            </c:ext>
          </c:extLst>
        </c:ser>
        <c:ser>
          <c:idx val="2"/>
          <c:order val="2"/>
          <c:tx>
            <c:strRef>
              <c:f>Sheet1!$A$4</c:f>
              <c:strCache>
                <c:ptCount val="1"/>
                <c:pt idx="0">
                  <c:v>Dolg sektor država/BDP (backward-looking)</c:v>
                </c:pt>
              </c:strCache>
            </c:strRef>
          </c:tx>
          <c:spPr>
            <a:ln>
              <a:solidFill>
                <a:schemeClr val="bg2">
                  <a:lumMod val="10000"/>
                </a:schemeClr>
              </a:solidFill>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Sheet1!$B$4:$I$4</c:f>
              <c:numCache>
                <c:formatCode>0.00%</c:formatCode>
                <c:ptCount val="8"/>
                <c:pt idx="1">
                  <c:v>0.76235816666666667</c:v>
                </c:pt>
                <c:pt idx="2">
                  <c:v>0.78522070833333335</c:v>
                </c:pt>
                <c:pt idx="3">
                  <c:v>0.76549475</c:v>
                </c:pt>
                <c:pt idx="4">
                  <c:v>0.72784387500000003</c:v>
                </c:pt>
                <c:pt idx="5">
                  <c:v>0.68778079166666661</c:v>
                </c:pt>
              </c:numCache>
            </c:numRef>
          </c:val>
          <c:smooth val="0"/>
          <c:extLst xmlns:c16r2="http://schemas.microsoft.com/office/drawing/2015/06/chart">
            <c:ext xmlns:c16="http://schemas.microsoft.com/office/drawing/2014/chart" uri="{C3380CC4-5D6E-409C-BE32-E72D297353CC}">
              <c16:uniqueId val="{00000002-37F8-4F63-8EB3-4B0764057483}"/>
            </c:ext>
          </c:extLst>
        </c:ser>
        <c:ser>
          <c:idx val="3"/>
          <c:order val="3"/>
          <c:tx>
            <c:strRef>
              <c:f>Sheet1!$A$5</c:f>
              <c:strCache>
                <c:ptCount val="1"/>
                <c:pt idx="0">
                  <c:v>M - 60% BDP</c:v>
                </c:pt>
              </c:strCache>
            </c:strRef>
          </c:tx>
          <c:spPr>
            <a:ln w="28575">
              <a:solidFill>
                <a:srgbClr val="C00000"/>
              </a:solidFill>
              <a:prstDash val="sysDot"/>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Sheet1!$B$5:$I$5</c:f>
              <c:numCache>
                <c:formatCode>0.00%</c:formatCode>
                <c:ptCount val="8"/>
                <c:pt idx="0">
                  <c:v>0.6</c:v>
                </c:pt>
                <c:pt idx="1">
                  <c:v>0.6</c:v>
                </c:pt>
                <c:pt idx="2">
                  <c:v>0.6</c:v>
                </c:pt>
                <c:pt idx="3">
                  <c:v>0.6</c:v>
                </c:pt>
                <c:pt idx="4">
                  <c:v>0.6</c:v>
                </c:pt>
                <c:pt idx="5">
                  <c:v>0.6</c:v>
                </c:pt>
                <c:pt idx="6">
                  <c:v>0.6</c:v>
                </c:pt>
                <c:pt idx="7">
                  <c:v>0.6</c:v>
                </c:pt>
              </c:numCache>
            </c:numRef>
          </c:val>
          <c:smooth val="0"/>
          <c:extLst xmlns:c16r2="http://schemas.microsoft.com/office/drawing/2015/06/chart">
            <c:ext xmlns:c16="http://schemas.microsoft.com/office/drawing/2014/chart" uri="{C3380CC4-5D6E-409C-BE32-E72D297353CC}">
              <c16:uniqueId val="{00000003-37F8-4F63-8EB3-4B0764057483}"/>
            </c:ext>
          </c:extLst>
        </c:ser>
        <c:dLbls>
          <c:showLegendKey val="0"/>
          <c:showVal val="0"/>
          <c:showCatName val="0"/>
          <c:showSerName val="0"/>
          <c:showPercent val="0"/>
          <c:showBubbleSize val="0"/>
        </c:dLbls>
        <c:marker val="1"/>
        <c:smooth val="0"/>
        <c:axId val="129729280"/>
        <c:axId val="129730816"/>
      </c:lineChart>
      <c:catAx>
        <c:axId val="129729280"/>
        <c:scaling>
          <c:orientation val="minMax"/>
        </c:scaling>
        <c:delete val="0"/>
        <c:axPos val="b"/>
        <c:majorGridlines>
          <c:spPr>
            <a:ln w="6350">
              <a:prstDash val="dash"/>
            </a:ln>
          </c:spPr>
        </c:majorGridlines>
        <c:numFmt formatCode="General" sourceLinked="0"/>
        <c:majorTickMark val="out"/>
        <c:minorTickMark val="none"/>
        <c:tickLblPos val="nextTo"/>
        <c:crossAx val="129730816"/>
        <c:crosses val="autoZero"/>
        <c:auto val="1"/>
        <c:lblAlgn val="ctr"/>
        <c:lblOffset val="100"/>
        <c:noMultiLvlLbl val="0"/>
      </c:catAx>
      <c:valAx>
        <c:axId val="129730816"/>
        <c:scaling>
          <c:orientation val="minMax"/>
          <c:min val="0.5"/>
        </c:scaling>
        <c:delete val="0"/>
        <c:axPos val="l"/>
        <c:majorGridlines>
          <c:spPr>
            <a:ln w="6350">
              <a:prstDash val="dash"/>
            </a:ln>
          </c:spPr>
        </c:majorGridlines>
        <c:title>
          <c:tx>
            <c:rich>
              <a:bodyPr rot="-5400000" vert="horz"/>
              <a:lstStyle/>
              <a:p>
                <a:pPr>
                  <a:defRPr/>
                </a:pPr>
                <a:r>
                  <a:rPr lang="sl-SI"/>
                  <a:t>% </a:t>
                </a:r>
                <a:r>
                  <a:rPr lang="sl-SI" b="0"/>
                  <a:t>BDP</a:t>
                </a:r>
              </a:p>
            </c:rich>
          </c:tx>
          <c:layout>
            <c:manualLayout>
              <c:xMode val="edge"/>
              <c:yMode val="edge"/>
              <c:x val="0"/>
              <c:y val="0.39002512983749371"/>
            </c:manualLayout>
          </c:layout>
          <c:overlay val="0"/>
        </c:title>
        <c:numFmt formatCode="0%" sourceLinked="0"/>
        <c:majorTickMark val="out"/>
        <c:minorTickMark val="none"/>
        <c:tickLblPos val="nextTo"/>
        <c:crossAx val="129729280"/>
        <c:crosses val="autoZero"/>
        <c:crossBetween val="between"/>
      </c:valAx>
    </c:plotArea>
    <c:legend>
      <c:legendPos val="r"/>
      <c:layout>
        <c:manualLayout>
          <c:xMode val="edge"/>
          <c:yMode val="edge"/>
          <c:x val="0"/>
          <c:y val="0.86727181226240524"/>
          <c:w val="1"/>
          <c:h val="0.11114843357346289"/>
        </c:manualLayout>
      </c:layout>
      <c:overlay val="0"/>
      <c:spPr>
        <a:solidFill>
          <a:schemeClr val="bg1"/>
        </a:solidFill>
      </c:spPr>
    </c:legend>
    <c:plotVisOnly val="1"/>
    <c:dispBlanksAs val="gap"/>
    <c:showDLblsOverMax val="0"/>
  </c:chart>
  <c:spPr>
    <a:ln>
      <a:noFill/>
    </a:ln>
  </c:spPr>
  <c:txPr>
    <a:bodyPr/>
    <a:lstStyle/>
    <a:p>
      <a:pPr>
        <a:defRPr sz="8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48673082531348"/>
          <c:y val="3.9747064137308039E-2"/>
          <c:w val="0.83551326917468649"/>
          <c:h val="0.74246138587515276"/>
        </c:manualLayout>
      </c:layout>
      <c:barChart>
        <c:barDir val="col"/>
        <c:grouping val="clustered"/>
        <c:varyColors val="0"/>
        <c:ser>
          <c:idx val="1"/>
          <c:order val="0"/>
          <c:tx>
            <c:strRef>
              <c:f>'Sheet0 (2)'!$A$6</c:f>
              <c:strCache>
                <c:ptCount val="1"/>
                <c:pt idx="0">
                  <c:v>Euro area (19 countries)</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 (2)'!$L$4:$N$4</c:f>
              <c:strCache>
                <c:ptCount val="3"/>
                <c:pt idx="0">
                  <c:v>2015</c:v>
                </c:pt>
                <c:pt idx="1">
                  <c:v>2016</c:v>
                </c:pt>
                <c:pt idx="2">
                  <c:v>2017</c:v>
                </c:pt>
              </c:strCache>
            </c:strRef>
          </c:cat>
          <c:val>
            <c:numRef>
              <c:f>'Sheet0 (2)'!$L$6:$N$6</c:f>
              <c:numCache>
                <c:formatCode>General</c:formatCode>
                <c:ptCount val="3"/>
                <c:pt idx="0">
                  <c:v>107.1</c:v>
                </c:pt>
                <c:pt idx="1">
                  <c:v>107.2</c:v>
                </c:pt>
                <c:pt idx="2">
                  <c:v>106.9</c:v>
                </c:pt>
              </c:numCache>
            </c:numRef>
          </c:val>
          <c:extLst xmlns:c16r2="http://schemas.microsoft.com/office/drawing/2015/06/chart">
            <c:ext xmlns:c16="http://schemas.microsoft.com/office/drawing/2014/chart" uri="{C3380CC4-5D6E-409C-BE32-E72D297353CC}">
              <c16:uniqueId val="{00000000-85B2-455A-BF16-1291B9104851}"/>
            </c:ext>
          </c:extLst>
        </c:ser>
        <c:ser>
          <c:idx val="2"/>
          <c:order val="1"/>
          <c:tx>
            <c:strRef>
              <c:f>'Sheet0 (2)'!$A$7</c:f>
              <c:strCache>
                <c:ptCount val="1"/>
                <c:pt idx="0">
                  <c:v>Slovenia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 (2)'!$L$4:$N$4</c:f>
              <c:strCache>
                <c:ptCount val="3"/>
                <c:pt idx="0">
                  <c:v>2015</c:v>
                </c:pt>
                <c:pt idx="1">
                  <c:v>2016</c:v>
                </c:pt>
                <c:pt idx="2">
                  <c:v>2017</c:v>
                </c:pt>
              </c:strCache>
            </c:strRef>
          </c:cat>
          <c:val>
            <c:numRef>
              <c:f>'Sheet0 (2)'!$L$7:$N$7</c:f>
              <c:numCache>
                <c:formatCode>General</c:formatCode>
                <c:ptCount val="3"/>
                <c:pt idx="0">
                  <c:v>80.5</c:v>
                </c:pt>
                <c:pt idx="1">
                  <c:v>80.7</c:v>
                </c:pt>
                <c:pt idx="2">
                  <c:v>81.900000000000006</c:v>
                </c:pt>
              </c:numCache>
            </c:numRef>
          </c:val>
          <c:extLst xmlns:c16r2="http://schemas.microsoft.com/office/drawing/2015/06/chart">
            <c:ext xmlns:c16="http://schemas.microsoft.com/office/drawing/2014/chart" uri="{C3380CC4-5D6E-409C-BE32-E72D297353CC}">
              <c16:uniqueId val="{00000001-85B2-455A-BF16-1291B9104851}"/>
            </c:ext>
          </c:extLst>
        </c:ser>
        <c:dLbls>
          <c:showLegendKey val="0"/>
          <c:showVal val="0"/>
          <c:showCatName val="0"/>
          <c:showSerName val="0"/>
          <c:showPercent val="0"/>
          <c:showBubbleSize val="0"/>
        </c:dLbls>
        <c:gapWidth val="219"/>
        <c:overlap val="-27"/>
        <c:axId val="61659392"/>
        <c:axId val="35532800"/>
      </c:barChart>
      <c:scatterChart>
        <c:scatterStyle val="lineMarker"/>
        <c:varyColors val="0"/>
        <c:ser>
          <c:idx val="0"/>
          <c:order val="2"/>
          <c:tx>
            <c:strRef>
              <c:f>'Sheet0 (2)'!$C$9</c:f>
              <c:strCache>
                <c:ptCount val="1"/>
                <c:pt idx="0">
                  <c:v>EU = 100</c:v>
                </c:pt>
              </c:strCache>
            </c:strRef>
          </c:tx>
          <c:spPr>
            <a:ln w="28575" cap="rnd">
              <a:solidFill>
                <a:schemeClr val="accent2">
                  <a:lumMod val="75000"/>
                </a:schemeClr>
              </a:solidFill>
              <a:round/>
            </a:ln>
            <a:effectLst/>
          </c:spPr>
          <c:marker>
            <c:symbol val="none"/>
          </c:marker>
          <c:xVal>
            <c:numRef>
              <c:f>'Sheet0 (2)'!$B$10:$B$11</c:f>
              <c:numCache>
                <c:formatCode>General</c:formatCode>
                <c:ptCount val="2"/>
                <c:pt idx="0">
                  <c:v>0</c:v>
                </c:pt>
                <c:pt idx="1">
                  <c:v>1</c:v>
                </c:pt>
              </c:numCache>
            </c:numRef>
          </c:xVal>
          <c:yVal>
            <c:numRef>
              <c:f>'Sheet0 (2)'!$C$10:$C$11</c:f>
              <c:numCache>
                <c:formatCode>General</c:formatCode>
                <c:ptCount val="2"/>
                <c:pt idx="0">
                  <c:v>100</c:v>
                </c:pt>
                <c:pt idx="1">
                  <c:v>100</c:v>
                </c:pt>
              </c:numCache>
            </c:numRef>
          </c:yVal>
          <c:smooth val="0"/>
          <c:extLst xmlns:c16r2="http://schemas.microsoft.com/office/drawing/2015/06/chart">
            <c:ext xmlns:c16="http://schemas.microsoft.com/office/drawing/2014/chart" uri="{C3380CC4-5D6E-409C-BE32-E72D297353CC}">
              <c16:uniqueId val="{00000002-85B2-455A-BF16-1291B9104851}"/>
            </c:ext>
          </c:extLst>
        </c:ser>
        <c:dLbls>
          <c:showLegendKey val="0"/>
          <c:showVal val="0"/>
          <c:showCatName val="0"/>
          <c:showSerName val="0"/>
          <c:showPercent val="0"/>
          <c:showBubbleSize val="0"/>
        </c:dLbls>
        <c:axId val="35536256"/>
        <c:axId val="35534720"/>
      </c:scatterChart>
      <c:catAx>
        <c:axId val="61659392"/>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532800"/>
        <c:crosses val="autoZero"/>
        <c:auto val="1"/>
        <c:lblAlgn val="ctr"/>
        <c:lblOffset val="100"/>
        <c:tickLblSkip val="1"/>
        <c:noMultiLvlLbl val="0"/>
      </c:catAx>
      <c:valAx>
        <c:axId val="35532800"/>
        <c:scaling>
          <c:orientation val="minMax"/>
          <c:max val="115"/>
          <c:min val="7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sl-SI"/>
                  <a:t>Indeks  EU=100</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659392"/>
        <c:crosses val="autoZero"/>
        <c:crossBetween val="between"/>
      </c:valAx>
      <c:valAx>
        <c:axId val="35534720"/>
        <c:scaling>
          <c:orientation val="minMax"/>
        </c:scaling>
        <c:delete val="1"/>
        <c:axPos val="r"/>
        <c:numFmt formatCode="General" sourceLinked="1"/>
        <c:majorTickMark val="out"/>
        <c:minorTickMark val="none"/>
        <c:tickLblPos val="nextTo"/>
        <c:crossAx val="35536256"/>
        <c:crosses val="max"/>
        <c:crossBetween val="midCat"/>
      </c:valAx>
      <c:valAx>
        <c:axId val="35536256"/>
        <c:scaling>
          <c:orientation val="minMax"/>
          <c:max val="1"/>
        </c:scaling>
        <c:delete val="1"/>
        <c:axPos val="t"/>
        <c:numFmt formatCode="General" sourceLinked="1"/>
        <c:majorTickMark val="out"/>
        <c:minorTickMark val="none"/>
        <c:tickLblPos val="nextTo"/>
        <c:crossAx val="35534720"/>
        <c:crosses val="max"/>
        <c:crossBetween val="midCat"/>
      </c:valAx>
      <c:spPr>
        <a:noFill/>
        <a:ln>
          <a:noFill/>
        </a:ln>
        <a:effectLst/>
      </c:spPr>
    </c:plotArea>
    <c:legend>
      <c:legendPos val="b"/>
      <c:layout>
        <c:manualLayout>
          <c:xMode val="edge"/>
          <c:yMode val="edge"/>
          <c:x val="0"/>
          <c:y val="0.89631263833956243"/>
          <c:w val="0.96172839506172836"/>
          <c:h val="0.103687361660437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11293716625481E-2"/>
          <c:y val="4.7658652758956019E-2"/>
          <c:w val="0.88706659608895688"/>
          <c:h val="0.73504218577642033"/>
        </c:manualLayout>
      </c:layout>
      <c:barChart>
        <c:barDir val="col"/>
        <c:grouping val="clustered"/>
        <c:varyColors val="0"/>
        <c:ser>
          <c:idx val="0"/>
          <c:order val="0"/>
          <c:tx>
            <c:strRef>
              <c:f>Sheet1!$B$1</c:f>
              <c:strCache>
                <c:ptCount val="1"/>
                <c:pt idx="0">
                  <c:v>Obdobje 2015-E2018</c:v>
                </c:pt>
              </c:strCache>
            </c:strRef>
          </c:tx>
          <c:spPr>
            <a:solidFill>
              <a:schemeClr val="accent1">
                <a:lumMod val="60000"/>
                <a:lumOff val="40000"/>
              </a:schemeClr>
            </a:solidFill>
          </c:spPr>
          <c:invertIfNegative val="0"/>
          <c:dPt>
            <c:idx val="0"/>
            <c:invertIfNegative val="0"/>
            <c:bubble3D val="0"/>
            <c:extLst xmlns:c16r2="http://schemas.microsoft.com/office/drawing/2015/06/chart">
              <c:ext xmlns:c16="http://schemas.microsoft.com/office/drawing/2014/chart" uri="{C3380CC4-5D6E-409C-BE32-E72D297353CC}">
                <c16:uniqueId val="{00000001-738B-43C1-865F-971BE0FAD632}"/>
              </c:ext>
            </c:extLst>
          </c:dPt>
          <c:dPt>
            <c:idx val="1"/>
            <c:invertIfNegative val="0"/>
            <c:bubble3D val="0"/>
            <c:spPr>
              <a:solidFill>
                <a:schemeClr val="accent1">
                  <a:lumMod val="75000"/>
                </a:schemeClr>
              </a:solidFill>
            </c:spPr>
            <c:extLst xmlns:c16r2="http://schemas.microsoft.com/office/drawing/2015/06/chart">
              <c:ext xmlns:c16="http://schemas.microsoft.com/office/drawing/2014/chart" uri="{C3380CC4-5D6E-409C-BE32-E72D297353CC}">
                <c16:uniqueId val="{00000003-738B-43C1-865F-971BE0FAD632}"/>
              </c:ext>
            </c:extLst>
          </c:dPt>
          <c:dPt>
            <c:idx val="2"/>
            <c:invertIfNegative val="0"/>
            <c:bubble3D val="0"/>
            <c:extLst xmlns:c16r2="http://schemas.microsoft.com/office/drawing/2015/06/chart">
              <c:ext xmlns:c16="http://schemas.microsoft.com/office/drawing/2014/chart" uri="{C3380CC4-5D6E-409C-BE32-E72D297353CC}">
                <c16:uniqueId val="{00000004-738B-43C1-865F-971BE0FAD632}"/>
              </c:ext>
            </c:extLst>
          </c:dPt>
          <c:cat>
            <c:strRef>
              <c:f>Sheet1!$A$2:$A$22</c:f>
              <c:strCache>
                <c:ptCount val="21"/>
                <c:pt idx="0">
                  <c:v>Irska</c:v>
                </c:pt>
                <c:pt idx="1">
                  <c:v>Slovenija</c:v>
                </c:pt>
                <c:pt idx="2">
                  <c:v>Nizozemska</c:v>
                </c:pt>
                <c:pt idx="3">
                  <c:v>Malta</c:v>
                </c:pt>
                <c:pt idx="4">
                  <c:v>Nemčija</c:v>
                </c:pt>
                <c:pt idx="5">
                  <c:v>Avstrija</c:v>
                </c:pt>
                <c:pt idx="6">
                  <c:v>Litva</c:v>
                </c:pt>
                <c:pt idx="7">
                  <c:v>Portugalska</c:v>
                </c:pt>
                <c:pt idx="8">
                  <c:v>Belgija</c:v>
                </c:pt>
                <c:pt idx="9">
                  <c:v>EU-28</c:v>
                </c:pt>
                <c:pt idx="10">
                  <c:v>Finska</c:v>
                </c:pt>
                <c:pt idx="11">
                  <c:v>Slovaška</c:v>
                </c:pt>
                <c:pt idx="12">
                  <c:v>EA-19</c:v>
                </c:pt>
                <c:pt idx="13">
                  <c:v>Ciper</c:v>
                </c:pt>
                <c:pt idx="14">
                  <c:v>Španija</c:v>
                </c:pt>
                <c:pt idx="15">
                  <c:v>Estonija</c:v>
                </c:pt>
                <c:pt idx="16">
                  <c:v>Luksemburg</c:v>
                </c:pt>
                <c:pt idx="17">
                  <c:v>Italija</c:v>
                </c:pt>
                <c:pt idx="18">
                  <c:v>Latvija</c:v>
                </c:pt>
                <c:pt idx="19">
                  <c:v>Francija</c:v>
                </c:pt>
                <c:pt idx="20">
                  <c:v>Grčija</c:v>
                </c:pt>
              </c:strCache>
            </c:strRef>
          </c:cat>
          <c:val>
            <c:numRef>
              <c:f>Sheet1!$B$2:$B$22</c:f>
              <c:numCache>
                <c:formatCode>General</c:formatCode>
                <c:ptCount val="21"/>
                <c:pt idx="0">
                  <c:v>-12.899999999999999</c:v>
                </c:pt>
                <c:pt idx="1">
                  <c:v>-12.399999999999991</c:v>
                </c:pt>
                <c:pt idx="2">
                  <c:v>-11.399999999999991</c:v>
                </c:pt>
                <c:pt idx="3">
                  <c:v>-10.700000000000003</c:v>
                </c:pt>
                <c:pt idx="4">
                  <c:v>-10.699999999999996</c:v>
                </c:pt>
                <c:pt idx="5">
                  <c:v>-10.299999999999997</c:v>
                </c:pt>
                <c:pt idx="6">
                  <c:v>-7.8000000000000043</c:v>
                </c:pt>
                <c:pt idx="7">
                  <c:v>-7.3000000000000114</c:v>
                </c:pt>
                <c:pt idx="8">
                  <c:v>-5.0999999999999943</c:v>
                </c:pt>
                <c:pt idx="9">
                  <c:v>-3.8000000000000114</c:v>
                </c:pt>
                <c:pt idx="10">
                  <c:v>-3.8000000000000043</c:v>
                </c:pt>
                <c:pt idx="11">
                  <c:v>-3.4000000000000057</c:v>
                </c:pt>
                <c:pt idx="12">
                  <c:v>-3</c:v>
                </c:pt>
                <c:pt idx="13">
                  <c:v>-3</c:v>
                </c:pt>
                <c:pt idx="14">
                  <c:v>-2.3999999999999915</c:v>
                </c:pt>
                <c:pt idx="15">
                  <c:v>-1.9000000000000004</c:v>
                </c:pt>
                <c:pt idx="16">
                  <c:v>-0.80000000000000071</c:v>
                </c:pt>
                <c:pt idx="17">
                  <c:v>-0.5</c:v>
                </c:pt>
                <c:pt idx="18">
                  <c:v>0.30000000000000426</c:v>
                </c:pt>
                <c:pt idx="19">
                  <c:v>3.1000000000000085</c:v>
                </c:pt>
                <c:pt idx="20">
                  <c:v>6.5999999999999943</c:v>
                </c:pt>
              </c:numCache>
            </c:numRef>
          </c:val>
          <c:extLst xmlns:c16r2="http://schemas.microsoft.com/office/drawing/2015/06/chart">
            <c:ext xmlns:c16="http://schemas.microsoft.com/office/drawing/2014/chart" uri="{C3380CC4-5D6E-409C-BE32-E72D297353CC}">
              <c16:uniqueId val="{00000005-738B-43C1-865F-971BE0FAD632}"/>
            </c:ext>
          </c:extLst>
        </c:ser>
        <c:dLbls>
          <c:showLegendKey val="0"/>
          <c:showVal val="0"/>
          <c:showCatName val="0"/>
          <c:showSerName val="0"/>
          <c:showPercent val="0"/>
          <c:showBubbleSize val="0"/>
        </c:dLbls>
        <c:gapWidth val="80"/>
        <c:axId val="129754240"/>
        <c:axId val="129755776"/>
      </c:barChart>
      <c:catAx>
        <c:axId val="129754240"/>
        <c:scaling>
          <c:orientation val="minMax"/>
        </c:scaling>
        <c:delete val="0"/>
        <c:axPos val="b"/>
        <c:numFmt formatCode="General" sourceLinked="0"/>
        <c:majorTickMark val="out"/>
        <c:minorTickMark val="none"/>
        <c:tickLblPos val="low"/>
        <c:spPr>
          <a:ln>
            <a:solidFill>
              <a:srgbClr val="000000"/>
            </a:solidFill>
          </a:ln>
        </c:spPr>
        <c:txPr>
          <a:bodyPr rot="-5400000" vert="horz"/>
          <a:lstStyle/>
          <a:p>
            <a:pPr rtl="0">
              <a:defRPr sz="800">
                <a:solidFill>
                  <a:schemeClr val="accent5">
                    <a:lumMod val="10000"/>
                  </a:schemeClr>
                </a:solidFill>
                <a:latin typeface="Arial" panose="020B0604020202020204" pitchFamily="34" charset="0"/>
                <a:cs typeface="Arial" panose="020B0604020202020204" pitchFamily="34" charset="0"/>
              </a:defRPr>
            </a:pPr>
            <a:endParaRPr lang="en-US"/>
          </a:p>
        </c:txPr>
        <c:crossAx val="129755776"/>
        <c:crossesAt val="0"/>
        <c:auto val="1"/>
        <c:lblAlgn val="ctr"/>
        <c:lblOffset val="100"/>
        <c:noMultiLvlLbl val="0"/>
      </c:catAx>
      <c:valAx>
        <c:axId val="129755776"/>
        <c:scaling>
          <c:orientation val="minMax"/>
        </c:scaling>
        <c:delete val="0"/>
        <c:axPos val="l"/>
        <c:majorGridlines/>
        <c:title>
          <c:tx>
            <c:rich>
              <a:bodyPr rot="-5400000" vert="horz"/>
              <a:lstStyle/>
              <a:p>
                <a:pPr rtl="0">
                  <a:defRPr sz="900">
                    <a:solidFill>
                      <a:schemeClr val="accent5">
                        <a:lumMod val="10000"/>
                      </a:schemeClr>
                    </a:solidFill>
                  </a:defRPr>
                </a:pPr>
                <a:r>
                  <a:rPr lang="sl-SI" sz="900" b="0" i="0" u="none" baseline="0">
                    <a:solidFill>
                      <a:schemeClr val="accent5">
                        <a:lumMod val="10000"/>
                      </a:schemeClr>
                    </a:solidFill>
                  </a:rPr>
                  <a:t>o</a:t>
                </a:r>
                <a:r>
                  <a:rPr lang="en-GB" sz="900" b="0" i="0" u="none" baseline="0">
                    <a:solidFill>
                      <a:schemeClr val="accent5">
                        <a:lumMod val="10000"/>
                      </a:schemeClr>
                    </a:solidFill>
                  </a:rPr>
                  <a:t>.</a:t>
                </a:r>
                <a:r>
                  <a:rPr lang="sl-SI" sz="900" b="0" i="0" u="none" baseline="0">
                    <a:solidFill>
                      <a:schemeClr val="accent5">
                        <a:lumMod val="10000"/>
                      </a:schemeClr>
                    </a:solidFill>
                  </a:rPr>
                  <a:t>t</a:t>
                </a:r>
                <a:r>
                  <a:rPr lang="en-GB" sz="900" b="0" i="0" u="none" baseline="0">
                    <a:solidFill>
                      <a:schemeClr val="accent5">
                        <a:lumMod val="10000"/>
                      </a:schemeClr>
                    </a:solidFill>
                  </a:rPr>
                  <a:t>. </a:t>
                </a:r>
                <a:r>
                  <a:rPr lang="sl-SI" sz="900" b="0" i="0" u="none" baseline="0">
                    <a:solidFill>
                      <a:schemeClr val="accent5">
                        <a:lumMod val="10000"/>
                      </a:schemeClr>
                    </a:solidFill>
                  </a:rPr>
                  <a:t>BDP</a:t>
                </a:r>
                <a:endParaRPr lang="en-GB" sz="900" b="0" dirty="0">
                  <a:solidFill>
                    <a:schemeClr val="accent5">
                      <a:lumMod val="10000"/>
                    </a:schemeClr>
                  </a:solidFill>
                </a:endParaRPr>
              </a:p>
            </c:rich>
          </c:tx>
          <c:layout>
            <c:manualLayout>
              <c:xMode val="edge"/>
              <c:yMode val="edge"/>
              <c:x val="8.7893040215610615E-3"/>
              <c:y val="0.40086325978289317"/>
            </c:manualLayout>
          </c:layout>
          <c:overlay val="0"/>
        </c:title>
        <c:numFmt formatCode="General" sourceLinked="1"/>
        <c:majorTickMark val="out"/>
        <c:minorTickMark val="none"/>
        <c:tickLblPos val="nextTo"/>
        <c:spPr>
          <a:ln>
            <a:solidFill>
              <a:srgbClr val="000000"/>
            </a:solidFill>
          </a:ln>
        </c:spPr>
        <c:txPr>
          <a:bodyPr/>
          <a:lstStyle/>
          <a:p>
            <a:pPr rtl="0">
              <a:defRPr sz="800">
                <a:solidFill>
                  <a:schemeClr val="accent5">
                    <a:lumMod val="10000"/>
                  </a:schemeClr>
                </a:solidFill>
              </a:defRPr>
            </a:pPr>
            <a:endParaRPr lang="en-US"/>
          </a:p>
        </c:txPr>
        <c:crossAx val="129754240"/>
        <c:crosses val="autoZero"/>
        <c:crossBetween val="between"/>
      </c:valAx>
    </c:plotArea>
    <c:plotVisOnly val="1"/>
    <c:dispBlanksAs val="gap"/>
    <c:showDLblsOverMax val="0"/>
  </c:chart>
  <c:spPr>
    <a:ln>
      <a:noFill/>
    </a:ln>
  </c:spPr>
  <c:txPr>
    <a:bodyPr/>
    <a:lstStyle/>
    <a:p>
      <a:pPr>
        <a:defRPr sz="1800"/>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2707170581177482"/>
          <c:y val="3.5369751842972891E-2"/>
          <c:w val="0.75670759892584294"/>
          <c:h val="0.74565297223838023"/>
        </c:manualLayout>
      </c:layout>
      <c:barChart>
        <c:barDir val="col"/>
        <c:grouping val="stacked"/>
        <c:varyColors val="0"/>
        <c:ser>
          <c:idx val="2"/>
          <c:order val="1"/>
          <c:tx>
            <c:strRef>
              <c:f>Slika4!$E$4</c:f>
              <c:strCache>
                <c:ptCount val="1"/>
                <c:pt idx="0">
                  <c:v>Stanje brez poroštev za obveznosti finančnega sektorja</c:v>
                </c:pt>
              </c:strCache>
            </c:strRef>
          </c:tx>
          <c:spPr>
            <a:solidFill>
              <a:schemeClr val="accent1">
                <a:lumMod val="75000"/>
              </a:schemeClr>
            </a:solidFill>
          </c:spPr>
          <c:invertIfNegative val="0"/>
          <c:dLbls>
            <c:dLbl>
              <c:idx val="6"/>
              <c:layout>
                <c:manualLayout>
                  <c:x val="0"/>
                  <c:y val="-1.0928959397409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AA0-44A5-84B6-9B1BCFB44E7E}"/>
                </c:ext>
              </c:extLst>
            </c:dLbl>
            <c:dLbl>
              <c:idx val="7"/>
              <c:layout>
                <c:manualLayout>
                  <c:x val="0"/>
                  <c:y val="-8.19671954805741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AA0-44A5-84B6-9B1BCFB44E7E}"/>
                </c:ext>
              </c:extLst>
            </c:dLbl>
            <c:dLbl>
              <c:idx val="9"/>
              <c:layout>
                <c:manualLayout>
                  <c:x val="7.178901114521691E-17"/>
                  <c:y val="-1.91256789454672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AA0-44A5-84B6-9B1BCFB44E7E}"/>
                </c:ext>
              </c:extLst>
            </c:dLbl>
            <c:dLbl>
              <c:idx val="10"/>
              <c:layout>
                <c:manualLayout>
                  <c:x val="-1.957904739763627E-3"/>
                  <c:y val="-2.4590158644172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AA0-44A5-84B6-9B1BCFB44E7E}"/>
                </c:ext>
              </c:extLst>
            </c:dLbl>
            <c:dLbl>
              <c:idx val="11"/>
              <c:layout>
                <c:manualLayout>
                  <c:x val="0"/>
                  <c:y val="-4.09835977402870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AA0-44A5-84B6-9B1BCFB44E7E}"/>
                </c:ext>
              </c:extLst>
            </c:dLbl>
            <c:dLbl>
              <c:idx val="12"/>
              <c:layout>
                <c:manualLayout>
                  <c:x val="-3.915809479527254E-3"/>
                  <c:y val="-5.73770368364018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AA0-44A5-84B6-9B1BCFB44E7E}"/>
                </c:ext>
              </c:extLst>
            </c:dLbl>
            <c:dLbl>
              <c:idx val="13"/>
              <c:layout>
                <c:manualLayout>
                  <c:x val="0"/>
                  <c:y val="-6.55737563844592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AA0-44A5-84B6-9B1BCFB44E7E}"/>
                </c:ext>
              </c:extLst>
            </c:dLbl>
            <c:spPr>
              <a:noFill/>
              <a:ln>
                <a:noFill/>
              </a:ln>
              <a:effectLst/>
            </c:spPr>
            <c:txPr>
              <a:bodyPr/>
              <a:lstStyle/>
              <a:p>
                <a:pPr>
                  <a:defRPr>
                    <a:solidFill>
                      <a:schemeClr val="bg1"/>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Slika4!$E$5:$E$13</c:f>
              <c:numCache>
                <c:formatCode>#,##0</c:formatCode>
                <c:ptCount val="9"/>
                <c:pt idx="0">
                  <c:v>4170.9996268200011</c:v>
                </c:pt>
                <c:pt idx="1">
                  <c:v>4108.0745818859996</c:v>
                </c:pt>
                <c:pt idx="2">
                  <c:v>5025.2833107950009</c:v>
                </c:pt>
                <c:pt idx="3">
                  <c:v>6615.7917086399993</c:v>
                </c:pt>
                <c:pt idx="4">
                  <c:v>6995.4680428489091</c:v>
                </c:pt>
                <c:pt idx="5">
                  <c:v>6032.5925409265992</c:v>
                </c:pt>
                <c:pt idx="6">
                  <c:v>6066.4608675607997</c:v>
                </c:pt>
                <c:pt idx="7">
                  <c:v>5585.4287428147309</c:v>
                </c:pt>
                <c:pt idx="8">
                  <c:v>5161.0637919800001</c:v>
                </c:pt>
              </c:numCache>
            </c:numRef>
          </c:val>
          <c:extLst xmlns:c16r2="http://schemas.microsoft.com/office/drawing/2015/06/chart">
            <c:ext xmlns:c16="http://schemas.microsoft.com/office/drawing/2014/chart" uri="{C3380CC4-5D6E-409C-BE32-E72D297353CC}">
              <c16:uniqueId val="{00000007-CAA0-44A5-84B6-9B1BCFB44E7E}"/>
            </c:ext>
          </c:extLst>
        </c:ser>
        <c:ser>
          <c:idx val="3"/>
          <c:order val="2"/>
          <c:tx>
            <c:strRef>
              <c:f>Slika4!$F$4</c:f>
              <c:strCache>
                <c:ptCount val="1"/>
                <c:pt idx="0">
                  <c:v>Stanje državnih poroštev za obveznosti finančnega sektorja</c:v>
                </c:pt>
              </c:strCache>
            </c:strRef>
          </c:tx>
          <c:spPr>
            <a:solidFill>
              <a:schemeClr val="accent1">
                <a:lumMod val="40000"/>
                <a:lumOff val="60000"/>
              </a:schemeClr>
            </a:solidFill>
          </c:spPr>
          <c:invertIfNegative val="0"/>
          <c:dLbls>
            <c:dLbl>
              <c:idx val="0"/>
              <c:layout>
                <c:manualLayout>
                  <c:x val="-7.6849171851842667E-3"/>
                  <c:y val="2.13675153757780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AA0-44A5-84B6-9B1BCFB44E7E}"/>
                </c:ext>
              </c:extLst>
            </c:dLbl>
            <c:dLbl>
              <c:idx val="1"/>
              <c:layout>
                <c:manualLayout>
                  <c:x val="0"/>
                  <c:y val="-2.13675153757780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AA0-44A5-84B6-9B1BCFB44E7E}"/>
                </c:ext>
              </c:extLst>
            </c:dLbl>
            <c:dLbl>
              <c:idx val="4"/>
              <c:layout>
                <c:manualLayout>
                  <c:x val="-5.8241109326511121E-3"/>
                  <c:y val="2.5062650459157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AA0-44A5-84B6-9B1BCFB44E7E}"/>
                </c:ext>
              </c:extLst>
            </c:dLbl>
            <c:dLbl>
              <c:idx val="5"/>
              <c:layout>
                <c:manualLayout>
                  <c:x val="-5.8241109326511121E-3"/>
                  <c:y val="2.7113544907163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AA0-44A5-84B6-9B1BCFB44E7E}"/>
                </c:ext>
              </c:extLst>
            </c:dLbl>
            <c:dLbl>
              <c:idx val="6"/>
              <c:layout>
                <c:manualLayout>
                  <c:x val="-1.5530962487069633E-2"/>
                  <c:y val="-1.48074381802344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AA0-44A5-84B6-9B1BCFB44E7E}"/>
                </c:ext>
              </c:extLst>
            </c:dLbl>
            <c:dLbl>
              <c:idx val="7"/>
              <c:layout>
                <c:manualLayout>
                  <c:x val="-9.7068515544185205E-3"/>
                  <c:y val="-7.164069829083084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AA0-44A5-84B6-9B1BCFB44E7E}"/>
                </c:ext>
              </c:extLst>
            </c:dLbl>
            <c:dLbl>
              <c:idx val="8"/>
              <c:layout>
                <c:manualLayout>
                  <c:x val="3.8116589529043434E-3"/>
                  <c:y val="-1.843406728930226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CAA0-44A5-84B6-9B1BCFB44E7E}"/>
                </c:ext>
              </c:extLst>
            </c:dLbl>
            <c:dLbl>
              <c:idx val="9"/>
              <c:layout>
                <c:manualLayout>
                  <c:x val="-1.9413703108837042E-3"/>
                  <c:y val="-1.976764578078188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AA0-44A5-84B6-9B1BCFB44E7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Slika4!$F$5:$F$13</c:f>
              <c:numCache>
                <c:formatCode>#,##0</c:formatCode>
                <c:ptCount val="9"/>
                <c:pt idx="0">
                  <c:v>3576.7150427399997</c:v>
                </c:pt>
                <c:pt idx="1">
                  <c:v>2887.8314348499998</c:v>
                </c:pt>
                <c:pt idx="2">
                  <c:v>1480.5383434100002</c:v>
                </c:pt>
                <c:pt idx="3">
                  <c:v>1642.1397661999999</c:v>
                </c:pt>
                <c:pt idx="4">
                  <c:v>1280.20878978</c:v>
                </c:pt>
                <c:pt idx="5">
                  <c:v>1026.45878978</c:v>
                </c:pt>
                <c:pt idx="6">
                  <c:v>746.45878977999996</c:v>
                </c:pt>
                <c:pt idx="7">
                  <c:v>669.45878977999996</c:v>
                </c:pt>
                <c:pt idx="8">
                  <c:v>669.45878977999996</c:v>
                </c:pt>
              </c:numCache>
            </c:numRef>
          </c:val>
          <c:extLst xmlns:c16r2="http://schemas.microsoft.com/office/drawing/2015/06/chart">
            <c:ext xmlns:c16="http://schemas.microsoft.com/office/drawing/2014/chart" uri="{C3380CC4-5D6E-409C-BE32-E72D297353CC}">
              <c16:uniqueId val="{00000010-CAA0-44A5-84B6-9B1BCFB44E7E}"/>
            </c:ext>
          </c:extLst>
        </c:ser>
        <c:dLbls>
          <c:showLegendKey val="0"/>
          <c:showVal val="0"/>
          <c:showCatName val="0"/>
          <c:showSerName val="0"/>
          <c:showPercent val="0"/>
          <c:showBubbleSize val="0"/>
        </c:dLbls>
        <c:gapWidth val="21"/>
        <c:overlap val="100"/>
        <c:axId val="130321792"/>
        <c:axId val="129762432"/>
      </c:barChart>
      <c:lineChart>
        <c:grouping val="standard"/>
        <c:varyColors val="0"/>
        <c:ser>
          <c:idx val="1"/>
          <c:order val="0"/>
          <c:tx>
            <c:strRef>
              <c:f>Slika4!$D$4</c:f>
              <c:strCache>
                <c:ptCount val="1"/>
                <c:pt idx="0">
                  <c:v>Delež vseh poroštev v BDP</c:v>
                </c:pt>
              </c:strCache>
            </c:strRef>
          </c:tx>
          <c:spPr>
            <a:ln>
              <a:solidFill>
                <a:schemeClr val="accent1">
                  <a:lumMod val="50000"/>
                </a:schemeClr>
              </a:solidFill>
            </a:ln>
          </c:spPr>
          <c:marker>
            <c:spPr>
              <a:solidFill>
                <a:schemeClr val="accent1">
                  <a:lumMod val="50000"/>
                </a:schemeClr>
              </a:solidFill>
              <a:ln>
                <a:noFill/>
              </a:ln>
            </c:spPr>
          </c:marker>
          <c:dLbls>
            <c:dLbl>
              <c:idx val="0"/>
              <c:layout>
                <c:manualLayout>
                  <c:x val="-3.6526804703713917E-2"/>
                  <c:y val="-2.88363312817340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AA0-44A5-84B6-9B1BCFB44E7E}"/>
                </c:ext>
              </c:extLst>
            </c:dLbl>
            <c:dLbl>
              <c:idx val="1"/>
              <c:layout>
                <c:manualLayout>
                  <c:x val="-3.7840823226615548E-2"/>
                  <c:y val="-3.23318999313330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CAA0-44A5-84B6-9B1BCFB44E7E}"/>
                </c:ext>
              </c:extLst>
            </c:dLbl>
            <c:dLbl>
              <c:idx val="2"/>
              <c:layout>
                <c:manualLayout>
                  <c:x val="-3.6583671302465343E-2"/>
                  <c:y val="-2.98400579127112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CAA0-44A5-84B6-9B1BCFB44E7E}"/>
                </c:ext>
              </c:extLst>
            </c:dLbl>
            <c:dLbl>
              <c:idx val="3"/>
              <c:layout>
                <c:manualLayout>
                  <c:x val="-4.0749974280664979E-2"/>
                  <c:y val="-2.52494794913330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CAA0-44A5-84B6-9B1BCFB44E7E}"/>
                </c:ext>
              </c:extLst>
            </c:dLbl>
            <c:dLbl>
              <c:idx val="4"/>
              <c:layout>
                <c:manualLayout>
                  <c:x val="-2.9372779939866436E-2"/>
                  <c:y val="-2.90934899890740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CAA0-44A5-84B6-9B1BCFB44E7E}"/>
                </c:ext>
              </c:extLst>
            </c:dLbl>
            <c:dLbl>
              <c:idx val="5"/>
              <c:layout>
                <c:manualLayout>
                  <c:x val="-2.4765006295695696E-2"/>
                  <c:y val="-2.48831584614611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CAA0-44A5-84B6-9B1BCFB44E7E}"/>
                </c:ext>
              </c:extLst>
            </c:dLbl>
            <c:dLbl>
              <c:idx val="6"/>
              <c:layout>
                <c:manualLayout>
                  <c:x val="-2.0529914605693169E-2"/>
                  <c:y val="-2.48379253157684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CAA0-44A5-84B6-9B1BCFB44E7E}"/>
                </c:ext>
              </c:extLst>
            </c:dLbl>
            <c:dLbl>
              <c:idx val="7"/>
              <c:layout>
                <c:manualLayout>
                  <c:x val="-2.770992747988274E-2"/>
                  <c:y val="-2.1879656460739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CAA0-44A5-84B6-9B1BCFB44E7E}"/>
                </c:ext>
              </c:extLst>
            </c:dLbl>
            <c:dLbl>
              <c:idx val="8"/>
              <c:layout>
                <c:manualLayout>
                  <c:x val="-3.186170839670175E-2"/>
                  <c:y val="-2.2340154095584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CAA0-44A5-84B6-9B1BCFB44E7E}"/>
                </c:ext>
              </c:extLst>
            </c:dLbl>
            <c:dLbl>
              <c:idx val="9"/>
              <c:layout>
                <c:manualLayout>
                  <c:x val="-2.7611330326298492E-2"/>
                  <c:y val="-2.470707889426752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CAA0-44A5-84B6-9B1BCFB44E7E}"/>
                </c:ext>
              </c:extLst>
            </c:dLbl>
            <c:dLbl>
              <c:idx val="10"/>
              <c:layout>
                <c:manualLayout>
                  <c:x val="-4.4214444891050413E-2"/>
                  <c:y val="-2.052644746941286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CAA0-44A5-84B6-9B1BCFB44E7E}"/>
                </c:ext>
              </c:extLst>
            </c:dLbl>
            <c:dLbl>
              <c:idx val="11"/>
              <c:layout>
                <c:manualLayout>
                  <c:x val="-4.4544079429367667E-2"/>
                  <c:y val="-2.55613080594148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CAA0-44A5-84B6-9B1BCFB44E7E}"/>
                </c:ext>
              </c:extLst>
            </c:dLbl>
            <c:dLbl>
              <c:idx val="12"/>
              <c:layout>
                <c:manualLayout>
                  <c:x val="-4.1665292022262768E-2"/>
                  <c:y val="-3.94223485602279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CAA0-44A5-84B6-9B1BCFB44E7E}"/>
                </c:ext>
              </c:extLst>
            </c:dLbl>
            <c:dLbl>
              <c:idx val="13"/>
              <c:layout>
                <c:manualLayout>
                  <c:x val="-3.7310264384972786E-2"/>
                  <c:y val="-5.50537724164682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CAA0-44A5-84B6-9B1BCFB44E7E}"/>
                </c:ext>
              </c:extLst>
            </c:dLbl>
            <c:dLbl>
              <c:idx val="14"/>
              <c:layout>
                <c:manualLayout>
                  <c:x val="-4.1115999535036168E-2"/>
                  <c:y val="-3.14960564829279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CAA0-44A5-84B6-9B1BCFB44E7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Slika4!$D$5:$D$13</c:f>
              <c:numCache>
                <c:formatCode>0.0%</c:formatCode>
                <c:ptCount val="9"/>
                <c:pt idx="0">
                  <c:v>0.21371826849718636</c:v>
                </c:pt>
                <c:pt idx="1">
                  <c:v>0.18961150305550736</c:v>
                </c:pt>
                <c:pt idx="2">
                  <c:v>0.18033655766174192</c:v>
                </c:pt>
                <c:pt idx="3">
                  <c:v>0.22787415422169485</c:v>
                </c:pt>
                <c:pt idx="4">
                  <c:v>0.2200802285091325</c:v>
                </c:pt>
                <c:pt idx="5">
                  <c:v>0.1816393827215243</c:v>
                </c:pt>
                <c:pt idx="6">
                  <c:v>0.16881630590333274</c:v>
                </c:pt>
                <c:pt idx="7">
                  <c:v>0.14546250075801698</c:v>
                </c:pt>
                <c:pt idx="8">
                  <c:v>0.12689393622703926</c:v>
                </c:pt>
              </c:numCache>
            </c:numRef>
          </c:val>
          <c:smooth val="0"/>
          <c:extLst xmlns:c16r2="http://schemas.microsoft.com/office/drawing/2015/06/chart">
            <c:ext xmlns:c16="http://schemas.microsoft.com/office/drawing/2014/chart" uri="{C3380CC4-5D6E-409C-BE32-E72D297353CC}">
              <c16:uniqueId val="{00000020-CAA0-44A5-84B6-9B1BCFB44E7E}"/>
            </c:ext>
          </c:extLst>
        </c:ser>
        <c:dLbls>
          <c:showLegendKey val="0"/>
          <c:showVal val="0"/>
          <c:showCatName val="0"/>
          <c:showSerName val="0"/>
          <c:showPercent val="0"/>
          <c:showBubbleSize val="0"/>
        </c:dLbls>
        <c:marker val="1"/>
        <c:smooth val="0"/>
        <c:axId val="129782528"/>
        <c:axId val="129763968"/>
      </c:lineChart>
      <c:catAx>
        <c:axId val="130321792"/>
        <c:scaling>
          <c:orientation val="minMax"/>
        </c:scaling>
        <c:delete val="0"/>
        <c:axPos val="b"/>
        <c:numFmt formatCode="General" sourceLinked="1"/>
        <c:majorTickMark val="out"/>
        <c:minorTickMark val="none"/>
        <c:tickLblPos val="nextTo"/>
        <c:crossAx val="129762432"/>
        <c:crosses val="autoZero"/>
        <c:auto val="1"/>
        <c:lblAlgn val="ctr"/>
        <c:lblOffset val="100"/>
        <c:noMultiLvlLbl val="0"/>
      </c:catAx>
      <c:valAx>
        <c:axId val="129762432"/>
        <c:scaling>
          <c:orientation val="minMax"/>
        </c:scaling>
        <c:delete val="0"/>
        <c:axPos val="l"/>
        <c:majorGridlines/>
        <c:title>
          <c:tx>
            <c:rich>
              <a:bodyPr rot="-5400000" vert="horz"/>
              <a:lstStyle/>
              <a:p>
                <a:pPr>
                  <a:defRPr/>
                </a:pPr>
                <a:r>
                  <a:rPr lang="sl-SI" b="0"/>
                  <a:t>mio EUR</a:t>
                </a:r>
              </a:p>
            </c:rich>
          </c:tx>
          <c:layout>
            <c:manualLayout>
              <c:xMode val="edge"/>
              <c:yMode val="edge"/>
              <c:x val="1.3548570656567746E-2"/>
              <c:y val="0.30599214801458846"/>
            </c:manualLayout>
          </c:layout>
          <c:overlay val="0"/>
        </c:title>
        <c:numFmt formatCode="#,##0" sourceLinked="0"/>
        <c:majorTickMark val="out"/>
        <c:minorTickMark val="none"/>
        <c:tickLblPos val="nextTo"/>
        <c:crossAx val="130321792"/>
        <c:crosses val="autoZero"/>
        <c:crossBetween val="between"/>
      </c:valAx>
      <c:valAx>
        <c:axId val="129763968"/>
        <c:scaling>
          <c:orientation val="minMax"/>
        </c:scaling>
        <c:delete val="0"/>
        <c:axPos val="r"/>
        <c:title>
          <c:tx>
            <c:rich>
              <a:bodyPr rot="-5400000" vert="horz"/>
              <a:lstStyle/>
              <a:p>
                <a:pPr>
                  <a:defRPr/>
                </a:pPr>
                <a:r>
                  <a:rPr lang="sl-SI" b="0"/>
                  <a:t>% of BDP</a:t>
                </a:r>
              </a:p>
            </c:rich>
          </c:tx>
          <c:layout>
            <c:manualLayout>
              <c:xMode val="edge"/>
              <c:yMode val="edge"/>
              <c:x val="0.96623668678585695"/>
              <c:y val="0.31324655201383766"/>
            </c:manualLayout>
          </c:layout>
          <c:overlay val="0"/>
        </c:title>
        <c:numFmt formatCode="0.0%" sourceLinked="0"/>
        <c:majorTickMark val="out"/>
        <c:minorTickMark val="none"/>
        <c:tickLblPos val="nextTo"/>
        <c:crossAx val="129782528"/>
        <c:crosses val="max"/>
        <c:crossBetween val="between"/>
      </c:valAx>
      <c:catAx>
        <c:axId val="129782528"/>
        <c:scaling>
          <c:orientation val="minMax"/>
        </c:scaling>
        <c:delete val="1"/>
        <c:axPos val="b"/>
        <c:numFmt formatCode="General" sourceLinked="1"/>
        <c:majorTickMark val="out"/>
        <c:minorTickMark val="none"/>
        <c:tickLblPos val="none"/>
        <c:crossAx val="129763968"/>
        <c:crosses val="autoZero"/>
        <c:auto val="1"/>
        <c:lblAlgn val="ctr"/>
        <c:lblOffset val="100"/>
        <c:noMultiLvlLbl val="0"/>
      </c:catAx>
    </c:plotArea>
    <c:legend>
      <c:legendPos val="b"/>
      <c:layout>
        <c:manualLayout>
          <c:xMode val="edge"/>
          <c:yMode val="edge"/>
          <c:x val="0"/>
          <c:y val="0.86081323787175767"/>
          <c:w val="1"/>
          <c:h val="0.13918676212824233"/>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067790495260257"/>
          <c:y val="4.3411611671708192E-2"/>
          <c:w val="0.85412163685724851"/>
          <c:h val="0.76948668806428522"/>
        </c:manualLayout>
      </c:layout>
      <c:lineChart>
        <c:grouping val="standard"/>
        <c:varyColors val="0"/>
        <c:ser>
          <c:idx val="0"/>
          <c:order val="0"/>
          <c:tx>
            <c:strRef>
              <c:f>Sheet3!$A$14</c:f>
              <c:strCache>
                <c:ptCount val="1"/>
                <c:pt idx="0">
                  <c:v>Večja rast BDP za 1 o.t.</c:v>
                </c:pt>
              </c:strCache>
            </c:strRef>
          </c:tx>
          <c:spPr>
            <a:ln>
              <a:solidFill>
                <a:schemeClr val="tx2">
                  <a:lumMod val="60000"/>
                  <a:lumOff val="40000"/>
                </a:schemeClr>
              </a:solidFill>
              <a:prstDash val="sysDash"/>
            </a:ln>
          </c:spPr>
          <c:marker>
            <c:symbol val="none"/>
          </c:marker>
          <c:cat>
            <c:numRef>
              <c:f>Sheet3!$B$12:$H$12</c:f>
              <c:numCache>
                <c:formatCode>General</c:formatCode>
                <c:ptCount val="7"/>
                <c:pt idx="0">
                  <c:v>2016</c:v>
                </c:pt>
                <c:pt idx="1">
                  <c:v>2017</c:v>
                </c:pt>
                <c:pt idx="2">
                  <c:v>2018</c:v>
                </c:pt>
                <c:pt idx="3">
                  <c:v>2019</c:v>
                </c:pt>
                <c:pt idx="4">
                  <c:v>2020</c:v>
                </c:pt>
                <c:pt idx="5">
                  <c:v>2021</c:v>
                </c:pt>
                <c:pt idx="6">
                  <c:v>2022</c:v>
                </c:pt>
              </c:numCache>
            </c:numRef>
          </c:cat>
          <c:val>
            <c:numRef>
              <c:f>Sheet3!$B$14:$H$14</c:f>
              <c:numCache>
                <c:formatCode>General</c:formatCode>
                <c:ptCount val="7"/>
                <c:pt idx="0">
                  <c:v>-1.94</c:v>
                </c:pt>
                <c:pt idx="1">
                  <c:v>0.01</c:v>
                </c:pt>
                <c:pt idx="2">
                  <c:v>0.66</c:v>
                </c:pt>
                <c:pt idx="3">
                  <c:v>1.07</c:v>
                </c:pt>
                <c:pt idx="4">
                  <c:v>1.5</c:v>
                </c:pt>
                <c:pt idx="5">
                  <c:v>1.9500000000000002</c:v>
                </c:pt>
                <c:pt idx="6">
                  <c:v>2.2999999999999998</c:v>
                </c:pt>
              </c:numCache>
            </c:numRef>
          </c:val>
          <c:smooth val="0"/>
          <c:extLst xmlns:c16r2="http://schemas.microsoft.com/office/drawing/2015/06/chart">
            <c:ext xmlns:c16="http://schemas.microsoft.com/office/drawing/2014/chart" uri="{C3380CC4-5D6E-409C-BE32-E72D297353CC}">
              <c16:uniqueId val="{00000000-E36C-4B6E-BE31-E2346370DBE5}"/>
            </c:ext>
          </c:extLst>
        </c:ser>
        <c:ser>
          <c:idx val="1"/>
          <c:order val="1"/>
          <c:tx>
            <c:strRef>
              <c:f>Sheet3!$A$15</c:f>
              <c:strCache>
                <c:ptCount val="1"/>
                <c:pt idx="0">
                  <c:v>Manjša rast BDP za 1 o.t.</c:v>
                </c:pt>
              </c:strCache>
            </c:strRef>
          </c:tx>
          <c:spPr>
            <a:ln>
              <a:solidFill>
                <a:schemeClr val="accent1">
                  <a:lumMod val="75000"/>
                </a:schemeClr>
              </a:solidFill>
              <a:prstDash val="sysDash"/>
            </a:ln>
          </c:spPr>
          <c:marker>
            <c:symbol val="none"/>
          </c:marker>
          <c:cat>
            <c:numRef>
              <c:f>Sheet3!$B$12:$H$12</c:f>
              <c:numCache>
                <c:formatCode>General</c:formatCode>
                <c:ptCount val="7"/>
                <c:pt idx="0">
                  <c:v>2016</c:v>
                </c:pt>
                <c:pt idx="1">
                  <c:v>2017</c:v>
                </c:pt>
                <c:pt idx="2">
                  <c:v>2018</c:v>
                </c:pt>
                <c:pt idx="3">
                  <c:v>2019</c:v>
                </c:pt>
                <c:pt idx="4">
                  <c:v>2020</c:v>
                </c:pt>
                <c:pt idx="5">
                  <c:v>2021</c:v>
                </c:pt>
                <c:pt idx="6">
                  <c:v>2022</c:v>
                </c:pt>
              </c:numCache>
            </c:numRef>
          </c:cat>
          <c:val>
            <c:numRef>
              <c:f>Sheet3!$B$15:$H$15</c:f>
              <c:numCache>
                <c:formatCode>General</c:formatCode>
                <c:ptCount val="7"/>
                <c:pt idx="0">
                  <c:v>-1.94</c:v>
                </c:pt>
                <c:pt idx="1">
                  <c:v>0.01</c:v>
                </c:pt>
                <c:pt idx="2">
                  <c:v>0.66</c:v>
                </c:pt>
                <c:pt idx="3">
                  <c:v>0.55000000000000004</c:v>
                </c:pt>
                <c:pt idx="4">
                  <c:v>0.39999999999999991</c:v>
                </c:pt>
                <c:pt idx="5">
                  <c:v>0.29000000000000015</c:v>
                </c:pt>
                <c:pt idx="6">
                  <c:v>2.9999999999999805E-2</c:v>
                </c:pt>
              </c:numCache>
            </c:numRef>
          </c:val>
          <c:smooth val="0"/>
          <c:extLst xmlns:c16r2="http://schemas.microsoft.com/office/drawing/2015/06/chart">
            <c:ext xmlns:c16="http://schemas.microsoft.com/office/drawing/2014/chart" uri="{C3380CC4-5D6E-409C-BE32-E72D297353CC}">
              <c16:uniqueId val="{00000001-E36C-4B6E-BE31-E2346370DBE5}"/>
            </c:ext>
          </c:extLst>
        </c:ser>
        <c:ser>
          <c:idx val="2"/>
          <c:order val="2"/>
          <c:tx>
            <c:strRef>
              <c:f>Sheet3!$A$16</c:f>
              <c:strCache>
                <c:ptCount val="1"/>
                <c:pt idx="0">
                  <c:v>Večja rast BDP za 0,5 o.t.</c:v>
                </c:pt>
              </c:strCache>
            </c:strRef>
          </c:tx>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prstDash val="sysDot"/>
            </a:ln>
          </c:spPr>
          <c:marker>
            <c:symbol val="none"/>
          </c:marker>
          <c:cat>
            <c:numRef>
              <c:f>Sheet3!$B$12:$H$12</c:f>
              <c:numCache>
                <c:formatCode>General</c:formatCode>
                <c:ptCount val="7"/>
                <c:pt idx="0">
                  <c:v>2016</c:v>
                </c:pt>
                <c:pt idx="1">
                  <c:v>2017</c:v>
                </c:pt>
                <c:pt idx="2">
                  <c:v>2018</c:v>
                </c:pt>
                <c:pt idx="3">
                  <c:v>2019</c:v>
                </c:pt>
                <c:pt idx="4">
                  <c:v>2020</c:v>
                </c:pt>
                <c:pt idx="5">
                  <c:v>2021</c:v>
                </c:pt>
                <c:pt idx="6">
                  <c:v>2022</c:v>
                </c:pt>
              </c:numCache>
            </c:numRef>
          </c:cat>
          <c:val>
            <c:numRef>
              <c:f>Sheet3!$B$16:$H$16</c:f>
              <c:numCache>
                <c:formatCode>General</c:formatCode>
                <c:ptCount val="7"/>
                <c:pt idx="0">
                  <c:v>-1.94</c:v>
                </c:pt>
                <c:pt idx="1">
                  <c:v>0.01</c:v>
                </c:pt>
                <c:pt idx="2">
                  <c:v>0.66</c:v>
                </c:pt>
                <c:pt idx="3">
                  <c:v>0.94000000000000006</c:v>
                </c:pt>
                <c:pt idx="4">
                  <c:v>1.23</c:v>
                </c:pt>
                <c:pt idx="5">
                  <c:v>1.54</c:v>
                </c:pt>
                <c:pt idx="6">
                  <c:v>1.7199999999999998</c:v>
                </c:pt>
              </c:numCache>
            </c:numRef>
          </c:val>
          <c:smooth val="0"/>
          <c:extLst xmlns:c16r2="http://schemas.microsoft.com/office/drawing/2015/06/chart">
            <c:ext xmlns:c16="http://schemas.microsoft.com/office/drawing/2014/chart" uri="{C3380CC4-5D6E-409C-BE32-E72D297353CC}">
              <c16:uniqueId val="{00000002-E36C-4B6E-BE31-E2346370DBE5}"/>
            </c:ext>
          </c:extLst>
        </c:ser>
        <c:ser>
          <c:idx val="3"/>
          <c:order val="3"/>
          <c:tx>
            <c:strRef>
              <c:f>Sheet3!$A$17</c:f>
              <c:strCache>
                <c:ptCount val="1"/>
                <c:pt idx="0">
                  <c:v>Manjša rast BDP za 0,5 o.t.</c:v>
                </c:pt>
              </c:strCache>
            </c:strRef>
          </c:tx>
          <c:spPr>
            <a:ln>
              <a:solidFill>
                <a:schemeClr val="accent1">
                  <a:lumMod val="75000"/>
                </a:schemeClr>
              </a:solidFill>
              <a:prstDash val="sysDot"/>
            </a:ln>
          </c:spPr>
          <c:marker>
            <c:symbol val="none"/>
          </c:marker>
          <c:cat>
            <c:numRef>
              <c:f>Sheet3!$B$12:$H$12</c:f>
              <c:numCache>
                <c:formatCode>General</c:formatCode>
                <c:ptCount val="7"/>
                <c:pt idx="0">
                  <c:v>2016</c:v>
                </c:pt>
                <c:pt idx="1">
                  <c:v>2017</c:v>
                </c:pt>
                <c:pt idx="2">
                  <c:v>2018</c:v>
                </c:pt>
                <c:pt idx="3">
                  <c:v>2019</c:v>
                </c:pt>
                <c:pt idx="4">
                  <c:v>2020</c:v>
                </c:pt>
                <c:pt idx="5">
                  <c:v>2021</c:v>
                </c:pt>
                <c:pt idx="6">
                  <c:v>2022</c:v>
                </c:pt>
              </c:numCache>
            </c:numRef>
          </c:cat>
          <c:val>
            <c:numRef>
              <c:f>Sheet3!$B$17:$H$17</c:f>
              <c:numCache>
                <c:formatCode>General</c:formatCode>
                <c:ptCount val="7"/>
                <c:pt idx="0">
                  <c:v>-1.94</c:v>
                </c:pt>
                <c:pt idx="1">
                  <c:v>0.01</c:v>
                </c:pt>
                <c:pt idx="2">
                  <c:v>0.66</c:v>
                </c:pt>
                <c:pt idx="3">
                  <c:v>0.68</c:v>
                </c:pt>
                <c:pt idx="4">
                  <c:v>0.65999999999999992</c:v>
                </c:pt>
                <c:pt idx="5">
                  <c:v>0.68000000000000016</c:v>
                </c:pt>
                <c:pt idx="6">
                  <c:v>0.54999999999999993</c:v>
                </c:pt>
              </c:numCache>
            </c:numRef>
          </c:val>
          <c:smooth val="0"/>
          <c:extLst xmlns:c16r2="http://schemas.microsoft.com/office/drawing/2015/06/chart">
            <c:ext xmlns:c16="http://schemas.microsoft.com/office/drawing/2014/chart" uri="{C3380CC4-5D6E-409C-BE32-E72D297353CC}">
              <c16:uniqueId val="{00000003-E36C-4B6E-BE31-E2346370DBE5}"/>
            </c:ext>
          </c:extLst>
        </c:ser>
        <c:ser>
          <c:idx val="4"/>
          <c:order val="4"/>
          <c:tx>
            <c:strRef>
              <c:f>Sheet3!$A$18</c:f>
              <c:strCache>
                <c:ptCount val="1"/>
                <c:pt idx="0">
                  <c:v>Nominalni saldo</c:v>
                </c:pt>
              </c:strCache>
            </c:strRef>
          </c:tx>
          <c:spPr>
            <a:ln>
              <a:solidFill>
                <a:schemeClr val="accent1">
                  <a:lumMod val="50000"/>
                </a:schemeClr>
              </a:solidFill>
            </a:ln>
          </c:spPr>
          <c:marker>
            <c:symbol val="none"/>
          </c:marker>
          <c:cat>
            <c:numRef>
              <c:f>Sheet3!$B$12:$H$12</c:f>
              <c:numCache>
                <c:formatCode>General</c:formatCode>
                <c:ptCount val="7"/>
                <c:pt idx="0">
                  <c:v>2016</c:v>
                </c:pt>
                <c:pt idx="1">
                  <c:v>2017</c:v>
                </c:pt>
                <c:pt idx="2">
                  <c:v>2018</c:v>
                </c:pt>
                <c:pt idx="3">
                  <c:v>2019</c:v>
                </c:pt>
                <c:pt idx="4">
                  <c:v>2020</c:v>
                </c:pt>
                <c:pt idx="5">
                  <c:v>2021</c:v>
                </c:pt>
                <c:pt idx="6">
                  <c:v>2022</c:v>
                </c:pt>
              </c:numCache>
            </c:numRef>
          </c:cat>
          <c:val>
            <c:numRef>
              <c:f>Sheet3!$B$18:$H$18</c:f>
              <c:numCache>
                <c:formatCode>General</c:formatCode>
                <c:ptCount val="7"/>
                <c:pt idx="0">
                  <c:v>-1.94</c:v>
                </c:pt>
                <c:pt idx="1">
                  <c:v>0.01</c:v>
                </c:pt>
                <c:pt idx="2">
                  <c:v>0.66</c:v>
                </c:pt>
                <c:pt idx="3">
                  <c:v>0.81</c:v>
                </c:pt>
                <c:pt idx="4">
                  <c:v>0.95</c:v>
                </c:pt>
                <c:pt idx="5">
                  <c:v>1.1200000000000001</c:v>
                </c:pt>
                <c:pt idx="6">
                  <c:v>1.1499999999999999</c:v>
                </c:pt>
              </c:numCache>
            </c:numRef>
          </c:val>
          <c:smooth val="0"/>
          <c:extLst xmlns:c16r2="http://schemas.microsoft.com/office/drawing/2015/06/chart">
            <c:ext xmlns:c16="http://schemas.microsoft.com/office/drawing/2014/chart" uri="{C3380CC4-5D6E-409C-BE32-E72D297353CC}">
              <c16:uniqueId val="{00000004-E36C-4B6E-BE31-E2346370DBE5}"/>
            </c:ext>
          </c:extLst>
        </c:ser>
        <c:dLbls>
          <c:showLegendKey val="0"/>
          <c:showVal val="0"/>
          <c:showCatName val="0"/>
          <c:showSerName val="0"/>
          <c:showPercent val="0"/>
          <c:showBubbleSize val="0"/>
        </c:dLbls>
        <c:marker val="1"/>
        <c:smooth val="0"/>
        <c:axId val="130025728"/>
        <c:axId val="130031616"/>
      </c:lineChart>
      <c:catAx>
        <c:axId val="130025728"/>
        <c:scaling>
          <c:orientation val="minMax"/>
        </c:scaling>
        <c:delete val="0"/>
        <c:axPos val="b"/>
        <c:numFmt formatCode="General" sourceLinked="1"/>
        <c:majorTickMark val="none"/>
        <c:minorTickMark val="none"/>
        <c:tickLblPos val="nextTo"/>
        <c:txPr>
          <a:bodyPr rot="-60000000" vert="horz"/>
          <a:lstStyle/>
          <a:p>
            <a:pPr>
              <a:defRPr>
                <a:latin typeface="Arial" panose="020B0604020202020204" pitchFamily="34" charset="0"/>
                <a:cs typeface="Arial" panose="020B0604020202020204" pitchFamily="34" charset="0"/>
              </a:defRPr>
            </a:pPr>
            <a:endParaRPr lang="en-US"/>
          </a:p>
        </c:txPr>
        <c:crossAx val="130031616"/>
        <c:crosses val="autoZero"/>
        <c:auto val="1"/>
        <c:lblAlgn val="ctr"/>
        <c:lblOffset val="100"/>
        <c:noMultiLvlLbl val="0"/>
      </c:catAx>
      <c:valAx>
        <c:axId val="130031616"/>
        <c:scaling>
          <c:orientation val="minMax"/>
        </c:scaling>
        <c:delete val="0"/>
        <c:axPos val="l"/>
        <c:majorGridlines>
          <c:spPr>
            <a:ln>
              <a:solidFill>
                <a:schemeClr val="tx1">
                  <a:alpha val="22000"/>
                </a:schemeClr>
              </a:solidFill>
            </a:ln>
          </c:spPr>
        </c:majorGridlines>
        <c:title>
          <c:tx>
            <c:rich>
              <a:bodyPr rot="-5400000" vert="horz"/>
              <a:lstStyle/>
              <a:p>
                <a:pPr>
                  <a:defRPr/>
                </a:pPr>
                <a:r>
                  <a:rPr lang="sl-SI"/>
                  <a:t>% BDP</a:t>
                </a:r>
              </a:p>
            </c:rich>
          </c:tx>
          <c:overlay val="0"/>
        </c:title>
        <c:numFmt formatCode="General" sourceLinked="1"/>
        <c:majorTickMark val="none"/>
        <c:minorTickMark val="none"/>
        <c:tickLblPos val="nextTo"/>
        <c:txPr>
          <a:bodyPr rot="-60000000" vert="horz"/>
          <a:lstStyle/>
          <a:p>
            <a:pPr>
              <a:defRPr>
                <a:latin typeface="Arial" panose="020B0604020202020204" pitchFamily="34" charset="0"/>
                <a:cs typeface="Arial" panose="020B0604020202020204" pitchFamily="34" charset="0"/>
              </a:defRPr>
            </a:pPr>
            <a:endParaRPr lang="en-US"/>
          </a:p>
        </c:txPr>
        <c:crossAx val="130025728"/>
        <c:crosses val="autoZero"/>
        <c:crossBetween val="between"/>
      </c:valAx>
    </c:plotArea>
    <c:legend>
      <c:legendPos val="b"/>
      <c:layout>
        <c:manualLayout>
          <c:xMode val="edge"/>
          <c:yMode val="edge"/>
          <c:x val="3.7616689666369031E-2"/>
          <c:y val="0.84848977455530672"/>
          <c:w val="0.94080327587917489"/>
          <c:h val="0.15151022544469331"/>
        </c:manualLayout>
      </c:layout>
      <c:overlay val="0"/>
      <c:txPr>
        <a:bodyPr rot="0" vert="horz"/>
        <a:lstStyle/>
        <a:p>
          <a:pPr>
            <a:defRPr>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8684614191988116E-2"/>
          <c:y val="9.4448554161277384E-2"/>
          <c:w val="0.91543808127844628"/>
          <c:h val="0.55759058149492624"/>
        </c:manualLayout>
      </c:layout>
      <c:areaChart>
        <c:grouping val="standard"/>
        <c:varyColors val="0"/>
        <c:ser>
          <c:idx val="2"/>
          <c:order val="2"/>
          <c:tx>
            <c:strRef>
              <c:f>Sheet1!$D$1</c:f>
              <c:strCache>
                <c:ptCount val="1"/>
                <c:pt idx="0">
                  <c:v>Pribitek nad Bund 10 let</c:v>
                </c:pt>
              </c:strCache>
            </c:strRef>
          </c:tx>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Sheet1!$D$2:$D$3146</c:f>
              <c:numCache>
                <c:formatCode>0.000</c:formatCode>
                <c:ptCount val="3145"/>
                <c:pt idx="0">
                  <c:v>7.6999999999999291</c:v>
                </c:pt>
                <c:pt idx="1">
                  <c:v>7.6000000000000369</c:v>
                </c:pt>
                <c:pt idx="2">
                  <c:v>8.6000000000000654</c:v>
                </c:pt>
                <c:pt idx="3">
                  <c:v>7.8999999999999906</c:v>
                </c:pt>
                <c:pt idx="4">
                  <c:v>8.1999999999999442</c:v>
                </c:pt>
                <c:pt idx="5">
                  <c:v>6.5000000000000471</c:v>
                </c:pt>
                <c:pt idx="6">
                  <c:v>5.9000000000000714</c:v>
                </c:pt>
                <c:pt idx="7">
                  <c:v>5.4999999999999494</c:v>
                </c:pt>
                <c:pt idx="8">
                  <c:v>3.4999999999999614</c:v>
                </c:pt>
                <c:pt idx="9">
                  <c:v>3.7000000000000228</c:v>
                </c:pt>
                <c:pt idx="10">
                  <c:v>5.0000000000000044</c:v>
                </c:pt>
                <c:pt idx="11">
                  <c:v>4.8000000000000123</c:v>
                </c:pt>
                <c:pt idx="12">
                  <c:v>5.7999999999999723</c:v>
                </c:pt>
                <c:pt idx="13">
                  <c:v>6.69999999999997</c:v>
                </c:pt>
                <c:pt idx="14">
                  <c:v>6.4000000000000163</c:v>
                </c:pt>
                <c:pt idx="15">
                  <c:v>7.3000000000000842</c:v>
                </c:pt>
                <c:pt idx="16">
                  <c:v>7.3999999999999764</c:v>
                </c:pt>
                <c:pt idx="17">
                  <c:v>5.5000000000000187</c:v>
                </c:pt>
                <c:pt idx="18">
                  <c:v>4.4000000000000288</c:v>
                </c:pt>
                <c:pt idx="19">
                  <c:v>4.1999999999999673</c:v>
                </c:pt>
                <c:pt idx="20">
                  <c:v>4.4999999999999902</c:v>
                </c:pt>
                <c:pt idx="21">
                  <c:v>5.2000000000000659</c:v>
                </c:pt>
                <c:pt idx="22">
                  <c:v>4.1999999999999673</c:v>
                </c:pt>
                <c:pt idx="23">
                  <c:v>3.2000000000000082</c:v>
                </c:pt>
                <c:pt idx="24">
                  <c:v>3.5000000000000311</c:v>
                </c:pt>
                <c:pt idx="25">
                  <c:v>3.999999999999976</c:v>
                </c:pt>
                <c:pt idx="26">
                  <c:v>4.1999999999999673</c:v>
                </c:pt>
                <c:pt idx="27">
                  <c:v>6.0000000000000329</c:v>
                </c:pt>
                <c:pt idx="28">
                  <c:v>4.8000000000000123</c:v>
                </c:pt>
                <c:pt idx="29">
                  <c:v>3.6999999999999531</c:v>
                </c:pt>
                <c:pt idx="30">
                  <c:v>3.6999999999999531</c:v>
                </c:pt>
                <c:pt idx="31">
                  <c:v>4.3000000000000673</c:v>
                </c:pt>
                <c:pt idx="32">
                  <c:v>4.600000000000021</c:v>
                </c:pt>
                <c:pt idx="33">
                  <c:v>5.7999999999999723</c:v>
                </c:pt>
                <c:pt idx="34">
                  <c:v>5.5999999999999801</c:v>
                </c:pt>
                <c:pt idx="35">
                  <c:v>5.5999999999999801</c:v>
                </c:pt>
                <c:pt idx="36">
                  <c:v>5.8000000000000416</c:v>
                </c:pt>
                <c:pt idx="37">
                  <c:v>5.6999999999999416</c:v>
                </c:pt>
                <c:pt idx="38">
                  <c:v>6.4000000000000163</c:v>
                </c:pt>
                <c:pt idx="39">
                  <c:v>6.9000000000000314</c:v>
                </c:pt>
                <c:pt idx="40">
                  <c:v>6.7000000000000393</c:v>
                </c:pt>
                <c:pt idx="41">
                  <c:v>5.4999999999999494</c:v>
                </c:pt>
                <c:pt idx="42">
                  <c:v>5.4000000000000572</c:v>
                </c:pt>
                <c:pt idx="43">
                  <c:v>4.2000000000000366</c:v>
                </c:pt>
                <c:pt idx="44">
                  <c:v>5.6000000000000494</c:v>
                </c:pt>
                <c:pt idx="45">
                  <c:v>6.5000000000000471</c:v>
                </c:pt>
                <c:pt idx="46">
                  <c:v>6.7000000000000393</c:v>
                </c:pt>
                <c:pt idx="47">
                  <c:v>7.2000000000000535</c:v>
                </c:pt>
                <c:pt idx="48">
                  <c:v>7.6000000000000369</c:v>
                </c:pt>
                <c:pt idx="49">
                  <c:v>8.5000000000000355</c:v>
                </c:pt>
                <c:pt idx="50">
                  <c:v>9.1999999999999726</c:v>
                </c:pt>
                <c:pt idx="51">
                  <c:v>10.399999999999993</c:v>
                </c:pt>
                <c:pt idx="52">
                  <c:v>10.399999999999993</c:v>
                </c:pt>
                <c:pt idx="53">
                  <c:v>19.299999999999944</c:v>
                </c:pt>
                <c:pt idx="54">
                  <c:v>18.899999999999959</c:v>
                </c:pt>
                <c:pt idx="55">
                  <c:v>18.899999999999959</c:v>
                </c:pt>
                <c:pt idx="56">
                  <c:v>18.999999999999989</c:v>
                </c:pt>
                <c:pt idx="57">
                  <c:v>18.600000000000005</c:v>
                </c:pt>
                <c:pt idx="58">
                  <c:v>18.600000000000005</c:v>
                </c:pt>
                <c:pt idx="59">
                  <c:v>18.600000000000005</c:v>
                </c:pt>
                <c:pt idx="60">
                  <c:v>17.999999999999961</c:v>
                </c:pt>
                <c:pt idx="61">
                  <c:v>18.000000000000028</c:v>
                </c:pt>
                <c:pt idx="62">
                  <c:v>17.500000000000014</c:v>
                </c:pt>
                <c:pt idx="63">
                  <c:v>17.199999999999992</c:v>
                </c:pt>
                <c:pt idx="64">
                  <c:v>17.600000000000048</c:v>
                </c:pt>
                <c:pt idx="65">
                  <c:v>17.399999999999917</c:v>
                </c:pt>
                <c:pt idx="66">
                  <c:v>17.100000000000033</c:v>
                </c:pt>
                <c:pt idx="67">
                  <c:v>17.299999999999955</c:v>
                </c:pt>
                <c:pt idx="68">
                  <c:v>17.199999999999925</c:v>
                </c:pt>
                <c:pt idx="69">
                  <c:v>17.300000000000022</c:v>
                </c:pt>
                <c:pt idx="70">
                  <c:v>17.500000000000014</c:v>
                </c:pt>
                <c:pt idx="71">
                  <c:v>17.700000000000006</c:v>
                </c:pt>
                <c:pt idx="72">
                  <c:v>17.500000000000014</c:v>
                </c:pt>
                <c:pt idx="73">
                  <c:v>16.89999999999997</c:v>
                </c:pt>
                <c:pt idx="74">
                  <c:v>16.900000000000041</c:v>
                </c:pt>
                <c:pt idx="75">
                  <c:v>17.100000000000033</c:v>
                </c:pt>
                <c:pt idx="76">
                  <c:v>16.800000000000008</c:v>
                </c:pt>
                <c:pt idx="77">
                  <c:v>16.199999999999964</c:v>
                </c:pt>
                <c:pt idx="78">
                  <c:v>17</c:v>
                </c:pt>
                <c:pt idx="79">
                  <c:v>17.199999999999992</c:v>
                </c:pt>
                <c:pt idx="80">
                  <c:v>17.400000000000055</c:v>
                </c:pt>
                <c:pt idx="81">
                  <c:v>16.700000000000117</c:v>
                </c:pt>
                <c:pt idx="82">
                  <c:v>16.499999999999986</c:v>
                </c:pt>
                <c:pt idx="83">
                  <c:v>17.199999999999992</c:v>
                </c:pt>
                <c:pt idx="84">
                  <c:v>16.89999999999997</c:v>
                </c:pt>
                <c:pt idx="85">
                  <c:v>17</c:v>
                </c:pt>
                <c:pt idx="86">
                  <c:v>16.600000000000019</c:v>
                </c:pt>
                <c:pt idx="87">
                  <c:v>17.099999999999962</c:v>
                </c:pt>
                <c:pt idx="88">
                  <c:v>16.699999999999978</c:v>
                </c:pt>
                <c:pt idx="89">
                  <c:v>16.699999999999978</c:v>
                </c:pt>
                <c:pt idx="90">
                  <c:v>17.399999999999984</c:v>
                </c:pt>
                <c:pt idx="91">
                  <c:v>16.89999999999997</c:v>
                </c:pt>
                <c:pt idx="92">
                  <c:v>16.79999999999994</c:v>
                </c:pt>
                <c:pt idx="93">
                  <c:v>16.800000000000008</c:v>
                </c:pt>
                <c:pt idx="94">
                  <c:v>16.399999999999956</c:v>
                </c:pt>
                <c:pt idx="95">
                  <c:v>16.900000000000041</c:v>
                </c:pt>
                <c:pt idx="96">
                  <c:v>16.800000000000008</c:v>
                </c:pt>
                <c:pt idx="97">
                  <c:v>16.89999999999997</c:v>
                </c:pt>
                <c:pt idx="98">
                  <c:v>15.399999999999997</c:v>
                </c:pt>
                <c:pt idx="99">
                  <c:v>15.200000000000005</c:v>
                </c:pt>
                <c:pt idx="100">
                  <c:v>15.80000000000005</c:v>
                </c:pt>
                <c:pt idx="101">
                  <c:v>15.499999999999957</c:v>
                </c:pt>
                <c:pt idx="102">
                  <c:v>15.500000000000028</c:v>
                </c:pt>
                <c:pt idx="103">
                  <c:v>15.399999999999997</c:v>
                </c:pt>
                <c:pt idx="104">
                  <c:v>15.399999999999997</c:v>
                </c:pt>
                <c:pt idx="105">
                  <c:v>15.199999999999935</c:v>
                </c:pt>
                <c:pt idx="106">
                  <c:v>15.900000000000011</c:v>
                </c:pt>
                <c:pt idx="107">
                  <c:v>15.399999999999997</c:v>
                </c:pt>
                <c:pt idx="108">
                  <c:v>15.599999999999989</c:v>
                </c:pt>
                <c:pt idx="109">
                  <c:v>15.099999999999975</c:v>
                </c:pt>
                <c:pt idx="110">
                  <c:v>14.799999999999953</c:v>
                </c:pt>
                <c:pt idx="111">
                  <c:v>15.999999999999904</c:v>
                </c:pt>
                <c:pt idx="112">
                  <c:v>16.100000000000072</c:v>
                </c:pt>
                <c:pt idx="113">
                  <c:v>16.399999999999956</c:v>
                </c:pt>
                <c:pt idx="114">
                  <c:v>17.399999999999917</c:v>
                </c:pt>
                <c:pt idx="115">
                  <c:v>17.199999999999992</c:v>
                </c:pt>
                <c:pt idx="116">
                  <c:v>16.399999999999956</c:v>
                </c:pt>
                <c:pt idx="117">
                  <c:v>16.300000000000065</c:v>
                </c:pt>
                <c:pt idx="118">
                  <c:v>17.200000000000063</c:v>
                </c:pt>
                <c:pt idx="119">
                  <c:v>17.700000000000006</c:v>
                </c:pt>
                <c:pt idx="120">
                  <c:v>17.500000000000085</c:v>
                </c:pt>
                <c:pt idx="121">
                  <c:v>17.300000000000022</c:v>
                </c:pt>
                <c:pt idx="122">
                  <c:v>17.299999999999955</c:v>
                </c:pt>
                <c:pt idx="123">
                  <c:v>17.600000000000048</c:v>
                </c:pt>
                <c:pt idx="124">
                  <c:v>18.000000000000028</c:v>
                </c:pt>
                <c:pt idx="125">
                  <c:v>17.400000000000055</c:v>
                </c:pt>
                <c:pt idx="126">
                  <c:v>17.699999999999939</c:v>
                </c:pt>
                <c:pt idx="127">
                  <c:v>17.899999999999931</c:v>
                </c:pt>
                <c:pt idx="128">
                  <c:v>18.100000000000062</c:v>
                </c:pt>
                <c:pt idx="129">
                  <c:v>18.299999999999983</c:v>
                </c:pt>
                <c:pt idx="130">
                  <c:v>18.599999999999937</c:v>
                </c:pt>
                <c:pt idx="131">
                  <c:v>18.700000000000035</c:v>
                </c:pt>
                <c:pt idx="132">
                  <c:v>18.399999999999874</c:v>
                </c:pt>
                <c:pt idx="133">
                  <c:v>19.299999999999944</c:v>
                </c:pt>
                <c:pt idx="134">
                  <c:v>18.499999999999975</c:v>
                </c:pt>
                <c:pt idx="135">
                  <c:v>18.199999999999953</c:v>
                </c:pt>
                <c:pt idx="136">
                  <c:v>18.700000000000035</c:v>
                </c:pt>
                <c:pt idx="137">
                  <c:v>18.700000000000035</c:v>
                </c:pt>
                <c:pt idx="138">
                  <c:v>19.200000000000049</c:v>
                </c:pt>
                <c:pt idx="139">
                  <c:v>18.700000000000035</c:v>
                </c:pt>
                <c:pt idx="140">
                  <c:v>20.000000000000018</c:v>
                </c:pt>
                <c:pt idx="141">
                  <c:v>20.499999999999964</c:v>
                </c:pt>
                <c:pt idx="142">
                  <c:v>20.799999999999986</c:v>
                </c:pt>
                <c:pt idx="143">
                  <c:v>20.800000000000054</c:v>
                </c:pt>
                <c:pt idx="144">
                  <c:v>24.100000000000023</c:v>
                </c:pt>
                <c:pt idx="145">
                  <c:v>23.999999999999925</c:v>
                </c:pt>
                <c:pt idx="146">
                  <c:v>24.899999999999991</c:v>
                </c:pt>
                <c:pt idx="147">
                  <c:v>24.799999999999962</c:v>
                </c:pt>
                <c:pt idx="148">
                  <c:v>25.79999999999999</c:v>
                </c:pt>
                <c:pt idx="149">
                  <c:v>24.900000000000063</c:v>
                </c:pt>
                <c:pt idx="150">
                  <c:v>25.500000000000036</c:v>
                </c:pt>
                <c:pt idx="151">
                  <c:v>25.299999999999905</c:v>
                </c:pt>
                <c:pt idx="152">
                  <c:v>24.199999999999985</c:v>
                </c:pt>
                <c:pt idx="153">
                  <c:v>22.700000000000014</c:v>
                </c:pt>
                <c:pt idx="154">
                  <c:v>23.299999999999986</c:v>
                </c:pt>
                <c:pt idx="155">
                  <c:v>23.799999999999933</c:v>
                </c:pt>
                <c:pt idx="156">
                  <c:v>23.499999999999911</c:v>
                </c:pt>
                <c:pt idx="157">
                  <c:v>23.600000000000009</c:v>
                </c:pt>
                <c:pt idx="158">
                  <c:v>24.099999999999955</c:v>
                </c:pt>
                <c:pt idx="159">
                  <c:v>25.799999999999919</c:v>
                </c:pt>
                <c:pt idx="160">
                  <c:v>25.100000000000051</c:v>
                </c:pt>
                <c:pt idx="161">
                  <c:v>26.899999999999981</c:v>
                </c:pt>
                <c:pt idx="162">
                  <c:v>27.299999999999962</c:v>
                </c:pt>
                <c:pt idx="163">
                  <c:v>26.399999999999967</c:v>
                </c:pt>
                <c:pt idx="164">
                  <c:v>27.300000000000104</c:v>
                </c:pt>
                <c:pt idx="165">
                  <c:v>26.399999999999967</c:v>
                </c:pt>
                <c:pt idx="166">
                  <c:v>26.800000000000018</c:v>
                </c:pt>
                <c:pt idx="167">
                  <c:v>26.300000000000004</c:v>
                </c:pt>
                <c:pt idx="168">
                  <c:v>26.600000000000026</c:v>
                </c:pt>
                <c:pt idx="169">
                  <c:v>27.399999999999995</c:v>
                </c:pt>
                <c:pt idx="170">
                  <c:v>27.500000000000025</c:v>
                </c:pt>
                <c:pt idx="171">
                  <c:v>27.399999999999995</c:v>
                </c:pt>
                <c:pt idx="172">
                  <c:v>27.399999999999995</c:v>
                </c:pt>
                <c:pt idx="173">
                  <c:v>27.900000000000009</c:v>
                </c:pt>
                <c:pt idx="174">
                  <c:v>27.799999999999908</c:v>
                </c:pt>
                <c:pt idx="175">
                  <c:v>28.899999999999967</c:v>
                </c:pt>
                <c:pt idx="176">
                  <c:v>28.400000000000023</c:v>
                </c:pt>
                <c:pt idx="177">
                  <c:v>27.999999999999901</c:v>
                </c:pt>
                <c:pt idx="178">
                  <c:v>27.399999999999995</c:v>
                </c:pt>
                <c:pt idx="179">
                  <c:v>26.899999999999981</c:v>
                </c:pt>
                <c:pt idx="180">
                  <c:v>26.699999999999989</c:v>
                </c:pt>
                <c:pt idx="181">
                  <c:v>25.90000000000002</c:v>
                </c:pt>
                <c:pt idx="182">
                  <c:v>25.79999999999999</c:v>
                </c:pt>
                <c:pt idx="183">
                  <c:v>24.400000000000116</c:v>
                </c:pt>
                <c:pt idx="184">
                  <c:v>24.800000000000029</c:v>
                </c:pt>
                <c:pt idx="185">
                  <c:v>24.800000000000029</c:v>
                </c:pt>
                <c:pt idx="186">
                  <c:v>24.599999999999969</c:v>
                </c:pt>
                <c:pt idx="187">
                  <c:v>24.399999999999977</c:v>
                </c:pt>
                <c:pt idx="188">
                  <c:v>24.500000000000007</c:v>
                </c:pt>
                <c:pt idx="189">
                  <c:v>24.600000000000037</c:v>
                </c:pt>
                <c:pt idx="190">
                  <c:v>25.000000000000021</c:v>
                </c:pt>
                <c:pt idx="191">
                  <c:v>24.899999999999991</c:v>
                </c:pt>
                <c:pt idx="192">
                  <c:v>23.700000000000042</c:v>
                </c:pt>
                <c:pt idx="193">
                  <c:v>24.100000000000023</c:v>
                </c:pt>
                <c:pt idx="194">
                  <c:v>23.50000000000005</c:v>
                </c:pt>
                <c:pt idx="195">
                  <c:v>23.50000000000005</c:v>
                </c:pt>
                <c:pt idx="196">
                  <c:v>22.799999999999972</c:v>
                </c:pt>
                <c:pt idx="197">
                  <c:v>23.400000000000016</c:v>
                </c:pt>
                <c:pt idx="198">
                  <c:v>22.39999999999992</c:v>
                </c:pt>
                <c:pt idx="199">
                  <c:v>22.199999999999996</c:v>
                </c:pt>
                <c:pt idx="200">
                  <c:v>22.600000000000051</c:v>
                </c:pt>
                <c:pt idx="201">
                  <c:v>22.59999999999998</c:v>
                </c:pt>
                <c:pt idx="202">
                  <c:v>22.500000000000021</c:v>
                </c:pt>
                <c:pt idx="203">
                  <c:v>22.700000000000014</c:v>
                </c:pt>
                <c:pt idx="204">
                  <c:v>23.699999999999971</c:v>
                </c:pt>
                <c:pt idx="205">
                  <c:v>24.800000000000029</c:v>
                </c:pt>
                <c:pt idx="206">
                  <c:v>25.000000000000021</c:v>
                </c:pt>
                <c:pt idx="207">
                  <c:v>24.7</c:v>
                </c:pt>
                <c:pt idx="208">
                  <c:v>25.000000000000021</c:v>
                </c:pt>
                <c:pt idx="209">
                  <c:v>24.500000000000078</c:v>
                </c:pt>
                <c:pt idx="210">
                  <c:v>24.999999999999954</c:v>
                </c:pt>
                <c:pt idx="211">
                  <c:v>24.7</c:v>
                </c:pt>
                <c:pt idx="212">
                  <c:v>24.89999999999992</c:v>
                </c:pt>
                <c:pt idx="213">
                  <c:v>24.800000000000029</c:v>
                </c:pt>
                <c:pt idx="214">
                  <c:v>24.89999999999992</c:v>
                </c:pt>
                <c:pt idx="215">
                  <c:v>25.600000000000065</c:v>
                </c:pt>
                <c:pt idx="216">
                  <c:v>25.79999999999999</c:v>
                </c:pt>
                <c:pt idx="217">
                  <c:v>25.400000000000006</c:v>
                </c:pt>
                <c:pt idx="218">
                  <c:v>26.199999999999974</c:v>
                </c:pt>
                <c:pt idx="219">
                  <c:v>26.599999999999959</c:v>
                </c:pt>
                <c:pt idx="220">
                  <c:v>27.300000000000033</c:v>
                </c:pt>
                <c:pt idx="221">
                  <c:v>26.700000000000056</c:v>
                </c:pt>
                <c:pt idx="222">
                  <c:v>27.000000000000011</c:v>
                </c:pt>
                <c:pt idx="223">
                  <c:v>26.800000000000018</c:v>
                </c:pt>
                <c:pt idx="224">
                  <c:v>27.599999999999987</c:v>
                </c:pt>
                <c:pt idx="225">
                  <c:v>29.300000000000022</c:v>
                </c:pt>
                <c:pt idx="226">
                  <c:v>29.300000000000022</c:v>
                </c:pt>
                <c:pt idx="227">
                  <c:v>30.100000000000058</c:v>
                </c:pt>
                <c:pt idx="228">
                  <c:v>32.500000000000028</c:v>
                </c:pt>
                <c:pt idx="229">
                  <c:v>33.299999999999997</c:v>
                </c:pt>
                <c:pt idx="230">
                  <c:v>33.899999999999899</c:v>
                </c:pt>
                <c:pt idx="231">
                  <c:v>35.299999999999983</c:v>
                </c:pt>
                <c:pt idx="232">
                  <c:v>36.000000000000057</c:v>
                </c:pt>
                <c:pt idx="233">
                  <c:v>35.300000000000054</c:v>
                </c:pt>
                <c:pt idx="234">
                  <c:v>35.999999999999993</c:v>
                </c:pt>
                <c:pt idx="235">
                  <c:v>34.49999999999995</c:v>
                </c:pt>
                <c:pt idx="236">
                  <c:v>34.49999999999995</c:v>
                </c:pt>
                <c:pt idx="237">
                  <c:v>35.099999999999994</c:v>
                </c:pt>
                <c:pt idx="238">
                  <c:v>34.49999999999995</c:v>
                </c:pt>
                <c:pt idx="239">
                  <c:v>33.499999999999986</c:v>
                </c:pt>
                <c:pt idx="240">
                  <c:v>32.4</c:v>
                </c:pt>
                <c:pt idx="241">
                  <c:v>31.200000000000045</c:v>
                </c:pt>
                <c:pt idx="242">
                  <c:v>32.299999999999969</c:v>
                </c:pt>
                <c:pt idx="243">
                  <c:v>30.799999999999994</c:v>
                </c:pt>
                <c:pt idx="244">
                  <c:v>32.300000000000104</c:v>
                </c:pt>
                <c:pt idx="245">
                  <c:v>32.30000000000004</c:v>
                </c:pt>
                <c:pt idx="246">
                  <c:v>31.699999999999992</c:v>
                </c:pt>
                <c:pt idx="247">
                  <c:v>30.900000000000023</c:v>
                </c:pt>
                <c:pt idx="248">
                  <c:v>30.6</c:v>
                </c:pt>
                <c:pt idx="249">
                  <c:v>31.29999999999994</c:v>
                </c:pt>
                <c:pt idx="250">
                  <c:v>31.899999999999984</c:v>
                </c:pt>
                <c:pt idx="251">
                  <c:v>32.500000000000028</c:v>
                </c:pt>
                <c:pt idx="252">
                  <c:v>31.60000000000003</c:v>
                </c:pt>
                <c:pt idx="253">
                  <c:v>31.000000000000057</c:v>
                </c:pt>
                <c:pt idx="254">
                  <c:v>30.19999999999995</c:v>
                </c:pt>
                <c:pt idx="255">
                  <c:v>26.700000000000056</c:v>
                </c:pt>
                <c:pt idx="256">
                  <c:v>27.399999999999995</c:v>
                </c:pt>
                <c:pt idx="257">
                  <c:v>28.800000000000008</c:v>
                </c:pt>
                <c:pt idx="258">
                  <c:v>30.19999999999995</c:v>
                </c:pt>
                <c:pt idx="259">
                  <c:v>29.899999999999995</c:v>
                </c:pt>
                <c:pt idx="260">
                  <c:v>30.799999999999994</c:v>
                </c:pt>
                <c:pt idx="261">
                  <c:v>32.099999999999973</c:v>
                </c:pt>
                <c:pt idx="262">
                  <c:v>32.600000000000058</c:v>
                </c:pt>
                <c:pt idx="263">
                  <c:v>31.60000000000003</c:v>
                </c:pt>
                <c:pt idx="264">
                  <c:v>32.000000000000085</c:v>
                </c:pt>
                <c:pt idx="265">
                  <c:v>31.699999999999992</c:v>
                </c:pt>
                <c:pt idx="266">
                  <c:v>30.899999999999956</c:v>
                </c:pt>
                <c:pt idx="267">
                  <c:v>30.099999999999987</c:v>
                </c:pt>
                <c:pt idx="268">
                  <c:v>32.699999999999953</c:v>
                </c:pt>
                <c:pt idx="269">
                  <c:v>33.000000000000043</c:v>
                </c:pt>
                <c:pt idx="270">
                  <c:v>34.199999999999996</c:v>
                </c:pt>
                <c:pt idx="271">
                  <c:v>35.900000000000027</c:v>
                </c:pt>
                <c:pt idx="272">
                  <c:v>37.90000000000002</c:v>
                </c:pt>
                <c:pt idx="273">
                  <c:v>38.800000000000018</c:v>
                </c:pt>
                <c:pt idx="274">
                  <c:v>37.700000000000024</c:v>
                </c:pt>
                <c:pt idx="275">
                  <c:v>37.199999999999939</c:v>
                </c:pt>
                <c:pt idx="276">
                  <c:v>36.799999999999955</c:v>
                </c:pt>
                <c:pt idx="277">
                  <c:v>36.29999999999994</c:v>
                </c:pt>
                <c:pt idx="278">
                  <c:v>35.900000000000027</c:v>
                </c:pt>
                <c:pt idx="279">
                  <c:v>37.600000000000065</c:v>
                </c:pt>
                <c:pt idx="280">
                  <c:v>37.200000000000081</c:v>
                </c:pt>
                <c:pt idx="281">
                  <c:v>35.500000000000043</c:v>
                </c:pt>
                <c:pt idx="282">
                  <c:v>35.099999999999994</c:v>
                </c:pt>
                <c:pt idx="283">
                  <c:v>37.000000000000021</c:v>
                </c:pt>
                <c:pt idx="284">
                  <c:v>37.299999999999969</c:v>
                </c:pt>
                <c:pt idx="285">
                  <c:v>37.700000000000024</c:v>
                </c:pt>
                <c:pt idx="286">
                  <c:v>38.499999999999922</c:v>
                </c:pt>
                <c:pt idx="287">
                  <c:v>38.299999999999997</c:v>
                </c:pt>
                <c:pt idx="288">
                  <c:v>37.999999999999979</c:v>
                </c:pt>
                <c:pt idx="289">
                  <c:v>37.400000000000006</c:v>
                </c:pt>
                <c:pt idx="290">
                  <c:v>36.699999999999996</c:v>
                </c:pt>
                <c:pt idx="291">
                  <c:v>37.499999999999964</c:v>
                </c:pt>
                <c:pt idx="292">
                  <c:v>37.699999999999953</c:v>
                </c:pt>
                <c:pt idx="293">
                  <c:v>35.900000000000027</c:v>
                </c:pt>
                <c:pt idx="294">
                  <c:v>35.900000000000027</c:v>
                </c:pt>
                <c:pt idx="295">
                  <c:v>35.799999999999997</c:v>
                </c:pt>
                <c:pt idx="296">
                  <c:v>36.799999999999955</c:v>
                </c:pt>
                <c:pt idx="297">
                  <c:v>35.799999999999997</c:v>
                </c:pt>
                <c:pt idx="298">
                  <c:v>36.800000000000026</c:v>
                </c:pt>
                <c:pt idx="299">
                  <c:v>40.399999999999949</c:v>
                </c:pt>
                <c:pt idx="300">
                  <c:v>42.899999999999949</c:v>
                </c:pt>
                <c:pt idx="301">
                  <c:v>48.300000000000011</c:v>
                </c:pt>
                <c:pt idx="302">
                  <c:v>53.100000000000023</c:v>
                </c:pt>
                <c:pt idx="303">
                  <c:v>55.499999999999993</c:v>
                </c:pt>
                <c:pt idx="304">
                  <c:v>52.200000000000024</c:v>
                </c:pt>
                <c:pt idx="305">
                  <c:v>53.600000000000037</c:v>
                </c:pt>
                <c:pt idx="306">
                  <c:v>53.000000000000064</c:v>
                </c:pt>
                <c:pt idx="307">
                  <c:v>55.800000000000018</c:v>
                </c:pt>
                <c:pt idx="308">
                  <c:v>55.599999999999952</c:v>
                </c:pt>
                <c:pt idx="309">
                  <c:v>55.499999999999922</c:v>
                </c:pt>
                <c:pt idx="310">
                  <c:v>52.799999999999933</c:v>
                </c:pt>
                <c:pt idx="311">
                  <c:v>49.600000000000058</c:v>
                </c:pt>
                <c:pt idx="312">
                  <c:v>49.399999999999928</c:v>
                </c:pt>
                <c:pt idx="313">
                  <c:v>51.399999999999984</c:v>
                </c:pt>
                <c:pt idx="314">
                  <c:v>50.400000000000027</c:v>
                </c:pt>
                <c:pt idx="315">
                  <c:v>45.900000000000041</c:v>
                </c:pt>
                <c:pt idx="316">
                  <c:v>48.300000000000011</c:v>
                </c:pt>
                <c:pt idx="317">
                  <c:v>44.399999999999991</c:v>
                </c:pt>
                <c:pt idx="318">
                  <c:v>42.69999999999996</c:v>
                </c:pt>
                <c:pt idx="319">
                  <c:v>43.799999999999947</c:v>
                </c:pt>
                <c:pt idx="320">
                  <c:v>44.699999999999946</c:v>
                </c:pt>
                <c:pt idx="321">
                  <c:v>42.700000000000031</c:v>
                </c:pt>
                <c:pt idx="322">
                  <c:v>42.000000000000021</c:v>
                </c:pt>
                <c:pt idx="323">
                  <c:v>42.79999999999999</c:v>
                </c:pt>
                <c:pt idx="324">
                  <c:v>44.499999999999957</c:v>
                </c:pt>
                <c:pt idx="325">
                  <c:v>46</c:v>
                </c:pt>
                <c:pt idx="326">
                  <c:v>44.400000000000063</c:v>
                </c:pt>
                <c:pt idx="327">
                  <c:v>44.199999999999932</c:v>
                </c:pt>
                <c:pt idx="328">
                  <c:v>43.800000000000018</c:v>
                </c:pt>
                <c:pt idx="329">
                  <c:v>44.999999999999972</c:v>
                </c:pt>
                <c:pt idx="330">
                  <c:v>44.500000000000028</c:v>
                </c:pt>
                <c:pt idx="331">
                  <c:v>43.400000000000034</c:v>
                </c:pt>
                <c:pt idx="332">
                  <c:v>41.900000000000063</c:v>
                </c:pt>
                <c:pt idx="333">
                  <c:v>42.999999999999986</c:v>
                </c:pt>
                <c:pt idx="334">
                  <c:v>41.599999999999973</c:v>
                </c:pt>
                <c:pt idx="335">
                  <c:v>43.100000000000016</c:v>
                </c:pt>
                <c:pt idx="336">
                  <c:v>41.899999999999991</c:v>
                </c:pt>
                <c:pt idx="337">
                  <c:v>42.6</c:v>
                </c:pt>
                <c:pt idx="338">
                  <c:v>42.499999999999972</c:v>
                </c:pt>
                <c:pt idx="339">
                  <c:v>40.799999999999933</c:v>
                </c:pt>
                <c:pt idx="340">
                  <c:v>42.499999999999972</c:v>
                </c:pt>
                <c:pt idx="341">
                  <c:v>41.800000000000033</c:v>
                </c:pt>
                <c:pt idx="342">
                  <c:v>41.7</c:v>
                </c:pt>
                <c:pt idx="343">
                  <c:v>44.399999999999991</c:v>
                </c:pt>
                <c:pt idx="344">
                  <c:v>44.599999999999987</c:v>
                </c:pt>
                <c:pt idx="345">
                  <c:v>44.599999999999987</c:v>
                </c:pt>
                <c:pt idx="346">
                  <c:v>42.999999999999986</c:v>
                </c:pt>
                <c:pt idx="347">
                  <c:v>44.500000000000028</c:v>
                </c:pt>
                <c:pt idx="348">
                  <c:v>42.6</c:v>
                </c:pt>
                <c:pt idx="349">
                  <c:v>40.999999999999993</c:v>
                </c:pt>
                <c:pt idx="350">
                  <c:v>39.700000000000081</c:v>
                </c:pt>
                <c:pt idx="351">
                  <c:v>40.09999999999993</c:v>
                </c:pt>
                <c:pt idx="352">
                  <c:v>39.099999999999966</c:v>
                </c:pt>
                <c:pt idx="353">
                  <c:v>38.700000000000053</c:v>
                </c:pt>
                <c:pt idx="354">
                  <c:v>40.000000000000036</c:v>
                </c:pt>
                <c:pt idx="355">
                  <c:v>38.800000000000018</c:v>
                </c:pt>
                <c:pt idx="356">
                  <c:v>38.299999999999997</c:v>
                </c:pt>
                <c:pt idx="357">
                  <c:v>38.499999999999993</c:v>
                </c:pt>
                <c:pt idx="358">
                  <c:v>38.400000000000034</c:v>
                </c:pt>
                <c:pt idx="359">
                  <c:v>38.299999999999997</c:v>
                </c:pt>
                <c:pt idx="360">
                  <c:v>40.600000000000009</c:v>
                </c:pt>
                <c:pt idx="361">
                  <c:v>37.40000000000007</c:v>
                </c:pt>
                <c:pt idx="362">
                  <c:v>39.199999999999932</c:v>
                </c:pt>
                <c:pt idx="363">
                  <c:v>36.899999999999991</c:v>
                </c:pt>
                <c:pt idx="364">
                  <c:v>38.600000000000023</c:v>
                </c:pt>
                <c:pt idx="365">
                  <c:v>38.600000000000023</c:v>
                </c:pt>
                <c:pt idx="366">
                  <c:v>40.499999999999979</c:v>
                </c:pt>
                <c:pt idx="367">
                  <c:v>41.300000000000018</c:v>
                </c:pt>
                <c:pt idx="368">
                  <c:v>40.699999999999903</c:v>
                </c:pt>
                <c:pt idx="369">
                  <c:v>42.100000000000051</c:v>
                </c:pt>
                <c:pt idx="370">
                  <c:v>41.699999999999932</c:v>
                </c:pt>
                <c:pt idx="371">
                  <c:v>41.099999999999959</c:v>
                </c:pt>
                <c:pt idx="372">
                  <c:v>27.893288590603998</c:v>
                </c:pt>
                <c:pt idx="373">
                  <c:v>27.850335570469841</c:v>
                </c:pt>
                <c:pt idx="374">
                  <c:v>29.427516778523511</c:v>
                </c:pt>
                <c:pt idx="375">
                  <c:v>31.400335570469785</c:v>
                </c:pt>
                <c:pt idx="376">
                  <c:v>29.845637583892568</c:v>
                </c:pt>
                <c:pt idx="377">
                  <c:v>29.764429530201308</c:v>
                </c:pt>
                <c:pt idx="378">
                  <c:v>30.613422818791953</c:v>
                </c:pt>
                <c:pt idx="379">
                  <c:v>33.139261744966483</c:v>
                </c:pt>
                <c:pt idx="380">
                  <c:v>32.805369127516805</c:v>
                </c:pt>
                <c:pt idx="381">
                  <c:v>34.085570469798711</c:v>
                </c:pt>
                <c:pt idx="382">
                  <c:v>31.371140939597254</c:v>
                </c:pt>
                <c:pt idx="383">
                  <c:v>31.16140939597306</c:v>
                </c:pt>
                <c:pt idx="384">
                  <c:v>32.375838926174403</c:v>
                </c:pt>
                <c:pt idx="385">
                  <c:v>38.877181208053713</c:v>
                </c:pt>
                <c:pt idx="386">
                  <c:v>33.022147651006684</c:v>
                </c:pt>
                <c:pt idx="387">
                  <c:v>50.099999999999937</c:v>
                </c:pt>
                <c:pt idx="388">
                  <c:v>87.737583892617337</c:v>
                </c:pt>
                <c:pt idx="389">
                  <c:v>49.999999999999972</c:v>
                </c:pt>
                <c:pt idx="390">
                  <c:v>50.800000000000011</c:v>
                </c:pt>
                <c:pt idx="391">
                  <c:v>37.754026845637568</c:v>
                </c:pt>
                <c:pt idx="392">
                  <c:v>42.76174496644289</c:v>
                </c:pt>
                <c:pt idx="393">
                  <c:v>43.716107382550383</c:v>
                </c:pt>
                <c:pt idx="394">
                  <c:v>42.236241610738233</c:v>
                </c:pt>
                <c:pt idx="395">
                  <c:v>39.730201342281916</c:v>
                </c:pt>
                <c:pt idx="396">
                  <c:v>40.343624161073841</c:v>
                </c:pt>
                <c:pt idx="397">
                  <c:v>36.944295302013401</c:v>
                </c:pt>
                <c:pt idx="398">
                  <c:v>39.120134228187858</c:v>
                </c:pt>
                <c:pt idx="399">
                  <c:v>41.062751677852432</c:v>
                </c:pt>
                <c:pt idx="400">
                  <c:v>39.07852348993282</c:v>
                </c:pt>
                <c:pt idx="401">
                  <c:v>39.149999999999949</c:v>
                </c:pt>
                <c:pt idx="402">
                  <c:v>38.526845637583826</c:v>
                </c:pt>
                <c:pt idx="403">
                  <c:v>39.300671140939592</c:v>
                </c:pt>
                <c:pt idx="404">
                  <c:v>39.822147651006752</c:v>
                </c:pt>
                <c:pt idx="405">
                  <c:v>40.416107382550415</c:v>
                </c:pt>
                <c:pt idx="406">
                  <c:v>40.261073825503395</c:v>
                </c:pt>
                <c:pt idx="407">
                  <c:v>37.904026845637581</c:v>
                </c:pt>
                <c:pt idx="408">
                  <c:v>37.449999999999982</c:v>
                </c:pt>
                <c:pt idx="409">
                  <c:v>37.194630872483188</c:v>
                </c:pt>
                <c:pt idx="410">
                  <c:v>37.159395973154417</c:v>
                </c:pt>
                <c:pt idx="411">
                  <c:v>37.501342281879154</c:v>
                </c:pt>
                <c:pt idx="412">
                  <c:v>38.804362416107324</c:v>
                </c:pt>
                <c:pt idx="413">
                  <c:v>38.862416107382501</c:v>
                </c:pt>
                <c:pt idx="414">
                  <c:v>39.358389261744954</c:v>
                </c:pt>
                <c:pt idx="415">
                  <c:v>39.504026845637654</c:v>
                </c:pt>
                <c:pt idx="416">
                  <c:v>40.298322147650985</c:v>
                </c:pt>
                <c:pt idx="417">
                  <c:v>40.332885906040268</c:v>
                </c:pt>
                <c:pt idx="418">
                  <c:v>41.655704697986657</c:v>
                </c:pt>
                <c:pt idx="419">
                  <c:v>40.67583892617445</c:v>
                </c:pt>
                <c:pt idx="420">
                  <c:v>41.898322147650987</c:v>
                </c:pt>
                <c:pt idx="421">
                  <c:v>40.61476510067115</c:v>
                </c:pt>
                <c:pt idx="422">
                  <c:v>39.496308724832204</c:v>
                </c:pt>
                <c:pt idx="423">
                  <c:v>40.006040268456417</c:v>
                </c:pt>
                <c:pt idx="424">
                  <c:v>41.167114093959704</c:v>
                </c:pt>
                <c:pt idx="425">
                  <c:v>40.178187919463063</c:v>
                </c:pt>
                <c:pt idx="426">
                  <c:v>38.250335570469836</c:v>
                </c:pt>
                <c:pt idx="427">
                  <c:v>40.098322147650997</c:v>
                </c:pt>
                <c:pt idx="428">
                  <c:v>40.267114093959776</c:v>
                </c:pt>
                <c:pt idx="429">
                  <c:v>46.480872483221425</c:v>
                </c:pt>
                <c:pt idx="430">
                  <c:v>42.658389261744993</c:v>
                </c:pt>
                <c:pt idx="431">
                  <c:v>44.202013422818823</c:v>
                </c:pt>
                <c:pt idx="432">
                  <c:v>45.875838926174445</c:v>
                </c:pt>
                <c:pt idx="433">
                  <c:v>48.612080536912721</c:v>
                </c:pt>
                <c:pt idx="434">
                  <c:v>45.326845637583894</c:v>
                </c:pt>
                <c:pt idx="435">
                  <c:v>48.494630872483178</c:v>
                </c:pt>
                <c:pt idx="436">
                  <c:v>56.382550335570478</c:v>
                </c:pt>
                <c:pt idx="437">
                  <c:v>54.270805369127444</c:v>
                </c:pt>
                <c:pt idx="438">
                  <c:v>62.412751677852413</c:v>
                </c:pt>
                <c:pt idx="439">
                  <c:v>57.066107382550342</c:v>
                </c:pt>
                <c:pt idx="440">
                  <c:v>55.124161073825533</c:v>
                </c:pt>
                <c:pt idx="441">
                  <c:v>55.009395973154433</c:v>
                </c:pt>
                <c:pt idx="442">
                  <c:v>55.569798657718117</c:v>
                </c:pt>
                <c:pt idx="443">
                  <c:v>55.060738255033463</c:v>
                </c:pt>
                <c:pt idx="444">
                  <c:v>57.134899328859028</c:v>
                </c:pt>
                <c:pt idx="445">
                  <c:v>60.679865771812096</c:v>
                </c:pt>
                <c:pt idx="446">
                  <c:v>65.611409395973169</c:v>
                </c:pt>
                <c:pt idx="447">
                  <c:v>62.988590604026868</c:v>
                </c:pt>
                <c:pt idx="448">
                  <c:v>62.000000000000043</c:v>
                </c:pt>
                <c:pt idx="449">
                  <c:v>58.364093959731505</c:v>
                </c:pt>
                <c:pt idx="450">
                  <c:v>63.26107382550336</c:v>
                </c:pt>
                <c:pt idx="451">
                  <c:v>60.290604026845692</c:v>
                </c:pt>
                <c:pt idx="452">
                  <c:v>64.589932885906066</c:v>
                </c:pt>
                <c:pt idx="453">
                  <c:v>62.766107382550352</c:v>
                </c:pt>
                <c:pt idx="454">
                  <c:v>72.514093959731511</c:v>
                </c:pt>
                <c:pt idx="455">
                  <c:v>70.012751677852307</c:v>
                </c:pt>
                <c:pt idx="456">
                  <c:v>59.885234899328886</c:v>
                </c:pt>
                <c:pt idx="457">
                  <c:v>50.049999999999955</c:v>
                </c:pt>
                <c:pt idx="458">
                  <c:v>51.665771812080543</c:v>
                </c:pt>
                <c:pt idx="459">
                  <c:v>51.811073825503293</c:v>
                </c:pt>
                <c:pt idx="460">
                  <c:v>50.366442953020119</c:v>
                </c:pt>
                <c:pt idx="461">
                  <c:v>51.139597315436326</c:v>
                </c:pt>
                <c:pt idx="462">
                  <c:v>56.015436241610708</c:v>
                </c:pt>
                <c:pt idx="463">
                  <c:v>68.685234899328876</c:v>
                </c:pt>
                <c:pt idx="464">
                  <c:v>77.817449664429532</c:v>
                </c:pt>
                <c:pt idx="465">
                  <c:v>80.339932885906123</c:v>
                </c:pt>
                <c:pt idx="466">
                  <c:v>81.681879194630895</c:v>
                </c:pt>
                <c:pt idx="467">
                  <c:v>83.505033557046971</c:v>
                </c:pt>
                <c:pt idx="468">
                  <c:v>86.925503355704677</c:v>
                </c:pt>
                <c:pt idx="469">
                  <c:v>90.379865771812035</c:v>
                </c:pt>
                <c:pt idx="470">
                  <c:v>90.569463087248337</c:v>
                </c:pt>
                <c:pt idx="471">
                  <c:v>92.359060402684577</c:v>
                </c:pt>
                <c:pt idx="472">
                  <c:v>91.277852348993292</c:v>
                </c:pt>
                <c:pt idx="473">
                  <c:v>91.046979865771689</c:v>
                </c:pt>
                <c:pt idx="474">
                  <c:v>85.47013422818786</c:v>
                </c:pt>
                <c:pt idx="475">
                  <c:v>82.986577181208062</c:v>
                </c:pt>
                <c:pt idx="476">
                  <c:v>85.285906040268443</c:v>
                </c:pt>
                <c:pt idx="477">
                  <c:v>83.764429530201397</c:v>
                </c:pt>
                <c:pt idx="478">
                  <c:v>88.211409395973078</c:v>
                </c:pt>
                <c:pt idx="479">
                  <c:v>81.331543624161</c:v>
                </c:pt>
                <c:pt idx="480">
                  <c:v>83.044295302013367</c:v>
                </c:pt>
                <c:pt idx="481">
                  <c:v>86.418791946308716</c:v>
                </c:pt>
                <c:pt idx="482">
                  <c:v>89.814093959731593</c:v>
                </c:pt>
                <c:pt idx="483">
                  <c:v>92.88926174496649</c:v>
                </c:pt>
                <c:pt idx="484">
                  <c:v>95.602348993288615</c:v>
                </c:pt>
                <c:pt idx="485">
                  <c:v>99.883892617449661</c:v>
                </c:pt>
                <c:pt idx="486">
                  <c:v>96.555369127516798</c:v>
                </c:pt>
                <c:pt idx="487">
                  <c:v>102.01812080536915</c:v>
                </c:pt>
                <c:pt idx="488">
                  <c:v>104.86812080536916</c:v>
                </c:pt>
                <c:pt idx="489">
                  <c:v>114.27046979865776</c:v>
                </c:pt>
                <c:pt idx="490">
                  <c:v>117.85838926174505</c:v>
                </c:pt>
                <c:pt idx="491">
                  <c:v>125.81744966442959</c:v>
                </c:pt>
                <c:pt idx="492">
                  <c:v>124.48087248322148</c:v>
                </c:pt>
                <c:pt idx="493">
                  <c:v>148.20134228187919</c:v>
                </c:pt>
                <c:pt idx="494">
                  <c:v>149.64697986577181</c:v>
                </c:pt>
                <c:pt idx="495">
                  <c:v>147.49932885906043</c:v>
                </c:pt>
                <c:pt idx="496">
                  <c:v>146.33456375838927</c:v>
                </c:pt>
                <c:pt idx="497">
                  <c:v>149.65906040268464</c:v>
                </c:pt>
                <c:pt idx="498">
                  <c:v>78.600000000000065</c:v>
                </c:pt>
                <c:pt idx="499">
                  <c:v>126.50000000000001</c:v>
                </c:pt>
                <c:pt idx="500">
                  <c:v>138.10000000000002</c:v>
                </c:pt>
                <c:pt idx="501">
                  <c:v>140.36577181208057</c:v>
                </c:pt>
                <c:pt idx="502">
                  <c:v>142.99429530201343</c:v>
                </c:pt>
                <c:pt idx="503">
                  <c:v>143.77114093959733</c:v>
                </c:pt>
                <c:pt idx="504">
                  <c:v>151.85771812080543</c:v>
                </c:pt>
                <c:pt idx="505">
                  <c:v>161.66510067114098</c:v>
                </c:pt>
                <c:pt idx="506">
                  <c:v>155.11778523489934</c:v>
                </c:pt>
                <c:pt idx="507">
                  <c:v>155.98657718120802</c:v>
                </c:pt>
                <c:pt idx="508">
                  <c:v>146.69932885906047</c:v>
                </c:pt>
                <c:pt idx="509">
                  <c:v>147.89127516778527</c:v>
                </c:pt>
                <c:pt idx="510">
                  <c:v>148.18255033557043</c:v>
                </c:pt>
                <c:pt idx="511">
                  <c:v>144.47986577181203</c:v>
                </c:pt>
                <c:pt idx="512">
                  <c:v>145.76308724832214</c:v>
                </c:pt>
                <c:pt idx="513">
                  <c:v>145.64899328859056</c:v>
                </c:pt>
                <c:pt idx="514">
                  <c:v>141.35939597315439</c:v>
                </c:pt>
                <c:pt idx="515">
                  <c:v>141.1429530201342</c:v>
                </c:pt>
                <c:pt idx="516">
                  <c:v>143.39194630872481</c:v>
                </c:pt>
                <c:pt idx="517">
                  <c:v>144.30201342281876</c:v>
                </c:pt>
                <c:pt idx="518">
                  <c:v>145.05234899328849</c:v>
                </c:pt>
                <c:pt idx="519">
                  <c:v>148.58590604026844</c:v>
                </c:pt>
                <c:pt idx="520">
                  <c:v>156.4802013422819</c:v>
                </c:pt>
                <c:pt idx="521">
                  <c:v>165.21543624161072</c:v>
                </c:pt>
                <c:pt idx="522">
                  <c:v>162.6006711409396</c:v>
                </c:pt>
                <c:pt idx="523">
                  <c:v>161.89328859060402</c:v>
                </c:pt>
                <c:pt idx="524">
                  <c:v>163.53758389261736</c:v>
                </c:pt>
                <c:pt idx="525">
                  <c:v>169.81006711409401</c:v>
                </c:pt>
                <c:pt idx="526">
                  <c:v>165.82885906040269</c:v>
                </c:pt>
                <c:pt idx="527">
                  <c:v>171.36510067114094</c:v>
                </c:pt>
                <c:pt idx="528">
                  <c:v>180.7859060402684</c:v>
                </c:pt>
                <c:pt idx="529">
                  <c:v>184.52550335570473</c:v>
                </c:pt>
                <c:pt idx="530">
                  <c:v>179.78724832214763</c:v>
                </c:pt>
                <c:pt idx="531">
                  <c:v>177.14697986577181</c:v>
                </c:pt>
                <c:pt idx="532">
                  <c:v>177.61140939597311</c:v>
                </c:pt>
                <c:pt idx="533">
                  <c:v>174.52651006711415</c:v>
                </c:pt>
                <c:pt idx="534">
                  <c:v>155.40604026845628</c:v>
                </c:pt>
                <c:pt idx="535">
                  <c:v>153.90604026845631</c:v>
                </c:pt>
                <c:pt idx="536">
                  <c:v>163.00000000000009</c:v>
                </c:pt>
                <c:pt idx="537">
                  <c:v>154.80000000000001</c:v>
                </c:pt>
                <c:pt idx="538">
                  <c:v>152.29999999999993</c:v>
                </c:pt>
                <c:pt idx="539">
                  <c:v>166.49999999999997</c:v>
                </c:pt>
                <c:pt idx="540">
                  <c:v>173.89999999999995</c:v>
                </c:pt>
                <c:pt idx="541">
                  <c:v>176.8</c:v>
                </c:pt>
                <c:pt idx="542">
                  <c:v>183.60000000000005</c:v>
                </c:pt>
                <c:pt idx="543">
                  <c:v>181.6</c:v>
                </c:pt>
                <c:pt idx="544">
                  <c:v>180.50000000000003</c:v>
                </c:pt>
                <c:pt idx="545">
                  <c:v>178.29999999999993</c:v>
                </c:pt>
                <c:pt idx="546">
                  <c:v>176.10000000000005</c:v>
                </c:pt>
                <c:pt idx="547">
                  <c:v>176.10000000000005</c:v>
                </c:pt>
                <c:pt idx="548">
                  <c:v>174.29999999999998</c:v>
                </c:pt>
                <c:pt idx="549">
                  <c:v>172.2</c:v>
                </c:pt>
                <c:pt idx="550">
                  <c:v>171.60000000000002</c:v>
                </c:pt>
                <c:pt idx="551">
                  <c:v>171.19999999999996</c:v>
                </c:pt>
                <c:pt idx="552">
                  <c:v>170.8</c:v>
                </c:pt>
                <c:pt idx="553">
                  <c:v>171.60000000000002</c:v>
                </c:pt>
                <c:pt idx="554">
                  <c:v>168.90000000000003</c:v>
                </c:pt>
                <c:pt idx="555">
                  <c:v>166.39999999999998</c:v>
                </c:pt>
                <c:pt idx="556">
                  <c:v>169.20000000000005</c:v>
                </c:pt>
                <c:pt idx="557">
                  <c:v>170.1</c:v>
                </c:pt>
                <c:pt idx="558">
                  <c:v>168.1</c:v>
                </c:pt>
                <c:pt idx="559">
                  <c:v>168.90000000000003</c:v>
                </c:pt>
                <c:pt idx="560">
                  <c:v>169.39999999999998</c:v>
                </c:pt>
                <c:pt idx="561">
                  <c:v>168.29999999999995</c:v>
                </c:pt>
                <c:pt idx="562">
                  <c:v>165.10000000000005</c:v>
                </c:pt>
                <c:pt idx="563">
                  <c:v>161.80000000000001</c:v>
                </c:pt>
                <c:pt idx="564">
                  <c:v>163.4</c:v>
                </c:pt>
                <c:pt idx="565">
                  <c:v>166.1</c:v>
                </c:pt>
                <c:pt idx="566">
                  <c:v>166.89999999999998</c:v>
                </c:pt>
                <c:pt idx="567">
                  <c:v>166.00000000000003</c:v>
                </c:pt>
                <c:pt idx="568">
                  <c:v>158.70000000000002</c:v>
                </c:pt>
                <c:pt idx="569">
                  <c:v>163.6</c:v>
                </c:pt>
                <c:pt idx="570">
                  <c:v>163.79999999999998</c:v>
                </c:pt>
                <c:pt idx="571">
                  <c:v>163.99999999999997</c:v>
                </c:pt>
                <c:pt idx="572">
                  <c:v>161.70000000000002</c:v>
                </c:pt>
                <c:pt idx="573">
                  <c:v>164.09999999999994</c:v>
                </c:pt>
                <c:pt idx="574">
                  <c:v>164.00000000000006</c:v>
                </c:pt>
                <c:pt idx="575">
                  <c:v>163.1</c:v>
                </c:pt>
                <c:pt idx="576">
                  <c:v>157.19999999999999</c:v>
                </c:pt>
                <c:pt idx="577">
                  <c:v>157.00000000000006</c:v>
                </c:pt>
                <c:pt idx="578">
                  <c:v>158.09999999999997</c:v>
                </c:pt>
                <c:pt idx="579">
                  <c:v>159.39999999999995</c:v>
                </c:pt>
                <c:pt idx="580">
                  <c:v>157.10000000000002</c:v>
                </c:pt>
                <c:pt idx="581">
                  <c:v>158.40000000000006</c:v>
                </c:pt>
                <c:pt idx="582">
                  <c:v>161.70000000000005</c:v>
                </c:pt>
                <c:pt idx="583">
                  <c:v>160.09999999999997</c:v>
                </c:pt>
                <c:pt idx="584">
                  <c:v>159.20000000000005</c:v>
                </c:pt>
                <c:pt idx="585">
                  <c:v>161.80000000000007</c:v>
                </c:pt>
                <c:pt idx="586">
                  <c:v>164.89999999999992</c:v>
                </c:pt>
                <c:pt idx="587">
                  <c:v>162.49999999999994</c:v>
                </c:pt>
                <c:pt idx="588">
                  <c:v>160.30000000000004</c:v>
                </c:pt>
                <c:pt idx="589">
                  <c:v>162.10000000000002</c:v>
                </c:pt>
                <c:pt idx="590">
                  <c:v>163.4</c:v>
                </c:pt>
                <c:pt idx="591">
                  <c:v>163.00000000000003</c:v>
                </c:pt>
                <c:pt idx="592">
                  <c:v>161.70000000000005</c:v>
                </c:pt>
                <c:pt idx="593">
                  <c:v>161.89999999999995</c:v>
                </c:pt>
                <c:pt idx="594">
                  <c:v>159.69999999999999</c:v>
                </c:pt>
                <c:pt idx="595">
                  <c:v>154.69999999999999</c:v>
                </c:pt>
                <c:pt idx="596">
                  <c:v>149.69999999999996</c:v>
                </c:pt>
                <c:pt idx="597">
                  <c:v>146.69999999999996</c:v>
                </c:pt>
                <c:pt idx="598">
                  <c:v>137.29999999999998</c:v>
                </c:pt>
                <c:pt idx="599">
                  <c:v>134.1</c:v>
                </c:pt>
                <c:pt idx="600">
                  <c:v>130.59999999999997</c:v>
                </c:pt>
                <c:pt idx="601">
                  <c:v>131.29999999999995</c:v>
                </c:pt>
                <c:pt idx="602">
                  <c:v>134.89999999999995</c:v>
                </c:pt>
                <c:pt idx="603">
                  <c:v>133.80000000000004</c:v>
                </c:pt>
                <c:pt idx="604">
                  <c:v>130.00000000000006</c:v>
                </c:pt>
                <c:pt idx="605">
                  <c:v>129.4</c:v>
                </c:pt>
                <c:pt idx="606">
                  <c:v>129.6</c:v>
                </c:pt>
                <c:pt idx="607">
                  <c:v>135.40000000000003</c:v>
                </c:pt>
                <c:pt idx="608">
                  <c:v>123.99999999999994</c:v>
                </c:pt>
                <c:pt idx="609">
                  <c:v>122.6</c:v>
                </c:pt>
                <c:pt idx="610">
                  <c:v>123.30000000000001</c:v>
                </c:pt>
                <c:pt idx="611">
                  <c:v>120.40000000000002</c:v>
                </c:pt>
                <c:pt idx="612">
                  <c:v>121.60000000000004</c:v>
                </c:pt>
                <c:pt idx="613">
                  <c:v>124.30000000000004</c:v>
                </c:pt>
                <c:pt idx="614">
                  <c:v>119.30000000000003</c:v>
                </c:pt>
                <c:pt idx="615">
                  <c:v>120.90000000000003</c:v>
                </c:pt>
                <c:pt idx="616">
                  <c:v>122.60000000000007</c:v>
                </c:pt>
                <c:pt idx="617">
                  <c:v>127.50000000000004</c:v>
                </c:pt>
                <c:pt idx="618">
                  <c:v>127.69999999999996</c:v>
                </c:pt>
                <c:pt idx="619">
                  <c:v>125.3</c:v>
                </c:pt>
                <c:pt idx="620">
                  <c:v>125.99999999999993</c:v>
                </c:pt>
                <c:pt idx="621">
                  <c:v>123.79999999999995</c:v>
                </c:pt>
                <c:pt idx="622">
                  <c:v>121.00000000000007</c:v>
                </c:pt>
                <c:pt idx="623">
                  <c:v>119.00000000000001</c:v>
                </c:pt>
                <c:pt idx="624">
                  <c:v>113.49999999999999</c:v>
                </c:pt>
                <c:pt idx="625">
                  <c:v>109.80000000000004</c:v>
                </c:pt>
                <c:pt idx="626">
                  <c:v>111.5</c:v>
                </c:pt>
                <c:pt idx="627">
                  <c:v>110.60000000000001</c:v>
                </c:pt>
                <c:pt idx="628">
                  <c:v>103.40000000000002</c:v>
                </c:pt>
                <c:pt idx="629">
                  <c:v>105.09999999999998</c:v>
                </c:pt>
                <c:pt idx="630">
                  <c:v>105.09999999999998</c:v>
                </c:pt>
                <c:pt idx="631">
                  <c:v>104.60000000000004</c:v>
                </c:pt>
                <c:pt idx="632">
                  <c:v>101.60000000000002</c:v>
                </c:pt>
                <c:pt idx="633">
                  <c:v>101.59999999999995</c:v>
                </c:pt>
                <c:pt idx="634">
                  <c:v>103.79999999999994</c:v>
                </c:pt>
                <c:pt idx="635">
                  <c:v>101.5</c:v>
                </c:pt>
                <c:pt idx="636">
                  <c:v>97.599999999999909</c:v>
                </c:pt>
                <c:pt idx="637">
                  <c:v>100.90000000000002</c:v>
                </c:pt>
                <c:pt idx="638">
                  <c:v>100.6</c:v>
                </c:pt>
                <c:pt idx="639">
                  <c:v>98.699999999999974</c:v>
                </c:pt>
                <c:pt idx="640">
                  <c:v>97.999999999999957</c:v>
                </c:pt>
                <c:pt idx="641">
                  <c:v>101.80000000000001</c:v>
                </c:pt>
                <c:pt idx="642">
                  <c:v>102.00000000000001</c:v>
                </c:pt>
                <c:pt idx="643">
                  <c:v>102.29999999999995</c:v>
                </c:pt>
                <c:pt idx="644">
                  <c:v>103.29999999999998</c:v>
                </c:pt>
                <c:pt idx="645">
                  <c:v>105.20000000000002</c:v>
                </c:pt>
                <c:pt idx="646">
                  <c:v>96.800000000000011</c:v>
                </c:pt>
                <c:pt idx="647">
                  <c:v>97.299999999999955</c:v>
                </c:pt>
                <c:pt idx="648">
                  <c:v>95.799999999999912</c:v>
                </c:pt>
                <c:pt idx="649">
                  <c:v>92.20000000000006</c:v>
                </c:pt>
                <c:pt idx="650">
                  <c:v>92.199999999999989</c:v>
                </c:pt>
                <c:pt idx="651">
                  <c:v>91.300000000000068</c:v>
                </c:pt>
                <c:pt idx="652">
                  <c:v>88.999999999999986</c:v>
                </c:pt>
                <c:pt idx="653">
                  <c:v>88.09999999999998</c:v>
                </c:pt>
                <c:pt idx="654">
                  <c:v>90.000000000000085</c:v>
                </c:pt>
                <c:pt idx="655">
                  <c:v>87.199999999999989</c:v>
                </c:pt>
                <c:pt idx="656">
                  <c:v>83.500000000000028</c:v>
                </c:pt>
                <c:pt idx="657">
                  <c:v>74.19999999999996</c:v>
                </c:pt>
                <c:pt idx="658">
                  <c:v>76.400000000000006</c:v>
                </c:pt>
                <c:pt idx="659">
                  <c:v>70.799999999999955</c:v>
                </c:pt>
                <c:pt idx="660">
                  <c:v>71.799999999999983</c:v>
                </c:pt>
                <c:pt idx="661">
                  <c:v>67.699999999999989</c:v>
                </c:pt>
                <c:pt idx="662">
                  <c:v>67.100000000000009</c:v>
                </c:pt>
                <c:pt idx="663">
                  <c:v>61.300000000000033</c:v>
                </c:pt>
                <c:pt idx="664">
                  <c:v>55.800000000000018</c:v>
                </c:pt>
                <c:pt idx="665">
                  <c:v>55.700000000000053</c:v>
                </c:pt>
                <c:pt idx="666">
                  <c:v>58.500000000000007</c:v>
                </c:pt>
                <c:pt idx="667">
                  <c:v>59.999999999999986</c:v>
                </c:pt>
                <c:pt idx="668">
                  <c:v>66.69999999999996</c:v>
                </c:pt>
                <c:pt idx="669">
                  <c:v>72.5</c:v>
                </c:pt>
                <c:pt idx="670">
                  <c:v>74.3</c:v>
                </c:pt>
                <c:pt idx="671">
                  <c:v>78.2</c:v>
                </c:pt>
                <c:pt idx="672">
                  <c:v>78.700000000000017</c:v>
                </c:pt>
                <c:pt idx="673">
                  <c:v>79.500000000000057</c:v>
                </c:pt>
                <c:pt idx="674">
                  <c:v>79.699999999999974</c:v>
                </c:pt>
                <c:pt idx="675">
                  <c:v>78.999999999999972</c:v>
                </c:pt>
                <c:pt idx="676">
                  <c:v>81.900000000000034</c:v>
                </c:pt>
                <c:pt idx="677">
                  <c:v>82.29999999999994</c:v>
                </c:pt>
                <c:pt idx="678">
                  <c:v>82.099999999999952</c:v>
                </c:pt>
                <c:pt idx="679">
                  <c:v>81.600000000000009</c:v>
                </c:pt>
                <c:pt idx="680">
                  <c:v>85</c:v>
                </c:pt>
                <c:pt idx="681">
                  <c:v>84.400000000000034</c:v>
                </c:pt>
                <c:pt idx="682">
                  <c:v>83.700000000000031</c:v>
                </c:pt>
                <c:pt idx="683">
                  <c:v>82.699999999999989</c:v>
                </c:pt>
                <c:pt idx="684">
                  <c:v>82.399999999999977</c:v>
                </c:pt>
                <c:pt idx="685">
                  <c:v>77.600000000000037</c:v>
                </c:pt>
                <c:pt idx="686">
                  <c:v>71.09999999999998</c:v>
                </c:pt>
                <c:pt idx="687">
                  <c:v>69.499999999999972</c:v>
                </c:pt>
                <c:pt idx="688">
                  <c:v>69.200000000000031</c:v>
                </c:pt>
                <c:pt idx="689">
                  <c:v>70.100000000000023</c:v>
                </c:pt>
                <c:pt idx="690">
                  <c:v>66.30000000000004</c:v>
                </c:pt>
                <c:pt idx="691">
                  <c:v>65.300000000000011</c:v>
                </c:pt>
                <c:pt idx="692">
                  <c:v>61.499999999999957</c:v>
                </c:pt>
                <c:pt idx="693">
                  <c:v>60.199999999999974</c:v>
                </c:pt>
                <c:pt idx="694">
                  <c:v>53.699999999999996</c:v>
                </c:pt>
                <c:pt idx="695">
                  <c:v>48.999999999999943</c:v>
                </c:pt>
                <c:pt idx="696">
                  <c:v>48.599999999999966</c:v>
                </c:pt>
                <c:pt idx="697">
                  <c:v>50.89999999999997</c:v>
                </c:pt>
                <c:pt idx="698">
                  <c:v>54.20000000000001</c:v>
                </c:pt>
                <c:pt idx="699">
                  <c:v>53.100000000000023</c:v>
                </c:pt>
                <c:pt idx="700">
                  <c:v>53.099999999999952</c:v>
                </c:pt>
                <c:pt idx="701">
                  <c:v>58.400000000000048</c:v>
                </c:pt>
                <c:pt idx="702">
                  <c:v>63.199999999999996</c:v>
                </c:pt>
                <c:pt idx="703">
                  <c:v>68.300000000000026</c:v>
                </c:pt>
                <c:pt idx="704">
                  <c:v>66.600000000000023</c:v>
                </c:pt>
                <c:pt idx="705">
                  <c:v>64.400000000000006</c:v>
                </c:pt>
                <c:pt idx="706">
                  <c:v>63.999999999999957</c:v>
                </c:pt>
                <c:pt idx="707">
                  <c:v>65.000000000000028</c:v>
                </c:pt>
                <c:pt idx="708">
                  <c:v>61.300000000000033</c:v>
                </c:pt>
                <c:pt idx="709">
                  <c:v>61.4</c:v>
                </c:pt>
                <c:pt idx="710">
                  <c:v>63.599999999999973</c:v>
                </c:pt>
                <c:pt idx="711">
                  <c:v>62.800000000000011</c:v>
                </c:pt>
                <c:pt idx="712">
                  <c:v>61.900000000000013</c:v>
                </c:pt>
                <c:pt idx="713">
                  <c:v>61.000000000000014</c:v>
                </c:pt>
                <c:pt idx="714">
                  <c:v>60.29999999999994</c:v>
                </c:pt>
                <c:pt idx="715">
                  <c:v>60.5</c:v>
                </c:pt>
                <c:pt idx="716">
                  <c:v>56.100000000000037</c:v>
                </c:pt>
                <c:pt idx="717">
                  <c:v>57.399999999999949</c:v>
                </c:pt>
                <c:pt idx="718">
                  <c:v>58.800000000000033</c:v>
                </c:pt>
                <c:pt idx="719">
                  <c:v>56.999999999999964</c:v>
                </c:pt>
                <c:pt idx="720">
                  <c:v>57.599999999999945</c:v>
                </c:pt>
                <c:pt idx="721">
                  <c:v>55.600000000000023</c:v>
                </c:pt>
                <c:pt idx="722">
                  <c:v>56.2</c:v>
                </c:pt>
                <c:pt idx="723">
                  <c:v>56.399999999999991</c:v>
                </c:pt>
                <c:pt idx="724">
                  <c:v>56.799999999999976</c:v>
                </c:pt>
                <c:pt idx="725">
                  <c:v>57.800000000000004</c:v>
                </c:pt>
                <c:pt idx="726">
                  <c:v>55.600000000000023</c:v>
                </c:pt>
                <c:pt idx="727">
                  <c:v>53.699999999999996</c:v>
                </c:pt>
                <c:pt idx="728">
                  <c:v>54.000000000000021</c:v>
                </c:pt>
                <c:pt idx="729">
                  <c:v>53.199999999999982</c:v>
                </c:pt>
                <c:pt idx="730">
                  <c:v>52.200000000000024</c:v>
                </c:pt>
                <c:pt idx="731">
                  <c:v>45.800000000000004</c:v>
                </c:pt>
                <c:pt idx="732">
                  <c:v>45.79999999999994</c:v>
                </c:pt>
                <c:pt idx="733">
                  <c:v>47.199999999999953</c:v>
                </c:pt>
                <c:pt idx="734">
                  <c:v>51.49999999999995</c:v>
                </c:pt>
                <c:pt idx="735">
                  <c:v>51.70000000000001</c:v>
                </c:pt>
                <c:pt idx="736">
                  <c:v>51.899999999999935</c:v>
                </c:pt>
                <c:pt idx="737">
                  <c:v>54.400000000000006</c:v>
                </c:pt>
                <c:pt idx="738">
                  <c:v>59.79999999999999</c:v>
                </c:pt>
                <c:pt idx="739">
                  <c:v>60.400000000000034</c:v>
                </c:pt>
                <c:pt idx="740">
                  <c:v>59.79999999999999</c:v>
                </c:pt>
                <c:pt idx="741">
                  <c:v>61.000000000000014</c:v>
                </c:pt>
                <c:pt idx="742">
                  <c:v>68.799999999999969</c:v>
                </c:pt>
                <c:pt idx="743">
                  <c:v>68.100000000000037</c:v>
                </c:pt>
                <c:pt idx="744">
                  <c:v>68.099999999999966</c:v>
                </c:pt>
                <c:pt idx="745">
                  <c:v>64.8</c:v>
                </c:pt>
                <c:pt idx="746">
                  <c:v>66.2</c:v>
                </c:pt>
                <c:pt idx="747">
                  <c:v>66.299999999999969</c:v>
                </c:pt>
                <c:pt idx="748">
                  <c:v>65.5</c:v>
                </c:pt>
                <c:pt idx="749">
                  <c:v>66.999999999999972</c:v>
                </c:pt>
                <c:pt idx="750">
                  <c:v>70.399999999999977</c:v>
                </c:pt>
                <c:pt idx="751">
                  <c:v>75.799999999999969</c:v>
                </c:pt>
                <c:pt idx="752">
                  <c:v>73.899999999999935</c:v>
                </c:pt>
                <c:pt idx="753">
                  <c:v>71.30000000000004</c:v>
                </c:pt>
                <c:pt idx="754">
                  <c:v>70.699999999999932</c:v>
                </c:pt>
                <c:pt idx="755">
                  <c:v>70.5</c:v>
                </c:pt>
                <c:pt idx="756">
                  <c:v>68.500000000000014</c:v>
                </c:pt>
                <c:pt idx="757">
                  <c:v>70.400000000000048</c:v>
                </c:pt>
                <c:pt idx="758">
                  <c:v>70.999999999999957</c:v>
                </c:pt>
                <c:pt idx="759">
                  <c:v>69.60000000000008</c:v>
                </c:pt>
                <c:pt idx="760">
                  <c:v>67.200000000000031</c:v>
                </c:pt>
                <c:pt idx="761">
                  <c:v>67.3</c:v>
                </c:pt>
                <c:pt idx="762">
                  <c:v>66.999999999999972</c:v>
                </c:pt>
                <c:pt idx="763">
                  <c:v>66.899999999999949</c:v>
                </c:pt>
                <c:pt idx="764">
                  <c:v>64.299999999999983</c:v>
                </c:pt>
                <c:pt idx="765">
                  <c:v>63.80000000000004</c:v>
                </c:pt>
                <c:pt idx="766">
                  <c:v>64.999999999999986</c:v>
                </c:pt>
                <c:pt idx="767">
                  <c:v>60.099999999999945</c:v>
                </c:pt>
                <c:pt idx="768">
                  <c:v>57.899999999999963</c:v>
                </c:pt>
                <c:pt idx="769">
                  <c:v>59.6</c:v>
                </c:pt>
                <c:pt idx="770">
                  <c:v>58.899999999999991</c:v>
                </c:pt>
                <c:pt idx="771">
                  <c:v>57.499999999999979</c:v>
                </c:pt>
                <c:pt idx="772">
                  <c:v>57.999999999999993</c:v>
                </c:pt>
                <c:pt idx="773">
                  <c:v>62.499999999999986</c:v>
                </c:pt>
                <c:pt idx="774">
                  <c:v>64.800000000000068</c:v>
                </c:pt>
                <c:pt idx="775">
                  <c:v>67.699999999999989</c:v>
                </c:pt>
                <c:pt idx="776">
                  <c:v>68.099999999999966</c:v>
                </c:pt>
                <c:pt idx="777">
                  <c:v>71.90000000000002</c:v>
                </c:pt>
                <c:pt idx="778">
                  <c:v>70.5</c:v>
                </c:pt>
                <c:pt idx="779">
                  <c:v>90.818857142857183</c:v>
                </c:pt>
                <c:pt idx="780">
                  <c:v>92.282857142857097</c:v>
                </c:pt>
                <c:pt idx="781">
                  <c:v>94.225142857142856</c:v>
                </c:pt>
                <c:pt idx="782">
                  <c:v>90.953999999999894</c:v>
                </c:pt>
                <c:pt idx="783">
                  <c:v>90.799999999999983</c:v>
                </c:pt>
                <c:pt idx="784">
                  <c:v>92.100000000000023</c:v>
                </c:pt>
                <c:pt idx="785">
                  <c:v>95.6</c:v>
                </c:pt>
                <c:pt idx="786">
                  <c:v>94.399999999999963</c:v>
                </c:pt>
                <c:pt idx="787">
                  <c:v>93.8</c:v>
                </c:pt>
                <c:pt idx="788">
                  <c:v>92.500000000000014</c:v>
                </c:pt>
                <c:pt idx="789">
                  <c:v>90.599999999999923</c:v>
                </c:pt>
                <c:pt idx="790">
                  <c:v>92.80000000000004</c:v>
                </c:pt>
                <c:pt idx="791">
                  <c:v>97.899999999999963</c:v>
                </c:pt>
                <c:pt idx="792">
                  <c:v>98.999999999999986</c:v>
                </c:pt>
                <c:pt idx="793">
                  <c:v>98.40000000000002</c:v>
                </c:pt>
                <c:pt idx="794">
                  <c:v>88.000000000000028</c:v>
                </c:pt>
                <c:pt idx="795">
                  <c:v>87.100000000000023</c:v>
                </c:pt>
                <c:pt idx="796">
                  <c:v>89.399999999999963</c:v>
                </c:pt>
                <c:pt idx="797">
                  <c:v>90.399999999999991</c:v>
                </c:pt>
                <c:pt idx="798">
                  <c:v>90.500000000000028</c:v>
                </c:pt>
                <c:pt idx="799">
                  <c:v>89.400000000000034</c:v>
                </c:pt>
                <c:pt idx="800">
                  <c:v>86.499999999999986</c:v>
                </c:pt>
                <c:pt idx="801">
                  <c:v>84.599999999999952</c:v>
                </c:pt>
                <c:pt idx="802">
                  <c:v>81.8</c:v>
                </c:pt>
                <c:pt idx="803">
                  <c:v>83.800000000000054</c:v>
                </c:pt>
                <c:pt idx="804">
                  <c:v>81.8</c:v>
                </c:pt>
                <c:pt idx="805">
                  <c:v>84.6</c:v>
                </c:pt>
                <c:pt idx="806">
                  <c:v>83.800000000000026</c:v>
                </c:pt>
                <c:pt idx="807">
                  <c:v>79.500000000000028</c:v>
                </c:pt>
                <c:pt idx="808">
                  <c:v>79.700000000000045</c:v>
                </c:pt>
                <c:pt idx="809">
                  <c:v>79.600000000000023</c:v>
                </c:pt>
                <c:pt idx="810">
                  <c:v>78.599999999999994</c:v>
                </c:pt>
                <c:pt idx="811">
                  <c:v>77.999999999999943</c:v>
                </c:pt>
                <c:pt idx="812">
                  <c:v>78.30000000000004</c:v>
                </c:pt>
                <c:pt idx="813">
                  <c:v>84.599999999999952</c:v>
                </c:pt>
                <c:pt idx="814">
                  <c:v>79.999999999999929</c:v>
                </c:pt>
                <c:pt idx="815">
                  <c:v>80.7</c:v>
                </c:pt>
                <c:pt idx="816">
                  <c:v>78.500000000000028</c:v>
                </c:pt>
                <c:pt idx="817">
                  <c:v>79.40000000000002</c:v>
                </c:pt>
                <c:pt idx="818">
                  <c:v>79.100000000000009</c:v>
                </c:pt>
                <c:pt idx="819">
                  <c:v>81.299999999999955</c:v>
                </c:pt>
                <c:pt idx="820">
                  <c:v>82.400000000000048</c:v>
                </c:pt>
                <c:pt idx="821">
                  <c:v>84.3</c:v>
                </c:pt>
                <c:pt idx="822">
                  <c:v>86.600000000000009</c:v>
                </c:pt>
                <c:pt idx="823">
                  <c:v>85.700000000000045</c:v>
                </c:pt>
                <c:pt idx="824">
                  <c:v>84.9</c:v>
                </c:pt>
                <c:pt idx="825">
                  <c:v>82.599999999999966</c:v>
                </c:pt>
                <c:pt idx="826">
                  <c:v>83.200000000000017</c:v>
                </c:pt>
                <c:pt idx="827">
                  <c:v>84.599999999999952</c:v>
                </c:pt>
                <c:pt idx="828">
                  <c:v>83.200000000000045</c:v>
                </c:pt>
                <c:pt idx="829">
                  <c:v>82.299999999999983</c:v>
                </c:pt>
                <c:pt idx="830">
                  <c:v>81.199999999999989</c:v>
                </c:pt>
                <c:pt idx="831">
                  <c:v>80.80000000000004</c:v>
                </c:pt>
                <c:pt idx="832">
                  <c:v>81.8</c:v>
                </c:pt>
                <c:pt idx="833">
                  <c:v>84.800000000000011</c:v>
                </c:pt>
                <c:pt idx="834">
                  <c:v>78.799999999999983</c:v>
                </c:pt>
                <c:pt idx="835">
                  <c:v>76.200000000000017</c:v>
                </c:pt>
                <c:pt idx="836">
                  <c:v>76.400000000000006</c:v>
                </c:pt>
                <c:pt idx="837">
                  <c:v>76.700000000000031</c:v>
                </c:pt>
                <c:pt idx="838">
                  <c:v>76.69999999999996</c:v>
                </c:pt>
                <c:pt idx="839">
                  <c:v>77.699999999999989</c:v>
                </c:pt>
                <c:pt idx="840">
                  <c:v>78.5</c:v>
                </c:pt>
                <c:pt idx="841">
                  <c:v>79.399999999999991</c:v>
                </c:pt>
                <c:pt idx="842">
                  <c:v>81.7</c:v>
                </c:pt>
                <c:pt idx="843">
                  <c:v>86.100000000000037</c:v>
                </c:pt>
                <c:pt idx="844">
                  <c:v>91.499999999999986</c:v>
                </c:pt>
                <c:pt idx="845">
                  <c:v>97.699999999999974</c:v>
                </c:pt>
                <c:pt idx="846">
                  <c:v>105.90000000000002</c:v>
                </c:pt>
                <c:pt idx="847">
                  <c:v>101.30000000000004</c:v>
                </c:pt>
                <c:pt idx="848">
                  <c:v>95.3</c:v>
                </c:pt>
                <c:pt idx="849">
                  <c:v>92.600000000000009</c:v>
                </c:pt>
                <c:pt idx="850">
                  <c:v>92.299999999999983</c:v>
                </c:pt>
                <c:pt idx="851">
                  <c:v>95.899999999999977</c:v>
                </c:pt>
                <c:pt idx="852">
                  <c:v>103.49999999999999</c:v>
                </c:pt>
                <c:pt idx="853">
                  <c:v>120</c:v>
                </c:pt>
                <c:pt idx="854">
                  <c:v>127.39999999999995</c:v>
                </c:pt>
                <c:pt idx="855">
                  <c:v>94.899999999999977</c:v>
                </c:pt>
                <c:pt idx="856">
                  <c:v>93.700000000000074</c:v>
                </c:pt>
                <c:pt idx="857">
                  <c:v>90.700000000000017</c:v>
                </c:pt>
                <c:pt idx="858">
                  <c:v>89.999999999999972</c:v>
                </c:pt>
                <c:pt idx="859">
                  <c:v>94.600000000000037</c:v>
                </c:pt>
                <c:pt idx="860">
                  <c:v>92.899999999999963</c:v>
                </c:pt>
                <c:pt idx="861">
                  <c:v>88.899999999999991</c:v>
                </c:pt>
                <c:pt idx="862">
                  <c:v>92.299999999999983</c:v>
                </c:pt>
                <c:pt idx="863">
                  <c:v>96.899999999999977</c:v>
                </c:pt>
                <c:pt idx="864">
                  <c:v>101.00000000000001</c:v>
                </c:pt>
                <c:pt idx="865">
                  <c:v>102.80000000000004</c:v>
                </c:pt>
                <c:pt idx="866">
                  <c:v>107.80000000000005</c:v>
                </c:pt>
                <c:pt idx="867">
                  <c:v>106.69999999999999</c:v>
                </c:pt>
                <c:pt idx="868">
                  <c:v>105.20000000000002</c:v>
                </c:pt>
                <c:pt idx="869">
                  <c:v>110.7</c:v>
                </c:pt>
                <c:pt idx="870">
                  <c:v>108.9</c:v>
                </c:pt>
                <c:pt idx="871">
                  <c:v>115.19999999999999</c:v>
                </c:pt>
                <c:pt idx="872">
                  <c:v>117.70000000000003</c:v>
                </c:pt>
                <c:pt idx="873">
                  <c:v>115</c:v>
                </c:pt>
                <c:pt idx="874">
                  <c:v>125.89999999999998</c:v>
                </c:pt>
                <c:pt idx="875">
                  <c:v>129.99999999999997</c:v>
                </c:pt>
                <c:pt idx="876">
                  <c:v>137.70000000000002</c:v>
                </c:pt>
                <c:pt idx="877">
                  <c:v>129.69999999999999</c:v>
                </c:pt>
                <c:pt idx="878">
                  <c:v>124.39999999999999</c:v>
                </c:pt>
                <c:pt idx="879">
                  <c:v>125.39999999999999</c:v>
                </c:pt>
                <c:pt idx="880">
                  <c:v>122.09999999999998</c:v>
                </c:pt>
                <c:pt idx="881">
                  <c:v>115.20000000000003</c:v>
                </c:pt>
                <c:pt idx="882">
                  <c:v>117.4</c:v>
                </c:pt>
                <c:pt idx="883">
                  <c:v>116.20000000000002</c:v>
                </c:pt>
                <c:pt idx="884">
                  <c:v>114.29999999999995</c:v>
                </c:pt>
                <c:pt idx="885">
                  <c:v>106.00000000000001</c:v>
                </c:pt>
                <c:pt idx="886">
                  <c:v>113.39999999999999</c:v>
                </c:pt>
                <c:pt idx="887">
                  <c:v>117.30000000000001</c:v>
                </c:pt>
                <c:pt idx="888">
                  <c:v>121.89999999999996</c:v>
                </c:pt>
                <c:pt idx="889">
                  <c:v>123.19999999999997</c:v>
                </c:pt>
                <c:pt idx="890">
                  <c:v>131.80000000000004</c:v>
                </c:pt>
                <c:pt idx="891">
                  <c:v>139.49999999999997</c:v>
                </c:pt>
                <c:pt idx="892">
                  <c:v>133.5</c:v>
                </c:pt>
                <c:pt idx="893">
                  <c:v>132.30000000000001</c:v>
                </c:pt>
                <c:pt idx="894">
                  <c:v>131.1</c:v>
                </c:pt>
                <c:pt idx="895">
                  <c:v>130.60000000000002</c:v>
                </c:pt>
                <c:pt idx="896">
                  <c:v>127.89999999999999</c:v>
                </c:pt>
                <c:pt idx="897">
                  <c:v>127.79999999999997</c:v>
                </c:pt>
                <c:pt idx="898">
                  <c:v>121.29999999999998</c:v>
                </c:pt>
                <c:pt idx="899">
                  <c:v>122.10000000000002</c:v>
                </c:pt>
                <c:pt idx="900">
                  <c:v>123.09999999999998</c:v>
                </c:pt>
                <c:pt idx="901">
                  <c:v>122.7</c:v>
                </c:pt>
                <c:pt idx="902">
                  <c:v>125.60000000000002</c:v>
                </c:pt>
                <c:pt idx="903">
                  <c:v>123.99999999999997</c:v>
                </c:pt>
                <c:pt idx="904">
                  <c:v>126.59999999999998</c:v>
                </c:pt>
                <c:pt idx="905">
                  <c:v>128.79999999999998</c:v>
                </c:pt>
                <c:pt idx="906">
                  <c:v>131.6</c:v>
                </c:pt>
                <c:pt idx="907">
                  <c:v>128.30000000000001</c:v>
                </c:pt>
                <c:pt idx="908">
                  <c:v>128.79999999999995</c:v>
                </c:pt>
                <c:pt idx="909">
                  <c:v>125.59999999999995</c:v>
                </c:pt>
                <c:pt idx="910">
                  <c:v>119.89999999999993</c:v>
                </c:pt>
                <c:pt idx="911">
                  <c:v>112.89999999999998</c:v>
                </c:pt>
                <c:pt idx="912">
                  <c:v>111.69999999999999</c:v>
                </c:pt>
                <c:pt idx="913">
                  <c:v>114</c:v>
                </c:pt>
                <c:pt idx="914">
                  <c:v>116.29999999999998</c:v>
                </c:pt>
                <c:pt idx="915">
                  <c:v>111.29999999999997</c:v>
                </c:pt>
                <c:pt idx="916">
                  <c:v>110.99999999999999</c:v>
                </c:pt>
                <c:pt idx="917">
                  <c:v>110.60000000000001</c:v>
                </c:pt>
                <c:pt idx="918">
                  <c:v>111.30000000000001</c:v>
                </c:pt>
                <c:pt idx="919">
                  <c:v>113.99999999999997</c:v>
                </c:pt>
                <c:pt idx="920">
                  <c:v>114.90000000000003</c:v>
                </c:pt>
                <c:pt idx="921">
                  <c:v>114.49999999999999</c:v>
                </c:pt>
                <c:pt idx="922">
                  <c:v>120.30000000000003</c:v>
                </c:pt>
                <c:pt idx="923">
                  <c:v>123.4</c:v>
                </c:pt>
                <c:pt idx="924">
                  <c:v>128.20000000000002</c:v>
                </c:pt>
                <c:pt idx="925">
                  <c:v>130.39999999999995</c:v>
                </c:pt>
                <c:pt idx="926">
                  <c:v>129.20000000000002</c:v>
                </c:pt>
                <c:pt idx="927">
                  <c:v>125.2</c:v>
                </c:pt>
                <c:pt idx="928">
                  <c:v>127</c:v>
                </c:pt>
                <c:pt idx="929">
                  <c:v>128.50000000000003</c:v>
                </c:pt>
                <c:pt idx="930">
                  <c:v>128.99999999999997</c:v>
                </c:pt>
                <c:pt idx="931">
                  <c:v>134.30000000000004</c:v>
                </c:pt>
                <c:pt idx="932">
                  <c:v>140.80000000000001</c:v>
                </c:pt>
                <c:pt idx="933">
                  <c:v>140.59999999999997</c:v>
                </c:pt>
                <c:pt idx="934">
                  <c:v>138.69999999999996</c:v>
                </c:pt>
                <c:pt idx="935">
                  <c:v>136.80000000000001</c:v>
                </c:pt>
                <c:pt idx="936">
                  <c:v>140.6</c:v>
                </c:pt>
                <c:pt idx="937">
                  <c:v>132.59999999999994</c:v>
                </c:pt>
                <c:pt idx="938">
                  <c:v>128.6</c:v>
                </c:pt>
                <c:pt idx="939">
                  <c:v>122.89999999999999</c:v>
                </c:pt>
                <c:pt idx="940">
                  <c:v>130.69999999999999</c:v>
                </c:pt>
                <c:pt idx="941">
                  <c:v>134.79999999999998</c:v>
                </c:pt>
                <c:pt idx="942">
                  <c:v>129.40000000000003</c:v>
                </c:pt>
                <c:pt idx="943">
                  <c:v>129.70000000000002</c:v>
                </c:pt>
                <c:pt idx="944">
                  <c:v>127.60000000000001</c:v>
                </c:pt>
                <c:pt idx="945">
                  <c:v>122.20000000000002</c:v>
                </c:pt>
                <c:pt idx="946">
                  <c:v>130.70000000000002</c:v>
                </c:pt>
                <c:pt idx="947">
                  <c:v>126.10000000000004</c:v>
                </c:pt>
                <c:pt idx="948">
                  <c:v>122.59999999999994</c:v>
                </c:pt>
                <c:pt idx="949">
                  <c:v>130.30000000000001</c:v>
                </c:pt>
                <c:pt idx="950">
                  <c:v>133.19999999999996</c:v>
                </c:pt>
                <c:pt idx="951">
                  <c:v>126.19999999999996</c:v>
                </c:pt>
                <c:pt idx="952">
                  <c:v>128.6</c:v>
                </c:pt>
                <c:pt idx="953">
                  <c:v>134.4</c:v>
                </c:pt>
                <c:pt idx="954">
                  <c:v>131.80000000000001</c:v>
                </c:pt>
                <c:pt idx="955">
                  <c:v>137.69999999999999</c:v>
                </c:pt>
                <c:pt idx="956">
                  <c:v>139.1</c:v>
                </c:pt>
                <c:pt idx="957">
                  <c:v>138.30000000000001</c:v>
                </c:pt>
                <c:pt idx="958">
                  <c:v>133.29999999999995</c:v>
                </c:pt>
                <c:pt idx="959">
                  <c:v>132.29999999999995</c:v>
                </c:pt>
                <c:pt idx="960">
                  <c:v>134.1</c:v>
                </c:pt>
                <c:pt idx="961">
                  <c:v>133.69999999999999</c:v>
                </c:pt>
                <c:pt idx="962">
                  <c:v>132.59999999999994</c:v>
                </c:pt>
                <c:pt idx="963">
                  <c:v>132.39999999999995</c:v>
                </c:pt>
                <c:pt idx="964">
                  <c:v>128.90000000000003</c:v>
                </c:pt>
                <c:pt idx="965">
                  <c:v>124.20000000000007</c:v>
                </c:pt>
                <c:pt idx="966">
                  <c:v>123.90000000000005</c:v>
                </c:pt>
                <c:pt idx="967">
                  <c:v>118.60000000000002</c:v>
                </c:pt>
                <c:pt idx="968">
                  <c:v>118.5</c:v>
                </c:pt>
                <c:pt idx="969">
                  <c:v>115.39999999999998</c:v>
                </c:pt>
                <c:pt idx="970">
                  <c:v>108.30000000000007</c:v>
                </c:pt>
                <c:pt idx="971">
                  <c:v>113.89999999999998</c:v>
                </c:pt>
                <c:pt idx="972">
                  <c:v>113.40000000000003</c:v>
                </c:pt>
                <c:pt idx="973">
                  <c:v>116.80000000000003</c:v>
                </c:pt>
                <c:pt idx="974">
                  <c:v>117.80000000000003</c:v>
                </c:pt>
                <c:pt idx="975">
                  <c:v>118.19999999999997</c:v>
                </c:pt>
                <c:pt idx="976">
                  <c:v>107.29999999999997</c:v>
                </c:pt>
                <c:pt idx="977">
                  <c:v>107.00000000000001</c:v>
                </c:pt>
                <c:pt idx="978">
                  <c:v>108.10000000000004</c:v>
                </c:pt>
                <c:pt idx="979">
                  <c:v>107.69999999999999</c:v>
                </c:pt>
                <c:pt idx="980">
                  <c:v>109.10000000000004</c:v>
                </c:pt>
                <c:pt idx="981">
                  <c:v>118.49999999999996</c:v>
                </c:pt>
                <c:pt idx="982">
                  <c:v>121.59999999999997</c:v>
                </c:pt>
                <c:pt idx="983">
                  <c:v>126.20000000000003</c:v>
                </c:pt>
                <c:pt idx="984">
                  <c:v>125.20000000000003</c:v>
                </c:pt>
                <c:pt idx="985">
                  <c:v>126.49999999999999</c:v>
                </c:pt>
                <c:pt idx="986">
                  <c:v>126.19999999999999</c:v>
                </c:pt>
                <c:pt idx="987">
                  <c:v>127.20000000000006</c:v>
                </c:pt>
                <c:pt idx="988">
                  <c:v>128.99999999999997</c:v>
                </c:pt>
                <c:pt idx="989">
                  <c:v>122.7</c:v>
                </c:pt>
                <c:pt idx="990">
                  <c:v>121.7</c:v>
                </c:pt>
                <c:pt idx="991">
                  <c:v>116.19999999999999</c:v>
                </c:pt>
                <c:pt idx="992">
                  <c:v>117.4</c:v>
                </c:pt>
                <c:pt idx="993">
                  <c:v>113.10000000000001</c:v>
                </c:pt>
                <c:pt idx="994">
                  <c:v>110.90000000000002</c:v>
                </c:pt>
                <c:pt idx="995">
                  <c:v>112.69999999999999</c:v>
                </c:pt>
                <c:pt idx="996">
                  <c:v>116.19999999999999</c:v>
                </c:pt>
                <c:pt idx="997">
                  <c:v>113.39999999999999</c:v>
                </c:pt>
                <c:pt idx="998">
                  <c:v>117.19999999999997</c:v>
                </c:pt>
                <c:pt idx="999">
                  <c:v>116.20000000000002</c:v>
                </c:pt>
                <c:pt idx="1000">
                  <c:v>123.00000000000001</c:v>
                </c:pt>
                <c:pt idx="1001">
                  <c:v>133.30000000000004</c:v>
                </c:pt>
                <c:pt idx="1002">
                  <c:v>118.60000000000002</c:v>
                </c:pt>
                <c:pt idx="1003">
                  <c:v>113.3</c:v>
                </c:pt>
                <c:pt idx="1004">
                  <c:v>112.69999999999999</c:v>
                </c:pt>
                <c:pt idx="1005">
                  <c:v>112.89999999999998</c:v>
                </c:pt>
                <c:pt idx="1006">
                  <c:v>108.40000000000002</c:v>
                </c:pt>
                <c:pt idx="1007">
                  <c:v>106.10000000000005</c:v>
                </c:pt>
                <c:pt idx="1008">
                  <c:v>111.09999999999998</c:v>
                </c:pt>
                <c:pt idx="1009">
                  <c:v>111.6</c:v>
                </c:pt>
                <c:pt idx="1010">
                  <c:v>111.50000000000004</c:v>
                </c:pt>
                <c:pt idx="1011">
                  <c:v>112.10000000000001</c:v>
                </c:pt>
                <c:pt idx="1012">
                  <c:v>112.70000000000006</c:v>
                </c:pt>
                <c:pt idx="1013">
                  <c:v>113.39999999999999</c:v>
                </c:pt>
                <c:pt idx="1014">
                  <c:v>115.1</c:v>
                </c:pt>
                <c:pt idx="1015">
                  <c:v>118.19999999999997</c:v>
                </c:pt>
                <c:pt idx="1016">
                  <c:v>120.79999999999997</c:v>
                </c:pt>
                <c:pt idx="1017">
                  <c:v>122.59999999999997</c:v>
                </c:pt>
                <c:pt idx="1018">
                  <c:v>125.20000000000003</c:v>
                </c:pt>
                <c:pt idx="1019">
                  <c:v>123.09999999999998</c:v>
                </c:pt>
                <c:pt idx="1020">
                  <c:v>125.20000000000007</c:v>
                </c:pt>
                <c:pt idx="1021">
                  <c:v>128.1</c:v>
                </c:pt>
                <c:pt idx="1022">
                  <c:v>123.5</c:v>
                </c:pt>
                <c:pt idx="1023">
                  <c:v>124.99999999999994</c:v>
                </c:pt>
                <c:pt idx="1024">
                  <c:v>122.30000000000001</c:v>
                </c:pt>
                <c:pt idx="1025">
                  <c:v>126.89999999999993</c:v>
                </c:pt>
                <c:pt idx="1026">
                  <c:v>126.60000000000001</c:v>
                </c:pt>
                <c:pt idx="1027">
                  <c:v>125.69999999999997</c:v>
                </c:pt>
                <c:pt idx="1028">
                  <c:v>127.19999999999999</c:v>
                </c:pt>
                <c:pt idx="1029">
                  <c:v>131.39999999999995</c:v>
                </c:pt>
                <c:pt idx="1030">
                  <c:v>136.69999999999999</c:v>
                </c:pt>
                <c:pt idx="1031">
                  <c:v>133.90000000000006</c:v>
                </c:pt>
                <c:pt idx="1032">
                  <c:v>143.36590909090907</c:v>
                </c:pt>
                <c:pt idx="1033">
                  <c:v>136.19971590909094</c:v>
                </c:pt>
                <c:pt idx="1034">
                  <c:v>136.73636363636368</c:v>
                </c:pt>
                <c:pt idx="1035">
                  <c:v>137.85710227272727</c:v>
                </c:pt>
                <c:pt idx="1036">
                  <c:v>135.69999999999996</c:v>
                </c:pt>
                <c:pt idx="1037">
                  <c:v>131.99999999999997</c:v>
                </c:pt>
                <c:pt idx="1038">
                  <c:v>128.79999999999995</c:v>
                </c:pt>
                <c:pt idx="1039">
                  <c:v>121.69999999999993</c:v>
                </c:pt>
                <c:pt idx="1040">
                  <c:v>121.29999999999995</c:v>
                </c:pt>
                <c:pt idx="1041">
                  <c:v>124.69999999999995</c:v>
                </c:pt>
                <c:pt idx="1042">
                  <c:v>126</c:v>
                </c:pt>
                <c:pt idx="1043">
                  <c:v>128.90000000000006</c:v>
                </c:pt>
                <c:pt idx="1044">
                  <c:v>133.79999999999995</c:v>
                </c:pt>
                <c:pt idx="1045">
                  <c:v>132.60000000000002</c:v>
                </c:pt>
                <c:pt idx="1046">
                  <c:v>126.39999999999999</c:v>
                </c:pt>
                <c:pt idx="1047">
                  <c:v>116.89999999999999</c:v>
                </c:pt>
                <c:pt idx="1048">
                  <c:v>120.80000000000001</c:v>
                </c:pt>
                <c:pt idx="1049">
                  <c:v>120.30000000000005</c:v>
                </c:pt>
                <c:pt idx="1050">
                  <c:v>121</c:v>
                </c:pt>
                <c:pt idx="1051">
                  <c:v>122.8</c:v>
                </c:pt>
                <c:pt idx="1052">
                  <c:v>122.10000000000005</c:v>
                </c:pt>
                <c:pt idx="1053">
                  <c:v>123.49999999999993</c:v>
                </c:pt>
                <c:pt idx="1054">
                  <c:v>126.20000000000006</c:v>
                </c:pt>
                <c:pt idx="1055">
                  <c:v>126.50000000000001</c:v>
                </c:pt>
                <c:pt idx="1056">
                  <c:v>125.39999999999995</c:v>
                </c:pt>
                <c:pt idx="1057">
                  <c:v>124.30000000000004</c:v>
                </c:pt>
                <c:pt idx="1058">
                  <c:v>126.40000000000005</c:v>
                </c:pt>
                <c:pt idx="1059">
                  <c:v>123.10000000000001</c:v>
                </c:pt>
                <c:pt idx="1060">
                  <c:v>125.39999999999995</c:v>
                </c:pt>
                <c:pt idx="1061">
                  <c:v>126.19999999999999</c:v>
                </c:pt>
                <c:pt idx="1062">
                  <c:v>126.69999999999993</c:v>
                </c:pt>
                <c:pt idx="1063">
                  <c:v>127.60000000000001</c:v>
                </c:pt>
                <c:pt idx="1064">
                  <c:v>126.69999999999993</c:v>
                </c:pt>
                <c:pt idx="1065">
                  <c:v>126.49999999999994</c:v>
                </c:pt>
                <c:pt idx="1066">
                  <c:v>125.59999999999995</c:v>
                </c:pt>
                <c:pt idx="1067">
                  <c:v>124.39999999999999</c:v>
                </c:pt>
                <c:pt idx="1068">
                  <c:v>120.80000000000001</c:v>
                </c:pt>
                <c:pt idx="1069">
                  <c:v>122.39999999999993</c:v>
                </c:pt>
                <c:pt idx="1070">
                  <c:v>123.5</c:v>
                </c:pt>
                <c:pt idx="1071">
                  <c:v>124.79999999999998</c:v>
                </c:pt>
                <c:pt idx="1072">
                  <c:v>128.5</c:v>
                </c:pt>
                <c:pt idx="1073">
                  <c:v>129.49999999999997</c:v>
                </c:pt>
                <c:pt idx="1074">
                  <c:v>125.69999999999997</c:v>
                </c:pt>
                <c:pt idx="1075">
                  <c:v>120.89999999999996</c:v>
                </c:pt>
                <c:pt idx="1076">
                  <c:v>125.20000000000003</c:v>
                </c:pt>
                <c:pt idx="1077">
                  <c:v>125.3</c:v>
                </c:pt>
                <c:pt idx="1078">
                  <c:v>123.79999999999995</c:v>
                </c:pt>
                <c:pt idx="1079">
                  <c:v>120.40000000000002</c:v>
                </c:pt>
                <c:pt idx="1080">
                  <c:v>120.90000000000003</c:v>
                </c:pt>
                <c:pt idx="1081">
                  <c:v>126.09999999999997</c:v>
                </c:pt>
                <c:pt idx="1082">
                  <c:v>133.10000000000002</c:v>
                </c:pt>
                <c:pt idx="1083">
                  <c:v>134.49999999999997</c:v>
                </c:pt>
                <c:pt idx="1084">
                  <c:v>131.90000000000006</c:v>
                </c:pt>
                <c:pt idx="1085">
                  <c:v>130.89999999999998</c:v>
                </c:pt>
                <c:pt idx="1086">
                  <c:v>130.30000000000001</c:v>
                </c:pt>
                <c:pt idx="1087">
                  <c:v>127.49999999999997</c:v>
                </c:pt>
                <c:pt idx="1088">
                  <c:v>128.59999999999997</c:v>
                </c:pt>
                <c:pt idx="1089">
                  <c:v>128.39999999999998</c:v>
                </c:pt>
                <c:pt idx="1090">
                  <c:v>126.09999999999997</c:v>
                </c:pt>
                <c:pt idx="1091">
                  <c:v>125.40000000000002</c:v>
                </c:pt>
                <c:pt idx="1092">
                  <c:v>122.4</c:v>
                </c:pt>
                <c:pt idx="1093">
                  <c:v>121.79999999999997</c:v>
                </c:pt>
                <c:pt idx="1094">
                  <c:v>119.89999999999993</c:v>
                </c:pt>
                <c:pt idx="1095">
                  <c:v>119.19999999999993</c:v>
                </c:pt>
                <c:pt idx="1096">
                  <c:v>119.00000000000007</c:v>
                </c:pt>
                <c:pt idx="1097">
                  <c:v>119.30000000000003</c:v>
                </c:pt>
                <c:pt idx="1098">
                  <c:v>123.8000000000001</c:v>
                </c:pt>
                <c:pt idx="1099">
                  <c:v>131.99999999999997</c:v>
                </c:pt>
                <c:pt idx="1100">
                  <c:v>141.59999999999991</c:v>
                </c:pt>
                <c:pt idx="1101">
                  <c:v>139.90000000000003</c:v>
                </c:pt>
                <c:pt idx="1102">
                  <c:v>138.29999999999995</c:v>
                </c:pt>
                <c:pt idx="1103">
                  <c:v>141.60000000000005</c:v>
                </c:pt>
                <c:pt idx="1104">
                  <c:v>141</c:v>
                </c:pt>
                <c:pt idx="1105">
                  <c:v>140.5</c:v>
                </c:pt>
                <c:pt idx="1106">
                  <c:v>137.39999999999995</c:v>
                </c:pt>
                <c:pt idx="1107">
                  <c:v>137.29999999999998</c:v>
                </c:pt>
                <c:pt idx="1108">
                  <c:v>136.19999999999993</c:v>
                </c:pt>
                <c:pt idx="1109">
                  <c:v>132.20000000000002</c:v>
                </c:pt>
                <c:pt idx="1110">
                  <c:v>128.60000000000002</c:v>
                </c:pt>
                <c:pt idx="1111">
                  <c:v>131.50000000000003</c:v>
                </c:pt>
                <c:pt idx="1112">
                  <c:v>130.30000000000001</c:v>
                </c:pt>
                <c:pt idx="1113">
                  <c:v>135.5</c:v>
                </c:pt>
                <c:pt idx="1114">
                  <c:v>133.60000000000005</c:v>
                </c:pt>
                <c:pt idx="1115">
                  <c:v>130.30000000000001</c:v>
                </c:pt>
                <c:pt idx="1116">
                  <c:v>133</c:v>
                </c:pt>
                <c:pt idx="1117">
                  <c:v>131.20000000000007</c:v>
                </c:pt>
                <c:pt idx="1118">
                  <c:v>129.20000000000002</c:v>
                </c:pt>
                <c:pt idx="1119">
                  <c:v>128.39999999999998</c:v>
                </c:pt>
                <c:pt idx="1120">
                  <c:v>128.1</c:v>
                </c:pt>
                <c:pt idx="1121">
                  <c:v>127.80000000000003</c:v>
                </c:pt>
                <c:pt idx="1122">
                  <c:v>131.79999999999998</c:v>
                </c:pt>
                <c:pt idx="1123">
                  <c:v>136.20000000000005</c:v>
                </c:pt>
                <c:pt idx="1124">
                  <c:v>133.60000000000008</c:v>
                </c:pt>
                <c:pt idx="1125">
                  <c:v>133.69999999999999</c:v>
                </c:pt>
                <c:pt idx="1126">
                  <c:v>132.89999999999992</c:v>
                </c:pt>
                <c:pt idx="1127">
                  <c:v>140.40000000000006</c:v>
                </c:pt>
                <c:pt idx="1128">
                  <c:v>143.70000000000005</c:v>
                </c:pt>
                <c:pt idx="1129">
                  <c:v>141.10000000000002</c:v>
                </c:pt>
                <c:pt idx="1130">
                  <c:v>143.49999999999994</c:v>
                </c:pt>
                <c:pt idx="1131">
                  <c:v>146.09999999999991</c:v>
                </c:pt>
                <c:pt idx="1132">
                  <c:v>141.10000000000002</c:v>
                </c:pt>
                <c:pt idx="1133">
                  <c:v>146.20000000000002</c:v>
                </c:pt>
                <c:pt idx="1134">
                  <c:v>146.5</c:v>
                </c:pt>
                <c:pt idx="1135">
                  <c:v>152.10000000000002</c:v>
                </c:pt>
                <c:pt idx="1136">
                  <c:v>156.10000000000002</c:v>
                </c:pt>
                <c:pt idx="1137">
                  <c:v>161.2000000000001</c:v>
                </c:pt>
                <c:pt idx="1138">
                  <c:v>162.69999999999999</c:v>
                </c:pt>
                <c:pt idx="1139">
                  <c:v>159.9</c:v>
                </c:pt>
                <c:pt idx="1140">
                  <c:v>166.3</c:v>
                </c:pt>
                <c:pt idx="1141">
                  <c:v>174</c:v>
                </c:pt>
                <c:pt idx="1142">
                  <c:v>170.3</c:v>
                </c:pt>
                <c:pt idx="1143">
                  <c:v>178.10000000000002</c:v>
                </c:pt>
                <c:pt idx="1144">
                  <c:v>176.49999999999994</c:v>
                </c:pt>
                <c:pt idx="1145">
                  <c:v>177.49999999999994</c:v>
                </c:pt>
                <c:pt idx="1146">
                  <c:v>183.9</c:v>
                </c:pt>
                <c:pt idx="1147">
                  <c:v>190</c:v>
                </c:pt>
                <c:pt idx="1148">
                  <c:v>189.49999999999991</c:v>
                </c:pt>
                <c:pt idx="1149">
                  <c:v>185.20000000000005</c:v>
                </c:pt>
                <c:pt idx="1150">
                  <c:v>178.20000000000002</c:v>
                </c:pt>
                <c:pt idx="1151">
                  <c:v>167.39999999999998</c:v>
                </c:pt>
                <c:pt idx="1152">
                  <c:v>164.50000000000006</c:v>
                </c:pt>
                <c:pt idx="1153">
                  <c:v>164.9</c:v>
                </c:pt>
                <c:pt idx="1154">
                  <c:v>166.3</c:v>
                </c:pt>
                <c:pt idx="1155">
                  <c:v>180.5</c:v>
                </c:pt>
                <c:pt idx="1156">
                  <c:v>179.89999999999998</c:v>
                </c:pt>
                <c:pt idx="1157">
                  <c:v>190.1</c:v>
                </c:pt>
                <c:pt idx="1158">
                  <c:v>233.29999999999995</c:v>
                </c:pt>
                <c:pt idx="1159">
                  <c:v>239.60000000000005</c:v>
                </c:pt>
                <c:pt idx="1160">
                  <c:v>232.20000000000002</c:v>
                </c:pt>
                <c:pt idx="1161">
                  <c:v>236.6</c:v>
                </c:pt>
                <c:pt idx="1162">
                  <c:v>277.40000000000003</c:v>
                </c:pt>
                <c:pt idx="1163">
                  <c:v>287.59999999999997</c:v>
                </c:pt>
                <c:pt idx="1164">
                  <c:v>275.5</c:v>
                </c:pt>
                <c:pt idx="1165">
                  <c:v>264.69999999999993</c:v>
                </c:pt>
                <c:pt idx="1166">
                  <c:v>246.60000000000002</c:v>
                </c:pt>
                <c:pt idx="1167">
                  <c:v>243.00000000000003</c:v>
                </c:pt>
                <c:pt idx="1168">
                  <c:v>251.6</c:v>
                </c:pt>
                <c:pt idx="1169">
                  <c:v>255.00000000000003</c:v>
                </c:pt>
                <c:pt idx="1170">
                  <c:v>265.8</c:v>
                </c:pt>
                <c:pt idx="1171">
                  <c:v>272.29999999999995</c:v>
                </c:pt>
                <c:pt idx="1172">
                  <c:v>285.7</c:v>
                </c:pt>
                <c:pt idx="1173">
                  <c:v>294.89999999999998</c:v>
                </c:pt>
                <c:pt idx="1174">
                  <c:v>305.89999999999992</c:v>
                </c:pt>
                <c:pt idx="1175">
                  <c:v>308.60000000000002</c:v>
                </c:pt>
                <c:pt idx="1176">
                  <c:v>319.09999999999997</c:v>
                </c:pt>
                <c:pt idx="1177">
                  <c:v>319.10000000000002</c:v>
                </c:pt>
                <c:pt idx="1178">
                  <c:v>309.39999999999998</c:v>
                </c:pt>
                <c:pt idx="1179">
                  <c:v>299.89999999999998</c:v>
                </c:pt>
                <c:pt idx="1180">
                  <c:v>300.39999999999998</c:v>
                </c:pt>
                <c:pt idx="1181">
                  <c:v>292.90000000000003</c:v>
                </c:pt>
                <c:pt idx="1182">
                  <c:v>293.19999999999993</c:v>
                </c:pt>
                <c:pt idx="1183">
                  <c:v>291.5</c:v>
                </c:pt>
                <c:pt idx="1184">
                  <c:v>287.10000000000008</c:v>
                </c:pt>
                <c:pt idx="1185">
                  <c:v>292.2</c:v>
                </c:pt>
                <c:pt idx="1186">
                  <c:v>290.09999999999991</c:v>
                </c:pt>
                <c:pt idx="1187">
                  <c:v>287.90000000000003</c:v>
                </c:pt>
                <c:pt idx="1188">
                  <c:v>288.20000000000005</c:v>
                </c:pt>
                <c:pt idx="1189">
                  <c:v>283.89999999999998</c:v>
                </c:pt>
                <c:pt idx="1190">
                  <c:v>279.99999999999994</c:v>
                </c:pt>
                <c:pt idx="1191">
                  <c:v>280.29999999999995</c:v>
                </c:pt>
                <c:pt idx="1192">
                  <c:v>283.2</c:v>
                </c:pt>
                <c:pt idx="1193">
                  <c:v>277.7</c:v>
                </c:pt>
                <c:pt idx="1194">
                  <c:v>283.59999999999997</c:v>
                </c:pt>
                <c:pt idx="1195">
                  <c:v>278.90000000000003</c:v>
                </c:pt>
                <c:pt idx="1196">
                  <c:v>288.70000000000005</c:v>
                </c:pt>
                <c:pt idx="1197">
                  <c:v>300.7</c:v>
                </c:pt>
                <c:pt idx="1198">
                  <c:v>316.60000000000002</c:v>
                </c:pt>
                <c:pt idx="1199">
                  <c:v>316.60000000000008</c:v>
                </c:pt>
                <c:pt idx="1200">
                  <c:v>312.89999999999998</c:v>
                </c:pt>
                <c:pt idx="1201">
                  <c:v>314</c:v>
                </c:pt>
                <c:pt idx="1202">
                  <c:v>320.80000000000007</c:v>
                </c:pt>
                <c:pt idx="1203">
                  <c:v>327.69999999999993</c:v>
                </c:pt>
                <c:pt idx="1204">
                  <c:v>332.2</c:v>
                </c:pt>
                <c:pt idx="1205">
                  <c:v>329.9</c:v>
                </c:pt>
                <c:pt idx="1206">
                  <c:v>321.89999999999998</c:v>
                </c:pt>
                <c:pt idx="1207">
                  <c:v>317.8</c:v>
                </c:pt>
                <c:pt idx="1208">
                  <c:v>319.7</c:v>
                </c:pt>
                <c:pt idx="1209">
                  <c:v>320</c:v>
                </c:pt>
                <c:pt idx="1210">
                  <c:v>330.2</c:v>
                </c:pt>
                <c:pt idx="1211">
                  <c:v>340.90000000000003</c:v>
                </c:pt>
                <c:pt idx="1212">
                  <c:v>344.2</c:v>
                </c:pt>
                <c:pt idx="1213">
                  <c:v>338.3</c:v>
                </c:pt>
                <c:pt idx="1214">
                  <c:v>329.8</c:v>
                </c:pt>
                <c:pt idx="1215">
                  <c:v>329.79999999999995</c:v>
                </c:pt>
                <c:pt idx="1216">
                  <c:v>333.20000000000005</c:v>
                </c:pt>
                <c:pt idx="1217">
                  <c:v>340.69999999999987</c:v>
                </c:pt>
                <c:pt idx="1218">
                  <c:v>351.2</c:v>
                </c:pt>
                <c:pt idx="1219">
                  <c:v>365.40000000000003</c:v>
                </c:pt>
                <c:pt idx="1220">
                  <c:v>363.7</c:v>
                </c:pt>
                <c:pt idx="1221">
                  <c:v>357.90000000000003</c:v>
                </c:pt>
                <c:pt idx="1222">
                  <c:v>355.50000000000006</c:v>
                </c:pt>
                <c:pt idx="1223">
                  <c:v>349.9</c:v>
                </c:pt>
                <c:pt idx="1224">
                  <c:v>348.5</c:v>
                </c:pt>
                <c:pt idx="1225">
                  <c:v>346.2</c:v>
                </c:pt>
                <c:pt idx="1226">
                  <c:v>350.00000000000006</c:v>
                </c:pt>
                <c:pt idx="1227">
                  <c:v>348.7</c:v>
                </c:pt>
                <c:pt idx="1228">
                  <c:v>355.50000000000006</c:v>
                </c:pt>
                <c:pt idx="1229">
                  <c:v>361.5</c:v>
                </c:pt>
                <c:pt idx="1230">
                  <c:v>362.09999999999991</c:v>
                </c:pt>
                <c:pt idx="1231">
                  <c:v>369</c:v>
                </c:pt>
                <c:pt idx="1232">
                  <c:v>365.60000000000008</c:v>
                </c:pt>
                <c:pt idx="1233">
                  <c:v>366.49999999999994</c:v>
                </c:pt>
                <c:pt idx="1234">
                  <c:v>368.3</c:v>
                </c:pt>
                <c:pt idx="1235">
                  <c:v>365.59999999999997</c:v>
                </c:pt>
                <c:pt idx="1236">
                  <c:v>346.59999999999997</c:v>
                </c:pt>
                <c:pt idx="1237">
                  <c:v>354.49999999999994</c:v>
                </c:pt>
                <c:pt idx="1238">
                  <c:v>369.99999999999989</c:v>
                </c:pt>
                <c:pt idx="1239">
                  <c:v>398.69999999999993</c:v>
                </c:pt>
                <c:pt idx="1240">
                  <c:v>385.5</c:v>
                </c:pt>
                <c:pt idx="1241">
                  <c:v>387.09999999999997</c:v>
                </c:pt>
                <c:pt idx="1242">
                  <c:v>400.1</c:v>
                </c:pt>
                <c:pt idx="1243">
                  <c:v>412</c:v>
                </c:pt>
                <c:pt idx="1244">
                  <c:v>420.80000000000007</c:v>
                </c:pt>
                <c:pt idx="1245">
                  <c:v>475</c:v>
                </c:pt>
                <c:pt idx="1246">
                  <c:v>512.09999999999991</c:v>
                </c:pt>
                <c:pt idx="1247">
                  <c:v>535.50000000000011</c:v>
                </c:pt>
                <c:pt idx="1248">
                  <c:v>551.59999999999991</c:v>
                </c:pt>
                <c:pt idx="1249">
                  <c:v>562.79999999999995</c:v>
                </c:pt>
                <c:pt idx="1250">
                  <c:v>562</c:v>
                </c:pt>
                <c:pt idx="1251">
                  <c:v>555.1</c:v>
                </c:pt>
                <c:pt idx="1252">
                  <c:v>547.5</c:v>
                </c:pt>
                <c:pt idx="1253">
                  <c:v>547.09999999999991</c:v>
                </c:pt>
                <c:pt idx="1254">
                  <c:v>541.1</c:v>
                </c:pt>
                <c:pt idx="1255">
                  <c:v>520.70000000000005</c:v>
                </c:pt>
                <c:pt idx="1256">
                  <c:v>516.20000000000005</c:v>
                </c:pt>
                <c:pt idx="1257">
                  <c:v>507.2</c:v>
                </c:pt>
                <c:pt idx="1258">
                  <c:v>498.59999999999997</c:v>
                </c:pt>
                <c:pt idx="1259">
                  <c:v>490</c:v>
                </c:pt>
                <c:pt idx="1260">
                  <c:v>487.5</c:v>
                </c:pt>
                <c:pt idx="1261">
                  <c:v>474.5</c:v>
                </c:pt>
                <c:pt idx="1262">
                  <c:v>479</c:v>
                </c:pt>
                <c:pt idx="1263">
                  <c:v>474.99999999999989</c:v>
                </c:pt>
                <c:pt idx="1264">
                  <c:v>473.30000000000013</c:v>
                </c:pt>
                <c:pt idx="1265">
                  <c:v>477.29999999999995</c:v>
                </c:pt>
                <c:pt idx="1266">
                  <c:v>482.9</c:v>
                </c:pt>
                <c:pt idx="1267">
                  <c:v>476.30000000000007</c:v>
                </c:pt>
                <c:pt idx="1268">
                  <c:v>471.7</c:v>
                </c:pt>
                <c:pt idx="1269">
                  <c:v>469.8</c:v>
                </c:pt>
                <c:pt idx="1270">
                  <c:v>479.79999999999995</c:v>
                </c:pt>
                <c:pt idx="1271">
                  <c:v>479.00000000000006</c:v>
                </c:pt>
                <c:pt idx="1272">
                  <c:v>487.20000000000005</c:v>
                </c:pt>
                <c:pt idx="1273">
                  <c:v>483.29999999999995</c:v>
                </c:pt>
                <c:pt idx="1274">
                  <c:v>475.3</c:v>
                </c:pt>
                <c:pt idx="1275">
                  <c:v>480.20000000000005</c:v>
                </c:pt>
                <c:pt idx="1276">
                  <c:v>474.20000000000005</c:v>
                </c:pt>
                <c:pt idx="1277">
                  <c:v>470.00000000000006</c:v>
                </c:pt>
                <c:pt idx="1278">
                  <c:v>475.89999999999992</c:v>
                </c:pt>
                <c:pt idx="1279">
                  <c:v>477.40000000000003</c:v>
                </c:pt>
                <c:pt idx="1280">
                  <c:v>481.2</c:v>
                </c:pt>
                <c:pt idx="1281">
                  <c:v>483.7</c:v>
                </c:pt>
                <c:pt idx="1282">
                  <c:v>476.60000000000008</c:v>
                </c:pt>
                <c:pt idx="1283">
                  <c:v>477.6</c:v>
                </c:pt>
                <c:pt idx="1284">
                  <c:v>476.89999999999992</c:v>
                </c:pt>
                <c:pt idx="1285">
                  <c:v>484.2</c:v>
                </c:pt>
                <c:pt idx="1286">
                  <c:v>487.2</c:v>
                </c:pt>
                <c:pt idx="1287">
                  <c:v>503.2</c:v>
                </c:pt>
                <c:pt idx="1288">
                  <c:v>515.60000000000014</c:v>
                </c:pt>
                <c:pt idx="1289">
                  <c:v>527.09999999999991</c:v>
                </c:pt>
                <c:pt idx="1290">
                  <c:v>535.20000000000005</c:v>
                </c:pt>
                <c:pt idx="1291">
                  <c:v>537.79999999999995</c:v>
                </c:pt>
                <c:pt idx="1292">
                  <c:v>536.40000000000009</c:v>
                </c:pt>
                <c:pt idx="1293">
                  <c:v>525.4</c:v>
                </c:pt>
                <c:pt idx="1294">
                  <c:v>524.80000000000007</c:v>
                </c:pt>
                <c:pt idx="1295">
                  <c:v>514.29999999999984</c:v>
                </c:pt>
                <c:pt idx="1296">
                  <c:v>486.59999999999997</c:v>
                </c:pt>
                <c:pt idx="1297">
                  <c:v>471.19999999999993</c:v>
                </c:pt>
                <c:pt idx="1298">
                  <c:v>468.69999999999993</c:v>
                </c:pt>
                <c:pt idx="1299">
                  <c:v>473.30000000000007</c:v>
                </c:pt>
                <c:pt idx="1300">
                  <c:v>470.20000000000005</c:v>
                </c:pt>
                <c:pt idx="1301">
                  <c:v>462.29999999999995</c:v>
                </c:pt>
                <c:pt idx="1302">
                  <c:v>466.9</c:v>
                </c:pt>
                <c:pt idx="1303">
                  <c:v>460.4</c:v>
                </c:pt>
                <c:pt idx="1304">
                  <c:v>444.8</c:v>
                </c:pt>
                <c:pt idx="1305">
                  <c:v>427.90000000000003</c:v>
                </c:pt>
                <c:pt idx="1306">
                  <c:v>417.49999999999994</c:v>
                </c:pt>
                <c:pt idx="1307">
                  <c:v>409.2</c:v>
                </c:pt>
                <c:pt idx="1308">
                  <c:v>399.29999999999995</c:v>
                </c:pt>
                <c:pt idx="1309">
                  <c:v>392.5</c:v>
                </c:pt>
                <c:pt idx="1310">
                  <c:v>386.39999999999992</c:v>
                </c:pt>
                <c:pt idx="1311">
                  <c:v>392.90000000000003</c:v>
                </c:pt>
                <c:pt idx="1312">
                  <c:v>387.09999999999997</c:v>
                </c:pt>
                <c:pt idx="1313">
                  <c:v>390.59999999999997</c:v>
                </c:pt>
                <c:pt idx="1314">
                  <c:v>396.20000000000005</c:v>
                </c:pt>
                <c:pt idx="1315">
                  <c:v>402.7</c:v>
                </c:pt>
                <c:pt idx="1316">
                  <c:v>401.09999999999991</c:v>
                </c:pt>
                <c:pt idx="1317">
                  <c:v>398.29999999999995</c:v>
                </c:pt>
                <c:pt idx="1318">
                  <c:v>394.5</c:v>
                </c:pt>
                <c:pt idx="1319">
                  <c:v>395.20000000000005</c:v>
                </c:pt>
                <c:pt idx="1320">
                  <c:v>395.09999999999997</c:v>
                </c:pt>
                <c:pt idx="1321">
                  <c:v>386.7999999999999</c:v>
                </c:pt>
                <c:pt idx="1322">
                  <c:v>387.6</c:v>
                </c:pt>
                <c:pt idx="1323">
                  <c:v>375.5</c:v>
                </c:pt>
                <c:pt idx="1324">
                  <c:v>362.3</c:v>
                </c:pt>
                <c:pt idx="1325">
                  <c:v>347.69999999999993</c:v>
                </c:pt>
                <c:pt idx="1326">
                  <c:v>349.3</c:v>
                </c:pt>
                <c:pt idx="1327">
                  <c:v>337.99999999999994</c:v>
                </c:pt>
                <c:pt idx="1328">
                  <c:v>344.90000000000009</c:v>
                </c:pt>
                <c:pt idx="1329">
                  <c:v>344.9</c:v>
                </c:pt>
                <c:pt idx="1330">
                  <c:v>336.9</c:v>
                </c:pt>
                <c:pt idx="1331">
                  <c:v>334.89999999999992</c:v>
                </c:pt>
                <c:pt idx="1332">
                  <c:v>336.8</c:v>
                </c:pt>
                <c:pt idx="1333">
                  <c:v>331.30000000000007</c:v>
                </c:pt>
                <c:pt idx="1334">
                  <c:v>321.89999999999998</c:v>
                </c:pt>
                <c:pt idx="1335">
                  <c:v>321.30000000000007</c:v>
                </c:pt>
                <c:pt idx="1336">
                  <c:v>314.70000000000005</c:v>
                </c:pt>
                <c:pt idx="1337">
                  <c:v>312.89999999999992</c:v>
                </c:pt>
                <c:pt idx="1338">
                  <c:v>313.59999999999997</c:v>
                </c:pt>
                <c:pt idx="1339">
                  <c:v>319.7</c:v>
                </c:pt>
                <c:pt idx="1340">
                  <c:v>327.5</c:v>
                </c:pt>
                <c:pt idx="1341">
                  <c:v>340.2</c:v>
                </c:pt>
                <c:pt idx="1342">
                  <c:v>338.20000000000005</c:v>
                </c:pt>
                <c:pt idx="1343">
                  <c:v>349.3</c:v>
                </c:pt>
                <c:pt idx="1344">
                  <c:v>354.3</c:v>
                </c:pt>
                <c:pt idx="1345">
                  <c:v>359.59999999999997</c:v>
                </c:pt>
                <c:pt idx="1346">
                  <c:v>361.5</c:v>
                </c:pt>
                <c:pt idx="1347">
                  <c:v>362.00000000000006</c:v>
                </c:pt>
                <c:pt idx="1348">
                  <c:v>362.9</c:v>
                </c:pt>
                <c:pt idx="1349">
                  <c:v>364</c:v>
                </c:pt>
                <c:pt idx="1350">
                  <c:v>369.19999999999993</c:v>
                </c:pt>
                <c:pt idx="1351">
                  <c:v>382.83076923076925</c:v>
                </c:pt>
                <c:pt idx="1352">
                  <c:v>380.83703703703702</c:v>
                </c:pt>
                <c:pt idx="1353">
                  <c:v>383.31566951566953</c:v>
                </c:pt>
                <c:pt idx="1354">
                  <c:v>389.1196581196582</c:v>
                </c:pt>
                <c:pt idx="1355">
                  <c:v>392.53333333333336</c:v>
                </c:pt>
                <c:pt idx="1356">
                  <c:v>388.54985754985751</c:v>
                </c:pt>
                <c:pt idx="1357">
                  <c:v>387.98319088319084</c:v>
                </c:pt>
                <c:pt idx="1358">
                  <c:v>390.93076923076927</c:v>
                </c:pt>
                <c:pt idx="1359">
                  <c:v>390.10284900284904</c:v>
                </c:pt>
                <c:pt idx="1360">
                  <c:v>398.79686609686604</c:v>
                </c:pt>
                <c:pt idx="1361">
                  <c:v>392.9111111111111</c:v>
                </c:pt>
                <c:pt idx="1362">
                  <c:v>388.64529914529913</c:v>
                </c:pt>
                <c:pt idx="1363">
                  <c:v>392.76923076923072</c:v>
                </c:pt>
                <c:pt idx="1364">
                  <c:v>392.20626780626782</c:v>
                </c:pt>
                <c:pt idx="1365">
                  <c:v>394.07142857142861</c:v>
                </c:pt>
                <c:pt idx="1366">
                  <c:v>398.30455840455835</c:v>
                </c:pt>
                <c:pt idx="1367">
                  <c:v>394.98005698005699</c:v>
                </c:pt>
                <c:pt idx="1368">
                  <c:v>391.46324786324789</c:v>
                </c:pt>
                <c:pt idx="1369">
                  <c:v>390.43333333333334</c:v>
                </c:pt>
                <c:pt idx="1370">
                  <c:v>394.78803418803415</c:v>
                </c:pt>
                <c:pt idx="1371">
                  <c:v>400.6404558404559</c:v>
                </c:pt>
                <c:pt idx="1372">
                  <c:v>396.26923076923072</c:v>
                </c:pt>
                <c:pt idx="1373">
                  <c:v>397.52792022792028</c:v>
                </c:pt>
                <c:pt idx="1374">
                  <c:v>403.77549857549855</c:v>
                </c:pt>
                <c:pt idx="1375">
                  <c:v>402.63162393162389</c:v>
                </c:pt>
                <c:pt idx="1376">
                  <c:v>403.42307692307696</c:v>
                </c:pt>
                <c:pt idx="1377">
                  <c:v>409.57834757834752</c:v>
                </c:pt>
                <c:pt idx="1378">
                  <c:v>408.11538461538464</c:v>
                </c:pt>
                <c:pt idx="1379">
                  <c:v>407.50569800569792</c:v>
                </c:pt>
                <c:pt idx="1380">
                  <c:v>402.71025641025636</c:v>
                </c:pt>
                <c:pt idx="1381">
                  <c:v>408.4831908831909</c:v>
                </c:pt>
                <c:pt idx="1382">
                  <c:v>409.06552706552702</c:v>
                </c:pt>
                <c:pt idx="1383">
                  <c:v>409.86153846153854</c:v>
                </c:pt>
                <c:pt idx="1384">
                  <c:v>409.81025641025644</c:v>
                </c:pt>
                <c:pt idx="1385">
                  <c:v>410.9831908831909</c:v>
                </c:pt>
                <c:pt idx="1386">
                  <c:v>419.56</c:v>
                </c:pt>
                <c:pt idx="1387">
                  <c:v>430.36000000000007</c:v>
                </c:pt>
                <c:pt idx="1388">
                  <c:v>439.25897435897434</c:v>
                </c:pt>
                <c:pt idx="1389">
                  <c:v>435.87692307692299</c:v>
                </c:pt>
                <c:pt idx="1390">
                  <c:v>435.4108262108262</c:v>
                </c:pt>
                <c:pt idx="1391">
                  <c:v>419.87521367521367</c:v>
                </c:pt>
                <c:pt idx="1392">
                  <c:v>414.825641025641</c:v>
                </c:pt>
                <c:pt idx="1393">
                  <c:v>426.43133903133901</c:v>
                </c:pt>
                <c:pt idx="1394">
                  <c:v>429.44301994301992</c:v>
                </c:pt>
                <c:pt idx="1395">
                  <c:v>427.18660968660976</c:v>
                </c:pt>
                <c:pt idx="1396">
                  <c:v>431.93076923076933</c:v>
                </c:pt>
                <c:pt idx="1397">
                  <c:v>441.41737891737887</c:v>
                </c:pt>
                <c:pt idx="1398">
                  <c:v>443.12592592592586</c:v>
                </c:pt>
                <c:pt idx="1399">
                  <c:v>468.0894586894587</c:v>
                </c:pt>
                <c:pt idx="1400">
                  <c:v>465.4290598290599</c:v>
                </c:pt>
                <c:pt idx="1401">
                  <c:v>456.60028490028481</c:v>
                </c:pt>
                <c:pt idx="1402">
                  <c:v>462.14786324786326</c:v>
                </c:pt>
                <c:pt idx="1403">
                  <c:v>455.21538461538461</c:v>
                </c:pt>
                <c:pt idx="1404">
                  <c:v>465.17948717948718</c:v>
                </c:pt>
                <c:pt idx="1405">
                  <c:v>465.70968660968657</c:v>
                </c:pt>
                <c:pt idx="1406">
                  <c:v>456.02193732193734</c:v>
                </c:pt>
                <c:pt idx="1407">
                  <c:v>471.91965811965815</c:v>
                </c:pt>
                <c:pt idx="1408">
                  <c:v>464.22222222222211</c:v>
                </c:pt>
                <c:pt idx="1409">
                  <c:v>467.86980056980053</c:v>
                </c:pt>
                <c:pt idx="1410">
                  <c:v>467.69629629629634</c:v>
                </c:pt>
                <c:pt idx="1411">
                  <c:v>484.62991452991446</c:v>
                </c:pt>
                <c:pt idx="1412">
                  <c:v>517.85726495726487</c:v>
                </c:pt>
                <c:pt idx="1413">
                  <c:v>535.8384615384615</c:v>
                </c:pt>
                <c:pt idx="1414">
                  <c:v>568.71225071225069</c:v>
                </c:pt>
                <c:pt idx="1415">
                  <c:v>554.93846153846152</c:v>
                </c:pt>
                <c:pt idx="1416">
                  <c:v>549.40883190883198</c:v>
                </c:pt>
                <c:pt idx="1417">
                  <c:v>547.1185185185185</c:v>
                </c:pt>
                <c:pt idx="1418">
                  <c:v>548.84358974358975</c:v>
                </c:pt>
                <c:pt idx="1419">
                  <c:v>553.45897435897439</c:v>
                </c:pt>
                <c:pt idx="1420">
                  <c:v>539.14529914529908</c:v>
                </c:pt>
                <c:pt idx="1421">
                  <c:v>541.27948717948709</c:v>
                </c:pt>
                <c:pt idx="1422">
                  <c:v>537.11538461538464</c:v>
                </c:pt>
                <c:pt idx="1423">
                  <c:v>543.88689458689464</c:v>
                </c:pt>
                <c:pt idx="1424">
                  <c:v>549.70142450142453</c:v>
                </c:pt>
                <c:pt idx="1425">
                  <c:v>548.4834757834758</c:v>
                </c:pt>
                <c:pt idx="1426">
                  <c:v>547.11111111111109</c:v>
                </c:pt>
                <c:pt idx="1427">
                  <c:v>542.34586894586903</c:v>
                </c:pt>
                <c:pt idx="1428">
                  <c:v>531.26096866096862</c:v>
                </c:pt>
                <c:pt idx="1429">
                  <c:v>522.25714285714287</c:v>
                </c:pt>
                <c:pt idx="1430">
                  <c:v>526.9571428571428</c:v>
                </c:pt>
                <c:pt idx="1431">
                  <c:v>515.76153846153841</c:v>
                </c:pt>
                <c:pt idx="1432">
                  <c:v>525.94131054131049</c:v>
                </c:pt>
                <c:pt idx="1433">
                  <c:v>548.89971509971519</c:v>
                </c:pt>
                <c:pt idx="1434">
                  <c:v>559.33988603988598</c:v>
                </c:pt>
                <c:pt idx="1435">
                  <c:v>547.02307692307693</c:v>
                </c:pt>
                <c:pt idx="1436">
                  <c:v>553.52592592592589</c:v>
                </c:pt>
                <c:pt idx="1437">
                  <c:v>552.80655270655268</c:v>
                </c:pt>
                <c:pt idx="1438">
                  <c:v>594.00683760683762</c:v>
                </c:pt>
                <c:pt idx="1439">
                  <c:v>610.07777777777778</c:v>
                </c:pt>
                <c:pt idx="1440">
                  <c:v>609.38205128205141</c:v>
                </c:pt>
                <c:pt idx="1441">
                  <c:v>597.65669515669504</c:v>
                </c:pt>
                <c:pt idx="1442">
                  <c:v>597.45384615384614</c:v>
                </c:pt>
                <c:pt idx="1443">
                  <c:v>596.29886039886037</c:v>
                </c:pt>
                <c:pt idx="1444">
                  <c:v>578.25242165242162</c:v>
                </c:pt>
                <c:pt idx="1445">
                  <c:v>571.55925925925919</c:v>
                </c:pt>
                <c:pt idx="1446">
                  <c:v>567.08632478632478</c:v>
                </c:pt>
                <c:pt idx="1447">
                  <c:v>556.15014245014254</c:v>
                </c:pt>
                <c:pt idx="1448">
                  <c:v>554.69715099715108</c:v>
                </c:pt>
                <c:pt idx="1449">
                  <c:v>553.9746438746439</c:v>
                </c:pt>
                <c:pt idx="1450">
                  <c:v>549.05470085470097</c:v>
                </c:pt>
                <c:pt idx="1451">
                  <c:v>547.21481481481476</c:v>
                </c:pt>
                <c:pt idx="1452">
                  <c:v>552.63714285714286</c:v>
                </c:pt>
                <c:pt idx="1453">
                  <c:v>552.33714285714291</c:v>
                </c:pt>
                <c:pt idx="1454">
                  <c:v>548.66609686609684</c:v>
                </c:pt>
                <c:pt idx="1455">
                  <c:v>550.90000000000009</c:v>
                </c:pt>
                <c:pt idx="1456">
                  <c:v>548.70142450142464</c:v>
                </c:pt>
                <c:pt idx="1457">
                  <c:v>529.82478632478626</c:v>
                </c:pt>
                <c:pt idx="1458">
                  <c:v>496.82735042735044</c:v>
                </c:pt>
                <c:pt idx="1459">
                  <c:v>496.14615384615394</c:v>
                </c:pt>
                <c:pt idx="1460">
                  <c:v>495.63390313390312</c:v>
                </c:pt>
                <c:pt idx="1461">
                  <c:v>490.98490028490022</c:v>
                </c:pt>
                <c:pt idx="1462">
                  <c:v>497.59230769230777</c:v>
                </c:pt>
                <c:pt idx="1463">
                  <c:v>478.66182336182334</c:v>
                </c:pt>
                <c:pt idx="1464">
                  <c:v>481.8481481481482</c:v>
                </c:pt>
                <c:pt idx="1465">
                  <c:v>482.08233618233618</c:v>
                </c:pt>
                <c:pt idx="1466">
                  <c:v>481.53760683760692</c:v>
                </c:pt>
                <c:pt idx="1467">
                  <c:v>487.31424501424493</c:v>
                </c:pt>
                <c:pt idx="1468">
                  <c:v>486.39373219373215</c:v>
                </c:pt>
                <c:pt idx="1469">
                  <c:v>489.8897435897436</c:v>
                </c:pt>
                <c:pt idx="1470">
                  <c:v>487.93333333333334</c:v>
                </c:pt>
                <c:pt idx="1471">
                  <c:v>504.25698005698001</c:v>
                </c:pt>
                <c:pt idx="1472">
                  <c:v>507.60854700854702</c:v>
                </c:pt>
                <c:pt idx="1473">
                  <c:v>499.75470085470084</c:v>
                </c:pt>
                <c:pt idx="1474">
                  <c:v>496.43589743589746</c:v>
                </c:pt>
                <c:pt idx="1475">
                  <c:v>493.0156695156694</c:v>
                </c:pt>
                <c:pt idx="1476">
                  <c:v>493.05299145299142</c:v>
                </c:pt>
                <c:pt idx="1477">
                  <c:v>492.63931623931626</c:v>
                </c:pt>
                <c:pt idx="1478">
                  <c:v>484.32905982905982</c:v>
                </c:pt>
                <c:pt idx="1479">
                  <c:v>483.12222222222215</c:v>
                </c:pt>
                <c:pt idx="1480">
                  <c:v>481.48119658119646</c:v>
                </c:pt>
                <c:pt idx="1481">
                  <c:v>479.96923076923076</c:v>
                </c:pt>
                <c:pt idx="1482">
                  <c:v>482.32934472934465</c:v>
                </c:pt>
                <c:pt idx="1483">
                  <c:v>479.01025641025637</c:v>
                </c:pt>
                <c:pt idx="1484">
                  <c:v>474.89800569800565</c:v>
                </c:pt>
                <c:pt idx="1485">
                  <c:v>466.06324786324785</c:v>
                </c:pt>
                <c:pt idx="1486">
                  <c:v>438.93675213675209</c:v>
                </c:pt>
                <c:pt idx="1487">
                  <c:v>436.46324786324783</c:v>
                </c:pt>
                <c:pt idx="1488">
                  <c:v>425.55897435897441</c:v>
                </c:pt>
                <c:pt idx="1489">
                  <c:v>412.84273504273506</c:v>
                </c:pt>
                <c:pt idx="1490">
                  <c:v>413.90940170940166</c:v>
                </c:pt>
                <c:pt idx="1491">
                  <c:v>415.47549857549853</c:v>
                </c:pt>
                <c:pt idx="1492">
                  <c:v>412.44957264957264</c:v>
                </c:pt>
                <c:pt idx="1493">
                  <c:v>413.96296296296299</c:v>
                </c:pt>
                <c:pt idx="1494">
                  <c:v>419.6700854700855</c:v>
                </c:pt>
                <c:pt idx="1495">
                  <c:v>419.63714285714286</c:v>
                </c:pt>
                <c:pt idx="1496">
                  <c:v>421.55428571428564</c:v>
                </c:pt>
                <c:pt idx="1497">
                  <c:v>424.6726495726495</c:v>
                </c:pt>
                <c:pt idx="1498">
                  <c:v>425.92934472934473</c:v>
                </c:pt>
                <c:pt idx="1499">
                  <c:v>428.7170940170941</c:v>
                </c:pt>
                <c:pt idx="1500">
                  <c:v>425.56125356125358</c:v>
                </c:pt>
                <c:pt idx="1501">
                  <c:v>433.26923076923077</c:v>
                </c:pt>
                <c:pt idx="1502">
                  <c:v>436.61680911680918</c:v>
                </c:pt>
                <c:pt idx="1503">
                  <c:v>441.04074074074072</c:v>
                </c:pt>
                <c:pt idx="1504">
                  <c:v>444.2672364672365</c:v>
                </c:pt>
                <c:pt idx="1505">
                  <c:v>450.60341880341878</c:v>
                </c:pt>
                <c:pt idx="1506">
                  <c:v>452.77863247863252</c:v>
                </c:pt>
                <c:pt idx="1507">
                  <c:v>456.09373219373225</c:v>
                </c:pt>
                <c:pt idx="1508">
                  <c:v>455.95128205128202</c:v>
                </c:pt>
                <c:pt idx="1509">
                  <c:v>452.53333333333325</c:v>
                </c:pt>
                <c:pt idx="1510">
                  <c:v>448.75612535612527</c:v>
                </c:pt>
                <c:pt idx="1511">
                  <c:v>439.34415954415954</c:v>
                </c:pt>
                <c:pt idx="1512">
                  <c:v>428.38888888888886</c:v>
                </c:pt>
                <c:pt idx="1513">
                  <c:v>425.56951566951562</c:v>
                </c:pt>
                <c:pt idx="1514">
                  <c:v>426.3814814814815</c:v>
                </c:pt>
                <c:pt idx="1515">
                  <c:v>423.47692307692307</c:v>
                </c:pt>
                <c:pt idx="1516">
                  <c:v>429.22991452991459</c:v>
                </c:pt>
                <c:pt idx="1517">
                  <c:v>427.90769230769234</c:v>
                </c:pt>
                <c:pt idx="1518">
                  <c:v>427.72857142857146</c:v>
                </c:pt>
                <c:pt idx="1519">
                  <c:v>423.21339031339028</c:v>
                </c:pt>
                <c:pt idx="1520">
                  <c:v>423.92307692307685</c:v>
                </c:pt>
                <c:pt idx="1521">
                  <c:v>433.64074074074074</c:v>
                </c:pt>
                <c:pt idx="1522">
                  <c:v>444.3438746438747</c:v>
                </c:pt>
                <c:pt idx="1523">
                  <c:v>449.01025641025649</c:v>
                </c:pt>
                <c:pt idx="1524">
                  <c:v>462.5470085470086</c:v>
                </c:pt>
                <c:pt idx="1525">
                  <c:v>463.79487179487177</c:v>
                </c:pt>
                <c:pt idx="1526">
                  <c:v>453.01310541310545</c:v>
                </c:pt>
                <c:pt idx="1527">
                  <c:v>449.50256410256412</c:v>
                </c:pt>
                <c:pt idx="1528">
                  <c:v>448.80455840455852</c:v>
                </c:pt>
                <c:pt idx="1529">
                  <c:v>443.32478632478626</c:v>
                </c:pt>
                <c:pt idx="1530">
                  <c:v>437.95925925925928</c:v>
                </c:pt>
                <c:pt idx="1531">
                  <c:v>418.6435897435897</c:v>
                </c:pt>
                <c:pt idx="1532">
                  <c:v>413.78034188034184</c:v>
                </c:pt>
                <c:pt idx="1533">
                  <c:v>415.64928774928774</c:v>
                </c:pt>
                <c:pt idx="1534">
                  <c:v>415.7245014245014</c:v>
                </c:pt>
                <c:pt idx="1535">
                  <c:v>419.98945868945867</c:v>
                </c:pt>
                <c:pt idx="1536">
                  <c:v>420.01452991452993</c:v>
                </c:pt>
                <c:pt idx="1537">
                  <c:v>419.3</c:v>
                </c:pt>
                <c:pt idx="1538">
                  <c:v>413.68695652173915</c:v>
                </c:pt>
                <c:pt idx="1539">
                  <c:v>382.5729214340198</c:v>
                </c:pt>
                <c:pt idx="1540">
                  <c:v>370.83729977116701</c:v>
                </c:pt>
                <c:pt idx="1541">
                  <c:v>357.68062547673526</c:v>
                </c:pt>
                <c:pt idx="1542">
                  <c:v>359.44645308924487</c:v>
                </c:pt>
                <c:pt idx="1543">
                  <c:v>353.67719298245623</c:v>
                </c:pt>
                <c:pt idx="1544">
                  <c:v>352.90091533180782</c:v>
                </c:pt>
                <c:pt idx="1545">
                  <c:v>341.25301296720062</c:v>
                </c:pt>
                <c:pt idx="1546">
                  <c:v>338.84912280701758</c:v>
                </c:pt>
                <c:pt idx="1547">
                  <c:v>342.847292143402</c:v>
                </c:pt>
                <c:pt idx="1548">
                  <c:v>349.61967963386729</c:v>
                </c:pt>
                <c:pt idx="1549">
                  <c:v>365.7061022120518</c:v>
                </c:pt>
                <c:pt idx="1550">
                  <c:v>372.41334858886347</c:v>
                </c:pt>
                <c:pt idx="1551">
                  <c:v>378.66933638443936</c:v>
                </c:pt>
                <c:pt idx="1552">
                  <c:v>376.31739130434784</c:v>
                </c:pt>
                <c:pt idx="1553">
                  <c:v>381.85896262395119</c:v>
                </c:pt>
                <c:pt idx="1554">
                  <c:v>387.35415713196033</c:v>
                </c:pt>
                <c:pt idx="1555">
                  <c:v>382.71052631578954</c:v>
                </c:pt>
                <c:pt idx="1556">
                  <c:v>369.37406559877957</c:v>
                </c:pt>
                <c:pt idx="1557">
                  <c:v>357.2426392067124</c:v>
                </c:pt>
                <c:pt idx="1558">
                  <c:v>357.00091533180773</c:v>
                </c:pt>
                <c:pt idx="1559">
                  <c:v>355.84713958810067</c:v>
                </c:pt>
                <c:pt idx="1560">
                  <c:v>361.43798627002286</c:v>
                </c:pt>
                <c:pt idx="1561">
                  <c:v>363.68535469107559</c:v>
                </c:pt>
                <c:pt idx="1562">
                  <c:v>378.92807017543856</c:v>
                </c:pt>
                <c:pt idx="1563">
                  <c:v>374.80137299771178</c:v>
                </c:pt>
                <c:pt idx="1564">
                  <c:v>377.26132723112119</c:v>
                </c:pt>
                <c:pt idx="1565">
                  <c:v>379.82753623188398</c:v>
                </c:pt>
                <c:pt idx="1566">
                  <c:v>385.22959572845156</c:v>
                </c:pt>
                <c:pt idx="1567">
                  <c:v>388.82868039664385</c:v>
                </c:pt>
                <c:pt idx="1568">
                  <c:v>381.69290617848969</c:v>
                </c:pt>
                <c:pt idx="1569">
                  <c:v>368.86331045003817</c:v>
                </c:pt>
                <c:pt idx="1570">
                  <c:v>369.09282990083904</c:v>
                </c:pt>
                <c:pt idx="1571">
                  <c:v>364.63684210526321</c:v>
                </c:pt>
                <c:pt idx="1572">
                  <c:v>365.87734553775744</c:v>
                </c:pt>
                <c:pt idx="1573">
                  <c:v>364.37498093058724</c:v>
                </c:pt>
                <c:pt idx="1574">
                  <c:v>360.80282227307407</c:v>
                </c:pt>
                <c:pt idx="1575">
                  <c:v>372.83363844393597</c:v>
                </c:pt>
                <c:pt idx="1576">
                  <c:v>372.49458428680396</c:v>
                </c:pt>
                <c:pt idx="1577">
                  <c:v>371.50533943554541</c:v>
                </c:pt>
                <c:pt idx="1578">
                  <c:v>395.1696414950419</c:v>
                </c:pt>
                <c:pt idx="1579">
                  <c:v>395.28947368421046</c:v>
                </c:pt>
                <c:pt idx="1580">
                  <c:v>394.48146453089242</c:v>
                </c:pt>
                <c:pt idx="1581">
                  <c:v>400.30389016018302</c:v>
                </c:pt>
                <c:pt idx="1582">
                  <c:v>403.41693363844388</c:v>
                </c:pt>
                <c:pt idx="1583">
                  <c:v>400.18749046529371</c:v>
                </c:pt>
                <c:pt idx="1584">
                  <c:v>396.75125858123573</c:v>
                </c:pt>
                <c:pt idx="1585">
                  <c:v>395.01784897025175</c:v>
                </c:pt>
                <c:pt idx="1586">
                  <c:v>390.67063310450038</c:v>
                </c:pt>
                <c:pt idx="1587">
                  <c:v>391.78466819221973</c:v>
                </c:pt>
                <c:pt idx="1588">
                  <c:v>393.33432494279174</c:v>
                </c:pt>
                <c:pt idx="1589">
                  <c:v>390.7751334858886</c:v>
                </c:pt>
                <c:pt idx="1590">
                  <c:v>367.92555301296721</c:v>
                </c:pt>
                <c:pt idx="1591">
                  <c:v>369.39816933638446</c:v>
                </c:pt>
                <c:pt idx="1592">
                  <c:v>382.22974828375294</c:v>
                </c:pt>
                <c:pt idx="1593">
                  <c:v>393.0797864225782</c:v>
                </c:pt>
                <c:pt idx="1594">
                  <c:v>405.24035087719295</c:v>
                </c:pt>
                <c:pt idx="1595">
                  <c:v>415.5299771167048</c:v>
                </c:pt>
                <c:pt idx="1596">
                  <c:v>439.60732265446222</c:v>
                </c:pt>
                <c:pt idx="1597">
                  <c:v>433.76086956521738</c:v>
                </c:pt>
                <c:pt idx="1598">
                  <c:v>470.17787948131206</c:v>
                </c:pt>
                <c:pt idx="1599">
                  <c:v>529.02974828375272</c:v>
                </c:pt>
                <c:pt idx="1600">
                  <c:v>508.90457665903887</c:v>
                </c:pt>
                <c:pt idx="1601">
                  <c:v>501.06384439359277</c:v>
                </c:pt>
                <c:pt idx="1602">
                  <c:v>495.25720823798628</c:v>
                </c:pt>
                <c:pt idx="1603">
                  <c:v>500.57498093058734</c:v>
                </c:pt>
                <c:pt idx="1604">
                  <c:v>498.5974828375285</c:v>
                </c:pt>
                <c:pt idx="1605">
                  <c:v>487.76506483600309</c:v>
                </c:pt>
                <c:pt idx="1606">
                  <c:v>483.25247902364617</c:v>
                </c:pt>
                <c:pt idx="1607">
                  <c:v>473.5625476735317</c:v>
                </c:pt>
                <c:pt idx="1608">
                  <c:v>483.36956521739131</c:v>
                </c:pt>
                <c:pt idx="1609">
                  <c:v>512.90701754385975</c:v>
                </c:pt>
                <c:pt idx="1610">
                  <c:v>521.43249427917613</c:v>
                </c:pt>
                <c:pt idx="1611">
                  <c:v>529.46636155606404</c:v>
                </c:pt>
                <c:pt idx="1612">
                  <c:v>529.90091533180782</c:v>
                </c:pt>
                <c:pt idx="1613">
                  <c:v>539.88283752860423</c:v>
                </c:pt>
                <c:pt idx="1614">
                  <c:v>493.66353928299009</c:v>
                </c:pt>
                <c:pt idx="1615">
                  <c:v>495.81510297482839</c:v>
                </c:pt>
                <c:pt idx="1616">
                  <c:v>484.37932875667428</c:v>
                </c:pt>
                <c:pt idx="1617">
                  <c:v>463.79420289855074</c:v>
                </c:pt>
                <c:pt idx="1618">
                  <c:v>437.16918382913803</c:v>
                </c:pt>
                <c:pt idx="1619">
                  <c:v>437.73363844393583</c:v>
                </c:pt>
                <c:pt idx="1620">
                  <c:v>438.57246376811594</c:v>
                </c:pt>
                <c:pt idx="1621">
                  <c:v>441.86582761250952</c:v>
                </c:pt>
                <c:pt idx="1622">
                  <c:v>440.13325705568263</c:v>
                </c:pt>
                <c:pt idx="1623">
                  <c:v>439.25881006864995</c:v>
                </c:pt>
                <c:pt idx="1624">
                  <c:v>451.61601830663619</c:v>
                </c:pt>
                <c:pt idx="1625">
                  <c:v>442.85789473684207</c:v>
                </c:pt>
                <c:pt idx="1626">
                  <c:v>426.44736842105266</c:v>
                </c:pt>
                <c:pt idx="1627">
                  <c:v>426.1894736842105</c:v>
                </c:pt>
                <c:pt idx="1628">
                  <c:v>421.99069412662089</c:v>
                </c:pt>
                <c:pt idx="1629">
                  <c:v>425.38611746758198</c:v>
                </c:pt>
                <c:pt idx="1630">
                  <c:v>420.97757437070948</c:v>
                </c:pt>
                <c:pt idx="1631">
                  <c:v>409.51029748283747</c:v>
                </c:pt>
                <c:pt idx="1632">
                  <c:v>420.13699466056443</c:v>
                </c:pt>
                <c:pt idx="1633">
                  <c:v>418.27391304347827</c:v>
                </c:pt>
                <c:pt idx="1634">
                  <c:v>420.86224256292911</c:v>
                </c:pt>
                <c:pt idx="1635">
                  <c:v>434.45011441647597</c:v>
                </c:pt>
                <c:pt idx="1636">
                  <c:v>437.00251716247141</c:v>
                </c:pt>
                <c:pt idx="1637">
                  <c:v>433.67063310450038</c:v>
                </c:pt>
                <c:pt idx="1638">
                  <c:v>433.37917620137301</c:v>
                </c:pt>
                <c:pt idx="1639">
                  <c:v>428.23722349351641</c:v>
                </c:pt>
                <c:pt idx="1640">
                  <c:v>428.69794050343245</c:v>
                </c:pt>
                <c:pt idx="1641">
                  <c:v>429.1546910755149</c:v>
                </c:pt>
                <c:pt idx="1642">
                  <c:v>426.3343249427918</c:v>
                </c:pt>
                <c:pt idx="1643">
                  <c:v>422.69595728451566</c:v>
                </c:pt>
                <c:pt idx="1644">
                  <c:v>420.10350877192985</c:v>
                </c:pt>
                <c:pt idx="1645">
                  <c:v>421.01006864988562</c:v>
                </c:pt>
                <c:pt idx="1646">
                  <c:v>436.64439359267732</c:v>
                </c:pt>
                <c:pt idx="1647">
                  <c:v>443.16956521739127</c:v>
                </c:pt>
                <c:pt idx="1648">
                  <c:v>441.2550724637681</c:v>
                </c:pt>
                <c:pt idx="1649">
                  <c:v>448.26979405034331</c:v>
                </c:pt>
                <c:pt idx="1650">
                  <c:v>453.67437070938217</c:v>
                </c:pt>
                <c:pt idx="1651">
                  <c:v>466.50198321891685</c:v>
                </c:pt>
                <c:pt idx="1652">
                  <c:v>459.19649122807022</c:v>
                </c:pt>
                <c:pt idx="1653">
                  <c:v>474.96163234172383</c:v>
                </c:pt>
                <c:pt idx="1654">
                  <c:v>476.79336384439358</c:v>
                </c:pt>
                <c:pt idx="1655">
                  <c:v>481.47765064836005</c:v>
                </c:pt>
                <c:pt idx="1656">
                  <c:v>466.5217391304347</c:v>
                </c:pt>
                <c:pt idx="1657">
                  <c:v>463.9072463768116</c:v>
                </c:pt>
                <c:pt idx="1658">
                  <c:v>459.70091533180766</c:v>
                </c:pt>
                <c:pt idx="1659">
                  <c:v>459.90183066361561</c:v>
                </c:pt>
                <c:pt idx="1660">
                  <c:v>470.33272311212806</c:v>
                </c:pt>
                <c:pt idx="1661">
                  <c:v>465.26704805491983</c:v>
                </c:pt>
                <c:pt idx="1662">
                  <c:v>472.26910755148748</c:v>
                </c:pt>
                <c:pt idx="1663">
                  <c:v>483.04019832189169</c:v>
                </c:pt>
                <c:pt idx="1664">
                  <c:v>483.97490465293674</c:v>
                </c:pt>
                <c:pt idx="1665">
                  <c:v>481.90457665903892</c:v>
                </c:pt>
                <c:pt idx="1666">
                  <c:v>475.9813119755911</c:v>
                </c:pt>
                <c:pt idx="1667">
                  <c:v>473.99450800915321</c:v>
                </c:pt>
                <c:pt idx="1668">
                  <c:v>470.35293668954995</c:v>
                </c:pt>
                <c:pt idx="1669">
                  <c:v>486.96201372997712</c:v>
                </c:pt>
                <c:pt idx="1670">
                  <c:v>488.85591151792528</c:v>
                </c:pt>
                <c:pt idx="1671">
                  <c:v>478.1510297482838</c:v>
                </c:pt>
                <c:pt idx="1672">
                  <c:v>478.43569794050342</c:v>
                </c:pt>
                <c:pt idx="1673">
                  <c:v>480.61441647597252</c:v>
                </c:pt>
                <c:pt idx="1674">
                  <c:v>481.37879481311973</c:v>
                </c:pt>
                <c:pt idx="1675">
                  <c:v>484.92463768115937</c:v>
                </c:pt>
                <c:pt idx="1676">
                  <c:v>491.66315789473686</c:v>
                </c:pt>
                <c:pt idx="1677">
                  <c:v>490.35263157894735</c:v>
                </c:pt>
                <c:pt idx="1678">
                  <c:v>491.2344774980931</c:v>
                </c:pt>
                <c:pt idx="1679">
                  <c:v>488.13798627002291</c:v>
                </c:pt>
                <c:pt idx="1680">
                  <c:v>485.27780320366145</c:v>
                </c:pt>
                <c:pt idx="1681">
                  <c:v>479.84721586575142</c:v>
                </c:pt>
                <c:pt idx="1682">
                  <c:v>478.08916857360799</c:v>
                </c:pt>
                <c:pt idx="1683">
                  <c:v>473.11769641495039</c:v>
                </c:pt>
                <c:pt idx="1684">
                  <c:v>463.04141876430197</c:v>
                </c:pt>
                <c:pt idx="1685">
                  <c:v>458.6578184591915</c:v>
                </c:pt>
                <c:pt idx="1686">
                  <c:v>458.88848207475212</c:v>
                </c:pt>
                <c:pt idx="1687">
                  <c:v>458.0871090770404</c:v>
                </c:pt>
                <c:pt idx="1688">
                  <c:v>456.64782608695651</c:v>
                </c:pt>
                <c:pt idx="1689">
                  <c:v>457.66956521739127</c:v>
                </c:pt>
                <c:pt idx="1690">
                  <c:v>458.10297482837535</c:v>
                </c:pt>
                <c:pt idx="1691">
                  <c:v>459.66384439359268</c:v>
                </c:pt>
                <c:pt idx="1692">
                  <c:v>456.66559877955757</c:v>
                </c:pt>
                <c:pt idx="1693">
                  <c:v>456.17025171624715</c:v>
                </c:pt>
                <c:pt idx="1694">
                  <c:v>456.44363081617098</c:v>
                </c:pt>
                <c:pt idx="1695">
                  <c:v>455.13859649122816</c:v>
                </c:pt>
                <c:pt idx="1696">
                  <c:v>456.6354691075515</c:v>
                </c:pt>
                <c:pt idx="1697">
                  <c:v>455.56750572082382</c:v>
                </c:pt>
                <c:pt idx="1698">
                  <c:v>444.93440122044245</c:v>
                </c:pt>
                <c:pt idx="1699">
                  <c:v>443.06514111365379</c:v>
                </c:pt>
                <c:pt idx="1700">
                  <c:v>439.53432494279173</c:v>
                </c:pt>
                <c:pt idx="1701">
                  <c:v>442.17154843630806</c:v>
                </c:pt>
                <c:pt idx="1702">
                  <c:v>442.69275362318837</c:v>
                </c:pt>
                <c:pt idx="1703">
                  <c:v>450.47848970251715</c:v>
                </c:pt>
                <c:pt idx="1704">
                  <c:v>450.83432494279168</c:v>
                </c:pt>
                <c:pt idx="1705">
                  <c:v>455.20976353928307</c:v>
                </c:pt>
                <c:pt idx="1706">
                  <c:v>454.91083142639201</c:v>
                </c:pt>
                <c:pt idx="1707">
                  <c:v>457.32356979405029</c:v>
                </c:pt>
                <c:pt idx="1708">
                  <c:v>463.13913043478249</c:v>
                </c:pt>
                <c:pt idx="1709">
                  <c:v>461.00122044241033</c:v>
                </c:pt>
                <c:pt idx="1710">
                  <c:v>460.70045766590391</c:v>
                </c:pt>
                <c:pt idx="1711">
                  <c:v>463.61922196796337</c:v>
                </c:pt>
                <c:pt idx="1712">
                  <c:v>460.91861174675813</c:v>
                </c:pt>
                <c:pt idx="1713">
                  <c:v>458.25835240274603</c:v>
                </c:pt>
                <c:pt idx="1714">
                  <c:v>458.4839054157132</c:v>
                </c:pt>
                <c:pt idx="1715">
                  <c:v>450.6109077040428</c:v>
                </c:pt>
                <c:pt idx="1716">
                  <c:v>458.10915331807769</c:v>
                </c:pt>
                <c:pt idx="1717">
                  <c:v>458.83935926773455</c:v>
                </c:pt>
                <c:pt idx="1718">
                  <c:v>452.69885583524029</c:v>
                </c:pt>
                <c:pt idx="1719">
                  <c:v>451.85781845919149</c:v>
                </c:pt>
                <c:pt idx="1720">
                  <c:v>456.49061784897026</c:v>
                </c:pt>
                <c:pt idx="1721">
                  <c:v>458.21479786422577</c:v>
                </c:pt>
                <c:pt idx="1722">
                  <c:v>461.3871853546911</c:v>
                </c:pt>
                <c:pt idx="1723">
                  <c:v>461.54721586575141</c:v>
                </c:pt>
                <c:pt idx="1724">
                  <c:v>456.81418764302055</c:v>
                </c:pt>
                <c:pt idx="1725">
                  <c:v>455.44103737604883</c:v>
                </c:pt>
                <c:pt idx="1726">
                  <c:v>454.0588100686499</c:v>
                </c:pt>
                <c:pt idx="1727">
                  <c:v>457.14729214340201</c:v>
                </c:pt>
                <c:pt idx="1728">
                  <c:v>466.26842105263154</c:v>
                </c:pt>
                <c:pt idx="1729">
                  <c:v>467.50915331807778</c:v>
                </c:pt>
                <c:pt idx="1730">
                  <c:v>469.39633867276899</c:v>
                </c:pt>
                <c:pt idx="1731">
                  <c:v>475.74782608695648</c:v>
                </c:pt>
                <c:pt idx="1732">
                  <c:v>479.25675057208241</c:v>
                </c:pt>
                <c:pt idx="1733">
                  <c:v>473.60991609458432</c:v>
                </c:pt>
                <c:pt idx="1734">
                  <c:v>470.58360030511062</c:v>
                </c:pt>
                <c:pt idx="1735">
                  <c:v>477.1688787185355</c:v>
                </c:pt>
                <c:pt idx="1736">
                  <c:v>476.46552250190695</c:v>
                </c:pt>
                <c:pt idx="1737">
                  <c:v>477.28268497330276</c:v>
                </c:pt>
                <c:pt idx="1738">
                  <c:v>475.3181540808543</c:v>
                </c:pt>
                <c:pt idx="1739">
                  <c:v>474.57757437070939</c:v>
                </c:pt>
                <c:pt idx="1740">
                  <c:v>469.33333333333326</c:v>
                </c:pt>
                <c:pt idx="1741">
                  <c:v>469.11670480549202</c:v>
                </c:pt>
                <c:pt idx="1742">
                  <c:v>469.31540808543099</c:v>
                </c:pt>
                <c:pt idx="1743">
                  <c:v>462.84370709382142</c:v>
                </c:pt>
                <c:pt idx="1744">
                  <c:v>443.51014492753626</c:v>
                </c:pt>
                <c:pt idx="1745">
                  <c:v>445.40701754385964</c:v>
                </c:pt>
                <c:pt idx="1746">
                  <c:v>435.40205949656746</c:v>
                </c:pt>
                <c:pt idx="1747">
                  <c:v>427.2782608695652</c:v>
                </c:pt>
                <c:pt idx="1748">
                  <c:v>430.2177726926011</c:v>
                </c:pt>
                <c:pt idx="1749">
                  <c:v>427.41327231121284</c:v>
                </c:pt>
                <c:pt idx="1750">
                  <c:v>427.1187643020595</c:v>
                </c:pt>
                <c:pt idx="1751">
                  <c:v>428.66270022883293</c:v>
                </c:pt>
                <c:pt idx="1752">
                  <c:v>429.86910755148739</c:v>
                </c:pt>
                <c:pt idx="1753">
                  <c:v>433.02822273073986</c:v>
                </c:pt>
                <c:pt idx="1754">
                  <c:v>437.77505720823791</c:v>
                </c:pt>
                <c:pt idx="1755">
                  <c:v>439.68077803203664</c:v>
                </c:pt>
                <c:pt idx="1756">
                  <c:v>438.14660564454607</c:v>
                </c:pt>
                <c:pt idx="1757">
                  <c:v>436.76559877955754</c:v>
                </c:pt>
                <c:pt idx="1758">
                  <c:v>430.37246376811595</c:v>
                </c:pt>
                <c:pt idx="1759">
                  <c:v>429.29199084668193</c:v>
                </c:pt>
                <c:pt idx="1760">
                  <c:v>428.28619374523271</c:v>
                </c:pt>
                <c:pt idx="1761">
                  <c:v>419.54881769641503</c:v>
                </c:pt>
                <c:pt idx="1762">
                  <c:v>422.81662852784137</c:v>
                </c:pt>
                <c:pt idx="1763">
                  <c:v>417.56018306636167</c:v>
                </c:pt>
                <c:pt idx="1764">
                  <c:v>422.79786422578178</c:v>
                </c:pt>
                <c:pt idx="1765">
                  <c:v>419.4691838291381</c:v>
                </c:pt>
                <c:pt idx="1766">
                  <c:v>394.43821510297482</c:v>
                </c:pt>
                <c:pt idx="1767">
                  <c:v>388.72242562929051</c:v>
                </c:pt>
                <c:pt idx="1768">
                  <c:v>379.81395881006864</c:v>
                </c:pt>
                <c:pt idx="1769">
                  <c:v>381.06987032799395</c:v>
                </c:pt>
                <c:pt idx="1770">
                  <c:v>378.80228832951946</c:v>
                </c:pt>
                <c:pt idx="1771">
                  <c:v>378.24576659038894</c:v>
                </c:pt>
                <c:pt idx="1772">
                  <c:v>383.19984744469872</c:v>
                </c:pt>
                <c:pt idx="1773">
                  <c:v>386.13142639206717</c:v>
                </c:pt>
                <c:pt idx="1774">
                  <c:v>380.58604118993128</c:v>
                </c:pt>
                <c:pt idx="1775">
                  <c:v>382.22662090007623</c:v>
                </c:pt>
                <c:pt idx="1776">
                  <c:v>381.34233409610982</c:v>
                </c:pt>
                <c:pt idx="1777">
                  <c:v>374.97520976353934</c:v>
                </c:pt>
                <c:pt idx="1778">
                  <c:v>374.21578947368425</c:v>
                </c:pt>
                <c:pt idx="1779">
                  <c:v>366.11434019832188</c:v>
                </c:pt>
                <c:pt idx="1780">
                  <c:v>360.72356979405038</c:v>
                </c:pt>
                <c:pt idx="1781">
                  <c:v>360.86201372997698</c:v>
                </c:pt>
                <c:pt idx="1782">
                  <c:v>360.90938215102966</c:v>
                </c:pt>
                <c:pt idx="1783">
                  <c:v>359.8512585812357</c:v>
                </c:pt>
                <c:pt idx="1784">
                  <c:v>359.89153318077797</c:v>
                </c:pt>
                <c:pt idx="1785">
                  <c:v>339.42951945080085</c:v>
                </c:pt>
                <c:pt idx="1786">
                  <c:v>331.536231884058</c:v>
                </c:pt>
                <c:pt idx="1787">
                  <c:v>311.69290617848969</c:v>
                </c:pt>
                <c:pt idx="1788">
                  <c:v>306.32669717772694</c:v>
                </c:pt>
                <c:pt idx="1789">
                  <c:v>300.09542334096113</c:v>
                </c:pt>
                <c:pt idx="1790">
                  <c:v>298.67299771167052</c:v>
                </c:pt>
                <c:pt idx="1791">
                  <c:v>301.97032799389774</c:v>
                </c:pt>
                <c:pt idx="1792">
                  <c:v>300.773760488177</c:v>
                </c:pt>
                <c:pt idx="1793">
                  <c:v>299.80823798627</c:v>
                </c:pt>
                <c:pt idx="1794">
                  <c:v>299.84271548436305</c:v>
                </c:pt>
                <c:pt idx="1795">
                  <c:v>299.87719298245611</c:v>
                </c:pt>
                <c:pt idx="1796">
                  <c:v>288.53569794050344</c:v>
                </c:pt>
                <c:pt idx="1797">
                  <c:v>291.19679633867281</c:v>
                </c:pt>
                <c:pt idx="1798">
                  <c:v>291.29679633867278</c:v>
                </c:pt>
                <c:pt idx="1799">
                  <c:v>291.33897787948132</c:v>
                </c:pt>
                <c:pt idx="1800">
                  <c:v>288.88260869565215</c:v>
                </c:pt>
                <c:pt idx="1801">
                  <c:v>282.83592677345536</c:v>
                </c:pt>
                <c:pt idx="1802">
                  <c:v>287.55766590389015</c:v>
                </c:pt>
                <c:pt idx="1803">
                  <c:v>286.45964912280709</c:v>
                </c:pt>
                <c:pt idx="1804">
                  <c:v>279.2276887871854</c:v>
                </c:pt>
                <c:pt idx="1805">
                  <c:v>275.58581235697943</c:v>
                </c:pt>
                <c:pt idx="1806">
                  <c:v>275.60007627765066</c:v>
                </c:pt>
                <c:pt idx="1807">
                  <c:v>275.35934401220442</c:v>
                </c:pt>
                <c:pt idx="1808">
                  <c:v>264.36575133485889</c:v>
                </c:pt>
                <c:pt idx="1809">
                  <c:v>262.34988558352399</c:v>
                </c:pt>
                <c:pt idx="1810">
                  <c:v>269.02219679633868</c:v>
                </c:pt>
                <c:pt idx="1811">
                  <c:v>271.64363081617091</c:v>
                </c:pt>
                <c:pt idx="1812">
                  <c:v>271.05095347063309</c:v>
                </c:pt>
                <c:pt idx="1813">
                  <c:v>271.69565217391306</c:v>
                </c:pt>
                <c:pt idx="1814">
                  <c:v>269.7446224256293</c:v>
                </c:pt>
                <c:pt idx="1815">
                  <c:v>274.98733790999233</c:v>
                </c:pt>
                <c:pt idx="1816">
                  <c:v>301.39038901601833</c:v>
                </c:pt>
                <c:pt idx="1817">
                  <c:v>306.61784897025166</c:v>
                </c:pt>
                <c:pt idx="1818">
                  <c:v>298.28161708619371</c:v>
                </c:pt>
                <c:pt idx="1819">
                  <c:v>292.86392067124331</c:v>
                </c:pt>
                <c:pt idx="1820">
                  <c:v>301.29977116704799</c:v>
                </c:pt>
                <c:pt idx="1821">
                  <c:v>307.98237986270016</c:v>
                </c:pt>
                <c:pt idx="1822">
                  <c:v>307.99153318077799</c:v>
                </c:pt>
                <c:pt idx="1823">
                  <c:v>301.95293668954992</c:v>
                </c:pt>
                <c:pt idx="1824">
                  <c:v>299.71784897025168</c:v>
                </c:pt>
                <c:pt idx="1825">
                  <c:v>291.67894736842112</c:v>
                </c:pt>
                <c:pt idx="1826">
                  <c:v>296.45453852021359</c:v>
                </c:pt>
                <c:pt idx="1827">
                  <c:v>280.66666666666669</c:v>
                </c:pt>
                <c:pt idx="1828">
                  <c:v>261.10411899313505</c:v>
                </c:pt>
                <c:pt idx="1829">
                  <c:v>246.96842105263153</c:v>
                </c:pt>
                <c:pt idx="1830">
                  <c:v>251.66353928299006</c:v>
                </c:pt>
                <c:pt idx="1831">
                  <c:v>248.94256292906181</c:v>
                </c:pt>
                <c:pt idx="1832">
                  <c:v>245.03249427917623</c:v>
                </c:pt>
                <c:pt idx="1833">
                  <c:v>246.88558352402742</c:v>
                </c:pt>
                <c:pt idx="1834">
                  <c:v>247.15347063310452</c:v>
                </c:pt>
                <c:pt idx="1835">
                  <c:v>241.05850495804737</c:v>
                </c:pt>
                <c:pt idx="1836">
                  <c:v>231.62105263157898</c:v>
                </c:pt>
                <c:pt idx="1837">
                  <c:v>228.89954233409611</c:v>
                </c:pt>
                <c:pt idx="1838">
                  <c:v>232.28451563691837</c:v>
                </c:pt>
                <c:pt idx="1839">
                  <c:v>232.99092295957283</c:v>
                </c:pt>
                <c:pt idx="1840">
                  <c:v>235.94462242562932</c:v>
                </c:pt>
                <c:pt idx="1841">
                  <c:v>228.07894736842107</c:v>
                </c:pt>
                <c:pt idx="1842">
                  <c:v>240.61372997711663</c:v>
                </c:pt>
                <c:pt idx="1843">
                  <c:v>232.99763539282986</c:v>
                </c:pt>
                <c:pt idx="1844">
                  <c:v>219.01578947368421</c:v>
                </c:pt>
                <c:pt idx="1845">
                  <c:v>212.96430205949659</c:v>
                </c:pt>
                <c:pt idx="1846">
                  <c:v>211.72883295194507</c:v>
                </c:pt>
                <c:pt idx="1847">
                  <c:v>214.57604881769635</c:v>
                </c:pt>
                <c:pt idx="1848">
                  <c:v>211.89794050343249</c:v>
                </c:pt>
                <c:pt idx="1849">
                  <c:v>219.05331807780314</c:v>
                </c:pt>
                <c:pt idx="1850">
                  <c:v>223.90480549199086</c:v>
                </c:pt>
                <c:pt idx="1851">
                  <c:v>227.33745232646831</c:v>
                </c:pt>
                <c:pt idx="1852">
                  <c:v>223.15118230358507</c:v>
                </c:pt>
                <c:pt idx="1853">
                  <c:v>224.43913043478261</c:v>
                </c:pt>
                <c:pt idx="1854">
                  <c:v>218.82890922959575</c:v>
                </c:pt>
                <c:pt idx="1855">
                  <c:v>214.19786422578187</c:v>
                </c:pt>
                <c:pt idx="1856">
                  <c:v>213.99862700228829</c:v>
                </c:pt>
                <c:pt idx="1857">
                  <c:v>218.95560640732268</c:v>
                </c:pt>
                <c:pt idx="1858">
                  <c:v>216.2184591914569</c:v>
                </c:pt>
                <c:pt idx="1859">
                  <c:v>204.05568268497333</c:v>
                </c:pt>
                <c:pt idx="1860">
                  <c:v>204.81967963386728</c:v>
                </c:pt>
                <c:pt idx="1861">
                  <c:v>194.88070175438597</c:v>
                </c:pt>
                <c:pt idx="1862">
                  <c:v>195.41922196796338</c:v>
                </c:pt>
                <c:pt idx="1863">
                  <c:v>187.30701754385967</c:v>
                </c:pt>
                <c:pt idx="1864">
                  <c:v>178.56201372997711</c:v>
                </c:pt>
                <c:pt idx="1865">
                  <c:v>171.70389016018311</c:v>
                </c:pt>
                <c:pt idx="1866">
                  <c:v>175.30465293668956</c:v>
                </c:pt>
                <c:pt idx="1867">
                  <c:v>175.3942028985507</c:v>
                </c:pt>
                <c:pt idx="1868">
                  <c:v>178.78093058733793</c:v>
                </c:pt>
                <c:pt idx="1869">
                  <c:v>177.70434782608694</c:v>
                </c:pt>
                <c:pt idx="1870">
                  <c:v>181.77597254004579</c:v>
                </c:pt>
                <c:pt idx="1871">
                  <c:v>192.07833714721588</c:v>
                </c:pt>
                <c:pt idx="1872">
                  <c:v>203.03798627002288</c:v>
                </c:pt>
                <c:pt idx="1873">
                  <c:v>203.14233409610981</c:v>
                </c:pt>
                <c:pt idx="1874">
                  <c:v>197.0301296720061</c:v>
                </c:pt>
                <c:pt idx="1875">
                  <c:v>192.71472158657517</c:v>
                </c:pt>
                <c:pt idx="1876">
                  <c:v>192.77025171624717</c:v>
                </c:pt>
                <c:pt idx="1877">
                  <c:v>192.93684210526325</c:v>
                </c:pt>
                <c:pt idx="1878">
                  <c:v>185.87742181540801</c:v>
                </c:pt>
                <c:pt idx="1879">
                  <c:v>187.14126620900075</c:v>
                </c:pt>
                <c:pt idx="1880">
                  <c:v>192.09908466819226</c:v>
                </c:pt>
                <c:pt idx="1881">
                  <c:v>207.83493516399693</c:v>
                </c:pt>
                <c:pt idx="1882">
                  <c:v>224.55553012967195</c:v>
                </c:pt>
                <c:pt idx="1883">
                  <c:v>210.58680396643783</c:v>
                </c:pt>
                <c:pt idx="1884">
                  <c:v>205.76453089244851</c:v>
                </c:pt>
                <c:pt idx="1885">
                  <c:v>205.29183829138057</c:v>
                </c:pt>
                <c:pt idx="1886">
                  <c:v>190.09328756674293</c:v>
                </c:pt>
                <c:pt idx="1887">
                  <c:v>196.01151792524789</c:v>
                </c:pt>
                <c:pt idx="1888">
                  <c:v>193.67322654462239</c:v>
                </c:pt>
                <c:pt idx="1889">
                  <c:v>184.10922959572849</c:v>
                </c:pt>
                <c:pt idx="1890">
                  <c:v>184.96079328756682</c:v>
                </c:pt>
                <c:pt idx="1891">
                  <c:v>186.02219679633868</c:v>
                </c:pt>
                <c:pt idx="1892">
                  <c:v>182.5437070938215</c:v>
                </c:pt>
                <c:pt idx="1893">
                  <c:v>189.1955758962624</c:v>
                </c:pt>
                <c:pt idx="1894">
                  <c:v>190.36315789473687</c:v>
                </c:pt>
                <c:pt idx="1895">
                  <c:v>205.39130434782601</c:v>
                </c:pt>
                <c:pt idx="1896">
                  <c:v>210.31296720061022</c:v>
                </c:pt>
                <c:pt idx="1897">
                  <c:v>210.6021357742182</c:v>
                </c:pt>
                <c:pt idx="1898">
                  <c:v>216.85415713196036</c:v>
                </c:pt>
                <c:pt idx="1899">
                  <c:v>210.57231121281464</c:v>
                </c:pt>
                <c:pt idx="1900">
                  <c:v>210.08878718535465</c:v>
                </c:pt>
                <c:pt idx="1901">
                  <c:v>206.46872616323424</c:v>
                </c:pt>
                <c:pt idx="1902">
                  <c:v>200.25675057208238</c:v>
                </c:pt>
                <c:pt idx="1903">
                  <c:v>198.46727688787189</c:v>
                </c:pt>
                <c:pt idx="1904">
                  <c:v>193.3614035087719</c:v>
                </c:pt>
                <c:pt idx="1905">
                  <c:v>192.35804729214337</c:v>
                </c:pt>
                <c:pt idx="1906">
                  <c:v>190.29999999999998</c:v>
                </c:pt>
                <c:pt idx="1907">
                  <c:v>190.20000000000002</c:v>
                </c:pt>
                <c:pt idx="1908">
                  <c:v>185.40000000000003</c:v>
                </c:pt>
                <c:pt idx="1909">
                  <c:v>183.59999999999994</c:v>
                </c:pt>
                <c:pt idx="1910">
                  <c:v>183.29999999999998</c:v>
                </c:pt>
                <c:pt idx="1911">
                  <c:v>180.99999999999997</c:v>
                </c:pt>
                <c:pt idx="1912">
                  <c:v>165.38915537017726</c:v>
                </c:pt>
                <c:pt idx="1913">
                  <c:v>153.00312825860271</c:v>
                </c:pt>
                <c:pt idx="1914">
                  <c:v>157.21376433785193</c:v>
                </c:pt>
                <c:pt idx="1915">
                  <c:v>157.77247132429613</c:v>
                </c:pt>
                <c:pt idx="1916">
                  <c:v>160.99551616266945</c:v>
                </c:pt>
                <c:pt idx="1917">
                  <c:v>158.14087591240875</c:v>
                </c:pt>
                <c:pt idx="1918">
                  <c:v>162.06485922836291</c:v>
                </c:pt>
                <c:pt idx="1919">
                  <c:v>162.45286757038582</c:v>
                </c:pt>
                <c:pt idx="1920">
                  <c:v>166.62888425443171</c:v>
                </c:pt>
                <c:pt idx="1921">
                  <c:v>167.79165797705943</c:v>
                </c:pt>
                <c:pt idx="1922">
                  <c:v>171.27601668404589</c:v>
                </c:pt>
                <c:pt idx="1923">
                  <c:v>171.15505735140766</c:v>
                </c:pt>
                <c:pt idx="1924">
                  <c:v>176.5022940563087</c:v>
                </c:pt>
                <c:pt idx="1925">
                  <c:v>177.01991657977061</c:v>
                </c:pt>
                <c:pt idx="1926">
                  <c:v>176.04098018769554</c:v>
                </c:pt>
                <c:pt idx="1927">
                  <c:v>187.49885297184571</c:v>
                </c:pt>
                <c:pt idx="1928">
                  <c:v>187.89301355578726</c:v>
                </c:pt>
                <c:pt idx="1929">
                  <c:v>186.47580813347241</c:v>
                </c:pt>
                <c:pt idx="1930">
                  <c:v>188.7633993743483</c:v>
                </c:pt>
                <c:pt idx="1931">
                  <c:v>188.35182481751824</c:v>
                </c:pt>
                <c:pt idx="1932">
                  <c:v>190.46319082377471</c:v>
                </c:pt>
                <c:pt idx="1933">
                  <c:v>194.71251303441088</c:v>
                </c:pt>
                <c:pt idx="1934">
                  <c:v>198.40271115745566</c:v>
                </c:pt>
                <c:pt idx="1935">
                  <c:v>210.76392075078206</c:v>
                </c:pt>
                <c:pt idx="1936">
                  <c:v>204.66757038581855</c:v>
                </c:pt>
                <c:pt idx="1937">
                  <c:v>191.70052137643378</c:v>
                </c:pt>
                <c:pt idx="1938">
                  <c:v>188.47622523461933</c:v>
                </c:pt>
                <c:pt idx="1939">
                  <c:v>188.64880083420232</c:v>
                </c:pt>
                <c:pt idx="1940">
                  <c:v>195.22857142857148</c:v>
                </c:pt>
                <c:pt idx="1941">
                  <c:v>198.06339937434831</c:v>
                </c:pt>
                <c:pt idx="1942">
                  <c:v>198.95203336809186</c:v>
                </c:pt>
                <c:pt idx="1943">
                  <c:v>195.17997914494259</c:v>
                </c:pt>
                <c:pt idx="1944">
                  <c:v>197.24744525547442</c:v>
                </c:pt>
                <c:pt idx="1945">
                  <c:v>192.81449426485923</c:v>
                </c:pt>
                <c:pt idx="1946">
                  <c:v>195.95818561001042</c:v>
                </c:pt>
                <c:pt idx="1947">
                  <c:v>194.72127215849844</c:v>
                </c:pt>
                <c:pt idx="1948">
                  <c:v>197.79760166840461</c:v>
                </c:pt>
                <c:pt idx="1949">
                  <c:v>192.25109489051098</c:v>
                </c:pt>
                <c:pt idx="1950">
                  <c:v>203.54942648592285</c:v>
                </c:pt>
                <c:pt idx="1951">
                  <c:v>214.29989572471322</c:v>
                </c:pt>
                <c:pt idx="1952">
                  <c:v>208.91459854014605</c:v>
                </c:pt>
                <c:pt idx="1953">
                  <c:v>205.78905109489051</c:v>
                </c:pt>
                <c:pt idx="1954">
                  <c:v>214.94869655891557</c:v>
                </c:pt>
                <c:pt idx="1955">
                  <c:v>220.34139728884256</c:v>
                </c:pt>
                <c:pt idx="1956">
                  <c:v>222.26715328467156</c:v>
                </c:pt>
                <c:pt idx="1957">
                  <c:v>215.80291970802921</c:v>
                </c:pt>
                <c:pt idx="1958">
                  <c:v>210.84025026068824</c:v>
                </c:pt>
                <c:pt idx="1959">
                  <c:v>208.45464025026067</c:v>
                </c:pt>
                <c:pt idx="1960">
                  <c:v>201.53753910323258</c:v>
                </c:pt>
                <c:pt idx="1961">
                  <c:v>206.16600625651716</c:v>
                </c:pt>
                <c:pt idx="1962">
                  <c:v>198.31678832116788</c:v>
                </c:pt>
                <c:pt idx="1963">
                  <c:v>198.06538060479667</c:v>
                </c:pt>
                <c:pt idx="1964">
                  <c:v>196.03899895724714</c:v>
                </c:pt>
                <c:pt idx="1965">
                  <c:v>192.60948905109487</c:v>
                </c:pt>
                <c:pt idx="1966">
                  <c:v>193.0736183524505</c:v>
                </c:pt>
                <c:pt idx="1967">
                  <c:v>184.20875912408755</c:v>
                </c:pt>
                <c:pt idx="1968">
                  <c:v>180.57612095933263</c:v>
                </c:pt>
                <c:pt idx="1969">
                  <c:v>170.95557872784147</c:v>
                </c:pt>
                <c:pt idx="1970">
                  <c:v>175.80698644421278</c:v>
                </c:pt>
                <c:pt idx="1971">
                  <c:v>175.65672575599586</c:v>
                </c:pt>
                <c:pt idx="1972">
                  <c:v>176.96704900938477</c:v>
                </c:pt>
                <c:pt idx="1973">
                  <c:v>178.20729927007298</c:v>
                </c:pt>
                <c:pt idx="1974">
                  <c:v>176.17778936392071</c:v>
                </c:pt>
                <c:pt idx="1975">
                  <c:v>169.04973931178313</c:v>
                </c:pt>
                <c:pt idx="1976">
                  <c:v>169.09144942648595</c:v>
                </c:pt>
                <c:pt idx="1977">
                  <c:v>166.34786235662145</c:v>
                </c:pt>
                <c:pt idx="1978">
                  <c:v>162.4</c:v>
                </c:pt>
                <c:pt idx="1979">
                  <c:v>161.14834912431812</c:v>
                </c:pt>
                <c:pt idx="1980">
                  <c:v>161.39589009599351</c:v>
                </c:pt>
                <c:pt idx="1981">
                  <c:v>160.14759192128429</c:v>
                </c:pt>
                <c:pt idx="1982">
                  <c:v>162.0925714285714</c:v>
                </c:pt>
                <c:pt idx="1983">
                  <c:v>162.03740105159764</c:v>
                </c:pt>
                <c:pt idx="1984">
                  <c:v>162.58151425762043</c:v>
                </c:pt>
                <c:pt idx="1985">
                  <c:v>162.88181818181818</c:v>
                </c:pt>
                <c:pt idx="1986">
                  <c:v>159.84385026737971</c:v>
                </c:pt>
                <c:pt idx="1987">
                  <c:v>160.24224598930485</c:v>
                </c:pt>
                <c:pt idx="1988">
                  <c:v>158.69893048128344</c:v>
                </c:pt>
                <c:pt idx="1989">
                  <c:v>155.0604278074866</c:v>
                </c:pt>
                <c:pt idx="1990">
                  <c:v>157.81301247771839</c:v>
                </c:pt>
                <c:pt idx="1991">
                  <c:v>159.47878787878793</c:v>
                </c:pt>
                <c:pt idx="1992">
                  <c:v>178.15204991087344</c:v>
                </c:pt>
                <c:pt idx="1993">
                  <c:v>174.67219251336903</c:v>
                </c:pt>
                <c:pt idx="1994">
                  <c:v>161.41764705882358</c:v>
                </c:pt>
                <c:pt idx="1995">
                  <c:v>160.6814616755793</c:v>
                </c:pt>
                <c:pt idx="1996">
                  <c:v>157.34705882352944</c:v>
                </c:pt>
                <c:pt idx="1997">
                  <c:v>155.79625668449196</c:v>
                </c:pt>
                <c:pt idx="1998">
                  <c:v>155.80320855614974</c:v>
                </c:pt>
                <c:pt idx="1999">
                  <c:v>161.27361853832443</c:v>
                </c:pt>
                <c:pt idx="2000">
                  <c:v>155.64117647058819</c:v>
                </c:pt>
                <c:pt idx="2001">
                  <c:v>162.16648841354726</c:v>
                </c:pt>
                <c:pt idx="2002">
                  <c:v>164.31515151515151</c:v>
                </c:pt>
                <c:pt idx="2003">
                  <c:v>170.09162210338678</c:v>
                </c:pt>
                <c:pt idx="2004">
                  <c:v>183.2</c:v>
                </c:pt>
                <c:pt idx="2005">
                  <c:v>196.90000000000003</c:v>
                </c:pt>
                <c:pt idx="2006">
                  <c:v>187.99999999999997</c:v>
                </c:pt>
                <c:pt idx="2007">
                  <c:v>192.99999999999997</c:v>
                </c:pt>
                <c:pt idx="2008">
                  <c:v>201.9</c:v>
                </c:pt>
                <c:pt idx="2009">
                  <c:v>196.9</c:v>
                </c:pt>
                <c:pt idx="2010">
                  <c:v>189.79999999999995</c:v>
                </c:pt>
                <c:pt idx="2011">
                  <c:v>190.34385026737971</c:v>
                </c:pt>
                <c:pt idx="2012">
                  <c:v>192.3716577540107</c:v>
                </c:pt>
                <c:pt idx="2013">
                  <c:v>194.61586452762924</c:v>
                </c:pt>
                <c:pt idx="2014">
                  <c:v>195.06363636363633</c:v>
                </c:pt>
                <c:pt idx="2015">
                  <c:v>200.79090909090908</c:v>
                </c:pt>
                <c:pt idx="2016">
                  <c:v>195.88181818181823</c:v>
                </c:pt>
                <c:pt idx="2017">
                  <c:v>194.21122994652413</c:v>
                </c:pt>
                <c:pt idx="2018">
                  <c:v>196.25490196078431</c:v>
                </c:pt>
                <c:pt idx="2019">
                  <c:v>189.14652406417113</c:v>
                </c:pt>
                <c:pt idx="2020">
                  <c:v>184.58128342245993</c:v>
                </c:pt>
                <c:pt idx="2021">
                  <c:v>185.45739750445631</c:v>
                </c:pt>
                <c:pt idx="2022">
                  <c:v>182.40730837789664</c:v>
                </c:pt>
                <c:pt idx="2023">
                  <c:v>181.99875222816402</c:v>
                </c:pt>
                <c:pt idx="2024">
                  <c:v>180.45026737967913</c:v>
                </c:pt>
                <c:pt idx="2025">
                  <c:v>180.07825311942955</c:v>
                </c:pt>
                <c:pt idx="2026">
                  <c:v>180.9563279857397</c:v>
                </c:pt>
                <c:pt idx="2027">
                  <c:v>178.17272727272731</c:v>
                </c:pt>
                <c:pt idx="2028">
                  <c:v>174.07967914438501</c:v>
                </c:pt>
                <c:pt idx="2029">
                  <c:v>172.52049910873444</c:v>
                </c:pt>
                <c:pt idx="2030">
                  <c:v>172.46916221033868</c:v>
                </c:pt>
                <c:pt idx="2031">
                  <c:v>171.27967914438497</c:v>
                </c:pt>
                <c:pt idx="2032">
                  <c:v>159.26684491978611</c:v>
                </c:pt>
                <c:pt idx="2033">
                  <c:v>157.80623885918004</c:v>
                </c:pt>
                <c:pt idx="2034">
                  <c:v>160.47254901960784</c:v>
                </c:pt>
                <c:pt idx="2035">
                  <c:v>156.71122994652413</c:v>
                </c:pt>
                <c:pt idx="2036">
                  <c:v>146.41354723707664</c:v>
                </c:pt>
                <c:pt idx="2037">
                  <c:v>136.23796791443851</c:v>
                </c:pt>
                <c:pt idx="2038">
                  <c:v>135.41461675579322</c:v>
                </c:pt>
                <c:pt idx="2039">
                  <c:v>135.7946524064171</c:v>
                </c:pt>
                <c:pt idx="2040">
                  <c:v>134.26969696969695</c:v>
                </c:pt>
                <c:pt idx="2041">
                  <c:v>131.62798573975044</c:v>
                </c:pt>
                <c:pt idx="2042">
                  <c:v>139.07771836007129</c:v>
                </c:pt>
                <c:pt idx="2043">
                  <c:v>143.64438502673792</c:v>
                </c:pt>
                <c:pt idx="2044">
                  <c:v>150.33065953654193</c:v>
                </c:pt>
                <c:pt idx="2045">
                  <c:v>159.45187165775403</c:v>
                </c:pt>
                <c:pt idx="2046">
                  <c:v>168.21764705882353</c:v>
                </c:pt>
                <c:pt idx="2047">
                  <c:v>170.78288770053479</c:v>
                </c:pt>
                <c:pt idx="2048">
                  <c:v>182.39126559714794</c:v>
                </c:pt>
                <c:pt idx="2049">
                  <c:v>168.73654188948311</c:v>
                </c:pt>
                <c:pt idx="2050">
                  <c:v>157.39411764705878</c:v>
                </c:pt>
                <c:pt idx="2051">
                  <c:v>156.0650623885918</c:v>
                </c:pt>
                <c:pt idx="2052">
                  <c:v>156.3575757575758</c:v>
                </c:pt>
                <c:pt idx="2053">
                  <c:v>161.17397504456329</c:v>
                </c:pt>
                <c:pt idx="2054">
                  <c:v>166.03048128342246</c:v>
                </c:pt>
                <c:pt idx="2055">
                  <c:v>166.06791443850264</c:v>
                </c:pt>
                <c:pt idx="2056">
                  <c:v>166.10534759358288</c:v>
                </c:pt>
                <c:pt idx="2057">
                  <c:v>165.77647058823527</c:v>
                </c:pt>
                <c:pt idx="2058">
                  <c:v>166.19679144385023</c:v>
                </c:pt>
                <c:pt idx="2059">
                  <c:v>170.75508021390371</c:v>
                </c:pt>
                <c:pt idx="2060">
                  <c:v>170.79251336898395</c:v>
                </c:pt>
                <c:pt idx="2061">
                  <c:v>163.22852049910873</c:v>
                </c:pt>
                <c:pt idx="2062">
                  <c:v>152.02156862745099</c:v>
                </c:pt>
                <c:pt idx="2063">
                  <c:v>158.8128342245989</c:v>
                </c:pt>
                <c:pt idx="2064">
                  <c:v>157.93850267379679</c:v>
                </c:pt>
                <c:pt idx="2065">
                  <c:v>156.13333333333333</c:v>
                </c:pt>
                <c:pt idx="2066">
                  <c:v>159.28449197860962</c:v>
                </c:pt>
                <c:pt idx="2067">
                  <c:v>160.31657754010695</c:v>
                </c:pt>
                <c:pt idx="2068">
                  <c:v>156.5090909090909</c:v>
                </c:pt>
                <c:pt idx="2069">
                  <c:v>152.02370766488411</c:v>
                </c:pt>
                <c:pt idx="2070">
                  <c:v>146.59625668449195</c:v>
                </c:pt>
                <c:pt idx="2071">
                  <c:v>141.76720142602497</c:v>
                </c:pt>
                <c:pt idx="2072">
                  <c:v>142.11871657754011</c:v>
                </c:pt>
                <c:pt idx="2073">
                  <c:v>139.67379679144386</c:v>
                </c:pt>
                <c:pt idx="2074">
                  <c:v>133.41176470588238</c:v>
                </c:pt>
                <c:pt idx="2075">
                  <c:v>126.65490196078431</c:v>
                </c:pt>
                <c:pt idx="2076">
                  <c:v>111.82014260249554</c:v>
                </c:pt>
                <c:pt idx="2077">
                  <c:v>105.64456327985741</c:v>
                </c:pt>
                <c:pt idx="2078">
                  <c:v>110.27540106951869</c:v>
                </c:pt>
                <c:pt idx="2079">
                  <c:v>118.31212121212123</c:v>
                </c:pt>
                <c:pt idx="2080">
                  <c:v>117.84260249554367</c:v>
                </c:pt>
                <c:pt idx="2081">
                  <c:v>122.64866310160428</c:v>
                </c:pt>
                <c:pt idx="2082">
                  <c:v>121.8156862745098</c:v>
                </c:pt>
                <c:pt idx="2083">
                  <c:v>117.44598930481284</c:v>
                </c:pt>
                <c:pt idx="2084">
                  <c:v>114.25918003565063</c:v>
                </c:pt>
                <c:pt idx="2085">
                  <c:v>114.94064171122994</c:v>
                </c:pt>
                <c:pt idx="2086">
                  <c:v>110.82406417112301</c:v>
                </c:pt>
                <c:pt idx="2087">
                  <c:v>115.73368983957221</c:v>
                </c:pt>
                <c:pt idx="2088">
                  <c:v>118.49875222816398</c:v>
                </c:pt>
                <c:pt idx="2089">
                  <c:v>119.90213903743317</c:v>
                </c:pt>
                <c:pt idx="2090">
                  <c:v>122.28181818181821</c:v>
                </c:pt>
                <c:pt idx="2091">
                  <c:v>119.81764705882351</c:v>
                </c:pt>
                <c:pt idx="2092">
                  <c:v>120.96506238859179</c:v>
                </c:pt>
                <c:pt idx="2093">
                  <c:v>119.80178253119431</c:v>
                </c:pt>
                <c:pt idx="2094">
                  <c:v>120.151871657754</c:v>
                </c:pt>
                <c:pt idx="2095">
                  <c:v>116.28787878787881</c:v>
                </c:pt>
                <c:pt idx="2096">
                  <c:v>115.84420677361855</c:v>
                </c:pt>
                <c:pt idx="2097">
                  <c:v>111.66987522281642</c:v>
                </c:pt>
                <c:pt idx="2098">
                  <c:v>105.61764705882352</c:v>
                </c:pt>
                <c:pt idx="2099">
                  <c:v>99.27611408199644</c:v>
                </c:pt>
                <c:pt idx="2100">
                  <c:v>97.397860962566853</c:v>
                </c:pt>
                <c:pt idx="2101">
                  <c:v>91.788770053475957</c:v>
                </c:pt>
                <c:pt idx="2102">
                  <c:v>77.723529411764702</c:v>
                </c:pt>
                <c:pt idx="2103">
                  <c:v>76.982352941176458</c:v>
                </c:pt>
                <c:pt idx="2104">
                  <c:v>75.526024955436725</c:v>
                </c:pt>
                <c:pt idx="2105">
                  <c:v>71.523529411764713</c:v>
                </c:pt>
                <c:pt idx="2106">
                  <c:v>58.842245989304814</c:v>
                </c:pt>
                <c:pt idx="2107">
                  <c:v>64.290374331550794</c:v>
                </c:pt>
                <c:pt idx="2108">
                  <c:v>69.57522281639929</c:v>
                </c:pt>
                <c:pt idx="2109">
                  <c:v>69.128877005347618</c:v>
                </c:pt>
                <c:pt idx="2110">
                  <c:v>59.58663101604278</c:v>
                </c:pt>
                <c:pt idx="2111">
                  <c:v>59.45258467023173</c:v>
                </c:pt>
                <c:pt idx="2112">
                  <c:v>57.366666666666639</c:v>
                </c:pt>
                <c:pt idx="2113">
                  <c:v>65.620855614973266</c:v>
                </c:pt>
                <c:pt idx="2114">
                  <c:v>81.210160427807494</c:v>
                </c:pt>
                <c:pt idx="2115">
                  <c:v>90.885026737967934</c:v>
                </c:pt>
                <c:pt idx="2116">
                  <c:v>93.366488413547245</c:v>
                </c:pt>
                <c:pt idx="2117">
                  <c:v>89.211408199643486</c:v>
                </c:pt>
                <c:pt idx="2118">
                  <c:v>90.318716577540116</c:v>
                </c:pt>
                <c:pt idx="2119">
                  <c:v>93.111764705882365</c:v>
                </c:pt>
                <c:pt idx="2120">
                  <c:v>101.72994652406419</c:v>
                </c:pt>
                <c:pt idx="2121">
                  <c:v>98.717647058823545</c:v>
                </c:pt>
                <c:pt idx="2122">
                  <c:v>98.399465240641703</c:v>
                </c:pt>
                <c:pt idx="2123">
                  <c:v>100</c:v>
                </c:pt>
                <c:pt idx="2124">
                  <c:v>91.132976827094467</c:v>
                </c:pt>
                <c:pt idx="2125">
                  <c:v>90.540285204991079</c:v>
                </c:pt>
                <c:pt idx="2126">
                  <c:v>90.563636363636363</c:v>
                </c:pt>
                <c:pt idx="2127">
                  <c:v>90.633689839572199</c:v>
                </c:pt>
                <c:pt idx="2128">
                  <c:v>90.715508021390391</c:v>
                </c:pt>
                <c:pt idx="2129">
                  <c:v>89.609803921568613</c:v>
                </c:pt>
                <c:pt idx="2130">
                  <c:v>90.829946524064155</c:v>
                </c:pt>
                <c:pt idx="2131">
                  <c:v>90.062923351158645</c:v>
                </c:pt>
                <c:pt idx="2132">
                  <c:v>90.263101604278091</c:v>
                </c:pt>
                <c:pt idx="2133">
                  <c:v>92.962388591800348</c:v>
                </c:pt>
                <c:pt idx="2134">
                  <c:v>98.212299465240633</c:v>
                </c:pt>
                <c:pt idx="2135">
                  <c:v>101.10303030303032</c:v>
                </c:pt>
                <c:pt idx="2136">
                  <c:v>105.76880570409982</c:v>
                </c:pt>
                <c:pt idx="2137">
                  <c:v>106.60909090909091</c:v>
                </c:pt>
                <c:pt idx="2138">
                  <c:v>105.81122994652408</c:v>
                </c:pt>
                <c:pt idx="2139">
                  <c:v>100.83030303030301</c:v>
                </c:pt>
                <c:pt idx="2140">
                  <c:v>102.31087344028519</c:v>
                </c:pt>
                <c:pt idx="2141">
                  <c:v>104.71336898395724</c:v>
                </c:pt>
                <c:pt idx="2142">
                  <c:v>104.16791443850265</c:v>
                </c:pt>
                <c:pt idx="2143">
                  <c:v>101.94135472370766</c:v>
                </c:pt>
                <c:pt idx="2144">
                  <c:v>97.985739750445632</c:v>
                </c:pt>
                <c:pt idx="2145">
                  <c:v>88.835294117647067</c:v>
                </c:pt>
                <c:pt idx="2146">
                  <c:v>91.746702317290556</c:v>
                </c:pt>
                <c:pt idx="2147">
                  <c:v>85.648306595365426</c:v>
                </c:pt>
                <c:pt idx="2148">
                  <c:v>80.263279857397507</c:v>
                </c:pt>
                <c:pt idx="2149">
                  <c:v>95.303208556149727</c:v>
                </c:pt>
                <c:pt idx="2150">
                  <c:v>111.09696969696968</c:v>
                </c:pt>
                <c:pt idx="2151">
                  <c:v>107.37860962566845</c:v>
                </c:pt>
                <c:pt idx="2152">
                  <c:v>104.61176470588236</c:v>
                </c:pt>
                <c:pt idx="2153">
                  <c:v>107.63155080213903</c:v>
                </c:pt>
                <c:pt idx="2154">
                  <c:v>98.623351158645292</c:v>
                </c:pt>
                <c:pt idx="2155">
                  <c:v>100.83493761140824</c:v>
                </c:pt>
                <c:pt idx="2156">
                  <c:v>104.81657754010696</c:v>
                </c:pt>
                <c:pt idx="2157">
                  <c:v>107.22673796791445</c:v>
                </c:pt>
                <c:pt idx="2158">
                  <c:v>104.33778966131908</c:v>
                </c:pt>
                <c:pt idx="2159">
                  <c:v>108.01639928698755</c:v>
                </c:pt>
                <c:pt idx="2160">
                  <c:v>111.33796791443849</c:v>
                </c:pt>
                <c:pt idx="2161">
                  <c:v>115.29411764705878</c:v>
                </c:pt>
                <c:pt idx="2162">
                  <c:v>115.94295900178253</c:v>
                </c:pt>
                <c:pt idx="2163">
                  <c:v>127.4588235294118</c:v>
                </c:pt>
                <c:pt idx="2164">
                  <c:v>126.27219251336898</c:v>
                </c:pt>
                <c:pt idx="2165">
                  <c:v>127.35614973262032</c:v>
                </c:pt>
                <c:pt idx="2166">
                  <c:v>134.95187165775403</c:v>
                </c:pt>
                <c:pt idx="2167">
                  <c:v>132.89875222816397</c:v>
                </c:pt>
                <c:pt idx="2168">
                  <c:v>132.76381461675581</c:v>
                </c:pt>
                <c:pt idx="2169">
                  <c:v>114.7294117647059</c:v>
                </c:pt>
                <c:pt idx="2170">
                  <c:v>126.70926916221033</c:v>
                </c:pt>
                <c:pt idx="2171">
                  <c:v>131.46417112299463</c:v>
                </c:pt>
                <c:pt idx="2172">
                  <c:v>135.87522281639932</c:v>
                </c:pt>
                <c:pt idx="2173">
                  <c:v>137.93208556149733</c:v>
                </c:pt>
                <c:pt idx="2174">
                  <c:v>141.26987522281638</c:v>
                </c:pt>
                <c:pt idx="2175">
                  <c:v>146.31818181818184</c:v>
                </c:pt>
                <c:pt idx="2176">
                  <c:v>154.27647058823524</c:v>
                </c:pt>
                <c:pt idx="2177">
                  <c:v>176.6010695187166</c:v>
                </c:pt>
                <c:pt idx="2178">
                  <c:v>191.00338680926913</c:v>
                </c:pt>
                <c:pt idx="2179">
                  <c:v>187.18502673796795</c:v>
                </c:pt>
                <c:pt idx="2180">
                  <c:v>175.88716577540106</c:v>
                </c:pt>
                <c:pt idx="2181">
                  <c:v>173.8803921568628</c:v>
                </c:pt>
                <c:pt idx="2182">
                  <c:v>141.15026737967915</c:v>
                </c:pt>
                <c:pt idx="2183">
                  <c:v>139.65472370766489</c:v>
                </c:pt>
                <c:pt idx="2184">
                  <c:v>142.58930481283423</c:v>
                </c:pt>
                <c:pt idx="2185">
                  <c:v>143.35882352941175</c:v>
                </c:pt>
                <c:pt idx="2186">
                  <c:v>134.0409982174688</c:v>
                </c:pt>
                <c:pt idx="2187">
                  <c:v>172.79625668449199</c:v>
                </c:pt>
                <c:pt idx="2188">
                  <c:v>165.93743315508024</c:v>
                </c:pt>
                <c:pt idx="2189">
                  <c:v>155.37843137254907</c:v>
                </c:pt>
                <c:pt idx="2190">
                  <c:v>156.4666666666667</c:v>
                </c:pt>
                <c:pt idx="2191">
                  <c:v>159.24331550802137</c:v>
                </c:pt>
                <c:pt idx="2192">
                  <c:v>166.27647058823527</c:v>
                </c:pt>
                <c:pt idx="2193">
                  <c:v>173.904991087344</c:v>
                </c:pt>
                <c:pt idx="2194">
                  <c:v>164.90570409982178</c:v>
                </c:pt>
                <c:pt idx="2195">
                  <c:v>152.5438502673797</c:v>
                </c:pt>
                <c:pt idx="2196">
                  <c:v>130.16007130124777</c:v>
                </c:pt>
                <c:pt idx="2197">
                  <c:v>130.12156862745098</c:v>
                </c:pt>
                <c:pt idx="2198">
                  <c:v>134.5559714795009</c:v>
                </c:pt>
                <c:pt idx="2199">
                  <c:v>131.78181818181818</c:v>
                </c:pt>
                <c:pt idx="2200">
                  <c:v>125.60926916221035</c:v>
                </c:pt>
                <c:pt idx="2201">
                  <c:v>124.87647058823532</c:v>
                </c:pt>
                <c:pt idx="2202">
                  <c:v>131.50802139037432</c:v>
                </c:pt>
                <c:pt idx="2203">
                  <c:v>133.524064171123</c:v>
                </c:pt>
                <c:pt idx="2204">
                  <c:v>133.55864527629231</c:v>
                </c:pt>
                <c:pt idx="2205">
                  <c:v>133.30998217468806</c:v>
                </c:pt>
                <c:pt idx="2206">
                  <c:v>136.96684491978607</c:v>
                </c:pt>
                <c:pt idx="2207">
                  <c:v>138.87058823529412</c:v>
                </c:pt>
                <c:pt idx="2208">
                  <c:v>144.69999999999999</c:v>
                </c:pt>
                <c:pt idx="2209">
                  <c:v>141.12148760330581</c:v>
                </c:pt>
                <c:pt idx="2210">
                  <c:v>147.43884297520663</c:v>
                </c:pt>
                <c:pt idx="2211">
                  <c:v>146.65206611570247</c:v>
                </c:pt>
                <c:pt idx="2212">
                  <c:v>146.04669421487606</c:v>
                </c:pt>
                <c:pt idx="2213">
                  <c:v>142.96115702479338</c:v>
                </c:pt>
                <c:pt idx="2214">
                  <c:v>135.69669421487603</c:v>
                </c:pt>
                <c:pt idx="2215">
                  <c:v>138.64793388429752</c:v>
                </c:pt>
                <c:pt idx="2216">
                  <c:v>143.53429752066111</c:v>
                </c:pt>
                <c:pt idx="2217">
                  <c:v>139.67190082644629</c:v>
                </c:pt>
                <c:pt idx="2218">
                  <c:v>140.33512396694218</c:v>
                </c:pt>
                <c:pt idx="2219">
                  <c:v>141.88760330578512</c:v>
                </c:pt>
                <c:pt idx="2220">
                  <c:v>137.62066115702478</c:v>
                </c:pt>
                <c:pt idx="2221">
                  <c:v>130.10826446280993</c:v>
                </c:pt>
                <c:pt idx="2222">
                  <c:v>126.05950413223137</c:v>
                </c:pt>
                <c:pt idx="2223">
                  <c:v>124.79421487603304</c:v>
                </c:pt>
                <c:pt idx="2224">
                  <c:v>126.59834710743803</c:v>
                </c:pt>
                <c:pt idx="2225">
                  <c:v>131.05454545454546</c:v>
                </c:pt>
                <c:pt idx="2226">
                  <c:v>133.17892561983473</c:v>
                </c:pt>
                <c:pt idx="2227">
                  <c:v>137.5099173553719</c:v>
                </c:pt>
                <c:pt idx="2228">
                  <c:v>130.14917355371898</c:v>
                </c:pt>
                <c:pt idx="2229">
                  <c:v>134.52975206611572</c:v>
                </c:pt>
                <c:pt idx="2230">
                  <c:v>128.97066115702481</c:v>
                </c:pt>
                <c:pt idx="2231">
                  <c:v>125.37685950413224</c:v>
                </c:pt>
                <c:pt idx="2232">
                  <c:v>123.0595041322314</c:v>
                </c:pt>
                <c:pt idx="2233">
                  <c:v>123.59090909090905</c:v>
                </c:pt>
                <c:pt idx="2234">
                  <c:v>126.99586776859502</c:v>
                </c:pt>
                <c:pt idx="2235">
                  <c:v>129.599173553719</c:v>
                </c:pt>
                <c:pt idx="2236">
                  <c:v>129.74297520661156</c:v>
                </c:pt>
                <c:pt idx="2237">
                  <c:v>127.84710743801652</c:v>
                </c:pt>
                <c:pt idx="2238">
                  <c:v>125.92066115702477</c:v>
                </c:pt>
                <c:pt idx="2239">
                  <c:v>121.92314049586778</c:v>
                </c:pt>
                <c:pt idx="2240">
                  <c:v>123.4619834710744</c:v>
                </c:pt>
                <c:pt idx="2241">
                  <c:v>128.15909090909091</c:v>
                </c:pt>
                <c:pt idx="2242">
                  <c:v>127.8818181818182</c:v>
                </c:pt>
                <c:pt idx="2243">
                  <c:v>120.22851239669424</c:v>
                </c:pt>
                <c:pt idx="2244">
                  <c:v>118.12479338842975</c:v>
                </c:pt>
                <c:pt idx="2245">
                  <c:v>114.94380165289256</c:v>
                </c:pt>
                <c:pt idx="2246">
                  <c:v>116.77685950413223</c:v>
                </c:pt>
                <c:pt idx="2247">
                  <c:v>113.88347107438015</c:v>
                </c:pt>
                <c:pt idx="2248">
                  <c:v>121.36280991735541</c:v>
                </c:pt>
                <c:pt idx="2249">
                  <c:v>120.37727272727273</c:v>
                </c:pt>
                <c:pt idx="2250">
                  <c:v>121.05206611570246</c:v>
                </c:pt>
                <c:pt idx="2251">
                  <c:v>119.31404958677686</c:v>
                </c:pt>
                <c:pt idx="2252">
                  <c:v>125.10330578512394</c:v>
                </c:pt>
                <c:pt idx="2253">
                  <c:v>126.6702479338843</c:v>
                </c:pt>
                <c:pt idx="2254">
                  <c:v>126.03636363636366</c:v>
                </c:pt>
                <c:pt idx="2255">
                  <c:v>127.18016528925621</c:v>
                </c:pt>
                <c:pt idx="2256">
                  <c:v>127.5710743801653</c:v>
                </c:pt>
                <c:pt idx="2257">
                  <c:v>121.14545454545454</c:v>
                </c:pt>
                <c:pt idx="2258">
                  <c:v>118.7504132231405</c:v>
                </c:pt>
                <c:pt idx="2259">
                  <c:v>119.03677685950414</c:v>
                </c:pt>
                <c:pt idx="2260">
                  <c:v>117.5</c:v>
                </c:pt>
                <c:pt idx="2261">
                  <c:v>114.80454545454548</c:v>
                </c:pt>
                <c:pt idx="2262">
                  <c:v>119.096694214876</c:v>
                </c:pt>
                <c:pt idx="2263">
                  <c:v>116.15413223140497</c:v>
                </c:pt>
                <c:pt idx="2264">
                  <c:v>120.58016528925616</c:v>
                </c:pt>
                <c:pt idx="2265">
                  <c:v>120.21818181818179</c:v>
                </c:pt>
                <c:pt idx="2266">
                  <c:v>119.197520661157</c:v>
                </c:pt>
                <c:pt idx="2267">
                  <c:v>113.64628099173552</c:v>
                </c:pt>
                <c:pt idx="2268">
                  <c:v>111.31735537190083</c:v>
                </c:pt>
                <c:pt idx="2269">
                  <c:v>116.12685950413227</c:v>
                </c:pt>
                <c:pt idx="2270">
                  <c:v>115.25702479338841</c:v>
                </c:pt>
                <c:pt idx="2271">
                  <c:v>111.85289256198345</c:v>
                </c:pt>
                <c:pt idx="2272">
                  <c:v>114.15454545454544</c:v>
                </c:pt>
                <c:pt idx="2273">
                  <c:v>117.43966942148759</c:v>
                </c:pt>
                <c:pt idx="2274">
                  <c:v>109.49090909090908</c:v>
                </c:pt>
                <c:pt idx="2275">
                  <c:v>107.27231404958678</c:v>
                </c:pt>
                <c:pt idx="2276">
                  <c:v>109.7314049586777</c:v>
                </c:pt>
                <c:pt idx="2277">
                  <c:v>107.19090909090909</c:v>
                </c:pt>
                <c:pt idx="2278">
                  <c:v>104.65826446280992</c:v>
                </c:pt>
                <c:pt idx="2279">
                  <c:v>101.71322314049588</c:v>
                </c:pt>
                <c:pt idx="2280">
                  <c:v>102.70661157024793</c:v>
                </c:pt>
                <c:pt idx="2281">
                  <c:v>101.96115702479341</c:v>
                </c:pt>
                <c:pt idx="2282">
                  <c:v>111.02231404958678</c:v>
                </c:pt>
                <c:pt idx="2283">
                  <c:v>109.04628099173551</c:v>
                </c:pt>
                <c:pt idx="2284">
                  <c:v>104.62644628099176</c:v>
                </c:pt>
                <c:pt idx="2285">
                  <c:v>103.81157024793391</c:v>
                </c:pt>
                <c:pt idx="2286">
                  <c:v>107.45206611570246</c:v>
                </c:pt>
                <c:pt idx="2287">
                  <c:v>107.99504132231408</c:v>
                </c:pt>
                <c:pt idx="2288">
                  <c:v>109.77438016528924</c:v>
                </c:pt>
                <c:pt idx="2289">
                  <c:v>108.92727272727275</c:v>
                </c:pt>
                <c:pt idx="2290">
                  <c:v>109.6785123966942</c:v>
                </c:pt>
                <c:pt idx="2291">
                  <c:v>108.15206611570247</c:v>
                </c:pt>
                <c:pt idx="2292">
                  <c:v>104.17685950413224</c:v>
                </c:pt>
                <c:pt idx="2293">
                  <c:v>102.12892561983472</c:v>
                </c:pt>
                <c:pt idx="2294">
                  <c:v>101.37314049586777</c:v>
                </c:pt>
                <c:pt idx="2295">
                  <c:v>100.56363636363638</c:v>
                </c:pt>
                <c:pt idx="2296">
                  <c:v>99.746694214876015</c:v>
                </c:pt>
                <c:pt idx="2297">
                  <c:v>97.843801652892552</c:v>
                </c:pt>
                <c:pt idx="2298">
                  <c:v>99.680991735537191</c:v>
                </c:pt>
                <c:pt idx="2299">
                  <c:v>97.351239669421503</c:v>
                </c:pt>
                <c:pt idx="2300">
                  <c:v>86.919008264462818</c:v>
                </c:pt>
                <c:pt idx="2301">
                  <c:v>91.657024793388402</c:v>
                </c:pt>
                <c:pt idx="2302">
                  <c:v>96.711570247933892</c:v>
                </c:pt>
                <c:pt idx="2303">
                  <c:v>97.49917355371899</c:v>
                </c:pt>
                <c:pt idx="2304">
                  <c:v>94.797520661157023</c:v>
                </c:pt>
                <c:pt idx="2305">
                  <c:v>94.890909090909105</c:v>
                </c:pt>
                <c:pt idx="2306">
                  <c:v>99.451652892561981</c:v>
                </c:pt>
                <c:pt idx="2307">
                  <c:v>99.24628099173556</c:v>
                </c:pt>
                <c:pt idx="2308">
                  <c:v>98.160743801652885</c:v>
                </c:pt>
                <c:pt idx="2309">
                  <c:v>98.204958677685923</c:v>
                </c:pt>
                <c:pt idx="2310">
                  <c:v>101.32272727272729</c:v>
                </c:pt>
                <c:pt idx="2311">
                  <c:v>106.17024793388428</c:v>
                </c:pt>
                <c:pt idx="2312">
                  <c:v>108.98636363636361</c:v>
                </c:pt>
                <c:pt idx="2313">
                  <c:v>103.2462809917355</c:v>
                </c:pt>
                <c:pt idx="2314">
                  <c:v>102.99380165289254</c:v>
                </c:pt>
                <c:pt idx="2315">
                  <c:v>102.85041322314049</c:v>
                </c:pt>
                <c:pt idx="2316">
                  <c:v>102.88842975206613</c:v>
                </c:pt>
                <c:pt idx="2317">
                  <c:v>137.43140495867763</c:v>
                </c:pt>
                <c:pt idx="2318">
                  <c:v>101.92933884297518</c:v>
                </c:pt>
                <c:pt idx="2319">
                  <c:v>102.60661157024794</c:v>
                </c:pt>
                <c:pt idx="2320">
                  <c:v>102.60661157024794</c:v>
                </c:pt>
                <c:pt idx="2321">
                  <c:v>102.64876033057851</c:v>
                </c:pt>
                <c:pt idx="2322">
                  <c:v>104.5925619834711</c:v>
                </c:pt>
                <c:pt idx="2323">
                  <c:v>103.73595041322315</c:v>
                </c:pt>
                <c:pt idx="2324">
                  <c:v>104.02561983471077</c:v>
                </c:pt>
                <c:pt idx="2325">
                  <c:v>102.31652892561983</c:v>
                </c:pt>
                <c:pt idx="2326">
                  <c:v>104.30413223140495</c:v>
                </c:pt>
                <c:pt idx="2327">
                  <c:v>105.64132231404957</c:v>
                </c:pt>
                <c:pt idx="2328">
                  <c:v>109.70495867768594</c:v>
                </c:pt>
                <c:pt idx="2329">
                  <c:v>102.76363636363638</c:v>
                </c:pt>
                <c:pt idx="2330">
                  <c:v>102.78677685950414</c:v>
                </c:pt>
                <c:pt idx="2331">
                  <c:v>106.74338842975203</c:v>
                </c:pt>
                <c:pt idx="2332">
                  <c:v>108.72314049586777</c:v>
                </c:pt>
                <c:pt idx="2333">
                  <c:v>109.95041322314049</c:v>
                </c:pt>
                <c:pt idx="2334">
                  <c:v>122.70413223140498</c:v>
                </c:pt>
                <c:pt idx="2335">
                  <c:v>120.80413223140498</c:v>
                </c:pt>
                <c:pt idx="2336">
                  <c:v>114.16363636363634</c:v>
                </c:pt>
                <c:pt idx="2337">
                  <c:v>118.33471074380166</c:v>
                </c:pt>
                <c:pt idx="2338">
                  <c:v>117.54297520661156</c:v>
                </c:pt>
                <c:pt idx="2339">
                  <c:v>117.45578512396695</c:v>
                </c:pt>
                <c:pt idx="2340">
                  <c:v>118.91404958677685</c:v>
                </c:pt>
                <c:pt idx="2341">
                  <c:v>121.85991735537191</c:v>
                </c:pt>
                <c:pt idx="2342">
                  <c:v>119.83719008264463</c:v>
                </c:pt>
                <c:pt idx="2343">
                  <c:v>123.62231404958679</c:v>
                </c:pt>
                <c:pt idx="2344">
                  <c:v>125.24545454545455</c:v>
                </c:pt>
                <c:pt idx="2345">
                  <c:v>125.34958677685951</c:v>
                </c:pt>
                <c:pt idx="2346">
                  <c:v>128.09545454545452</c:v>
                </c:pt>
                <c:pt idx="2347">
                  <c:v>145.67355371900828</c:v>
                </c:pt>
                <c:pt idx="2348">
                  <c:v>146.70000000000002</c:v>
                </c:pt>
                <c:pt idx="2349">
                  <c:v>139.79999999999998</c:v>
                </c:pt>
                <c:pt idx="2350">
                  <c:v>150.19999999999999</c:v>
                </c:pt>
                <c:pt idx="2351">
                  <c:v>140.9</c:v>
                </c:pt>
                <c:pt idx="2352">
                  <c:v>140.29999999999998</c:v>
                </c:pt>
                <c:pt idx="2353">
                  <c:v>138.4</c:v>
                </c:pt>
                <c:pt idx="2354">
                  <c:v>138.10000000000002</c:v>
                </c:pt>
                <c:pt idx="2355">
                  <c:v>143.20000000000002</c:v>
                </c:pt>
                <c:pt idx="2356">
                  <c:v>141.80000000000001</c:v>
                </c:pt>
                <c:pt idx="2357">
                  <c:v>144.40000000000003</c:v>
                </c:pt>
                <c:pt idx="2358">
                  <c:v>140.70000000000002</c:v>
                </c:pt>
                <c:pt idx="2359">
                  <c:v>143.56115702479337</c:v>
                </c:pt>
                <c:pt idx="2360">
                  <c:v>151.18140495867772</c:v>
                </c:pt>
                <c:pt idx="2361">
                  <c:v>149.28760330578513</c:v>
                </c:pt>
                <c:pt idx="2362">
                  <c:v>149.76280991735538</c:v>
                </c:pt>
                <c:pt idx="2363">
                  <c:v>140.43388429752065</c:v>
                </c:pt>
                <c:pt idx="2364">
                  <c:v>135.24628099173555</c:v>
                </c:pt>
                <c:pt idx="2365">
                  <c:v>130.60206611570248</c:v>
                </c:pt>
                <c:pt idx="2366">
                  <c:v>132.23636363636362</c:v>
                </c:pt>
                <c:pt idx="2367">
                  <c:v>126.09297520661157</c:v>
                </c:pt>
                <c:pt idx="2368">
                  <c:v>116.72396694214875</c:v>
                </c:pt>
                <c:pt idx="2369">
                  <c:v>115.64628099173554</c:v>
                </c:pt>
                <c:pt idx="2370">
                  <c:v>114.09999999999998</c:v>
                </c:pt>
                <c:pt idx="2371">
                  <c:v>112.4</c:v>
                </c:pt>
                <c:pt idx="2372">
                  <c:v>112.89999999999999</c:v>
                </c:pt>
                <c:pt idx="2373">
                  <c:v>118</c:v>
                </c:pt>
                <c:pt idx="2374">
                  <c:v>117.79999999999998</c:v>
                </c:pt>
                <c:pt idx="2375">
                  <c:v>112.56942148760331</c:v>
                </c:pt>
                <c:pt idx="2376">
                  <c:v>113.92561983471074</c:v>
                </c:pt>
                <c:pt idx="2377">
                  <c:v>115.43223140495867</c:v>
                </c:pt>
                <c:pt idx="2378">
                  <c:v>120.44380165289256</c:v>
                </c:pt>
                <c:pt idx="2379">
                  <c:v>120.46983471074381</c:v>
                </c:pt>
                <c:pt idx="2380">
                  <c:v>123.17107438016528</c:v>
                </c:pt>
                <c:pt idx="2381">
                  <c:v>120.3</c:v>
                </c:pt>
                <c:pt idx="2382">
                  <c:v>118.7</c:v>
                </c:pt>
                <c:pt idx="2383">
                  <c:v>117.54482421874989</c:v>
                </c:pt>
                <c:pt idx="2384">
                  <c:v>120.74195968120017</c:v>
                </c:pt>
                <c:pt idx="2385">
                  <c:v>124.97557430848573</c:v>
                </c:pt>
                <c:pt idx="2386">
                  <c:v>123.21153305203939</c:v>
                </c:pt>
                <c:pt idx="2387">
                  <c:v>131.03333333333333</c:v>
                </c:pt>
                <c:pt idx="2388">
                  <c:v>128.67229254571026</c:v>
                </c:pt>
                <c:pt idx="2389">
                  <c:v>122.7749179559306</c:v>
                </c:pt>
                <c:pt idx="2390">
                  <c:v>118.00843881856539</c:v>
                </c:pt>
                <c:pt idx="2391">
                  <c:v>119.32784810126584</c:v>
                </c:pt>
                <c:pt idx="2392">
                  <c:v>118.06338490389125</c:v>
                </c:pt>
                <c:pt idx="2393">
                  <c:v>122.19507735583683</c:v>
                </c:pt>
                <c:pt idx="2394">
                  <c:v>120.29324894514771</c:v>
                </c:pt>
                <c:pt idx="2395">
                  <c:v>123.53244256915143</c:v>
                </c:pt>
                <c:pt idx="2396">
                  <c:v>123.371354899203</c:v>
                </c:pt>
                <c:pt idx="2397">
                  <c:v>120</c:v>
                </c:pt>
                <c:pt idx="2398">
                  <c:v>119.96118143459915</c:v>
                </c:pt>
                <c:pt idx="2399">
                  <c:v>119.57083919362401</c:v>
                </c:pt>
                <c:pt idx="2400">
                  <c:v>116.0117674636662</c:v>
                </c:pt>
                <c:pt idx="2401">
                  <c:v>114.95569620253164</c:v>
                </c:pt>
                <c:pt idx="2402">
                  <c:v>115.67140178152836</c:v>
                </c:pt>
                <c:pt idx="2403">
                  <c:v>112.92376933895922</c:v>
                </c:pt>
                <c:pt idx="2404">
                  <c:v>121</c:v>
                </c:pt>
                <c:pt idx="2405">
                  <c:v>121.6</c:v>
                </c:pt>
                <c:pt idx="2406">
                  <c:v>126.9</c:v>
                </c:pt>
                <c:pt idx="2407">
                  <c:v>128.6</c:v>
                </c:pt>
                <c:pt idx="2408">
                  <c:v>125.34022503516174</c:v>
                </c:pt>
                <c:pt idx="2409">
                  <c:v>124.314580403188</c:v>
                </c:pt>
                <c:pt idx="2410">
                  <c:v>132.61476793248946</c:v>
                </c:pt>
                <c:pt idx="2411">
                  <c:v>134.86694796061886</c:v>
                </c:pt>
                <c:pt idx="2412">
                  <c:v>137.50590717299576</c:v>
                </c:pt>
                <c:pt idx="2413">
                  <c:v>135.6088138771683</c:v>
                </c:pt>
                <c:pt idx="2414">
                  <c:v>135.34158462259728</c:v>
                </c:pt>
                <c:pt idx="2415">
                  <c:v>133.66976090014066</c:v>
                </c:pt>
                <c:pt idx="2416">
                  <c:v>132.80684481950303</c:v>
                </c:pt>
                <c:pt idx="2417">
                  <c:v>132.44636661978436</c:v>
                </c:pt>
                <c:pt idx="2418">
                  <c:v>131.70890764181905</c:v>
                </c:pt>
                <c:pt idx="2419">
                  <c:v>131.98987341772155</c:v>
                </c:pt>
                <c:pt idx="2420">
                  <c:v>131.37974683544306</c:v>
                </c:pt>
                <c:pt idx="2421">
                  <c:v>131.43230192217533</c:v>
                </c:pt>
                <c:pt idx="2422">
                  <c:v>132.22137834036567</c:v>
                </c:pt>
                <c:pt idx="2423">
                  <c:v>125.7928270042194</c:v>
                </c:pt>
                <c:pt idx="2424">
                  <c:v>127.84500703234879</c:v>
                </c:pt>
                <c:pt idx="2425">
                  <c:v>129.4762306610408</c:v>
                </c:pt>
                <c:pt idx="2426">
                  <c:v>130.89864041256448</c:v>
                </c:pt>
                <c:pt idx="2427">
                  <c:v>133.53544303797469</c:v>
                </c:pt>
                <c:pt idx="2428">
                  <c:v>133.07735583684953</c:v>
                </c:pt>
                <c:pt idx="2429">
                  <c:v>134.27416783872482</c:v>
                </c:pt>
                <c:pt idx="2430">
                  <c:v>132.24753867791841</c:v>
                </c:pt>
                <c:pt idx="2431">
                  <c:v>131.02883263009844</c:v>
                </c:pt>
                <c:pt idx="2432">
                  <c:v>133.6300515705579</c:v>
                </c:pt>
                <c:pt idx="2433">
                  <c:v>135.67097984060007</c:v>
                </c:pt>
                <c:pt idx="2434">
                  <c:v>141.6152367557431</c:v>
                </c:pt>
                <c:pt idx="2435">
                  <c:v>142.71561181434598</c:v>
                </c:pt>
                <c:pt idx="2436">
                  <c:v>147.86230661040787</c:v>
                </c:pt>
                <c:pt idx="2437">
                  <c:v>140.65007032348808</c:v>
                </c:pt>
                <c:pt idx="2438">
                  <c:v>131.36788560712611</c:v>
                </c:pt>
                <c:pt idx="2439">
                  <c:v>130.22151898734174</c:v>
                </c:pt>
                <c:pt idx="2440">
                  <c:v>125.99878105954055</c:v>
                </c:pt>
                <c:pt idx="2441">
                  <c:v>120.87210501640881</c:v>
                </c:pt>
                <c:pt idx="2442">
                  <c:v>142.52278481012655</c:v>
                </c:pt>
                <c:pt idx="2443">
                  <c:v>144.86962025316456</c:v>
                </c:pt>
                <c:pt idx="2444">
                  <c:v>134.25593061415844</c:v>
                </c:pt>
                <c:pt idx="2445">
                  <c:v>130.88307548054385</c:v>
                </c:pt>
                <c:pt idx="2446">
                  <c:v>126.98059071729956</c:v>
                </c:pt>
                <c:pt idx="2447">
                  <c:v>120.73281762775433</c:v>
                </c:pt>
                <c:pt idx="2448">
                  <c:v>121.91875293014532</c:v>
                </c:pt>
                <c:pt idx="2449">
                  <c:v>127.83061415846227</c:v>
                </c:pt>
                <c:pt idx="2450">
                  <c:v>124.46793248945147</c:v>
                </c:pt>
                <c:pt idx="2451">
                  <c:v>119.80131270511018</c:v>
                </c:pt>
                <c:pt idx="2452">
                  <c:v>119.08776371308015</c:v>
                </c:pt>
                <c:pt idx="2453">
                  <c:v>116.00792311298639</c:v>
                </c:pt>
                <c:pt idx="2454">
                  <c:v>109.94050632911392</c:v>
                </c:pt>
                <c:pt idx="2455">
                  <c:v>105.56835443037974</c:v>
                </c:pt>
                <c:pt idx="2456">
                  <c:v>99.544960150023456</c:v>
                </c:pt>
                <c:pt idx="2457">
                  <c:v>91.012658227848092</c:v>
                </c:pt>
                <c:pt idx="2458">
                  <c:v>87.600000000000009</c:v>
                </c:pt>
                <c:pt idx="2459">
                  <c:v>88</c:v>
                </c:pt>
                <c:pt idx="2460">
                  <c:v>87.100000000000009</c:v>
                </c:pt>
                <c:pt idx="2461">
                  <c:v>88.699999999999989</c:v>
                </c:pt>
                <c:pt idx="2462">
                  <c:v>90</c:v>
                </c:pt>
                <c:pt idx="2463">
                  <c:v>92.964275668073142</c:v>
                </c:pt>
                <c:pt idx="2464">
                  <c:v>93.450023441162685</c:v>
                </c:pt>
                <c:pt idx="2465">
                  <c:v>99.062447257383965</c:v>
                </c:pt>
                <c:pt idx="2466">
                  <c:v>99.418846694796059</c:v>
                </c:pt>
                <c:pt idx="2467">
                  <c:v>102.83666197843414</c:v>
                </c:pt>
                <c:pt idx="2468">
                  <c:v>101.10009376465072</c:v>
                </c:pt>
                <c:pt idx="2469">
                  <c:v>99.443225503984991</c:v>
                </c:pt>
                <c:pt idx="2470">
                  <c:v>99.477215189873419</c:v>
                </c:pt>
                <c:pt idx="2471">
                  <c:v>102.24036568213783</c:v>
                </c:pt>
                <c:pt idx="2472">
                  <c:v>99.233380215658698</c:v>
                </c:pt>
                <c:pt idx="2473">
                  <c:v>98.026582278481015</c:v>
                </c:pt>
                <c:pt idx="2474">
                  <c:v>97.173839662447264</c:v>
                </c:pt>
                <c:pt idx="2475">
                  <c:v>95.622503516174419</c:v>
                </c:pt>
                <c:pt idx="2476">
                  <c:v>92.304313173933437</c:v>
                </c:pt>
                <c:pt idx="2477">
                  <c:v>92.872995780590713</c:v>
                </c:pt>
                <c:pt idx="2478">
                  <c:v>89.605063291139231</c:v>
                </c:pt>
                <c:pt idx="2479">
                  <c:v>88.502109704641356</c:v>
                </c:pt>
                <c:pt idx="2480">
                  <c:v>85.907876230661046</c:v>
                </c:pt>
                <c:pt idx="2481">
                  <c:v>85.104781997187047</c:v>
                </c:pt>
                <c:pt idx="2482">
                  <c:v>82.429535864978916</c:v>
                </c:pt>
                <c:pt idx="2483">
                  <c:v>85.240834505391462</c:v>
                </c:pt>
                <c:pt idx="2484">
                  <c:v>87.890107829348338</c:v>
                </c:pt>
                <c:pt idx="2485">
                  <c:v>88.377637130801702</c:v>
                </c:pt>
                <c:pt idx="2486">
                  <c:v>85.301125175808735</c:v>
                </c:pt>
                <c:pt idx="2487">
                  <c:v>86.016408813877149</c:v>
                </c:pt>
                <c:pt idx="2488">
                  <c:v>93.216643225504001</c:v>
                </c:pt>
                <c:pt idx="2489">
                  <c:v>92.619409282700403</c:v>
                </c:pt>
                <c:pt idx="2490">
                  <c:v>90.279606188466943</c:v>
                </c:pt>
                <c:pt idx="2491">
                  <c:v>90.30857946554147</c:v>
                </c:pt>
                <c:pt idx="2492">
                  <c:v>86.674964838255974</c:v>
                </c:pt>
                <c:pt idx="2493">
                  <c:v>86.20886075949366</c:v>
                </c:pt>
                <c:pt idx="2494">
                  <c:v>90.339240506329119</c:v>
                </c:pt>
                <c:pt idx="2495">
                  <c:v>89.184341303328651</c:v>
                </c:pt>
                <c:pt idx="2496">
                  <c:v>84.729629629629628</c:v>
                </c:pt>
                <c:pt idx="2497">
                  <c:v>79.754008438818559</c:v>
                </c:pt>
                <c:pt idx="2498">
                  <c:v>80.48860759493671</c:v>
                </c:pt>
                <c:pt idx="2499">
                  <c:v>81.812376933895919</c:v>
                </c:pt>
                <c:pt idx="2500">
                  <c:v>84.128363806844817</c:v>
                </c:pt>
                <c:pt idx="2501">
                  <c:v>82.59831223628693</c:v>
                </c:pt>
                <c:pt idx="2502">
                  <c:v>83.751992498827931</c:v>
                </c:pt>
                <c:pt idx="2503">
                  <c:v>83.348101265822791</c:v>
                </c:pt>
                <c:pt idx="2504">
                  <c:v>84.199296765119541</c:v>
                </c:pt>
                <c:pt idx="2505">
                  <c:v>82.3476793248945</c:v>
                </c:pt>
                <c:pt idx="2506">
                  <c:v>86.647866854195968</c:v>
                </c:pt>
                <c:pt idx="2507">
                  <c:v>85.912564463197384</c:v>
                </c:pt>
                <c:pt idx="2508">
                  <c:v>81.119127988748247</c:v>
                </c:pt>
                <c:pt idx="2509">
                  <c:v>81.78593530239101</c:v>
                </c:pt>
                <c:pt idx="2510">
                  <c:v>81.824003750586016</c:v>
                </c:pt>
                <c:pt idx="2511">
                  <c:v>78.621190811064224</c:v>
                </c:pt>
                <c:pt idx="2512">
                  <c:v>78.310548523206748</c:v>
                </c:pt>
                <c:pt idx="2513">
                  <c:v>75.922503516174416</c:v>
                </c:pt>
                <c:pt idx="2514">
                  <c:v>74.815752461322077</c:v>
                </c:pt>
                <c:pt idx="2515">
                  <c:v>68.502390998593526</c:v>
                </c:pt>
                <c:pt idx="2516">
                  <c:v>68.819831223628697</c:v>
                </c:pt>
                <c:pt idx="2517">
                  <c:v>65.821284575714955</c:v>
                </c:pt>
                <c:pt idx="2518">
                  <c:v>62.363244256915159</c:v>
                </c:pt>
                <c:pt idx="2519">
                  <c:v>63.757759024847623</c:v>
                </c:pt>
                <c:pt idx="2520">
                  <c:v>59.616877637130791</c:v>
                </c:pt>
                <c:pt idx="2521">
                  <c:v>58.79184247538678</c:v>
                </c:pt>
                <c:pt idx="2522">
                  <c:v>54.96629160806377</c:v>
                </c:pt>
                <c:pt idx="2523">
                  <c:v>56.552320675105491</c:v>
                </c:pt>
                <c:pt idx="2524">
                  <c:v>62.443881856540095</c:v>
                </c:pt>
                <c:pt idx="2525">
                  <c:v>62.647022972339421</c:v>
                </c:pt>
                <c:pt idx="2526">
                  <c:v>65.204031879981244</c:v>
                </c:pt>
                <c:pt idx="2527">
                  <c:v>66.233052039381164</c:v>
                </c:pt>
                <c:pt idx="2528">
                  <c:v>64.962728551336156</c:v>
                </c:pt>
                <c:pt idx="2529">
                  <c:v>66.597187060478205</c:v>
                </c:pt>
                <c:pt idx="2530">
                  <c:v>70.458227848101274</c:v>
                </c:pt>
                <c:pt idx="2531">
                  <c:v>65.050632911392398</c:v>
                </c:pt>
                <c:pt idx="2532">
                  <c:v>66.143272386310372</c:v>
                </c:pt>
                <c:pt idx="2533">
                  <c:v>66.586497890295362</c:v>
                </c:pt>
                <c:pt idx="2534">
                  <c:v>66.495921237693381</c:v>
                </c:pt>
                <c:pt idx="2535">
                  <c:v>71.467885607126107</c:v>
                </c:pt>
                <c:pt idx="2536">
                  <c:v>69.44050632911393</c:v>
                </c:pt>
                <c:pt idx="2537">
                  <c:v>70.392545710267242</c:v>
                </c:pt>
                <c:pt idx="2538">
                  <c:v>67.250210970464138</c:v>
                </c:pt>
                <c:pt idx="2539">
                  <c:v>65.944022503516194</c:v>
                </c:pt>
                <c:pt idx="2540">
                  <c:v>64.692405063291133</c:v>
                </c:pt>
                <c:pt idx="2541">
                  <c:v>67.060243788091881</c:v>
                </c:pt>
                <c:pt idx="2542">
                  <c:v>75.108579465541482</c:v>
                </c:pt>
                <c:pt idx="2543">
                  <c:v>81.065729020159409</c:v>
                </c:pt>
                <c:pt idx="2544">
                  <c:v>77.916033755274256</c:v>
                </c:pt>
                <c:pt idx="2545">
                  <c:v>80.492264416315038</c:v>
                </c:pt>
                <c:pt idx="2546">
                  <c:v>83.841350210970475</c:v>
                </c:pt>
                <c:pt idx="2547">
                  <c:v>90.266526019690559</c:v>
                </c:pt>
                <c:pt idx="2548">
                  <c:v>88.949789029535879</c:v>
                </c:pt>
                <c:pt idx="2549">
                  <c:v>90.99924988279416</c:v>
                </c:pt>
                <c:pt idx="2550">
                  <c:v>88.818706047819958</c:v>
                </c:pt>
                <c:pt idx="2551">
                  <c:v>86.386075949367111</c:v>
                </c:pt>
                <c:pt idx="2552">
                  <c:v>87.602015939990622</c:v>
                </c:pt>
                <c:pt idx="2553">
                  <c:v>89.91608063759962</c:v>
                </c:pt>
                <c:pt idx="2554">
                  <c:v>82.94486638537272</c:v>
                </c:pt>
                <c:pt idx="2555">
                  <c:v>84.103938115330507</c:v>
                </c:pt>
                <c:pt idx="2556">
                  <c:v>76.002156586966706</c:v>
                </c:pt>
                <c:pt idx="2557">
                  <c:v>89.802015939990639</c:v>
                </c:pt>
                <c:pt idx="2558">
                  <c:v>88.642991092358216</c:v>
                </c:pt>
                <c:pt idx="2559">
                  <c:v>78.230239099859361</c:v>
                </c:pt>
                <c:pt idx="2560">
                  <c:v>75.733427097984062</c:v>
                </c:pt>
                <c:pt idx="2561">
                  <c:v>70.43398968588842</c:v>
                </c:pt>
                <c:pt idx="2562">
                  <c:v>71.194233473980304</c:v>
                </c:pt>
                <c:pt idx="2563">
                  <c:v>68.505907172995762</c:v>
                </c:pt>
                <c:pt idx="2564">
                  <c:v>72.319456165025784</c:v>
                </c:pt>
                <c:pt idx="2565">
                  <c:v>77.333661509610863</c:v>
                </c:pt>
                <c:pt idx="2566">
                  <c:v>65.260759493670889</c:v>
                </c:pt>
                <c:pt idx="2567">
                  <c:v>65.709470229723379</c:v>
                </c:pt>
                <c:pt idx="2568">
                  <c:v>72.482606657290205</c:v>
                </c:pt>
                <c:pt idx="2569">
                  <c:v>70.661462728551328</c:v>
                </c:pt>
                <c:pt idx="2570">
                  <c:v>71.848523206751068</c:v>
                </c:pt>
                <c:pt idx="2571">
                  <c:v>71.826394749179556</c:v>
                </c:pt>
                <c:pt idx="2572">
                  <c:v>71.120159399906228</c:v>
                </c:pt>
                <c:pt idx="2573">
                  <c:v>74.77482419127989</c:v>
                </c:pt>
                <c:pt idx="2574">
                  <c:v>74.058977965307065</c:v>
                </c:pt>
                <c:pt idx="2575">
                  <c:v>75.868448195030481</c:v>
                </c:pt>
                <c:pt idx="2576">
                  <c:v>74.272151898734165</c:v>
                </c:pt>
                <c:pt idx="2577">
                  <c:v>74.806938584153784</c:v>
                </c:pt>
                <c:pt idx="2578">
                  <c:v>71.376793248945148</c:v>
                </c:pt>
                <c:pt idx="2579">
                  <c:v>71.595780590717297</c:v>
                </c:pt>
                <c:pt idx="2580">
                  <c:v>74.169807782466009</c:v>
                </c:pt>
                <c:pt idx="2581">
                  <c:v>75.104641350210983</c:v>
                </c:pt>
                <c:pt idx="2582">
                  <c:v>81.354610526315795</c:v>
                </c:pt>
                <c:pt idx="2583">
                  <c:v>81.317221052631581</c:v>
                </c:pt>
                <c:pt idx="2584">
                  <c:v>75.870989473684205</c:v>
                </c:pt>
                <c:pt idx="2585">
                  <c:v>75.949094736842113</c:v>
                </c:pt>
                <c:pt idx="2586">
                  <c:v>74.728421052631589</c:v>
                </c:pt>
                <c:pt idx="2587">
                  <c:v>83.985347368421046</c:v>
                </c:pt>
                <c:pt idx="2588">
                  <c:v>87.176252631578947</c:v>
                </c:pt>
                <c:pt idx="2589">
                  <c:v>86.013052631578944</c:v>
                </c:pt>
                <c:pt idx="2590">
                  <c:v>85.971284210526306</c:v>
                </c:pt>
                <c:pt idx="2591">
                  <c:v>80.6584</c:v>
                </c:pt>
                <c:pt idx="2592">
                  <c:v>85.568210526315809</c:v>
                </c:pt>
                <c:pt idx="2593">
                  <c:v>94.71683501683502</c:v>
                </c:pt>
                <c:pt idx="2594">
                  <c:v>90.756565656565641</c:v>
                </c:pt>
                <c:pt idx="2595">
                  <c:v>93.934343434343461</c:v>
                </c:pt>
                <c:pt idx="2596">
                  <c:v>98.361111111111086</c:v>
                </c:pt>
                <c:pt idx="2597">
                  <c:v>103.459595959596</c:v>
                </c:pt>
                <c:pt idx="2598">
                  <c:v>104.98956228956229</c:v>
                </c:pt>
                <c:pt idx="2599">
                  <c:v>102.95959595959593</c:v>
                </c:pt>
                <c:pt idx="2600">
                  <c:v>103.88350168350171</c:v>
                </c:pt>
                <c:pt idx="2601">
                  <c:v>105.27558922558924</c:v>
                </c:pt>
                <c:pt idx="2602">
                  <c:v>109.48619528619527</c:v>
                </c:pt>
                <c:pt idx="2603">
                  <c:v>112.13484848484848</c:v>
                </c:pt>
                <c:pt idx="2604">
                  <c:v>116.58888888888889</c:v>
                </c:pt>
                <c:pt idx="2605">
                  <c:v>116.3740740740741</c:v>
                </c:pt>
                <c:pt idx="2606">
                  <c:v>114.46565656565656</c:v>
                </c:pt>
                <c:pt idx="2607">
                  <c:v>113.48181818181818</c:v>
                </c:pt>
                <c:pt idx="2608">
                  <c:v>109.69629629629628</c:v>
                </c:pt>
                <c:pt idx="2609">
                  <c:v>108.06481481481482</c:v>
                </c:pt>
                <c:pt idx="2610">
                  <c:v>108.3878787878788</c:v>
                </c:pt>
                <c:pt idx="2611">
                  <c:v>110.99629629629631</c:v>
                </c:pt>
                <c:pt idx="2612">
                  <c:v>110.92289562289564</c:v>
                </c:pt>
                <c:pt idx="2613">
                  <c:v>112.81683501683503</c:v>
                </c:pt>
                <c:pt idx="2614">
                  <c:v>114.66060606060604</c:v>
                </c:pt>
                <c:pt idx="2615">
                  <c:v>117.9131313131313</c:v>
                </c:pt>
                <c:pt idx="2616">
                  <c:v>120.24646464646466</c:v>
                </c:pt>
                <c:pt idx="2617">
                  <c:v>118.7175084175084</c:v>
                </c:pt>
                <c:pt idx="2618">
                  <c:v>124.19259259259256</c:v>
                </c:pt>
                <c:pt idx="2619">
                  <c:v>124.35808080808081</c:v>
                </c:pt>
                <c:pt idx="2620">
                  <c:v>117.04680134680137</c:v>
                </c:pt>
                <c:pt idx="2621">
                  <c:v>109.43265993265994</c:v>
                </c:pt>
                <c:pt idx="2622">
                  <c:v>110.20707070707073</c:v>
                </c:pt>
                <c:pt idx="2623">
                  <c:v>107.76010101010102</c:v>
                </c:pt>
                <c:pt idx="2624">
                  <c:v>103.40269360269357</c:v>
                </c:pt>
                <c:pt idx="2625">
                  <c:v>103.22037037037035</c:v>
                </c:pt>
                <c:pt idx="2626">
                  <c:v>100.7909090909091</c:v>
                </c:pt>
                <c:pt idx="2627">
                  <c:v>99.616666666666632</c:v>
                </c:pt>
                <c:pt idx="2628">
                  <c:v>104.88754208754207</c:v>
                </c:pt>
                <c:pt idx="2629">
                  <c:v>108.36952861952864</c:v>
                </c:pt>
                <c:pt idx="2630">
                  <c:v>104.54141414141412</c:v>
                </c:pt>
                <c:pt idx="2631">
                  <c:v>104.43872053872053</c:v>
                </c:pt>
                <c:pt idx="2632">
                  <c:v>104.2161616161616</c:v>
                </c:pt>
                <c:pt idx="2633">
                  <c:v>102.90538720538716</c:v>
                </c:pt>
                <c:pt idx="2634">
                  <c:v>107.69999999999999</c:v>
                </c:pt>
                <c:pt idx="2635">
                  <c:v>105.42245929253227</c:v>
                </c:pt>
                <c:pt idx="2636">
                  <c:v>105.94413250982595</c:v>
                </c:pt>
                <c:pt idx="2637">
                  <c:v>104.11285794497473</c:v>
                </c:pt>
                <c:pt idx="2638">
                  <c:v>105.33644020213364</c:v>
                </c:pt>
                <c:pt idx="2639">
                  <c:v>107.8599663110612</c:v>
                </c:pt>
                <c:pt idx="2640">
                  <c:v>107.97832678270636</c:v>
                </c:pt>
                <c:pt idx="2641">
                  <c:v>107.98057271195958</c:v>
                </c:pt>
                <c:pt idx="2642">
                  <c:v>110.05075800112296</c:v>
                </c:pt>
                <c:pt idx="2643">
                  <c:v>109.67961819202694</c:v>
                </c:pt>
                <c:pt idx="2644">
                  <c:v>110.19635036496351</c:v>
                </c:pt>
                <c:pt idx="2645">
                  <c:v>110.20971364402021</c:v>
                </c:pt>
                <c:pt idx="2646">
                  <c:v>113.12930937675463</c:v>
                </c:pt>
                <c:pt idx="2647">
                  <c:v>113.80022459292532</c:v>
                </c:pt>
                <c:pt idx="2648">
                  <c:v>110.74272880404264</c:v>
                </c:pt>
                <c:pt idx="2649">
                  <c:v>108.15480067377877</c:v>
                </c:pt>
                <c:pt idx="2650">
                  <c:v>109.55631667602471</c:v>
                </c:pt>
                <c:pt idx="2651">
                  <c:v>109.57804604154971</c:v>
                </c:pt>
                <c:pt idx="2652">
                  <c:v>109.64323413812465</c:v>
                </c:pt>
                <c:pt idx="2653">
                  <c:v>109.39416058394161</c:v>
                </c:pt>
                <c:pt idx="2654">
                  <c:v>107.38366086468274</c:v>
                </c:pt>
                <c:pt idx="2655">
                  <c:v>100.5162829870859</c:v>
                </c:pt>
                <c:pt idx="2656">
                  <c:v>101.24154969118473</c:v>
                </c:pt>
                <c:pt idx="2657">
                  <c:v>98.151824817518246</c:v>
                </c:pt>
                <c:pt idx="2658">
                  <c:v>96.593879842784943</c:v>
                </c:pt>
                <c:pt idx="2659">
                  <c:v>98.997810218978074</c:v>
                </c:pt>
                <c:pt idx="2660">
                  <c:v>93.1126333520494</c:v>
                </c:pt>
                <c:pt idx="2661">
                  <c:v>91.522290847838292</c:v>
                </c:pt>
                <c:pt idx="2662">
                  <c:v>89.056372824256044</c:v>
                </c:pt>
                <c:pt idx="2663">
                  <c:v>95.766142616507594</c:v>
                </c:pt>
                <c:pt idx="2664">
                  <c:v>96.14570466030321</c:v>
                </c:pt>
                <c:pt idx="2665">
                  <c:v>97.764738910724319</c:v>
                </c:pt>
                <c:pt idx="2666">
                  <c:v>102.48085345311624</c:v>
                </c:pt>
                <c:pt idx="2667">
                  <c:v>100.81892195395844</c:v>
                </c:pt>
                <c:pt idx="2668">
                  <c:v>106.86114542391914</c:v>
                </c:pt>
                <c:pt idx="2669">
                  <c:v>110.08394160583941</c:v>
                </c:pt>
                <c:pt idx="2670">
                  <c:v>109.43509264458167</c:v>
                </c:pt>
                <c:pt idx="2671">
                  <c:v>99.344974733295913</c:v>
                </c:pt>
                <c:pt idx="2672">
                  <c:v>96.344188658057277</c:v>
                </c:pt>
                <c:pt idx="2673">
                  <c:v>92.890567097136426</c:v>
                </c:pt>
                <c:pt idx="2674">
                  <c:v>94.975070185289169</c:v>
                </c:pt>
                <c:pt idx="2675">
                  <c:v>96.843234138124672</c:v>
                </c:pt>
                <c:pt idx="2676">
                  <c:v>98.03380123526108</c:v>
                </c:pt>
                <c:pt idx="2677">
                  <c:v>107.40915216170691</c:v>
                </c:pt>
                <c:pt idx="2678">
                  <c:v>103.64705221785512</c:v>
                </c:pt>
                <c:pt idx="2679">
                  <c:v>97.766142616507565</c:v>
                </c:pt>
                <c:pt idx="2680">
                  <c:v>101.56833239752947</c:v>
                </c:pt>
                <c:pt idx="2681">
                  <c:v>99.232846715328478</c:v>
                </c:pt>
                <c:pt idx="2682">
                  <c:v>96.968220101066819</c:v>
                </c:pt>
                <c:pt idx="2683">
                  <c:v>99.832622122403166</c:v>
                </c:pt>
                <c:pt idx="2684">
                  <c:v>97.347613700168466</c:v>
                </c:pt>
                <c:pt idx="2685">
                  <c:v>96.017855137563174</c:v>
                </c:pt>
                <c:pt idx="2686">
                  <c:v>96.360190903986535</c:v>
                </c:pt>
                <c:pt idx="2687">
                  <c:v>92.992251544076368</c:v>
                </c:pt>
                <c:pt idx="2688">
                  <c:v>91.187366647950583</c:v>
                </c:pt>
                <c:pt idx="2689">
                  <c:v>92.381807973048879</c:v>
                </c:pt>
                <c:pt idx="2690">
                  <c:v>86.826838854576096</c:v>
                </c:pt>
                <c:pt idx="2691">
                  <c:v>87.458281864121275</c:v>
                </c:pt>
                <c:pt idx="2692">
                  <c:v>83.93700168444694</c:v>
                </c:pt>
                <c:pt idx="2693">
                  <c:v>86.847950589556447</c:v>
                </c:pt>
                <c:pt idx="2694">
                  <c:v>84.913924761370012</c:v>
                </c:pt>
                <c:pt idx="2695">
                  <c:v>84.360696238068513</c:v>
                </c:pt>
                <c:pt idx="2696">
                  <c:v>81.870072992700742</c:v>
                </c:pt>
                <c:pt idx="2697">
                  <c:v>80.868669286917466</c:v>
                </c:pt>
                <c:pt idx="2698">
                  <c:v>77.902919708029188</c:v>
                </c:pt>
                <c:pt idx="2699">
                  <c:v>77.67040988208872</c:v>
                </c:pt>
                <c:pt idx="2700">
                  <c:v>72.784446939921381</c:v>
                </c:pt>
                <c:pt idx="2701">
                  <c:v>71.991914654688372</c:v>
                </c:pt>
                <c:pt idx="2702">
                  <c:v>71.124536777091507</c:v>
                </c:pt>
                <c:pt idx="2703">
                  <c:v>71.867490174059512</c:v>
                </c:pt>
                <c:pt idx="2704">
                  <c:v>70.829927007299275</c:v>
                </c:pt>
                <c:pt idx="2705">
                  <c:v>68.344525547445244</c:v>
                </c:pt>
                <c:pt idx="2706">
                  <c:v>67.828074115665359</c:v>
                </c:pt>
                <c:pt idx="2707">
                  <c:v>69.999999999999986</c:v>
                </c:pt>
                <c:pt idx="2708">
                  <c:v>70</c:v>
                </c:pt>
                <c:pt idx="2709">
                  <c:v>66.099999999999994</c:v>
                </c:pt>
                <c:pt idx="2710">
                  <c:v>63.699999999999996</c:v>
                </c:pt>
                <c:pt idx="2711">
                  <c:v>64.3</c:v>
                </c:pt>
                <c:pt idx="2712">
                  <c:v>64.900000000000006</c:v>
                </c:pt>
                <c:pt idx="2713">
                  <c:v>65.599999999999994</c:v>
                </c:pt>
                <c:pt idx="2714">
                  <c:v>67.799999999999983</c:v>
                </c:pt>
                <c:pt idx="2715">
                  <c:v>65.999999999999986</c:v>
                </c:pt>
                <c:pt idx="2716">
                  <c:v>70.399999999999991</c:v>
                </c:pt>
                <c:pt idx="2717">
                  <c:v>70.199999999999989</c:v>
                </c:pt>
                <c:pt idx="2718">
                  <c:v>64.400000000000006</c:v>
                </c:pt>
                <c:pt idx="2719">
                  <c:v>63.9</c:v>
                </c:pt>
                <c:pt idx="2720">
                  <c:v>64.399999999999991</c:v>
                </c:pt>
                <c:pt idx="2721">
                  <c:v>67.799999999999983</c:v>
                </c:pt>
                <c:pt idx="2722">
                  <c:v>65.508253790005597</c:v>
                </c:pt>
                <c:pt idx="2723">
                  <c:v>66.275743964065114</c:v>
                </c:pt>
                <c:pt idx="2724">
                  <c:v>66.71094890510949</c:v>
                </c:pt>
                <c:pt idx="2725">
                  <c:v>69.049354295339697</c:v>
                </c:pt>
                <c:pt idx="2726">
                  <c:v>68.360640089837176</c:v>
                </c:pt>
                <c:pt idx="2727">
                  <c:v>68.169623806850083</c:v>
                </c:pt>
                <c:pt idx="2728">
                  <c:v>66.7275687815834</c:v>
                </c:pt>
                <c:pt idx="2729">
                  <c:v>70.099999999999994</c:v>
                </c:pt>
                <c:pt idx="2730">
                  <c:v>71.95699045480066</c:v>
                </c:pt>
                <c:pt idx="2731">
                  <c:v>75.267714766984824</c:v>
                </c:pt>
                <c:pt idx="2732">
                  <c:v>70.391914654688378</c:v>
                </c:pt>
                <c:pt idx="2733">
                  <c:v>67.15328467153283</c:v>
                </c:pt>
                <c:pt idx="2734">
                  <c:v>65.143907916900616</c:v>
                </c:pt>
                <c:pt idx="2735">
                  <c:v>65.043683323975301</c:v>
                </c:pt>
                <c:pt idx="2736">
                  <c:v>68.100280741156666</c:v>
                </c:pt>
                <c:pt idx="2737">
                  <c:v>65.90263896687253</c:v>
                </c:pt>
                <c:pt idx="2738">
                  <c:v>64.746715328467118</c:v>
                </c:pt>
                <c:pt idx="2739">
                  <c:v>67.146996069623796</c:v>
                </c:pt>
                <c:pt idx="2740">
                  <c:v>65.665188096574937</c:v>
                </c:pt>
                <c:pt idx="2741">
                  <c:v>65.743514879281307</c:v>
                </c:pt>
                <c:pt idx="2742">
                  <c:v>66.897810218978108</c:v>
                </c:pt>
                <c:pt idx="2743">
                  <c:v>66.864963503649633</c:v>
                </c:pt>
                <c:pt idx="2744">
                  <c:v>66.467883211678824</c:v>
                </c:pt>
                <c:pt idx="2745">
                  <c:v>66.047725996631115</c:v>
                </c:pt>
                <c:pt idx="2746">
                  <c:v>64.312184166198762</c:v>
                </c:pt>
                <c:pt idx="2747">
                  <c:v>64.156148231330704</c:v>
                </c:pt>
                <c:pt idx="2748">
                  <c:v>66.756822010106674</c:v>
                </c:pt>
                <c:pt idx="2749">
                  <c:v>65.482201010668192</c:v>
                </c:pt>
                <c:pt idx="2750">
                  <c:v>67.42565974171815</c:v>
                </c:pt>
                <c:pt idx="2751">
                  <c:v>65.677540707467699</c:v>
                </c:pt>
                <c:pt idx="2752">
                  <c:v>64.070802919708029</c:v>
                </c:pt>
                <c:pt idx="2753">
                  <c:v>59.144469399213918</c:v>
                </c:pt>
                <c:pt idx="2754">
                  <c:v>64.409208309938236</c:v>
                </c:pt>
                <c:pt idx="2755">
                  <c:v>64.187591240875918</c:v>
                </c:pt>
                <c:pt idx="2756">
                  <c:v>62.623806850084222</c:v>
                </c:pt>
                <c:pt idx="2757">
                  <c:v>61.814037057832671</c:v>
                </c:pt>
                <c:pt idx="2758">
                  <c:v>61.230544637843906</c:v>
                </c:pt>
                <c:pt idx="2759">
                  <c:v>61.068163952835484</c:v>
                </c:pt>
                <c:pt idx="2760">
                  <c:v>60.007130825378994</c:v>
                </c:pt>
                <c:pt idx="2761">
                  <c:v>60.526165075800115</c:v>
                </c:pt>
                <c:pt idx="2762">
                  <c:v>62.39354295339696</c:v>
                </c:pt>
                <c:pt idx="2763">
                  <c:v>61.284952274003366</c:v>
                </c:pt>
                <c:pt idx="2764">
                  <c:v>56.494048287478954</c:v>
                </c:pt>
                <c:pt idx="2765">
                  <c:v>56.082144862436834</c:v>
                </c:pt>
                <c:pt idx="2766">
                  <c:v>56.622403144300954</c:v>
                </c:pt>
                <c:pt idx="2767">
                  <c:v>57.9</c:v>
                </c:pt>
                <c:pt idx="2768">
                  <c:v>56.699999999999996</c:v>
                </c:pt>
                <c:pt idx="2769">
                  <c:v>57.7</c:v>
                </c:pt>
                <c:pt idx="2770">
                  <c:v>55.4</c:v>
                </c:pt>
                <c:pt idx="2771">
                  <c:v>55.099999999999994</c:v>
                </c:pt>
                <c:pt idx="2772">
                  <c:v>55.6</c:v>
                </c:pt>
                <c:pt idx="2773">
                  <c:v>55.8</c:v>
                </c:pt>
                <c:pt idx="2774">
                  <c:v>53.699999999999996</c:v>
                </c:pt>
                <c:pt idx="2775">
                  <c:v>54.499999999999993</c:v>
                </c:pt>
                <c:pt idx="2776">
                  <c:v>55.699999999999989</c:v>
                </c:pt>
                <c:pt idx="2777">
                  <c:v>57.800000000000004</c:v>
                </c:pt>
                <c:pt idx="2778">
                  <c:v>57.499999999999979</c:v>
                </c:pt>
                <c:pt idx="2779">
                  <c:v>55.4</c:v>
                </c:pt>
                <c:pt idx="2780">
                  <c:v>53.500000000000007</c:v>
                </c:pt>
                <c:pt idx="2781">
                  <c:v>48.79999999999999</c:v>
                </c:pt>
                <c:pt idx="2782">
                  <c:v>50.60056148231331</c:v>
                </c:pt>
                <c:pt idx="2783">
                  <c:v>47.737619314991576</c:v>
                </c:pt>
                <c:pt idx="2784">
                  <c:v>49.273891072431233</c:v>
                </c:pt>
                <c:pt idx="2785">
                  <c:v>56.789219539584515</c:v>
                </c:pt>
                <c:pt idx="2786">
                  <c:v>58.0078607523863</c:v>
                </c:pt>
                <c:pt idx="2787">
                  <c:v>58.524985962942182</c:v>
                </c:pt>
                <c:pt idx="2788">
                  <c:v>58.124985962942183</c:v>
                </c:pt>
                <c:pt idx="2789">
                  <c:v>56.807018528916345</c:v>
                </c:pt>
                <c:pt idx="2790">
                  <c:v>55.561650758001129</c:v>
                </c:pt>
                <c:pt idx="2791">
                  <c:v>55.630656934306565</c:v>
                </c:pt>
                <c:pt idx="2792">
                  <c:v>55.4</c:v>
                </c:pt>
                <c:pt idx="2793">
                  <c:v>53.3</c:v>
                </c:pt>
                <c:pt idx="2794">
                  <c:v>53.399999999999991</c:v>
                </c:pt>
                <c:pt idx="2795">
                  <c:v>50.500000000000007</c:v>
                </c:pt>
                <c:pt idx="2796">
                  <c:v>51.000000000000007</c:v>
                </c:pt>
                <c:pt idx="2797">
                  <c:v>52.400000000000013</c:v>
                </c:pt>
                <c:pt idx="2798">
                  <c:v>50.400000000000013</c:v>
                </c:pt>
                <c:pt idx="2799">
                  <c:v>51.9</c:v>
                </c:pt>
                <c:pt idx="2800">
                  <c:v>49.7</c:v>
                </c:pt>
                <c:pt idx="2801">
                  <c:v>49.900000000000013</c:v>
                </c:pt>
                <c:pt idx="2802">
                  <c:v>49.099999999999994</c:v>
                </c:pt>
                <c:pt idx="2803">
                  <c:v>49.300000000000004</c:v>
                </c:pt>
                <c:pt idx="2804">
                  <c:v>49.000000000000007</c:v>
                </c:pt>
                <c:pt idx="2805">
                  <c:v>49.79999999999999</c:v>
                </c:pt>
                <c:pt idx="2806">
                  <c:v>50.099999999999987</c:v>
                </c:pt>
                <c:pt idx="2807">
                  <c:v>46.500000000000007</c:v>
                </c:pt>
                <c:pt idx="2808">
                  <c:v>46.300000000000004</c:v>
                </c:pt>
                <c:pt idx="2809">
                  <c:v>49.500000000000007</c:v>
                </c:pt>
                <c:pt idx="2810">
                  <c:v>43.600000000000009</c:v>
                </c:pt>
                <c:pt idx="2811">
                  <c:v>40.999999999999993</c:v>
                </c:pt>
                <c:pt idx="2812">
                  <c:v>39.500000000000007</c:v>
                </c:pt>
                <c:pt idx="2813">
                  <c:v>39.699999999999996</c:v>
                </c:pt>
                <c:pt idx="2814">
                  <c:v>38.299999999999997</c:v>
                </c:pt>
                <c:pt idx="2815">
                  <c:v>39.445873104997212</c:v>
                </c:pt>
                <c:pt idx="2816">
                  <c:v>38.599999999999994</c:v>
                </c:pt>
                <c:pt idx="2817">
                  <c:v>43.599999999999994</c:v>
                </c:pt>
                <c:pt idx="2818">
                  <c:v>47.400000000000013</c:v>
                </c:pt>
                <c:pt idx="2819">
                  <c:v>48.900000000000006</c:v>
                </c:pt>
                <c:pt idx="2820">
                  <c:v>47.100000000000009</c:v>
                </c:pt>
                <c:pt idx="2821">
                  <c:v>41.100000000000009</c:v>
                </c:pt>
                <c:pt idx="2822">
                  <c:v>42.499999999999993</c:v>
                </c:pt>
                <c:pt idx="2823">
                  <c:v>44.3</c:v>
                </c:pt>
                <c:pt idx="2824">
                  <c:v>45</c:v>
                </c:pt>
                <c:pt idx="2825">
                  <c:v>45</c:v>
                </c:pt>
                <c:pt idx="2826">
                  <c:v>45</c:v>
                </c:pt>
                <c:pt idx="2827">
                  <c:v>48.499999999999993</c:v>
                </c:pt>
                <c:pt idx="2828">
                  <c:v>47.600000000000016</c:v>
                </c:pt>
                <c:pt idx="2829">
                  <c:v>50.300000000000011</c:v>
                </c:pt>
                <c:pt idx="2830">
                  <c:v>50.300000000000011</c:v>
                </c:pt>
                <c:pt idx="2831">
                  <c:v>47.299999999999983</c:v>
                </c:pt>
                <c:pt idx="2832">
                  <c:v>54.79999999999999</c:v>
                </c:pt>
                <c:pt idx="2833">
                  <c:v>50.599999999999987</c:v>
                </c:pt>
                <c:pt idx="2834">
                  <c:v>45.1</c:v>
                </c:pt>
                <c:pt idx="2835">
                  <c:v>48.900000000000006</c:v>
                </c:pt>
                <c:pt idx="2836">
                  <c:v>48.4</c:v>
                </c:pt>
                <c:pt idx="2837">
                  <c:v>40.699999999999989</c:v>
                </c:pt>
                <c:pt idx="2838">
                  <c:v>43.900000000000013</c:v>
                </c:pt>
                <c:pt idx="2839">
                  <c:v>43.900000000000013</c:v>
                </c:pt>
                <c:pt idx="2840">
                  <c:v>44.300000000000004</c:v>
                </c:pt>
                <c:pt idx="2841">
                  <c:v>44.79999999999999</c:v>
                </c:pt>
                <c:pt idx="2842">
                  <c:v>45.8</c:v>
                </c:pt>
                <c:pt idx="2843">
                  <c:v>46.699999999999996</c:v>
                </c:pt>
                <c:pt idx="2844">
                  <c:v>47.2</c:v>
                </c:pt>
                <c:pt idx="2845">
                  <c:v>48.300000000000011</c:v>
                </c:pt>
                <c:pt idx="2846">
                  <c:v>48.900000000000006</c:v>
                </c:pt>
                <c:pt idx="2847">
                  <c:v>46.20000000000001</c:v>
                </c:pt>
                <c:pt idx="2848">
                  <c:v>45.800000000000018</c:v>
                </c:pt>
                <c:pt idx="2849">
                  <c:v>45.1</c:v>
                </c:pt>
                <c:pt idx="2850">
                  <c:v>44.599999999999994</c:v>
                </c:pt>
                <c:pt idx="2851">
                  <c:v>46.699999999999996</c:v>
                </c:pt>
                <c:pt idx="2852">
                  <c:v>46.3</c:v>
                </c:pt>
                <c:pt idx="2853">
                  <c:v>44.899999999999991</c:v>
                </c:pt>
                <c:pt idx="2854">
                  <c:v>43.300000000000004</c:v>
                </c:pt>
                <c:pt idx="2855">
                  <c:v>45.399999999999991</c:v>
                </c:pt>
                <c:pt idx="2856">
                  <c:v>48.800000000000004</c:v>
                </c:pt>
                <c:pt idx="2857">
                  <c:v>44.499999999999993</c:v>
                </c:pt>
                <c:pt idx="2858">
                  <c:v>45.79999999999999</c:v>
                </c:pt>
                <c:pt idx="2859">
                  <c:v>49.499999999999993</c:v>
                </c:pt>
                <c:pt idx="2860">
                  <c:v>51.29999999999999</c:v>
                </c:pt>
                <c:pt idx="2861">
                  <c:v>55.000000000000014</c:v>
                </c:pt>
                <c:pt idx="2862">
                  <c:v>57.300000000000004</c:v>
                </c:pt>
                <c:pt idx="2863">
                  <c:v>54.6</c:v>
                </c:pt>
                <c:pt idx="2864">
                  <c:v>55.400000000000006</c:v>
                </c:pt>
                <c:pt idx="2865">
                  <c:v>54.500000000000007</c:v>
                </c:pt>
                <c:pt idx="2866">
                  <c:v>57.500000000000007</c:v>
                </c:pt>
                <c:pt idx="2867">
                  <c:v>57.90000000000002</c:v>
                </c:pt>
                <c:pt idx="2868">
                  <c:v>58.400000000000006</c:v>
                </c:pt>
                <c:pt idx="2869">
                  <c:v>60.699999999999996</c:v>
                </c:pt>
                <c:pt idx="2870">
                  <c:v>60.8</c:v>
                </c:pt>
                <c:pt idx="2871">
                  <c:v>62.1</c:v>
                </c:pt>
                <c:pt idx="2872">
                  <c:v>67.400000000000006</c:v>
                </c:pt>
                <c:pt idx="2873">
                  <c:v>66.599999999999994</c:v>
                </c:pt>
                <c:pt idx="2874">
                  <c:v>66.899999999999991</c:v>
                </c:pt>
                <c:pt idx="2875">
                  <c:v>65.700000000000017</c:v>
                </c:pt>
                <c:pt idx="2876">
                  <c:v>61.499999999999993</c:v>
                </c:pt>
                <c:pt idx="2877">
                  <c:v>59.500000000000007</c:v>
                </c:pt>
                <c:pt idx="2878">
                  <c:v>62.20000000000001</c:v>
                </c:pt>
                <c:pt idx="2879">
                  <c:v>60.2</c:v>
                </c:pt>
                <c:pt idx="2880">
                  <c:v>60.8</c:v>
                </c:pt>
                <c:pt idx="2881">
                  <c:v>61.1</c:v>
                </c:pt>
                <c:pt idx="2882">
                  <c:v>61.7</c:v>
                </c:pt>
                <c:pt idx="2883">
                  <c:v>63.4</c:v>
                </c:pt>
                <c:pt idx="2884">
                  <c:v>63.9</c:v>
                </c:pt>
                <c:pt idx="2885">
                  <c:v>65.099999999999994</c:v>
                </c:pt>
                <c:pt idx="2886">
                  <c:v>61.500000000000007</c:v>
                </c:pt>
                <c:pt idx="2887">
                  <c:v>59.79999999999999</c:v>
                </c:pt>
                <c:pt idx="2888">
                  <c:v>61.09999999999998</c:v>
                </c:pt>
                <c:pt idx="2889">
                  <c:v>60.29999999999999</c:v>
                </c:pt>
                <c:pt idx="2890">
                  <c:v>57.600000000000016</c:v>
                </c:pt>
                <c:pt idx="2891">
                  <c:v>53.599999999999994</c:v>
                </c:pt>
                <c:pt idx="2892">
                  <c:v>50.699999999999996</c:v>
                </c:pt>
                <c:pt idx="2893">
                  <c:v>51.3</c:v>
                </c:pt>
                <c:pt idx="2894">
                  <c:v>48.899999999999991</c:v>
                </c:pt>
                <c:pt idx="2895">
                  <c:v>50</c:v>
                </c:pt>
                <c:pt idx="2896">
                  <c:v>49.600000000000009</c:v>
                </c:pt>
                <c:pt idx="2897">
                  <c:v>53.300000000000004</c:v>
                </c:pt>
                <c:pt idx="2898">
                  <c:v>53.599999999999994</c:v>
                </c:pt>
                <c:pt idx="2899">
                  <c:v>52.399999999999991</c:v>
                </c:pt>
                <c:pt idx="2900">
                  <c:v>54.1</c:v>
                </c:pt>
                <c:pt idx="2901">
                  <c:v>54.5</c:v>
                </c:pt>
                <c:pt idx="2902">
                  <c:v>55.900000000000013</c:v>
                </c:pt>
                <c:pt idx="2903">
                  <c:v>55.5</c:v>
                </c:pt>
                <c:pt idx="2904">
                  <c:v>56.300000000000011</c:v>
                </c:pt>
                <c:pt idx="2905">
                  <c:v>54.9</c:v>
                </c:pt>
                <c:pt idx="2906">
                  <c:v>52.999999999999993</c:v>
                </c:pt>
                <c:pt idx="2907">
                  <c:v>54.999999999999986</c:v>
                </c:pt>
                <c:pt idx="2908">
                  <c:v>52.399999999999991</c:v>
                </c:pt>
                <c:pt idx="2909">
                  <c:v>52.9</c:v>
                </c:pt>
                <c:pt idx="2910">
                  <c:v>53.599999999999987</c:v>
                </c:pt>
                <c:pt idx="2911">
                  <c:v>55.7</c:v>
                </c:pt>
                <c:pt idx="2912">
                  <c:v>55.899999999999991</c:v>
                </c:pt>
                <c:pt idx="2913">
                  <c:v>57.099999999999987</c:v>
                </c:pt>
                <c:pt idx="2914">
                  <c:v>57.099999999999987</c:v>
                </c:pt>
                <c:pt idx="2915">
                  <c:v>54.9</c:v>
                </c:pt>
                <c:pt idx="2916">
                  <c:v>55.8</c:v>
                </c:pt>
                <c:pt idx="2917">
                  <c:v>53.6</c:v>
                </c:pt>
                <c:pt idx="2918">
                  <c:v>53.800000000000011</c:v>
                </c:pt>
                <c:pt idx="2919">
                  <c:v>52.9</c:v>
                </c:pt>
                <c:pt idx="2920">
                  <c:v>53.099999999999994</c:v>
                </c:pt>
                <c:pt idx="2921">
                  <c:v>52.300000000000004</c:v>
                </c:pt>
                <c:pt idx="2922">
                  <c:v>52.1</c:v>
                </c:pt>
                <c:pt idx="2923">
                  <c:v>48.900000000000013</c:v>
                </c:pt>
                <c:pt idx="2924">
                  <c:v>48.499999999999993</c:v>
                </c:pt>
                <c:pt idx="2925">
                  <c:v>51.40000000000002</c:v>
                </c:pt>
                <c:pt idx="2926">
                  <c:v>50.999999999999993</c:v>
                </c:pt>
                <c:pt idx="2927">
                  <c:v>57.1</c:v>
                </c:pt>
                <c:pt idx="2928">
                  <c:v>61.699999999999982</c:v>
                </c:pt>
                <c:pt idx="2929">
                  <c:v>57.999999999999979</c:v>
                </c:pt>
                <c:pt idx="2930">
                  <c:v>63.29999999999999</c:v>
                </c:pt>
                <c:pt idx="2931">
                  <c:v>66.8</c:v>
                </c:pt>
                <c:pt idx="2932">
                  <c:v>74.399999999999991</c:v>
                </c:pt>
                <c:pt idx="2933">
                  <c:v>80.599999999999994</c:v>
                </c:pt>
                <c:pt idx="2934">
                  <c:v>90.999999999999986</c:v>
                </c:pt>
                <c:pt idx="2935">
                  <c:v>81.8</c:v>
                </c:pt>
                <c:pt idx="2936">
                  <c:v>83.9</c:v>
                </c:pt>
                <c:pt idx="2937">
                  <c:v>79.399999999999991</c:v>
                </c:pt>
                <c:pt idx="2938">
                  <c:v>78.2</c:v>
                </c:pt>
                <c:pt idx="2939">
                  <c:v>82.09999999999998</c:v>
                </c:pt>
                <c:pt idx="2940">
                  <c:v>76.5</c:v>
                </c:pt>
                <c:pt idx="2941">
                  <c:v>75.599999999999994</c:v>
                </c:pt>
                <c:pt idx="2942">
                  <c:v>76.099999999999994</c:v>
                </c:pt>
                <c:pt idx="2943">
                  <c:v>74.699999999999989</c:v>
                </c:pt>
                <c:pt idx="2944">
                  <c:v>74.899999999999991</c:v>
                </c:pt>
                <c:pt idx="2945">
                  <c:v>73.8</c:v>
                </c:pt>
                <c:pt idx="2946">
                  <c:v>75.399999999999991</c:v>
                </c:pt>
                <c:pt idx="2947">
                  <c:v>75.699999999999989</c:v>
                </c:pt>
                <c:pt idx="2948">
                  <c:v>74.903549060542787</c:v>
                </c:pt>
                <c:pt idx="2949">
                  <c:v>75.492275574112725</c:v>
                </c:pt>
                <c:pt idx="2950">
                  <c:v>74.202087682672243</c:v>
                </c:pt>
                <c:pt idx="2951">
                  <c:v>75.497494780793332</c:v>
                </c:pt>
                <c:pt idx="2952">
                  <c:v>75.288378566457894</c:v>
                </c:pt>
                <c:pt idx="2953">
                  <c:v>75</c:v>
                </c:pt>
                <c:pt idx="2954">
                  <c:v>72.900000000000006</c:v>
                </c:pt>
                <c:pt idx="2955">
                  <c:v>72.099999999999994</c:v>
                </c:pt>
                <c:pt idx="2956">
                  <c:v>71.800000000000011</c:v>
                </c:pt>
                <c:pt idx="2957">
                  <c:v>70.16471816283925</c:v>
                </c:pt>
                <c:pt idx="2958">
                  <c:v>68.627348643006243</c:v>
                </c:pt>
                <c:pt idx="2959">
                  <c:v>66.369311064718147</c:v>
                </c:pt>
                <c:pt idx="2960">
                  <c:v>67.253096729297141</c:v>
                </c:pt>
                <c:pt idx="2961">
                  <c:v>68.204592901878911</c:v>
                </c:pt>
                <c:pt idx="2962">
                  <c:v>67.293945720250505</c:v>
                </c:pt>
                <c:pt idx="2963">
                  <c:v>65.190257480862897</c:v>
                </c:pt>
                <c:pt idx="2964">
                  <c:v>60.105149617258171</c:v>
                </c:pt>
                <c:pt idx="2965">
                  <c:v>60.798956158663877</c:v>
                </c:pt>
                <c:pt idx="2966">
                  <c:v>61.556924147529564</c:v>
                </c:pt>
                <c:pt idx="2967">
                  <c:v>59.442101600556718</c:v>
                </c:pt>
                <c:pt idx="2968">
                  <c:v>60.400000000000006</c:v>
                </c:pt>
                <c:pt idx="2969">
                  <c:v>60.8</c:v>
                </c:pt>
                <c:pt idx="2970">
                  <c:v>60.999999999999986</c:v>
                </c:pt>
                <c:pt idx="2971">
                  <c:v>57.999999999999993</c:v>
                </c:pt>
                <c:pt idx="2972">
                  <c:v>55.399999999999991</c:v>
                </c:pt>
                <c:pt idx="2973">
                  <c:v>56.29999999999999</c:v>
                </c:pt>
                <c:pt idx="2974">
                  <c:v>56.399999999999991</c:v>
                </c:pt>
                <c:pt idx="2975">
                  <c:v>54.599999999999994</c:v>
                </c:pt>
                <c:pt idx="2976">
                  <c:v>54.699999999999989</c:v>
                </c:pt>
                <c:pt idx="2977">
                  <c:v>54.399999999999984</c:v>
                </c:pt>
                <c:pt idx="2978">
                  <c:v>54.699999999999989</c:v>
                </c:pt>
                <c:pt idx="2979">
                  <c:v>53.2</c:v>
                </c:pt>
                <c:pt idx="2980">
                  <c:v>55</c:v>
                </c:pt>
                <c:pt idx="2981">
                  <c:v>60.2</c:v>
                </c:pt>
                <c:pt idx="2982">
                  <c:v>60.099999999999987</c:v>
                </c:pt>
                <c:pt idx="2983">
                  <c:v>59.1</c:v>
                </c:pt>
                <c:pt idx="2984">
                  <c:v>59.199999999999989</c:v>
                </c:pt>
                <c:pt idx="2985">
                  <c:v>60.5</c:v>
                </c:pt>
                <c:pt idx="2986">
                  <c:v>64.3</c:v>
                </c:pt>
                <c:pt idx="2987">
                  <c:v>61.900000000000013</c:v>
                </c:pt>
                <c:pt idx="2988">
                  <c:v>61.299999999999983</c:v>
                </c:pt>
                <c:pt idx="2989">
                  <c:v>61.600000000000009</c:v>
                </c:pt>
                <c:pt idx="2990">
                  <c:v>60</c:v>
                </c:pt>
                <c:pt idx="2991">
                  <c:v>64.5</c:v>
                </c:pt>
                <c:pt idx="2992">
                  <c:v>64.8</c:v>
                </c:pt>
                <c:pt idx="2993">
                  <c:v>61.899999999999991</c:v>
                </c:pt>
                <c:pt idx="2994">
                  <c:v>62.6</c:v>
                </c:pt>
                <c:pt idx="2995">
                  <c:v>64.099999999999994</c:v>
                </c:pt>
                <c:pt idx="2996">
                  <c:v>64.499999999999986</c:v>
                </c:pt>
                <c:pt idx="2997">
                  <c:v>90.4</c:v>
                </c:pt>
                <c:pt idx="2998">
                  <c:v>62.000000000000007</c:v>
                </c:pt>
                <c:pt idx="2999">
                  <c:v>61.600000000000009</c:v>
                </c:pt>
                <c:pt idx="3000">
                  <c:v>65.400000000000006</c:v>
                </c:pt>
                <c:pt idx="3001">
                  <c:v>66.399999999999977</c:v>
                </c:pt>
                <c:pt idx="3002">
                  <c:v>66.7</c:v>
                </c:pt>
                <c:pt idx="3003">
                  <c:v>64.3</c:v>
                </c:pt>
                <c:pt idx="3004">
                  <c:v>63</c:v>
                </c:pt>
                <c:pt idx="3005">
                  <c:v>65.5</c:v>
                </c:pt>
                <c:pt idx="3006">
                  <c:v>64.3</c:v>
                </c:pt>
                <c:pt idx="3007">
                  <c:v>64.900000000000006</c:v>
                </c:pt>
                <c:pt idx="3008">
                  <c:v>63</c:v>
                </c:pt>
                <c:pt idx="3009">
                  <c:v>63.900000000000006</c:v>
                </c:pt>
                <c:pt idx="3010">
                  <c:v>62.7</c:v>
                </c:pt>
                <c:pt idx="3011">
                  <c:v>62.000000000000007</c:v>
                </c:pt>
                <c:pt idx="3012">
                  <c:v>61.336186499652065</c:v>
                </c:pt>
                <c:pt idx="3013">
                  <c:v>60.313569937369508</c:v>
                </c:pt>
                <c:pt idx="3014">
                  <c:v>59.457689631176059</c:v>
                </c:pt>
                <c:pt idx="3015">
                  <c:v>61.834585942936684</c:v>
                </c:pt>
                <c:pt idx="3016">
                  <c:v>62.619624217119004</c:v>
                </c:pt>
                <c:pt idx="3017">
                  <c:v>60</c:v>
                </c:pt>
                <c:pt idx="3018">
                  <c:v>59.699999999999982</c:v>
                </c:pt>
                <c:pt idx="3019">
                  <c:v>61.399999999999984</c:v>
                </c:pt>
                <c:pt idx="3020">
                  <c:v>60.099999999999987</c:v>
                </c:pt>
                <c:pt idx="3021">
                  <c:v>64.000000000000014</c:v>
                </c:pt>
                <c:pt idx="3022">
                  <c:v>64.90000000000002</c:v>
                </c:pt>
                <c:pt idx="3023">
                  <c:v>67.800000000000011</c:v>
                </c:pt>
                <c:pt idx="3024">
                  <c:v>64.500000000000014</c:v>
                </c:pt>
                <c:pt idx="3025">
                  <c:v>62.899999999999984</c:v>
                </c:pt>
                <c:pt idx="3026">
                  <c:v>60.699999999999996</c:v>
                </c:pt>
                <c:pt idx="3027">
                  <c:v>65.099999999999994</c:v>
                </c:pt>
                <c:pt idx="3028">
                  <c:v>64.099999999999994</c:v>
                </c:pt>
                <c:pt idx="3029">
                  <c:v>65.8</c:v>
                </c:pt>
                <c:pt idx="3030">
                  <c:v>68.2</c:v>
                </c:pt>
                <c:pt idx="3031">
                  <c:v>70.2</c:v>
                </c:pt>
                <c:pt idx="3032">
                  <c:v>69.7</c:v>
                </c:pt>
                <c:pt idx="3033">
                  <c:v>70.900000000000006</c:v>
                </c:pt>
                <c:pt idx="3034">
                  <c:v>71.899999999999991</c:v>
                </c:pt>
                <c:pt idx="3035">
                  <c:v>77.399999999999991</c:v>
                </c:pt>
                <c:pt idx="3036">
                  <c:v>74</c:v>
                </c:pt>
                <c:pt idx="3037">
                  <c:v>76.585803757828813</c:v>
                </c:pt>
                <c:pt idx="3038">
                  <c:v>79.001670146137798</c:v>
                </c:pt>
                <c:pt idx="3039">
                  <c:v>79.743006263048017</c:v>
                </c:pt>
                <c:pt idx="3040">
                  <c:v>79.985594989561605</c:v>
                </c:pt>
                <c:pt idx="3041">
                  <c:v>83.517258176757124</c:v>
                </c:pt>
                <c:pt idx="3042">
                  <c:v>81.299999999999983</c:v>
                </c:pt>
                <c:pt idx="3043">
                  <c:v>81.099999999999994</c:v>
                </c:pt>
                <c:pt idx="3044">
                  <c:v>80.499999999999986</c:v>
                </c:pt>
                <c:pt idx="3045">
                  <c:v>80.099999999999994</c:v>
                </c:pt>
                <c:pt idx="3046">
                  <c:v>78.2</c:v>
                </c:pt>
                <c:pt idx="3047">
                  <c:v>77.400000000000006</c:v>
                </c:pt>
                <c:pt idx="3048">
                  <c:v>75.599999999999994</c:v>
                </c:pt>
                <c:pt idx="3049">
                  <c:v>74.3</c:v>
                </c:pt>
                <c:pt idx="3050">
                  <c:v>73.299999999999983</c:v>
                </c:pt>
                <c:pt idx="3051">
                  <c:v>77.3</c:v>
                </c:pt>
                <c:pt idx="3052">
                  <c:v>77.199999999999989</c:v>
                </c:pt>
                <c:pt idx="3053">
                  <c:v>76.09999999999998</c:v>
                </c:pt>
                <c:pt idx="3054">
                  <c:v>77.199999999999989</c:v>
                </c:pt>
                <c:pt idx="3055">
                  <c:v>81</c:v>
                </c:pt>
                <c:pt idx="3056">
                  <c:v>79.3</c:v>
                </c:pt>
                <c:pt idx="3057">
                  <c:v>79.699999999999974</c:v>
                </c:pt>
                <c:pt idx="3058">
                  <c:v>81.999999999999986</c:v>
                </c:pt>
                <c:pt idx="3059">
                  <c:v>80.400000000000006</c:v>
                </c:pt>
                <c:pt idx="3060">
                  <c:v>81</c:v>
                </c:pt>
                <c:pt idx="3061">
                  <c:v>82.999999999999986</c:v>
                </c:pt>
                <c:pt idx="3062">
                  <c:v>81.899999999999991</c:v>
                </c:pt>
                <c:pt idx="3063">
                  <c:v>83</c:v>
                </c:pt>
                <c:pt idx="3064">
                  <c:v>82.09999999999998</c:v>
                </c:pt>
                <c:pt idx="3065">
                  <c:v>83.899999999999977</c:v>
                </c:pt>
                <c:pt idx="3066">
                  <c:v>83.699999999999989</c:v>
                </c:pt>
                <c:pt idx="3067">
                  <c:v>85.399999999999991</c:v>
                </c:pt>
                <c:pt idx="3068">
                  <c:v>87.699999999999989</c:v>
                </c:pt>
                <c:pt idx="3069">
                  <c:v>87.3</c:v>
                </c:pt>
                <c:pt idx="3070">
                  <c:v>89.4</c:v>
                </c:pt>
                <c:pt idx="3071">
                  <c:v>115</c:v>
                </c:pt>
                <c:pt idx="3072">
                  <c:v>90.724495476687537</c:v>
                </c:pt>
                <c:pt idx="3073">
                  <c:v>90.786151704940863</c:v>
                </c:pt>
                <c:pt idx="3074">
                  <c:v>88.208977035490605</c:v>
                </c:pt>
                <c:pt idx="3075">
                  <c:v>87.097355601948507</c:v>
                </c:pt>
                <c:pt idx="3076">
                  <c:v>86.374878218510773</c:v>
                </c:pt>
                <c:pt idx="3077">
                  <c:v>87.399999999999991</c:v>
                </c:pt>
                <c:pt idx="3078">
                  <c:v>87.600000000000023</c:v>
                </c:pt>
                <c:pt idx="3079">
                  <c:v>87.100000000000009</c:v>
                </c:pt>
                <c:pt idx="3080">
                  <c:v>86.199999999999989</c:v>
                </c:pt>
                <c:pt idx="3081">
                  <c:v>85</c:v>
                </c:pt>
                <c:pt idx="3082">
                  <c:v>85</c:v>
                </c:pt>
                <c:pt idx="3083">
                  <c:v>84.9</c:v>
                </c:pt>
                <c:pt idx="3084">
                  <c:v>83.8</c:v>
                </c:pt>
                <c:pt idx="3085">
                  <c:v>83.8</c:v>
                </c:pt>
                <c:pt idx="3086">
                  <c:v>86.5</c:v>
                </c:pt>
                <c:pt idx="3087">
                  <c:v>86.7</c:v>
                </c:pt>
                <c:pt idx="3088">
                  <c:v>85.2</c:v>
                </c:pt>
                <c:pt idx="3089">
                  <c:v>90.899999999999991</c:v>
                </c:pt>
                <c:pt idx="3090">
                  <c:v>89.40000000000002</c:v>
                </c:pt>
                <c:pt idx="3091">
                  <c:v>81.099999999999994</c:v>
                </c:pt>
                <c:pt idx="3092">
                  <c:v>79.5</c:v>
                </c:pt>
                <c:pt idx="3093">
                  <c:v>79.100000000000009</c:v>
                </c:pt>
                <c:pt idx="3094">
                  <c:v>84.9</c:v>
                </c:pt>
                <c:pt idx="3095">
                  <c:v>85.4</c:v>
                </c:pt>
                <c:pt idx="3096">
                  <c:v>84.600000000000009</c:v>
                </c:pt>
                <c:pt idx="3097">
                  <c:v>83.7</c:v>
                </c:pt>
                <c:pt idx="3098">
                  <c:v>82.8</c:v>
                </c:pt>
                <c:pt idx="3099">
                  <c:v>83.5</c:v>
                </c:pt>
                <c:pt idx="3100">
                  <c:v>84.40000000000002</c:v>
                </c:pt>
                <c:pt idx="3101">
                  <c:v>86.5</c:v>
                </c:pt>
                <c:pt idx="3102">
                  <c:v>88</c:v>
                </c:pt>
                <c:pt idx="3103">
                  <c:v>87.700000000000017</c:v>
                </c:pt>
                <c:pt idx="3104">
                  <c:v>87.500000000000014</c:v>
                </c:pt>
                <c:pt idx="3105">
                  <c:v>87.000000000000014</c:v>
                </c:pt>
                <c:pt idx="3106">
                  <c:v>88.200000000000017</c:v>
                </c:pt>
                <c:pt idx="3107">
                  <c:v>88.1</c:v>
                </c:pt>
                <c:pt idx="3108">
                  <c:v>86.4</c:v>
                </c:pt>
                <c:pt idx="3109">
                  <c:v>85.3</c:v>
                </c:pt>
                <c:pt idx="3110">
                  <c:v>86</c:v>
                </c:pt>
                <c:pt idx="3111">
                  <c:v>85.800000000000011</c:v>
                </c:pt>
                <c:pt idx="3112">
                  <c:v>88.5</c:v>
                </c:pt>
                <c:pt idx="3113">
                  <c:v>90.3</c:v>
                </c:pt>
                <c:pt idx="3114">
                  <c:v>88</c:v>
                </c:pt>
                <c:pt idx="3115">
                  <c:v>86.8</c:v>
                </c:pt>
                <c:pt idx="3116">
                  <c:v>87.7</c:v>
                </c:pt>
                <c:pt idx="3117">
                  <c:v>87.7</c:v>
                </c:pt>
                <c:pt idx="3118">
                  <c:v>86.899999999999991</c:v>
                </c:pt>
                <c:pt idx="3119">
                  <c:v>86</c:v>
                </c:pt>
                <c:pt idx="3120">
                  <c:v>85.499999999999986</c:v>
                </c:pt>
                <c:pt idx="3121">
                  <c:v>85</c:v>
                </c:pt>
                <c:pt idx="3122">
                  <c:v>83.299999999999983</c:v>
                </c:pt>
                <c:pt idx="3123">
                  <c:v>84.399999999999977</c:v>
                </c:pt>
                <c:pt idx="3124">
                  <c:v>82.200000000000017</c:v>
                </c:pt>
                <c:pt idx="3125">
                  <c:v>80.199999999999989</c:v>
                </c:pt>
                <c:pt idx="3126">
                  <c:v>80.199999999999989</c:v>
                </c:pt>
                <c:pt idx="3127">
                  <c:v>77.699999999999989</c:v>
                </c:pt>
                <c:pt idx="3128">
                  <c:v>78.7</c:v>
                </c:pt>
                <c:pt idx="3129">
                  <c:v>79.2</c:v>
                </c:pt>
                <c:pt idx="3130">
                  <c:v>77.199999999999989</c:v>
                </c:pt>
                <c:pt idx="3131">
                  <c:v>74.199999999999989</c:v>
                </c:pt>
                <c:pt idx="3132">
                  <c:v>73.3</c:v>
                </c:pt>
                <c:pt idx="3133">
                  <c:v>71.099999999999994</c:v>
                </c:pt>
                <c:pt idx="3134">
                  <c:v>71.099999999999994</c:v>
                </c:pt>
                <c:pt idx="3135">
                  <c:v>73.5</c:v>
                </c:pt>
                <c:pt idx="3136">
                  <c:v>72.500000000000014</c:v>
                </c:pt>
                <c:pt idx="3137">
                  <c:v>70.400000000000006</c:v>
                </c:pt>
                <c:pt idx="3138">
                  <c:v>70.600000000000009</c:v>
                </c:pt>
                <c:pt idx="3139">
                  <c:v>70.8</c:v>
                </c:pt>
                <c:pt idx="3140">
                  <c:v>73.3</c:v>
                </c:pt>
                <c:pt idx="3141">
                  <c:v>75.599999999999994</c:v>
                </c:pt>
                <c:pt idx="3142">
                  <c:v>75.900000000000006</c:v>
                </c:pt>
                <c:pt idx="3143">
                  <c:v>78.500000000000014</c:v>
                </c:pt>
                <c:pt idx="3144">
                  <c:v>78.7</c:v>
                </c:pt>
              </c:numCache>
            </c:numRef>
          </c:val>
          <c:extLst xmlns:c16r2="http://schemas.microsoft.com/office/drawing/2015/06/chart">
            <c:ext xmlns:c16="http://schemas.microsoft.com/office/drawing/2014/chart" uri="{C3380CC4-5D6E-409C-BE32-E72D297353CC}">
              <c16:uniqueId val="{00000000-6E63-4F37-A69F-B0AC64F9DFB4}"/>
            </c:ext>
          </c:extLst>
        </c:ser>
        <c:dLbls>
          <c:showLegendKey val="0"/>
          <c:showVal val="0"/>
          <c:showCatName val="0"/>
          <c:showSerName val="0"/>
          <c:showPercent val="0"/>
          <c:showBubbleSize val="0"/>
        </c:dLbls>
        <c:axId val="35574144"/>
        <c:axId val="35567872"/>
      </c:areaChart>
      <c:lineChart>
        <c:grouping val="standard"/>
        <c:varyColors val="0"/>
        <c:ser>
          <c:idx val="0"/>
          <c:order val="0"/>
          <c:tx>
            <c:strRef>
              <c:f>Sheet1!$B$1</c:f>
              <c:strCache>
                <c:ptCount val="1"/>
                <c:pt idx="0">
                  <c:v>SLO 10 let</c:v>
                </c:pt>
              </c:strCache>
            </c:strRef>
          </c:tx>
          <c:spPr>
            <a:ln>
              <a:solidFill>
                <a:schemeClr val="accent1">
                  <a:lumMod val="50000"/>
                </a:schemeClr>
              </a:solidFill>
            </a:ln>
          </c:spPr>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Sheet1!$B$2:$B$3146</c:f>
              <c:numCache>
                <c:formatCode>0.000%</c:formatCode>
                <c:ptCount val="3145"/>
                <c:pt idx="0">
                  <c:v>4.0199999999999993E-2</c:v>
                </c:pt>
                <c:pt idx="1">
                  <c:v>4.0300000000000002E-2</c:v>
                </c:pt>
                <c:pt idx="2">
                  <c:v>4.0190000000000003E-2</c:v>
                </c:pt>
                <c:pt idx="3">
                  <c:v>4.061E-2</c:v>
                </c:pt>
                <c:pt idx="4">
                  <c:v>4.0549999999999996E-2</c:v>
                </c:pt>
                <c:pt idx="5">
                  <c:v>4.0689999999999997E-2</c:v>
                </c:pt>
                <c:pt idx="6">
                  <c:v>4.0800000000000003E-2</c:v>
                </c:pt>
                <c:pt idx="7">
                  <c:v>4.0689999999999997E-2</c:v>
                </c:pt>
                <c:pt idx="8">
                  <c:v>4.0979999999999996E-2</c:v>
                </c:pt>
                <c:pt idx="9">
                  <c:v>4.0910000000000002E-2</c:v>
                </c:pt>
                <c:pt idx="10">
                  <c:v>4.0899999999999999E-2</c:v>
                </c:pt>
                <c:pt idx="11">
                  <c:v>4.088E-2</c:v>
                </c:pt>
                <c:pt idx="12">
                  <c:v>4.1200000000000001E-2</c:v>
                </c:pt>
                <c:pt idx="13">
                  <c:v>4.1169999999999998E-2</c:v>
                </c:pt>
                <c:pt idx="14">
                  <c:v>4.0849999999999997E-2</c:v>
                </c:pt>
                <c:pt idx="15">
                  <c:v>4.0930000000000001E-2</c:v>
                </c:pt>
                <c:pt idx="16">
                  <c:v>4.1139999999999996E-2</c:v>
                </c:pt>
                <c:pt idx="17">
                  <c:v>4.1340000000000002E-2</c:v>
                </c:pt>
                <c:pt idx="18">
                  <c:v>4.1360000000000001E-2</c:v>
                </c:pt>
                <c:pt idx="19">
                  <c:v>4.1609999999999994E-2</c:v>
                </c:pt>
                <c:pt idx="20">
                  <c:v>4.1550000000000004E-2</c:v>
                </c:pt>
                <c:pt idx="21">
                  <c:v>4.1520000000000001E-2</c:v>
                </c:pt>
                <c:pt idx="22">
                  <c:v>4.1329999999999999E-2</c:v>
                </c:pt>
                <c:pt idx="23">
                  <c:v>4.0930000000000001E-2</c:v>
                </c:pt>
                <c:pt idx="24">
                  <c:v>4.0660000000000002E-2</c:v>
                </c:pt>
                <c:pt idx="25">
                  <c:v>4.07E-2</c:v>
                </c:pt>
                <c:pt idx="26">
                  <c:v>4.0719999999999999E-2</c:v>
                </c:pt>
                <c:pt idx="27">
                  <c:v>4.1070000000000002E-2</c:v>
                </c:pt>
                <c:pt idx="28">
                  <c:v>4.1390000000000003E-2</c:v>
                </c:pt>
                <c:pt idx="29">
                  <c:v>4.1449999999999994E-2</c:v>
                </c:pt>
                <c:pt idx="30">
                  <c:v>4.1619999999999997E-2</c:v>
                </c:pt>
                <c:pt idx="31">
                  <c:v>4.1420000000000005E-2</c:v>
                </c:pt>
                <c:pt idx="32">
                  <c:v>4.0899999999999999E-2</c:v>
                </c:pt>
                <c:pt idx="33">
                  <c:v>4.1079999999999998E-2</c:v>
                </c:pt>
                <c:pt idx="34">
                  <c:v>4.122E-2</c:v>
                </c:pt>
                <c:pt idx="35">
                  <c:v>4.1189999999999997E-2</c:v>
                </c:pt>
                <c:pt idx="36">
                  <c:v>4.1110000000000001E-2</c:v>
                </c:pt>
                <c:pt idx="37">
                  <c:v>4.1429999999999995E-2</c:v>
                </c:pt>
                <c:pt idx="38">
                  <c:v>4.1110000000000001E-2</c:v>
                </c:pt>
                <c:pt idx="39">
                  <c:v>4.0640000000000003E-2</c:v>
                </c:pt>
                <c:pt idx="40">
                  <c:v>4.0320000000000002E-2</c:v>
                </c:pt>
                <c:pt idx="41">
                  <c:v>4.0119999999999996E-2</c:v>
                </c:pt>
                <c:pt idx="42">
                  <c:v>4.0010000000000004E-2</c:v>
                </c:pt>
                <c:pt idx="43">
                  <c:v>3.9800000000000002E-2</c:v>
                </c:pt>
                <c:pt idx="44">
                  <c:v>3.9710000000000002E-2</c:v>
                </c:pt>
                <c:pt idx="45">
                  <c:v>3.9830000000000004E-2</c:v>
                </c:pt>
                <c:pt idx="46">
                  <c:v>3.9870000000000003E-2</c:v>
                </c:pt>
                <c:pt idx="47">
                  <c:v>4.0010000000000004E-2</c:v>
                </c:pt>
                <c:pt idx="48">
                  <c:v>4.0350000000000004E-2</c:v>
                </c:pt>
                <c:pt idx="49">
                  <c:v>4.0170000000000004E-2</c:v>
                </c:pt>
                <c:pt idx="50">
                  <c:v>3.9969999999999999E-2</c:v>
                </c:pt>
                <c:pt idx="51">
                  <c:v>3.986E-2</c:v>
                </c:pt>
                <c:pt idx="52">
                  <c:v>4.011E-2</c:v>
                </c:pt>
                <c:pt idx="53">
                  <c:v>4.0979999999999996E-2</c:v>
                </c:pt>
                <c:pt idx="54">
                  <c:v>4.1149999999999999E-2</c:v>
                </c:pt>
                <c:pt idx="55">
                  <c:v>4.0979999999999996E-2</c:v>
                </c:pt>
                <c:pt idx="56">
                  <c:v>4.1169999999999998E-2</c:v>
                </c:pt>
                <c:pt idx="57">
                  <c:v>4.1349999999999998E-2</c:v>
                </c:pt>
                <c:pt idx="58">
                  <c:v>4.1870000000000004E-2</c:v>
                </c:pt>
                <c:pt idx="59">
                  <c:v>4.1870000000000004E-2</c:v>
                </c:pt>
                <c:pt idx="60">
                  <c:v>4.2020000000000002E-2</c:v>
                </c:pt>
                <c:pt idx="61">
                  <c:v>4.2110000000000002E-2</c:v>
                </c:pt>
                <c:pt idx="62">
                  <c:v>4.2279999999999998E-2</c:v>
                </c:pt>
                <c:pt idx="63">
                  <c:v>4.2290000000000001E-2</c:v>
                </c:pt>
                <c:pt idx="64">
                  <c:v>4.2480000000000004E-2</c:v>
                </c:pt>
                <c:pt idx="65">
                  <c:v>4.2709999999999998E-2</c:v>
                </c:pt>
                <c:pt idx="66">
                  <c:v>4.2419999999999999E-2</c:v>
                </c:pt>
                <c:pt idx="67">
                  <c:v>4.2679999999999996E-2</c:v>
                </c:pt>
                <c:pt idx="68">
                  <c:v>4.2999999999999997E-2</c:v>
                </c:pt>
                <c:pt idx="69">
                  <c:v>4.3159999999999997E-2</c:v>
                </c:pt>
                <c:pt idx="70">
                  <c:v>4.3570000000000005E-2</c:v>
                </c:pt>
                <c:pt idx="71">
                  <c:v>4.4080000000000001E-2</c:v>
                </c:pt>
                <c:pt idx="72">
                  <c:v>4.3819999999999998E-2</c:v>
                </c:pt>
                <c:pt idx="73">
                  <c:v>4.351E-2</c:v>
                </c:pt>
                <c:pt idx="74">
                  <c:v>4.3230000000000005E-2</c:v>
                </c:pt>
                <c:pt idx="75">
                  <c:v>4.3680000000000004E-2</c:v>
                </c:pt>
                <c:pt idx="76">
                  <c:v>4.3710000000000006E-2</c:v>
                </c:pt>
                <c:pt idx="77">
                  <c:v>4.3419999999999993E-2</c:v>
                </c:pt>
                <c:pt idx="78">
                  <c:v>4.333E-2</c:v>
                </c:pt>
                <c:pt idx="79">
                  <c:v>4.36E-2</c:v>
                </c:pt>
                <c:pt idx="80">
                  <c:v>4.394E-2</c:v>
                </c:pt>
                <c:pt idx="81">
                  <c:v>4.3870000000000006E-2</c:v>
                </c:pt>
                <c:pt idx="82">
                  <c:v>4.3189999999999999E-2</c:v>
                </c:pt>
                <c:pt idx="83">
                  <c:v>4.3819999999999998E-2</c:v>
                </c:pt>
                <c:pt idx="84">
                  <c:v>4.3990000000000001E-2</c:v>
                </c:pt>
                <c:pt idx="85">
                  <c:v>4.3650000000000001E-2</c:v>
                </c:pt>
                <c:pt idx="86">
                  <c:v>4.3779999999999999E-2</c:v>
                </c:pt>
                <c:pt idx="87">
                  <c:v>4.3659999999999997E-2</c:v>
                </c:pt>
                <c:pt idx="88">
                  <c:v>4.3749999999999997E-2</c:v>
                </c:pt>
                <c:pt idx="89">
                  <c:v>4.3810000000000002E-2</c:v>
                </c:pt>
                <c:pt idx="90">
                  <c:v>4.3909999999999998E-2</c:v>
                </c:pt>
                <c:pt idx="91">
                  <c:v>4.4379999999999996E-2</c:v>
                </c:pt>
                <c:pt idx="92">
                  <c:v>4.4669999999999994E-2</c:v>
                </c:pt>
                <c:pt idx="93">
                  <c:v>4.471E-2</c:v>
                </c:pt>
                <c:pt idx="94">
                  <c:v>4.4760000000000001E-2</c:v>
                </c:pt>
                <c:pt idx="95">
                  <c:v>4.4800000000000006E-2</c:v>
                </c:pt>
                <c:pt idx="96">
                  <c:v>4.4900000000000002E-2</c:v>
                </c:pt>
                <c:pt idx="97">
                  <c:v>4.5069999999999999E-2</c:v>
                </c:pt>
                <c:pt idx="98">
                  <c:v>4.5350000000000001E-2</c:v>
                </c:pt>
                <c:pt idx="99">
                  <c:v>4.521E-2</c:v>
                </c:pt>
                <c:pt idx="100">
                  <c:v>4.5449999999999997E-2</c:v>
                </c:pt>
                <c:pt idx="101">
                  <c:v>4.5469999999999997E-2</c:v>
                </c:pt>
                <c:pt idx="102">
                  <c:v>4.5570000000000006E-2</c:v>
                </c:pt>
                <c:pt idx="103">
                  <c:v>4.5530000000000001E-2</c:v>
                </c:pt>
                <c:pt idx="104">
                  <c:v>4.5759999999999995E-2</c:v>
                </c:pt>
                <c:pt idx="105">
                  <c:v>4.6129999999999997E-2</c:v>
                </c:pt>
                <c:pt idx="106">
                  <c:v>4.6150000000000004E-2</c:v>
                </c:pt>
                <c:pt idx="107">
                  <c:v>4.6500000000000007E-2</c:v>
                </c:pt>
                <c:pt idx="108">
                  <c:v>4.6170000000000003E-2</c:v>
                </c:pt>
                <c:pt idx="109">
                  <c:v>4.6959999999999995E-2</c:v>
                </c:pt>
                <c:pt idx="110">
                  <c:v>4.7199999999999999E-2</c:v>
                </c:pt>
                <c:pt idx="111">
                  <c:v>4.7249999999999993E-2</c:v>
                </c:pt>
                <c:pt idx="112">
                  <c:v>4.7720000000000005E-2</c:v>
                </c:pt>
                <c:pt idx="113">
                  <c:v>4.8079999999999998E-2</c:v>
                </c:pt>
                <c:pt idx="114">
                  <c:v>4.8179999999999994E-2</c:v>
                </c:pt>
                <c:pt idx="115">
                  <c:v>4.829E-2</c:v>
                </c:pt>
                <c:pt idx="116">
                  <c:v>4.827E-2</c:v>
                </c:pt>
                <c:pt idx="117">
                  <c:v>4.7830000000000004E-2</c:v>
                </c:pt>
                <c:pt idx="118">
                  <c:v>4.8120000000000003E-2</c:v>
                </c:pt>
                <c:pt idx="119">
                  <c:v>4.8230000000000002E-2</c:v>
                </c:pt>
                <c:pt idx="120">
                  <c:v>4.8280000000000003E-2</c:v>
                </c:pt>
                <c:pt idx="121">
                  <c:v>4.795E-2</c:v>
                </c:pt>
                <c:pt idx="122">
                  <c:v>4.7750000000000001E-2</c:v>
                </c:pt>
                <c:pt idx="123">
                  <c:v>4.7230000000000001E-2</c:v>
                </c:pt>
                <c:pt idx="124">
                  <c:v>4.7460000000000002E-2</c:v>
                </c:pt>
                <c:pt idx="125">
                  <c:v>4.7480000000000001E-2</c:v>
                </c:pt>
                <c:pt idx="126">
                  <c:v>4.6879999999999998E-2</c:v>
                </c:pt>
                <c:pt idx="127">
                  <c:v>4.7409999999999994E-2</c:v>
                </c:pt>
                <c:pt idx="128">
                  <c:v>4.7850000000000004E-2</c:v>
                </c:pt>
                <c:pt idx="129">
                  <c:v>4.8300000000000003E-2</c:v>
                </c:pt>
                <c:pt idx="130">
                  <c:v>4.8629999999999993E-2</c:v>
                </c:pt>
                <c:pt idx="131">
                  <c:v>4.8559999999999999E-2</c:v>
                </c:pt>
                <c:pt idx="132">
                  <c:v>4.7729999999999995E-2</c:v>
                </c:pt>
                <c:pt idx="133">
                  <c:v>4.7699999999999992E-2</c:v>
                </c:pt>
                <c:pt idx="134">
                  <c:v>4.8049999999999995E-2</c:v>
                </c:pt>
                <c:pt idx="135">
                  <c:v>4.8000000000000001E-2</c:v>
                </c:pt>
                <c:pt idx="136">
                  <c:v>4.7660000000000001E-2</c:v>
                </c:pt>
                <c:pt idx="137">
                  <c:v>4.7830000000000004E-2</c:v>
                </c:pt>
                <c:pt idx="138">
                  <c:v>4.7359999999999999E-2</c:v>
                </c:pt>
                <c:pt idx="139">
                  <c:v>4.7370000000000002E-2</c:v>
                </c:pt>
                <c:pt idx="140">
                  <c:v>4.6379999999999998E-2</c:v>
                </c:pt>
                <c:pt idx="141">
                  <c:v>4.6449999999999998E-2</c:v>
                </c:pt>
                <c:pt idx="142">
                  <c:v>4.6390000000000001E-2</c:v>
                </c:pt>
                <c:pt idx="143">
                  <c:v>4.6120000000000001E-2</c:v>
                </c:pt>
                <c:pt idx="144">
                  <c:v>4.5720000000000004E-2</c:v>
                </c:pt>
                <c:pt idx="145">
                  <c:v>4.5629999999999997E-2</c:v>
                </c:pt>
                <c:pt idx="146">
                  <c:v>4.5530000000000001E-2</c:v>
                </c:pt>
                <c:pt idx="147">
                  <c:v>4.5949999999999998E-2</c:v>
                </c:pt>
                <c:pt idx="148">
                  <c:v>4.6059999999999997E-2</c:v>
                </c:pt>
                <c:pt idx="149">
                  <c:v>4.623E-2</c:v>
                </c:pt>
                <c:pt idx="150">
                  <c:v>4.5720000000000004E-2</c:v>
                </c:pt>
                <c:pt idx="151">
                  <c:v>4.5759999999999995E-2</c:v>
                </c:pt>
                <c:pt idx="152">
                  <c:v>4.5869999999999994E-2</c:v>
                </c:pt>
                <c:pt idx="153">
                  <c:v>4.6519999999999999E-2</c:v>
                </c:pt>
                <c:pt idx="154">
                  <c:v>4.6210000000000001E-2</c:v>
                </c:pt>
                <c:pt idx="155">
                  <c:v>4.5919999999999996E-2</c:v>
                </c:pt>
                <c:pt idx="156">
                  <c:v>4.6059999999999997E-2</c:v>
                </c:pt>
                <c:pt idx="157">
                  <c:v>4.5960000000000001E-2</c:v>
                </c:pt>
                <c:pt idx="158">
                  <c:v>4.5759999999999995E-2</c:v>
                </c:pt>
                <c:pt idx="159">
                  <c:v>4.5039999999999997E-2</c:v>
                </c:pt>
                <c:pt idx="160">
                  <c:v>4.5380000000000004E-2</c:v>
                </c:pt>
                <c:pt idx="161">
                  <c:v>4.5419999999999995E-2</c:v>
                </c:pt>
                <c:pt idx="162">
                  <c:v>4.5030000000000001E-2</c:v>
                </c:pt>
                <c:pt idx="163">
                  <c:v>4.5589999999999999E-2</c:v>
                </c:pt>
                <c:pt idx="164">
                  <c:v>4.5410000000000006E-2</c:v>
                </c:pt>
                <c:pt idx="165">
                  <c:v>4.5259999999999995E-2</c:v>
                </c:pt>
                <c:pt idx="166">
                  <c:v>4.5199999999999997E-2</c:v>
                </c:pt>
                <c:pt idx="167">
                  <c:v>4.4909999999999999E-2</c:v>
                </c:pt>
                <c:pt idx="168">
                  <c:v>4.4909999999999999E-2</c:v>
                </c:pt>
                <c:pt idx="169">
                  <c:v>4.5060000000000003E-2</c:v>
                </c:pt>
                <c:pt idx="170">
                  <c:v>4.5170000000000002E-2</c:v>
                </c:pt>
                <c:pt idx="171">
                  <c:v>4.5370000000000001E-2</c:v>
                </c:pt>
                <c:pt idx="172">
                  <c:v>4.5490000000000003E-2</c:v>
                </c:pt>
                <c:pt idx="173">
                  <c:v>4.4889999999999999E-2</c:v>
                </c:pt>
                <c:pt idx="174">
                  <c:v>4.4839999999999998E-2</c:v>
                </c:pt>
                <c:pt idx="175">
                  <c:v>4.4109999999999996E-2</c:v>
                </c:pt>
                <c:pt idx="176">
                  <c:v>4.3560000000000001E-2</c:v>
                </c:pt>
                <c:pt idx="177">
                  <c:v>4.3739999999999994E-2</c:v>
                </c:pt>
                <c:pt idx="178">
                  <c:v>4.3990000000000001E-2</c:v>
                </c:pt>
                <c:pt idx="179">
                  <c:v>4.4389999999999999E-2</c:v>
                </c:pt>
                <c:pt idx="180">
                  <c:v>4.4330000000000001E-2</c:v>
                </c:pt>
                <c:pt idx="181">
                  <c:v>4.4130000000000003E-2</c:v>
                </c:pt>
                <c:pt idx="182">
                  <c:v>4.4770000000000004E-2</c:v>
                </c:pt>
                <c:pt idx="183">
                  <c:v>4.5280000000000008E-2</c:v>
                </c:pt>
                <c:pt idx="184">
                  <c:v>4.5899999999999996E-2</c:v>
                </c:pt>
                <c:pt idx="185">
                  <c:v>4.6059999999999997E-2</c:v>
                </c:pt>
                <c:pt idx="186">
                  <c:v>4.6109999999999998E-2</c:v>
                </c:pt>
                <c:pt idx="187">
                  <c:v>4.5710000000000001E-2</c:v>
                </c:pt>
                <c:pt idx="188">
                  <c:v>4.6300000000000001E-2</c:v>
                </c:pt>
                <c:pt idx="189">
                  <c:v>4.6249999999999999E-2</c:v>
                </c:pt>
                <c:pt idx="190">
                  <c:v>4.5789999999999997E-2</c:v>
                </c:pt>
                <c:pt idx="191">
                  <c:v>4.5720000000000004E-2</c:v>
                </c:pt>
                <c:pt idx="192">
                  <c:v>4.5540000000000004E-2</c:v>
                </c:pt>
                <c:pt idx="193">
                  <c:v>4.5749999999999999E-2</c:v>
                </c:pt>
                <c:pt idx="194">
                  <c:v>4.5240000000000002E-2</c:v>
                </c:pt>
                <c:pt idx="195">
                  <c:v>4.5850000000000002E-2</c:v>
                </c:pt>
                <c:pt idx="196">
                  <c:v>4.5809999999999997E-2</c:v>
                </c:pt>
                <c:pt idx="197">
                  <c:v>4.5530000000000001E-2</c:v>
                </c:pt>
                <c:pt idx="198">
                  <c:v>4.5759999999999995E-2</c:v>
                </c:pt>
                <c:pt idx="199">
                  <c:v>4.616E-2</c:v>
                </c:pt>
                <c:pt idx="200">
                  <c:v>4.6470000000000004E-2</c:v>
                </c:pt>
                <c:pt idx="201">
                  <c:v>4.6550000000000001E-2</c:v>
                </c:pt>
                <c:pt idx="202">
                  <c:v>4.6609999999999999E-2</c:v>
                </c:pt>
                <c:pt idx="203">
                  <c:v>4.6210000000000001E-2</c:v>
                </c:pt>
                <c:pt idx="204">
                  <c:v>4.5609999999999998E-2</c:v>
                </c:pt>
                <c:pt idx="205">
                  <c:v>4.4729999999999999E-2</c:v>
                </c:pt>
                <c:pt idx="206">
                  <c:v>4.4409999999999998E-2</c:v>
                </c:pt>
                <c:pt idx="207">
                  <c:v>4.446E-2</c:v>
                </c:pt>
                <c:pt idx="208">
                  <c:v>4.4000000000000004E-2</c:v>
                </c:pt>
                <c:pt idx="209">
                  <c:v>4.4050000000000006E-2</c:v>
                </c:pt>
                <c:pt idx="210">
                  <c:v>4.4229999999999998E-2</c:v>
                </c:pt>
                <c:pt idx="211">
                  <c:v>4.4180000000000004E-2</c:v>
                </c:pt>
                <c:pt idx="212">
                  <c:v>4.4359999999999997E-2</c:v>
                </c:pt>
                <c:pt idx="213">
                  <c:v>4.487E-2</c:v>
                </c:pt>
                <c:pt idx="214">
                  <c:v>4.4549999999999999E-2</c:v>
                </c:pt>
                <c:pt idx="215">
                  <c:v>4.4330000000000001E-2</c:v>
                </c:pt>
                <c:pt idx="216">
                  <c:v>4.4249999999999998E-2</c:v>
                </c:pt>
                <c:pt idx="217">
                  <c:v>4.437E-2</c:v>
                </c:pt>
                <c:pt idx="218">
                  <c:v>4.4139999999999999E-2</c:v>
                </c:pt>
                <c:pt idx="219">
                  <c:v>4.3920000000000001E-2</c:v>
                </c:pt>
                <c:pt idx="220">
                  <c:v>4.36E-2</c:v>
                </c:pt>
                <c:pt idx="221">
                  <c:v>4.367E-2</c:v>
                </c:pt>
                <c:pt idx="222">
                  <c:v>4.3970000000000002E-2</c:v>
                </c:pt>
                <c:pt idx="223">
                  <c:v>4.4139999999999999E-2</c:v>
                </c:pt>
                <c:pt idx="224">
                  <c:v>4.3929999999999997E-2</c:v>
                </c:pt>
                <c:pt idx="225">
                  <c:v>4.3929999999999997E-2</c:v>
                </c:pt>
                <c:pt idx="226">
                  <c:v>4.3440000000000006E-2</c:v>
                </c:pt>
                <c:pt idx="227">
                  <c:v>4.3570000000000005E-2</c:v>
                </c:pt>
                <c:pt idx="228">
                  <c:v>4.3380000000000002E-2</c:v>
                </c:pt>
                <c:pt idx="229">
                  <c:v>4.3390000000000005E-2</c:v>
                </c:pt>
                <c:pt idx="230">
                  <c:v>4.3609999999999996E-2</c:v>
                </c:pt>
                <c:pt idx="231">
                  <c:v>4.3739999999999994E-2</c:v>
                </c:pt>
                <c:pt idx="232">
                  <c:v>4.3970000000000002E-2</c:v>
                </c:pt>
                <c:pt idx="233">
                  <c:v>4.4640000000000006E-2</c:v>
                </c:pt>
                <c:pt idx="234">
                  <c:v>4.4260000000000001E-2</c:v>
                </c:pt>
                <c:pt idx="235">
                  <c:v>4.471E-2</c:v>
                </c:pt>
                <c:pt idx="236">
                  <c:v>4.4119999999999999E-2</c:v>
                </c:pt>
                <c:pt idx="237">
                  <c:v>4.3769999999999996E-2</c:v>
                </c:pt>
                <c:pt idx="238">
                  <c:v>4.3779999999999999E-2</c:v>
                </c:pt>
                <c:pt idx="239">
                  <c:v>4.4180000000000004E-2</c:v>
                </c:pt>
                <c:pt idx="240">
                  <c:v>4.5229999999999999E-2</c:v>
                </c:pt>
                <c:pt idx="241">
                  <c:v>4.58E-2</c:v>
                </c:pt>
                <c:pt idx="242">
                  <c:v>4.5629999999999997E-2</c:v>
                </c:pt>
                <c:pt idx="243">
                  <c:v>4.614E-2</c:v>
                </c:pt>
                <c:pt idx="244">
                  <c:v>4.6050000000000008E-2</c:v>
                </c:pt>
                <c:pt idx="245">
                  <c:v>4.6280000000000002E-2</c:v>
                </c:pt>
                <c:pt idx="246">
                  <c:v>4.6059999999999997E-2</c:v>
                </c:pt>
                <c:pt idx="247">
                  <c:v>4.5940000000000002E-2</c:v>
                </c:pt>
                <c:pt idx="248">
                  <c:v>4.5899999999999996E-2</c:v>
                </c:pt>
                <c:pt idx="249">
                  <c:v>4.5629999999999997E-2</c:v>
                </c:pt>
                <c:pt idx="250">
                  <c:v>4.623E-2</c:v>
                </c:pt>
                <c:pt idx="251">
                  <c:v>4.6310000000000004E-2</c:v>
                </c:pt>
                <c:pt idx="252">
                  <c:v>4.6620000000000002E-2</c:v>
                </c:pt>
                <c:pt idx="253">
                  <c:v>4.623E-2</c:v>
                </c:pt>
                <c:pt idx="254">
                  <c:v>4.6089999999999999E-2</c:v>
                </c:pt>
                <c:pt idx="255">
                  <c:v>4.4770000000000004E-2</c:v>
                </c:pt>
                <c:pt idx="256">
                  <c:v>4.4669999999999994E-2</c:v>
                </c:pt>
                <c:pt idx="257">
                  <c:v>4.4229999999999998E-2</c:v>
                </c:pt>
                <c:pt idx="258">
                  <c:v>4.4269999999999997E-2</c:v>
                </c:pt>
                <c:pt idx="259">
                  <c:v>4.4519999999999997E-2</c:v>
                </c:pt>
                <c:pt idx="260">
                  <c:v>4.3970000000000002E-2</c:v>
                </c:pt>
                <c:pt idx="261">
                  <c:v>4.41E-2</c:v>
                </c:pt>
                <c:pt idx="262">
                  <c:v>4.4130000000000003E-2</c:v>
                </c:pt>
                <c:pt idx="263">
                  <c:v>4.3700000000000003E-2</c:v>
                </c:pt>
                <c:pt idx="264">
                  <c:v>4.3440000000000006E-2</c:v>
                </c:pt>
                <c:pt idx="265">
                  <c:v>4.2950000000000002E-2</c:v>
                </c:pt>
                <c:pt idx="266">
                  <c:v>4.2839999999999996E-2</c:v>
                </c:pt>
                <c:pt idx="267">
                  <c:v>4.2750000000000003E-2</c:v>
                </c:pt>
                <c:pt idx="268">
                  <c:v>4.2389999999999997E-2</c:v>
                </c:pt>
                <c:pt idx="269">
                  <c:v>4.3220000000000001E-2</c:v>
                </c:pt>
                <c:pt idx="270">
                  <c:v>4.231E-2</c:v>
                </c:pt>
                <c:pt idx="271">
                  <c:v>4.3570000000000005E-2</c:v>
                </c:pt>
                <c:pt idx="272">
                  <c:v>4.3560000000000001E-2</c:v>
                </c:pt>
                <c:pt idx="273">
                  <c:v>4.3360000000000003E-2</c:v>
                </c:pt>
                <c:pt idx="274">
                  <c:v>4.3710000000000006E-2</c:v>
                </c:pt>
                <c:pt idx="275">
                  <c:v>4.3899999999999995E-2</c:v>
                </c:pt>
                <c:pt idx="276">
                  <c:v>4.2979999999999997E-2</c:v>
                </c:pt>
                <c:pt idx="277">
                  <c:v>4.2819999999999997E-2</c:v>
                </c:pt>
                <c:pt idx="278">
                  <c:v>4.2910000000000004E-2</c:v>
                </c:pt>
                <c:pt idx="279">
                  <c:v>4.2220000000000008E-2</c:v>
                </c:pt>
                <c:pt idx="280">
                  <c:v>4.2670000000000007E-2</c:v>
                </c:pt>
                <c:pt idx="281">
                  <c:v>4.2320000000000003E-2</c:v>
                </c:pt>
                <c:pt idx="282">
                  <c:v>4.215E-2</c:v>
                </c:pt>
                <c:pt idx="283">
                  <c:v>4.2290000000000001E-2</c:v>
                </c:pt>
                <c:pt idx="284">
                  <c:v>4.3179999999999996E-2</c:v>
                </c:pt>
                <c:pt idx="285">
                  <c:v>4.333E-2</c:v>
                </c:pt>
                <c:pt idx="286">
                  <c:v>4.3899999999999995E-2</c:v>
                </c:pt>
                <c:pt idx="287">
                  <c:v>4.3380000000000002E-2</c:v>
                </c:pt>
                <c:pt idx="288">
                  <c:v>4.3949999999999996E-2</c:v>
                </c:pt>
                <c:pt idx="289">
                  <c:v>4.3680000000000004E-2</c:v>
                </c:pt>
                <c:pt idx="290">
                  <c:v>4.3920000000000001E-2</c:v>
                </c:pt>
                <c:pt idx="291">
                  <c:v>4.3899999999999995E-2</c:v>
                </c:pt>
                <c:pt idx="292">
                  <c:v>4.3799999999999999E-2</c:v>
                </c:pt>
                <c:pt idx="293">
                  <c:v>4.3949999999999996E-2</c:v>
                </c:pt>
                <c:pt idx="294">
                  <c:v>4.4330000000000001E-2</c:v>
                </c:pt>
                <c:pt idx="295">
                  <c:v>4.446E-2</c:v>
                </c:pt>
                <c:pt idx="296">
                  <c:v>4.369E-2</c:v>
                </c:pt>
                <c:pt idx="297">
                  <c:v>4.249E-2</c:v>
                </c:pt>
                <c:pt idx="298">
                  <c:v>4.2279999999999998E-2</c:v>
                </c:pt>
                <c:pt idx="299">
                  <c:v>4.2099999999999999E-2</c:v>
                </c:pt>
                <c:pt idx="300">
                  <c:v>4.2900000000000001E-2</c:v>
                </c:pt>
                <c:pt idx="301">
                  <c:v>4.292E-2</c:v>
                </c:pt>
                <c:pt idx="302">
                  <c:v>4.3189999999999999E-2</c:v>
                </c:pt>
                <c:pt idx="303">
                  <c:v>4.2859999999999995E-2</c:v>
                </c:pt>
                <c:pt idx="304">
                  <c:v>4.3110000000000002E-2</c:v>
                </c:pt>
                <c:pt idx="305">
                  <c:v>4.3070000000000004E-2</c:v>
                </c:pt>
                <c:pt idx="306">
                  <c:v>4.2900000000000001E-2</c:v>
                </c:pt>
                <c:pt idx="307">
                  <c:v>4.2900000000000001E-2</c:v>
                </c:pt>
                <c:pt idx="308">
                  <c:v>4.2439999999999999E-2</c:v>
                </c:pt>
                <c:pt idx="309">
                  <c:v>4.3159999999999997E-2</c:v>
                </c:pt>
                <c:pt idx="310">
                  <c:v>4.2889999999999998E-2</c:v>
                </c:pt>
                <c:pt idx="311">
                  <c:v>4.2480000000000004E-2</c:v>
                </c:pt>
                <c:pt idx="312">
                  <c:v>4.3769999999999996E-2</c:v>
                </c:pt>
                <c:pt idx="313">
                  <c:v>4.3899999999999995E-2</c:v>
                </c:pt>
                <c:pt idx="314">
                  <c:v>4.428E-2</c:v>
                </c:pt>
                <c:pt idx="315">
                  <c:v>4.3970000000000002E-2</c:v>
                </c:pt>
                <c:pt idx="316">
                  <c:v>4.3819999999999998E-2</c:v>
                </c:pt>
                <c:pt idx="317">
                  <c:v>4.4180000000000004E-2</c:v>
                </c:pt>
                <c:pt idx="318">
                  <c:v>4.4199999999999996E-2</c:v>
                </c:pt>
                <c:pt idx="319">
                  <c:v>4.4199999999999996E-2</c:v>
                </c:pt>
                <c:pt idx="320">
                  <c:v>4.3929999999999997E-2</c:v>
                </c:pt>
                <c:pt idx="321">
                  <c:v>4.4400000000000002E-2</c:v>
                </c:pt>
                <c:pt idx="322">
                  <c:v>4.4409999999999998E-2</c:v>
                </c:pt>
                <c:pt idx="323">
                  <c:v>4.4330000000000001E-2</c:v>
                </c:pt>
                <c:pt idx="324">
                  <c:v>4.4269999999999997E-2</c:v>
                </c:pt>
                <c:pt idx="325">
                  <c:v>4.3700000000000003E-2</c:v>
                </c:pt>
                <c:pt idx="326">
                  <c:v>4.3520000000000003E-2</c:v>
                </c:pt>
                <c:pt idx="327">
                  <c:v>4.4059999999999995E-2</c:v>
                </c:pt>
                <c:pt idx="328">
                  <c:v>4.4749999999999998E-2</c:v>
                </c:pt>
                <c:pt idx="329">
                  <c:v>4.5259999999999995E-2</c:v>
                </c:pt>
                <c:pt idx="330">
                  <c:v>4.5780000000000001E-2</c:v>
                </c:pt>
                <c:pt idx="331">
                  <c:v>4.5490000000000003E-2</c:v>
                </c:pt>
                <c:pt idx="332">
                  <c:v>4.5670000000000002E-2</c:v>
                </c:pt>
                <c:pt idx="333">
                  <c:v>4.5759999999999995E-2</c:v>
                </c:pt>
                <c:pt idx="334">
                  <c:v>4.598E-2</c:v>
                </c:pt>
                <c:pt idx="335">
                  <c:v>4.6089999999999999E-2</c:v>
                </c:pt>
                <c:pt idx="336">
                  <c:v>4.6199999999999998E-2</c:v>
                </c:pt>
                <c:pt idx="337">
                  <c:v>4.564E-2</c:v>
                </c:pt>
                <c:pt idx="338">
                  <c:v>4.548E-2</c:v>
                </c:pt>
                <c:pt idx="339">
                  <c:v>4.6059999999999997E-2</c:v>
                </c:pt>
                <c:pt idx="340">
                  <c:v>4.5830000000000003E-2</c:v>
                </c:pt>
                <c:pt idx="341">
                  <c:v>4.5510000000000002E-2</c:v>
                </c:pt>
                <c:pt idx="342">
                  <c:v>4.5929999999999999E-2</c:v>
                </c:pt>
                <c:pt idx="343">
                  <c:v>4.5080000000000002E-2</c:v>
                </c:pt>
                <c:pt idx="344">
                  <c:v>4.4409999999999998E-2</c:v>
                </c:pt>
                <c:pt idx="345">
                  <c:v>4.4569999999999999E-2</c:v>
                </c:pt>
                <c:pt idx="346">
                  <c:v>4.5240000000000002E-2</c:v>
                </c:pt>
                <c:pt idx="347">
                  <c:v>4.6089999999999999E-2</c:v>
                </c:pt>
                <c:pt idx="348">
                  <c:v>4.6359999999999998E-2</c:v>
                </c:pt>
                <c:pt idx="349">
                  <c:v>4.5869999999999994E-2</c:v>
                </c:pt>
                <c:pt idx="350">
                  <c:v>4.6170000000000003E-2</c:v>
                </c:pt>
                <c:pt idx="351">
                  <c:v>4.5909999999999999E-2</c:v>
                </c:pt>
                <c:pt idx="352">
                  <c:v>4.6550000000000001E-2</c:v>
                </c:pt>
                <c:pt idx="353">
                  <c:v>4.6850000000000003E-2</c:v>
                </c:pt>
                <c:pt idx="354">
                  <c:v>4.6660000000000007E-2</c:v>
                </c:pt>
                <c:pt idx="355">
                  <c:v>4.6719999999999998E-2</c:v>
                </c:pt>
                <c:pt idx="356">
                  <c:v>4.6890000000000001E-2</c:v>
                </c:pt>
                <c:pt idx="357">
                  <c:v>4.7320000000000001E-2</c:v>
                </c:pt>
                <c:pt idx="358">
                  <c:v>4.8140000000000002E-2</c:v>
                </c:pt>
                <c:pt idx="359">
                  <c:v>4.7880000000000006E-2</c:v>
                </c:pt>
                <c:pt idx="360">
                  <c:v>4.7530000000000003E-2</c:v>
                </c:pt>
                <c:pt idx="361">
                  <c:v>4.8010000000000004E-2</c:v>
                </c:pt>
                <c:pt idx="362">
                  <c:v>4.7759999999999997E-2</c:v>
                </c:pt>
                <c:pt idx="363">
                  <c:v>4.8379999999999999E-2</c:v>
                </c:pt>
                <c:pt idx="364">
                  <c:v>4.8070000000000002E-2</c:v>
                </c:pt>
                <c:pt idx="365">
                  <c:v>4.8770000000000001E-2</c:v>
                </c:pt>
                <c:pt idx="366">
                  <c:v>4.9249999999999995E-2</c:v>
                </c:pt>
                <c:pt idx="367">
                  <c:v>4.9660000000000003E-2</c:v>
                </c:pt>
                <c:pt idx="368">
                  <c:v>5.0039999999999994E-2</c:v>
                </c:pt>
                <c:pt idx="369">
                  <c:v>5.0620000000000005E-2</c:v>
                </c:pt>
                <c:pt idx="370">
                  <c:v>5.0469999999999994E-2</c:v>
                </c:pt>
                <c:pt idx="371">
                  <c:v>5.0199999999999995E-2</c:v>
                </c:pt>
                <c:pt idx="372">
                  <c:v>4.8919328859060404E-2</c:v>
                </c:pt>
                <c:pt idx="373">
                  <c:v>4.9595033557046982E-2</c:v>
                </c:pt>
                <c:pt idx="374">
                  <c:v>4.9222751677852353E-2</c:v>
                </c:pt>
                <c:pt idx="375">
                  <c:v>4.9130033557046981E-2</c:v>
                </c:pt>
                <c:pt idx="376">
                  <c:v>4.9004563758389262E-2</c:v>
                </c:pt>
                <c:pt idx="377">
                  <c:v>4.9106442953020135E-2</c:v>
                </c:pt>
                <c:pt idx="378">
                  <c:v>4.8221342281879194E-2</c:v>
                </c:pt>
                <c:pt idx="379">
                  <c:v>4.8543926174496647E-2</c:v>
                </c:pt>
                <c:pt idx="380">
                  <c:v>4.9490536912751681E-2</c:v>
                </c:pt>
                <c:pt idx="381">
                  <c:v>4.9478557046979871E-2</c:v>
                </c:pt>
                <c:pt idx="382">
                  <c:v>4.966711409395972E-2</c:v>
                </c:pt>
                <c:pt idx="383">
                  <c:v>4.8676140939597309E-2</c:v>
                </c:pt>
                <c:pt idx="384">
                  <c:v>4.8187583892617444E-2</c:v>
                </c:pt>
                <c:pt idx="385">
                  <c:v>4.8157718120805368E-2</c:v>
                </c:pt>
                <c:pt idx="386">
                  <c:v>4.7432214765100671E-2</c:v>
                </c:pt>
                <c:pt idx="387">
                  <c:v>4.9139999999999996E-2</c:v>
                </c:pt>
                <c:pt idx="388">
                  <c:v>5.2773758389261738E-2</c:v>
                </c:pt>
                <c:pt idx="389">
                  <c:v>4.9269999999999994E-2</c:v>
                </c:pt>
                <c:pt idx="390">
                  <c:v>4.9059999999999999E-2</c:v>
                </c:pt>
                <c:pt idx="391">
                  <c:v>4.7625402684563757E-2</c:v>
                </c:pt>
                <c:pt idx="392">
                  <c:v>4.819617449664429E-2</c:v>
                </c:pt>
                <c:pt idx="393">
                  <c:v>4.8801610738255036E-2</c:v>
                </c:pt>
                <c:pt idx="394">
                  <c:v>4.9933624161073824E-2</c:v>
                </c:pt>
                <c:pt idx="395">
                  <c:v>5.0323020134228187E-2</c:v>
                </c:pt>
                <c:pt idx="396">
                  <c:v>5.0444362416107384E-2</c:v>
                </c:pt>
                <c:pt idx="397">
                  <c:v>5.0314429530201342E-2</c:v>
                </c:pt>
                <c:pt idx="398">
                  <c:v>4.9572013422818785E-2</c:v>
                </c:pt>
                <c:pt idx="399">
                  <c:v>5.0146275167785241E-2</c:v>
                </c:pt>
                <c:pt idx="400">
                  <c:v>4.9157852348993288E-2</c:v>
                </c:pt>
                <c:pt idx="401">
                  <c:v>4.8684999999999999E-2</c:v>
                </c:pt>
                <c:pt idx="402">
                  <c:v>4.8012684563758387E-2</c:v>
                </c:pt>
                <c:pt idx="403">
                  <c:v>4.7480067114093964E-2</c:v>
                </c:pt>
                <c:pt idx="404">
                  <c:v>4.7472214765100676E-2</c:v>
                </c:pt>
                <c:pt idx="405">
                  <c:v>4.7381610738255038E-2</c:v>
                </c:pt>
                <c:pt idx="406">
                  <c:v>4.7126107382550339E-2</c:v>
                </c:pt>
                <c:pt idx="407">
                  <c:v>4.7200402684563762E-2</c:v>
                </c:pt>
                <c:pt idx="408">
                  <c:v>4.6364999999999996E-2</c:v>
                </c:pt>
                <c:pt idx="409">
                  <c:v>4.6329463087248321E-2</c:v>
                </c:pt>
                <c:pt idx="410">
                  <c:v>4.6445939597315439E-2</c:v>
                </c:pt>
                <c:pt idx="411">
                  <c:v>4.6050134228187919E-2</c:v>
                </c:pt>
                <c:pt idx="412">
                  <c:v>4.594043624161074E-2</c:v>
                </c:pt>
                <c:pt idx="413">
                  <c:v>4.5916241610738255E-2</c:v>
                </c:pt>
                <c:pt idx="414">
                  <c:v>4.5585838926174495E-2</c:v>
                </c:pt>
                <c:pt idx="415">
                  <c:v>4.538040268456376E-2</c:v>
                </c:pt>
                <c:pt idx="416">
                  <c:v>4.5679832214765098E-2</c:v>
                </c:pt>
                <c:pt idx="417">
                  <c:v>4.526328859060403E-2</c:v>
                </c:pt>
                <c:pt idx="418">
                  <c:v>4.5915570469798661E-2</c:v>
                </c:pt>
                <c:pt idx="419">
                  <c:v>4.625758389261745E-2</c:v>
                </c:pt>
                <c:pt idx="420">
                  <c:v>4.5399832214765103E-2</c:v>
                </c:pt>
                <c:pt idx="421">
                  <c:v>4.5201476510067111E-2</c:v>
                </c:pt>
                <c:pt idx="422">
                  <c:v>4.5689630872483226E-2</c:v>
                </c:pt>
                <c:pt idx="423">
                  <c:v>4.5790604026845642E-2</c:v>
                </c:pt>
                <c:pt idx="424">
                  <c:v>4.5876711409395969E-2</c:v>
                </c:pt>
                <c:pt idx="425">
                  <c:v>4.5277818791946312E-2</c:v>
                </c:pt>
                <c:pt idx="426">
                  <c:v>4.5235033557046986E-2</c:v>
                </c:pt>
                <c:pt idx="427">
                  <c:v>4.5409832214765099E-2</c:v>
                </c:pt>
                <c:pt idx="428">
                  <c:v>4.4726711409395978E-2</c:v>
                </c:pt>
                <c:pt idx="429">
                  <c:v>4.4658087248322147E-2</c:v>
                </c:pt>
                <c:pt idx="430">
                  <c:v>4.4905838926174502E-2</c:v>
                </c:pt>
                <c:pt idx="431">
                  <c:v>4.4850201342281883E-2</c:v>
                </c:pt>
                <c:pt idx="432">
                  <c:v>4.5247583892617446E-2</c:v>
                </c:pt>
                <c:pt idx="433">
                  <c:v>4.5671208053691278E-2</c:v>
                </c:pt>
                <c:pt idx="434">
                  <c:v>4.6382684563758388E-2</c:v>
                </c:pt>
                <c:pt idx="435">
                  <c:v>4.5359463087248322E-2</c:v>
                </c:pt>
                <c:pt idx="436">
                  <c:v>4.559825503355705E-2</c:v>
                </c:pt>
                <c:pt idx="437">
                  <c:v>4.5587080536912745E-2</c:v>
                </c:pt>
                <c:pt idx="438">
                  <c:v>4.6601275167785235E-2</c:v>
                </c:pt>
                <c:pt idx="439">
                  <c:v>4.7786610738255034E-2</c:v>
                </c:pt>
                <c:pt idx="440">
                  <c:v>4.808241610738255E-2</c:v>
                </c:pt>
                <c:pt idx="441">
                  <c:v>4.791093959731544E-2</c:v>
                </c:pt>
                <c:pt idx="442">
                  <c:v>4.7196979865771808E-2</c:v>
                </c:pt>
                <c:pt idx="443">
                  <c:v>4.7806073825503351E-2</c:v>
                </c:pt>
                <c:pt idx="444">
                  <c:v>4.7353489932885899E-2</c:v>
                </c:pt>
                <c:pt idx="445">
                  <c:v>4.5787986577181208E-2</c:v>
                </c:pt>
                <c:pt idx="446">
                  <c:v>4.6711140939597315E-2</c:v>
                </c:pt>
                <c:pt idx="447">
                  <c:v>4.6248859060402686E-2</c:v>
                </c:pt>
                <c:pt idx="448">
                  <c:v>4.5510000000000002E-2</c:v>
                </c:pt>
                <c:pt idx="449">
                  <c:v>4.5076409395973148E-2</c:v>
                </c:pt>
                <c:pt idx="450">
                  <c:v>4.3856107382550337E-2</c:v>
                </c:pt>
                <c:pt idx="451">
                  <c:v>4.3549060402684567E-2</c:v>
                </c:pt>
                <c:pt idx="452">
                  <c:v>4.4488993288590607E-2</c:v>
                </c:pt>
                <c:pt idx="453">
                  <c:v>4.5046610738255034E-2</c:v>
                </c:pt>
                <c:pt idx="454">
                  <c:v>4.7211409395973153E-2</c:v>
                </c:pt>
                <c:pt idx="455">
                  <c:v>4.774127516778523E-2</c:v>
                </c:pt>
                <c:pt idx="456">
                  <c:v>4.7148523489932884E-2</c:v>
                </c:pt>
                <c:pt idx="457">
                  <c:v>4.6234999999999998E-2</c:v>
                </c:pt>
                <c:pt idx="458">
                  <c:v>4.5856577181208051E-2</c:v>
                </c:pt>
                <c:pt idx="459">
                  <c:v>4.5321107382550331E-2</c:v>
                </c:pt>
                <c:pt idx="460">
                  <c:v>4.5146644295302012E-2</c:v>
                </c:pt>
                <c:pt idx="461">
                  <c:v>4.451395973154363E-2</c:v>
                </c:pt>
                <c:pt idx="462">
                  <c:v>4.367154362416107E-2</c:v>
                </c:pt>
                <c:pt idx="463">
                  <c:v>4.4658523489932885E-2</c:v>
                </c:pt>
                <c:pt idx="464">
                  <c:v>4.5291744966442955E-2</c:v>
                </c:pt>
                <c:pt idx="465">
                  <c:v>4.5633993288590607E-2</c:v>
                </c:pt>
                <c:pt idx="466">
                  <c:v>4.5688187919463087E-2</c:v>
                </c:pt>
                <c:pt idx="467">
                  <c:v>4.6220503355704698E-2</c:v>
                </c:pt>
                <c:pt idx="468">
                  <c:v>4.6402550335570468E-2</c:v>
                </c:pt>
                <c:pt idx="469">
                  <c:v>4.8037986577181203E-2</c:v>
                </c:pt>
                <c:pt idx="470">
                  <c:v>4.736694630872483E-2</c:v>
                </c:pt>
                <c:pt idx="471">
                  <c:v>4.7275906040268455E-2</c:v>
                </c:pt>
                <c:pt idx="472">
                  <c:v>4.6797785234899331E-2</c:v>
                </c:pt>
                <c:pt idx="473">
                  <c:v>4.6144697986577173E-2</c:v>
                </c:pt>
                <c:pt idx="474">
                  <c:v>4.5357013422818789E-2</c:v>
                </c:pt>
                <c:pt idx="475">
                  <c:v>4.5128657718120808E-2</c:v>
                </c:pt>
                <c:pt idx="476">
                  <c:v>4.5238590604026845E-2</c:v>
                </c:pt>
                <c:pt idx="477">
                  <c:v>4.4686442953020135E-2</c:v>
                </c:pt>
                <c:pt idx="478">
                  <c:v>4.522114093959731E-2</c:v>
                </c:pt>
                <c:pt idx="479">
                  <c:v>4.4863154362416099E-2</c:v>
                </c:pt>
                <c:pt idx="480">
                  <c:v>4.491442953020134E-2</c:v>
                </c:pt>
                <c:pt idx="481">
                  <c:v>4.5101879194630871E-2</c:v>
                </c:pt>
                <c:pt idx="482">
                  <c:v>4.440140939597316E-2</c:v>
                </c:pt>
                <c:pt idx="483">
                  <c:v>4.3298926174496648E-2</c:v>
                </c:pt>
                <c:pt idx="484">
                  <c:v>4.3460234899328862E-2</c:v>
                </c:pt>
                <c:pt idx="485">
                  <c:v>4.4248389261744965E-2</c:v>
                </c:pt>
                <c:pt idx="486">
                  <c:v>4.3155536912751681E-2</c:v>
                </c:pt>
                <c:pt idx="487">
                  <c:v>4.3041812080536916E-2</c:v>
                </c:pt>
                <c:pt idx="488">
                  <c:v>4.3426812080536913E-2</c:v>
                </c:pt>
                <c:pt idx="489">
                  <c:v>4.4007046979865773E-2</c:v>
                </c:pt>
                <c:pt idx="490">
                  <c:v>4.3425838926174506E-2</c:v>
                </c:pt>
                <c:pt idx="491">
                  <c:v>4.3061744966442959E-2</c:v>
                </c:pt>
                <c:pt idx="492">
                  <c:v>4.2808087248322149E-2</c:v>
                </c:pt>
                <c:pt idx="493">
                  <c:v>4.578013422818792E-2</c:v>
                </c:pt>
                <c:pt idx="494">
                  <c:v>4.5254697986577178E-2</c:v>
                </c:pt>
                <c:pt idx="495">
                  <c:v>4.6299932885906038E-2</c:v>
                </c:pt>
                <c:pt idx="496">
                  <c:v>4.6963456375838923E-2</c:v>
                </c:pt>
                <c:pt idx="497">
                  <c:v>4.7045906040268468E-2</c:v>
                </c:pt>
                <c:pt idx="498">
                  <c:v>4.0010000000000004E-2</c:v>
                </c:pt>
                <c:pt idx="499">
                  <c:v>4.5620000000000001E-2</c:v>
                </c:pt>
                <c:pt idx="500">
                  <c:v>4.5780000000000001E-2</c:v>
                </c:pt>
                <c:pt idx="501">
                  <c:v>4.5386577181208053E-2</c:v>
                </c:pt>
                <c:pt idx="502">
                  <c:v>4.4169429530201344E-2</c:v>
                </c:pt>
                <c:pt idx="503">
                  <c:v>4.4117114093959735E-2</c:v>
                </c:pt>
                <c:pt idx="504">
                  <c:v>4.520577181208054E-2</c:v>
                </c:pt>
                <c:pt idx="505">
                  <c:v>4.5536510067114094E-2</c:v>
                </c:pt>
                <c:pt idx="506">
                  <c:v>4.4961778523489933E-2</c:v>
                </c:pt>
                <c:pt idx="507">
                  <c:v>4.5018657718120803E-2</c:v>
                </c:pt>
                <c:pt idx="508">
                  <c:v>4.3759932885906044E-2</c:v>
                </c:pt>
                <c:pt idx="509">
                  <c:v>4.4279127516778524E-2</c:v>
                </c:pt>
                <c:pt idx="510">
                  <c:v>4.4328255033557043E-2</c:v>
                </c:pt>
                <c:pt idx="511">
                  <c:v>4.4017986577181201E-2</c:v>
                </c:pt>
                <c:pt idx="512">
                  <c:v>4.4706308724832215E-2</c:v>
                </c:pt>
                <c:pt idx="513">
                  <c:v>4.609489932885906E-2</c:v>
                </c:pt>
                <c:pt idx="514">
                  <c:v>4.6115939597315442E-2</c:v>
                </c:pt>
                <c:pt idx="515">
                  <c:v>4.5384295302013419E-2</c:v>
                </c:pt>
                <c:pt idx="516">
                  <c:v>4.4509194630872481E-2</c:v>
                </c:pt>
                <c:pt idx="517">
                  <c:v>4.4290201342281878E-2</c:v>
                </c:pt>
                <c:pt idx="518">
                  <c:v>4.4415234899328852E-2</c:v>
                </c:pt>
                <c:pt idx="519">
                  <c:v>4.4198590604026845E-2</c:v>
                </c:pt>
                <c:pt idx="520">
                  <c:v>4.4548020134228192E-2</c:v>
                </c:pt>
                <c:pt idx="521">
                  <c:v>4.5821543624161076E-2</c:v>
                </c:pt>
                <c:pt idx="522">
                  <c:v>4.622006711409396E-2</c:v>
                </c:pt>
                <c:pt idx="523">
                  <c:v>4.6379328859060404E-2</c:v>
                </c:pt>
                <c:pt idx="524">
                  <c:v>4.634375838926174E-2</c:v>
                </c:pt>
                <c:pt idx="525">
                  <c:v>4.80610067114094E-2</c:v>
                </c:pt>
                <c:pt idx="526">
                  <c:v>4.8952885906040272E-2</c:v>
                </c:pt>
                <c:pt idx="527">
                  <c:v>5.0406510067114094E-2</c:v>
                </c:pt>
                <c:pt idx="528">
                  <c:v>5.0678590604026838E-2</c:v>
                </c:pt>
                <c:pt idx="529">
                  <c:v>5.078255033557047E-2</c:v>
                </c:pt>
                <c:pt idx="530">
                  <c:v>5.0568724832214765E-2</c:v>
                </c:pt>
                <c:pt idx="531">
                  <c:v>5.0674697986577179E-2</c:v>
                </c:pt>
                <c:pt idx="532">
                  <c:v>5.0601140939597312E-2</c:v>
                </c:pt>
                <c:pt idx="533">
                  <c:v>5.0802651006711413E-2</c:v>
                </c:pt>
                <c:pt idx="534">
                  <c:v>4.917060402684563E-2</c:v>
                </c:pt>
                <c:pt idx="535">
                  <c:v>4.8780604026845635E-2</c:v>
                </c:pt>
                <c:pt idx="536">
                  <c:v>5.0010000000000006E-2</c:v>
                </c:pt>
                <c:pt idx="537">
                  <c:v>4.9509999999999998E-2</c:v>
                </c:pt>
                <c:pt idx="538">
                  <c:v>4.8659999999999995E-2</c:v>
                </c:pt>
                <c:pt idx="539">
                  <c:v>4.854E-2</c:v>
                </c:pt>
                <c:pt idx="540">
                  <c:v>4.8219999999999999E-2</c:v>
                </c:pt>
                <c:pt idx="541">
                  <c:v>4.8750000000000002E-2</c:v>
                </c:pt>
                <c:pt idx="542">
                  <c:v>4.8730000000000002E-2</c:v>
                </c:pt>
                <c:pt idx="543">
                  <c:v>4.7910000000000001E-2</c:v>
                </c:pt>
                <c:pt idx="544">
                  <c:v>4.7990000000000005E-2</c:v>
                </c:pt>
                <c:pt idx="545">
                  <c:v>4.8629999999999993E-2</c:v>
                </c:pt>
                <c:pt idx="546">
                  <c:v>4.7750000000000001E-2</c:v>
                </c:pt>
                <c:pt idx="547">
                  <c:v>4.7750000000000001E-2</c:v>
                </c:pt>
                <c:pt idx="548">
                  <c:v>4.7309999999999998E-2</c:v>
                </c:pt>
                <c:pt idx="549">
                  <c:v>4.7149999999999997E-2</c:v>
                </c:pt>
                <c:pt idx="550">
                  <c:v>4.8440000000000004E-2</c:v>
                </c:pt>
                <c:pt idx="551">
                  <c:v>4.8239999999999998E-2</c:v>
                </c:pt>
                <c:pt idx="552">
                  <c:v>4.7379999999999999E-2</c:v>
                </c:pt>
                <c:pt idx="553">
                  <c:v>4.7640000000000002E-2</c:v>
                </c:pt>
                <c:pt idx="554">
                  <c:v>4.8250000000000001E-2</c:v>
                </c:pt>
                <c:pt idx="555">
                  <c:v>4.6809999999999997E-2</c:v>
                </c:pt>
                <c:pt idx="556">
                  <c:v>4.6170000000000003E-2</c:v>
                </c:pt>
                <c:pt idx="557">
                  <c:v>4.6370000000000001E-2</c:v>
                </c:pt>
                <c:pt idx="558">
                  <c:v>4.6809999999999997E-2</c:v>
                </c:pt>
                <c:pt idx="559">
                  <c:v>4.759E-2</c:v>
                </c:pt>
                <c:pt idx="560">
                  <c:v>4.7009999999999996E-2</c:v>
                </c:pt>
                <c:pt idx="561">
                  <c:v>4.7419999999999997E-2</c:v>
                </c:pt>
                <c:pt idx="562">
                  <c:v>4.7960000000000003E-2</c:v>
                </c:pt>
                <c:pt idx="563">
                  <c:v>4.8090000000000001E-2</c:v>
                </c:pt>
                <c:pt idx="564">
                  <c:v>4.8550000000000003E-2</c:v>
                </c:pt>
                <c:pt idx="565">
                  <c:v>4.7059999999999998E-2</c:v>
                </c:pt>
                <c:pt idx="566">
                  <c:v>4.6429999999999999E-2</c:v>
                </c:pt>
                <c:pt idx="567">
                  <c:v>4.6790000000000005E-2</c:v>
                </c:pt>
                <c:pt idx="568">
                  <c:v>4.7359999999999999E-2</c:v>
                </c:pt>
                <c:pt idx="569">
                  <c:v>4.7820000000000001E-2</c:v>
                </c:pt>
                <c:pt idx="570">
                  <c:v>4.768E-2</c:v>
                </c:pt>
                <c:pt idx="571">
                  <c:v>4.7259999999999996E-2</c:v>
                </c:pt>
                <c:pt idx="572">
                  <c:v>4.6429999999999999E-2</c:v>
                </c:pt>
                <c:pt idx="573">
                  <c:v>4.6349999999999995E-2</c:v>
                </c:pt>
                <c:pt idx="574">
                  <c:v>4.6340000000000006E-2</c:v>
                </c:pt>
                <c:pt idx="575">
                  <c:v>4.7910000000000001E-2</c:v>
                </c:pt>
                <c:pt idx="576">
                  <c:v>4.793E-2</c:v>
                </c:pt>
                <c:pt idx="577">
                  <c:v>4.7880000000000006E-2</c:v>
                </c:pt>
                <c:pt idx="578">
                  <c:v>4.7980000000000002E-2</c:v>
                </c:pt>
                <c:pt idx="579">
                  <c:v>4.8079999999999998E-2</c:v>
                </c:pt>
                <c:pt idx="580">
                  <c:v>4.8280000000000003E-2</c:v>
                </c:pt>
                <c:pt idx="581">
                  <c:v>4.7830000000000004E-2</c:v>
                </c:pt>
                <c:pt idx="582">
                  <c:v>4.759E-2</c:v>
                </c:pt>
                <c:pt idx="583">
                  <c:v>4.777E-2</c:v>
                </c:pt>
                <c:pt idx="584">
                  <c:v>4.8620000000000003E-2</c:v>
                </c:pt>
                <c:pt idx="585">
                  <c:v>4.7670000000000004E-2</c:v>
                </c:pt>
                <c:pt idx="586">
                  <c:v>4.7889999999999995E-2</c:v>
                </c:pt>
                <c:pt idx="587">
                  <c:v>4.8339999999999994E-2</c:v>
                </c:pt>
                <c:pt idx="588">
                  <c:v>4.8250000000000001E-2</c:v>
                </c:pt>
                <c:pt idx="589">
                  <c:v>4.8120000000000003E-2</c:v>
                </c:pt>
                <c:pt idx="590">
                  <c:v>4.795E-2</c:v>
                </c:pt>
                <c:pt idx="591">
                  <c:v>4.7710000000000002E-2</c:v>
                </c:pt>
                <c:pt idx="592">
                  <c:v>4.7480000000000001E-2</c:v>
                </c:pt>
                <c:pt idx="593">
                  <c:v>4.7969999999999999E-2</c:v>
                </c:pt>
                <c:pt idx="594">
                  <c:v>4.8399999999999999E-2</c:v>
                </c:pt>
                <c:pt idx="595">
                  <c:v>4.7579999999999997E-2</c:v>
                </c:pt>
                <c:pt idx="596">
                  <c:v>4.7370000000000002E-2</c:v>
                </c:pt>
                <c:pt idx="597">
                  <c:v>4.8469999999999992E-2</c:v>
                </c:pt>
                <c:pt idx="598">
                  <c:v>4.82E-2</c:v>
                </c:pt>
                <c:pt idx="599">
                  <c:v>4.7289999999999999E-2</c:v>
                </c:pt>
                <c:pt idx="600">
                  <c:v>4.7129999999999998E-2</c:v>
                </c:pt>
                <c:pt idx="601">
                  <c:v>4.6559999999999997E-2</c:v>
                </c:pt>
                <c:pt idx="602">
                  <c:v>4.6539999999999998E-2</c:v>
                </c:pt>
                <c:pt idx="603">
                  <c:v>4.7030000000000002E-2</c:v>
                </c:pt>
                <c:pt idx="604">
                  <c:v>4.6580000000000003E-2</c:v>
                </c:pt>
                <c:pt idx="605">
                  <c:v>4.7320000000000001E-2</c:v>
                </c:pt>
                <c:pt idx="606">
                  <c:v>4.7289999999999999E-2</c:v>
                </c:pt>
                <c:pt idx="607">
                  <c:v>4.7240000000000004E-2</c:v>
                </c:pt>
                <c:pt idx="608">
                  <c:v>4.7869999999999996E-2</c:v>
                </c:pt>
                <c:pt idx="609">
                  <c:v>4.8300000000000003E-2</c:v>
                </c:pt>
                <c:pt idx="610">
                  <c:v>4.854E-2</c:v>
                </c:pt>
                <c:pt idx="611">
                  <c:v>4.8300000000000003E-2</c:v>
                </c:pt>
                <c:pt idx="612">
                  <c:v>4.8760000000000005E-2</c:v>
                </c:pt>
                <c:pt idx="613">
                  <c:v>4.8320000000000002E-2</c:v>
                </c:pt>
                <c:pt idx="614">
                  <c:v>4.8620000000000003E-2</c:v>
                </c:pt>
                <c:pt idx="615">
                  <c:v>4.8680000000000001E-2</c:v>
                </c:pt>
                <c:pt idx="616">
                  <c:v>4.7990000000000005E-2</c:v>
                </c:pt>
                <c:pt idx="617">
                  <c:v>4.913E-2</c:v>
                </c:pt>
                <c:pt idx="618">
                  <c:v>4.999E-2</c:v>
                </c:pt>
                <c:pt idx="619">
                  <c:v>4.929E-2</c:v>
                </c:pt>
                <c:pt idx="620">
                  <c:v>4.8959999999999997E-2</c:v>
                </c:pt>
                <c:pt idx="621">
                  <c:v>4.9259999999999998E-2</c:v>
                </c:pt>
                <c:pt idx="622">
                  <c:v>4.9080000000000006E-2</c:v>
                </c:pt>
                <c:pt idx="623">
                  <c:v>4.8239999999999998E-2</c:v>
                </c:pt>
                <c:pt idx="624">
                  <c:v>4.657E-2</c:v>
                </c:pt>
                <c:pt idx="625">
                  <c:v>4.623E-2</c:v>
                </c:pt>
                <c:pt idx="626">
                  <c:v>4.5960000000000001E-2</c:v>
                </c:pt>
                <c:pt idx="627">
                  <c:v>4.6530000000000002E-2</c:v>
                </c:pt>
                <c:pt idx="628">
                  <c:v>4.5359999999999998E-2</c:v>
                </c:pt>
                <c:pt idx="629">
                  <c:v>4.5010000000000001E-2</c:v>
                </c:pt>
                <c:pt idx="630">
                  <c:v>4.514E-2</c:v>
                </c:pt>
                <c:pt idx="631">
                  <c:v>4.4960000000000007E-2</c:v>
                </c:pt>
                <c:pt idx="632">
                  <c:v>4.4420000000000001E-2</c:v>
                </c:pt>
                <c:pt idx="633">
                  <c:v>4.4069999999999998E-2</c:v>
                </c:pt>
                <c:pt idx="634">
                  <c:v>4.4069999999999998E-2</c:v>
                </c:pt>
                <c:pt idx="635">
                  <c:v>4.4010000000000001E-2</c:v>
                </c:pt>
                <c:pt idx="636">
                  <c:v>4.3899999999999995E-2</c:v>
                </c:pt>
                <c:pt idx="637">
                  <c:v>4.3369999999999999E-2</c:v>
                </c:pt>
                <c:pt idx="638">
                  <c:v>4.3459999999999999E-2</c:v>
                </c:pt>
                <c:pt idx="639">
                  <c:v>4.2869999999999998E-2</c:v>
                </c:pt>
                <c:pt idx="640">
                  <c:v>4.2979999999999997E-2</c:v>
                </c:pt>
                <c:pt idx="641">
                  <c:v>4.2950000000000002E-2</c:v>
                </c:pt>
                <c:pt idx="642">
                  <c:v>4.3189999999999999E-2</c:v>
                </c:pt>
                <c:pt idx="643">
                  <c:v>4.2819999999999997E-2</c:v>
                </c:pt>
                <c:pt idx="644">
                  <c:v>4.299E-2</c:v>
                </c:pt>
                <c:pt idx="645">
                  <c:v>4.3560000000000001E-2</c:v>
                </c:pt>
                <c:pt idx="646">
                  <c:v>4.335E-2</c:v>
                </c:pt>
                <c:pt idx="647">
                  <c:v>4.3099999999999999E-2</c:v>
                </c:pt>
                <c:pt idx="648">
                  <c:v>4.3579999999999994E-2</c:v>
                </c:pt>
                <c:pt idx="649">
                  <c:v>4.3390000000000005E-2</c:v>
                </c:pt>
                <c:pt idx="650">
                  <c:v>4.2910000000000004E-2</c:v>
                </c:pt>
                <c:pt idx="651">
                  <c:v>4.2930000000000003E-2</c:v>
                </c:pt>
                <c:pt idx="652">
                  <c:v>4.3490000000000001E-2</c:v>
                </c:pt>
                <c:pt idx="653">
                  <c:v>4.3579999999999994E-2</c:v>
                </c:pt>
                <c:pt idx="654">
                  <c:v>4.3870000000000006E-2</c:v>
                </c:pt>
                <c:pt idx="655">
                  <c:v>4.299E-2</c:v>
                </c:pt>
                <c:pt idx="656">
                  <c:v>4.2590000000000003E-2</c:v>
                </c:pt>
                <c:pt idx="657">
                  <c:v>4.172E-2</c:v>
                </c:pt>
                <c:pt idx="658">
                  <c:v>4.0640000000000003E-2</c:v>
                </c:pt>
                <c:pt idx="659">
                  <c:v>4.0519999999999994E-2</c:v>
                </c:pt>
                <c:pt idx="660">
                  <c:v>4.0640000000000003E-2</c:v>
                </c:pt>
                <c:pt idx="661">
                  <c:v>4.0160000000000001E-2</c:v>
                </c:pt>
                <c:pt idx="662">
                  <c:v>4.045E-2</c:v>
                </c:pt>
                <c:pt idx="663">
                  <c:v>4.1230000000000003E-2</c:v>
                </c:pt>
                <c:pt idx="664">
                  <c:v>4.0410000000000001E-2</c:v>
                </c:pt>
                <c:pt idx="665">
                  <c:v>4.0300000000000002E-2</c:v>
                </c:pt>
                <c:pt idx="666">
                  <c:v>4.0410000000000001E-2</c:v>
                </c:pt>
                <c:pt idx="667">
                  <c:v>4.0239999999999998E-2</c:v>
                </c:pt>
                <c:pt idx="668">
                  <c:v>3.984E-2</c:v>
                </c:pt>
                <c:pt idx="669">
                  <c:v>4.0090000000000001E-2</c:v>
                </c:pt>
                <c:pt idx="670">
                  <c:v>4.0379999999999999E-2</c:v>
                </c:pt>
                <c:pt idx="671">
                  <c:v>4.0309999999999999E-2</c:v>
                </c:pt>
                <c:pt idx="672">
                  <c:v>4.0419999999999998E-2</c:v>
                </c:pt>
                <c:pt idx="673">
                  <c:v>4.1070000000000002E-2</c:v>
                </c:pt>
                <c:pt idx="674">
                  <c:v>4.1020000000000001E-2</c:v>
                </c:pt>
                <c:pt idx="675">
                  <c:v>4.0590000000000001E-2</c:v>
                </c:pt>
                <c:pt idx="676">
                  <c:v>4.054E-2</c:v>
                </c:pt>
                <c:pt idx="677">
                  <c:v>4.0679999999999994E-2</c:v>
                </c:pt>
                <c:pt idx="678">
                  <c:v>4.0709999999999996E-2</c:v>
                </c:pt>
                <c:pt idx="679">
                  <c:v>4.0730000000000002E-2</c:v>
                </c:pt>
                <c:pt idx="680">
                  <c:v>4.0910000000000002E-2</c:v>
                </c:pt>
                <c:pt idx="681">
                  <c:v>4.0750000000000001E-2</c:v>
                </c:pt>
                <c:pt idx="682">
                  <c:v>4.0800000000000003E-2</c:v>
                </c:pt>
                <c:pt idx="683">
                  <c:v>4.0689999999999997E-2</c:v>
                </c:pt>
                <c:pt idx="684">
                  <c:v>4.0559999999999999E-2</c:v>
                </c:pt>
                <c:pt idx="685">
                  <c:v>4.0500000000000001E-2</c:v>
                </c:pt>
                <c:pt idx="686">
                  <c:v>4.0730000000000002E-2</c:v>
                </c:pt>
                <c:pt idx="687">
                  <c:v>3.9989999999999998E-2</c:v>
                </c:pt>
                <c:pt idx="688">
                  <c:v>3.9280000000000002E-2</c:v>
                </c:pt>
                <c:pt idx="689">
                  <c:v>3.9580000000000004E-2</c:v>
                </c:pt>
                <c:pt idx="690">
                  <c:v>3.9550000000000002E-2</c:v>
                </c:pt>
                <c:pt idx="691">
                  <c:v>3.9900000000000005E-2</c:v>
                </c:pt>
                <c:pt idx="692">
                  <c:v>3.9809999999999998E-2</c:v>
                </c:pt>
                <c:pt idx="693">
                  <c:v>3.9779999999999996E-2</c:v>
                </c:pt>
                <c:pt idx="694">
                  <c:v>3.916E-2</c:v>
                </c:pt>
                <c:pt idx="695">
                  <c:v>3.8849999999999996E-2</c:v>
                </c:pt>
                <c:pt idx="696">
                  <c:v>3.8589999999999999E-2</c:v>
                </c:pt>
                <c:pt idx="697">
                  <c:v>3.814E-2</c:v>
                </c:pt>
                <c:pt idx="698">
                  <c:v>3.798E-2</c:v>
                </c:pt>
                <c:pt idx="699">
                  <c:v>3.7850000000000002E-2</c:v>
                </c:pt>
                <c:pt idx="700">
                  <c:v>3.7599999999999995E-2</c:v>
                </c:pt>
                <c:pt idx="701">
                  <c:v>3.8040000000000004E-2</c:v>
                </c:pt>
                <c:pt idx="702">
                  <c:v>3.789E-2</c:v>
                </c:pt>
                <c:pt idx="703">
                  <c:v>3.805E-2</c:v>
                </c:pt>
                <c:pt idx="704">
                  <c:v>3.7900000000000003E-2</c:v>
                </c:pt>
                <c:pt idx="705">
                  <c:v>3.8019999999999998E-2</c:v>
                </c:pt>
                <c:pt idx="706">
                  <c:v>3.7629999999999997E-2</c:v>
                </c:pt>
                <c:pt idx="707">
                  <c:v>3.7650000000000003E-2</c:v>
                </c:pt>
                <c:pt idx="708">
                  <c:v>3.8170000000000003E-2</c:v>
                </c:pt>
                <c:pt idx="709">
                  <c:v>3.7960000000000001E-2</c:v>
                </c:pt>
                <c:pt idx="710">
                  <c:v>3.7999999999999999E-2</c:v>
                </c:pt>
                <c:pt idx="711">
                  <c:v>3.8550000000000001E-2</c:v>
                </c:pt>
                <c:pt idx="712">
                  <c:v>3.916E-2</c:v>
                </c:pt>
                <c:pt idx="713">
                  <c:v>3.8960000000000002E-2</c:v>
                </c:pt>
                <c:pt idx="714">
                  <c:v>3.9039999999999998E-2</c:v>
                </c:pt>
                <c:pt idx="715">
                  <c:v>3.8399999999999997E-2</c:v>
                </c:pt>
                <c:pt idx="716">
                  <c:v>3.8800000000000001E-2</c:v>
                </c:pt>
                <c:pt idx="717">
                  <c:v>3.8789999999999998E-2</c:v>
                </c:pt>
                <c:pt idx="718">
                  <c:v>3.9359999999999999E-2</c:v>
                </c:pt>
                <c:pt idx="719">
                  <c:v>3.9239999999999997E-2</c:v>
                </c:pt>
                <c:pt idx="720">
                  <c:v>3.8449999999999998E-2</c:v>
                </c:pt>
                <c:pt idx="721">
                  <c:v>3.814E-2</c:v>
                </c:pt>
                <c:pt idx="722">
                  <c:v>3.8859999999999999E-2</c:v>
                </c:pt>
                <c:pt idx="723">
                  <c:v>3.7949999999999998E-2</c:v>
                </c:pt>
                <c:pt idx="724">
                  <c:v>3.805E-2</c:v>
                </c:pt>
                <c:pt idx="725">
                  <c:v>3.841E-2</c:v>
                </c:pt>
                <c:pt idx="726">
                  <c:v>3.8740000000000004E-2</c:v>
                </c:pt>
                <c:pt idx="727">
                  <c:v>3.884E-2</c:v>
                </c:pt>
                <c:pt idx="728">
                  <c:v>3.9039999999999998E-2</c:v>
                </c:pt>
                <c:pt idx="729">
                  <c:v>3.85E-2</c:v>
                </c:pt>
                <c:pt idx="730">
                  <c:v>3.8019999999999998E-2</c:v>
                </c:pt>
                <c:pt idx="731">
                  <c:v>3.8010000000000002E-2</c:v>
                </c:pt>
                <c:pt idx="732">
                  <c:v>3.8199999999999998E-2</c:v>
                </c:pt>
                <c:pt idx="733">
                  <c:v>3.8529999999999995E-2</c:v>
                </c:pt>
                <c:pt idx="734">
                  <c:v>3.8379999999999997E-2</c:v>
                </c:pt>
                <c:pt idx="735">
                  <c:v>3.7999999999999999E-2</c:v>
                </c:pt>
                <c:pt idx="736">
                  <c:v>3.8079999999999996E-2</c:v>
                </c:pt>
                <c:pt idx="737">
                  <c:v>3.8149999999999996E-2</c:v>
                </c:pt>
                <c:pt idx="738">
                  <c:v>3.8519999999999999E-2</c:v>
                </c:pt>
                <c:pt idx="739">
                  <c:v>3.8780000000000002E-2</c:v>
                </c:pt>
                <c:pt idx="740">
                  <c:v>3.8519999999999999E-2</c:v>
                </c:pt>
                <c:pt idx="741">
                  <c:v>3.875E-2</c:v>
                </c:pt>
                <c:pt idx="742">
                  <c:v>3.8539999999999998E-2</c:v>
                </c:pt>
                <c:pt idx="743">
                  <c:v>3.8490000000000003E-2</c:v>
                </c:pt>
                <c:pt idx="744">
                  <c:v>3.8399999999999997E-2</c:v>
                </c:pt>
                <c:pt idx="745">
                  <c:v>3.7999999999999999E-2</c:v>
                </c:pt>
                <c:pt idx="746">
                  <c:v>3.823E-2</c:v>
                </c:pt>
                <c:pt idx="747">
                  <c:v>3.8399999999999997E-2</c:v>
                </c:pt>
                <c:pt idx="748">
                  <c:v>3.8929999999999999E-2</c:v>
                </c:pt>
                <c:pt idx="749">
                  <c:v>3.8550000000000001E-2</c:v>
                </c:pt>
                <c:pt idx="750">
                  <c:v>3.8440000000000002E-2</c:v>
                </c:pt>
                <c:pt idx="751">
                  <c:v>3.8949999999999999E-2</c:v>
                </c:pt>
                <c:pt idx="752">
                  <c:v>3.9169999999999996E-2</c:v>
                </c:pt>
                <c:pt idx="753">
                  <c:v>3.9220000000000005E-2</c:v>
                </c:pt>
                <c:pt idx="754">
                  <c:v>3.8919999999999996E-2</c:v>
                </c:pt>
                <c:pt idx="755">
                  <c:v>3.9410000000000001E-2</c:v>
                </c:pt>
                <c:pt idx="756">
                  <c:v>3.8830000000000003E-2</c:v>
                </c:pt>
                <c:pt idx="757">
                  <c:v>3.8460000000000001E-2</c:v>
                </c:pt>
                <c:pt idx="758">
                  <c:v>3.8469999999999997E-2</c:v>
                </c:pt>
                <c:pt idx="759">
                  <c:v>3.8900000000000004E-2</c:v>
                </c:pt>
                <c:pt idx="760">
                  <c:v>3.9359999999999999E-2</c:v>
                </c:pt>
                <c:pt idx="761">
                  <c:v>3.9900000000000005E-2</c:v>
                </c:pt>
                <c:pt idx="762">
                  <c:v>3.9919999999999997E-2</c:v>
                </c:pt>
                <c:pt idx="763">
                  <c:v>4.0209999999999996E-2</c:v>
                </c:pt>
                <c:pt idx="764">
                  <c:v>4.011E-2</c:v>
                </c:pt>
                <c:pt idx="765">
                  <c:v>4.0250000000000001E-2</c:v>
                </c:pt>
                <c:pt idx="766">
                  <c:v>4.0369999999999996E-2</c:v>
                </c:pt>
                <c:pt idx="767">
                  <c:v>3.9919999999999997E-2</c:v>
                </c:pt>
                <c:pt idx="768">
                  <c:v>3.952E-2</c:v>
                </c:pt>
                <c:pt idx="769">
                  <c:v>3.977E-2</c:v>
                </c:pt>
                <c:pt idx="770">
                  <c:v>3.959E-2</c:v>
                </c:pt>
                <c:pt idx="771">
                  <c:v>3.9599999999999996E-2</c:v>
                </c:pt>
                <c:pt idx="772">
                  <c:v>3.9269999999999999E-2</c:v>
                </c:pt>
                <c:pt idx="773">
                  <c:v>3.9379999999999998E-2</c:v>
                </c:pt>
                <c:pt idx="774">
                  <c:v>3.9510000000000003E-2</c:v>
                </c:pt>
                <c:pt idx="775">
                  <c:v>3.9750000000000001E-2</c:v>
                </c:pt>
                <c:pt idx="776">
                  <c:v>3.943E-2</c:v>
                </c:pt>
                <c:pt idx="777">
                  <c:v>3.9670000000000004E-2</c:v>
                </c:pt>
                <c:pt idx="778">
                  <c:v>3.9820000000000001E-2</c:v>
                </c:pt>
                <c:pt idx="779">
                  <c:v>4.131188571428572E-2</c:v>
                </c:pt>
                <c:pt idx="780">
                  <c:v>4.1298285714285711E-2</c:v>
                </c:pt>
                <c:pt idx="781">
                  <c:v>4.1572514285714283E-2</c:v>
                </c:pt>
                <c:pt idx="782">
                  <c:v>4.1265399999999994E-2</c:v>
                </c:pt>
                <c:pt idx="783">
                  <c:v>4.1149999999999999E-2</c:v>
                </c:pt>
                <c:pt idx="784">
                  <c:v>4.1210000000000004E-2</c:v>
                </c:pt>
                <c:pt idx="785">
                  <c:v>4.1570000000000003E-2</c:v>
                </c:pt>
                <c:pt idx="786">
                  <c:v>4.1399999999999999E-2</c:v>
                </c:pt>
                <c:pt idx="787">
                  <c:v>4.1239999999999999E-2</c:v>
                </c:pt>
                <c:pt idx="788">
                  <c:v>4.1200000000000001E-2</c:v>
                </c:pt>
                <c:pt idx="789">
                  <c:v>4.1289999999999993E-2</c:v>
                </c:pt>
                <c:pt idx="790">
                  <c:v>4.0910000000000002E-2</c:v>
                </c:pt>
                <c:pt idx="791">
                  <c:v>4.0989999999999999E-2</c:v>
                </c:pt>
                <c:pt idx="792">
                  <c:v>4.1349999999999998E-2</c:v>
                </c:pt>
                <c:pt idx="793">
                  <c:v>4.1360000000000001E-2</c:v>
                </c:pt>
                <c:pt idx="794">
                  <c:v>4.0780000000000004E-2</c:v>
                </c:pt>
                <c:pt idx="795">
                  <c:v>4.1050000000000003E-2</c:v>
                </c:pt>
                <c:pt idx="796">
                  <c:v>4.086E-2</c:v>
                </c:pt>
                <c:pt idx="797">
                  <c:v>4.1079999999999998E-2</c:v>
                </c:pt>
                <c:pt idx="798">
                  <c:v>4.1100000000000005E-2</c:v>
                </c:pt>
                <c:pt idx="799">
                  <c:v>4.088E-2</c:v>
                </c:pt>
                <c:pt idx="800">
                  <c:v>4.1159999999999995E-2</c:v>
                </c:pt>
                <c:pt idx="801">
                  <c:v>4.1309999999999999E-2</c:v>
                </c:pt>
                <c:pt idx="802">
                  <c:v>4.088E-2</c:v>
                </c:pt>
                <c:pt idx="803">
                  <c:v>4.0050000000000002E-2</c:v>
                </c:pt>
                <c:pt idx="804">
                  <c:v>3.9529999999999996E-2</c:v>
                </c:pt>
                <c:pt idx="805">
                  <c:v>3.9559999999999998E-2</c:v>
                </c:pt>
                <c:pt idx="806">
                  <c:v>3.9390000000000001E-2</c:v>
                </c:pt>
                <c:pt idx="807">
                  <c:v>3.9030000000000002E-2</c:v>
                </c:pt>
                <c:pt idx="808">
                  <c:v>3.9130000000000005E-2</c:v>
                </c:pt>
                <c:pt idx="809">
                  <c:v>3.934E-2</c:v>
                </c:pt>
                <c:pt idx="810">
                  <c:v>3.909E-2</c:v>
                </c:pt>
                <c:pt idx="811">
                  <c:v>3.9359999999999999E-2</c:v>
                </c:pt>
                <c:pt idx="812">
                  <c:v>3.9480000000000001E-2</c:v>
                </c:pt>
                <c:pt idx="813">
                  <c:v>3.9779999999999996E-2</c:v>
                </c:pt>
                <c:pt idx="814">
                  <c:v>3.9529999999999996E-2</c:v>
                </c:pt>
                <c:pt idx="815">
                  <c:v>3.986E-2</c:v>
                </c:pt>
                <c:pt idx="816">
                  <c:v>3.952E-2</c:v>
                </c:pt>
                <c:pt idx="817">
                  <c:v>3.9489999999999997E-2</c:v>
                </c:pt>
                <c:pt idx="818">
                  <c:v>3.9300000000000002E-2</c:v>
                </c:pt>
                <c:pt idx="819">
                  <c:v>3.9239999999999997E-2</c:v>
                </c:pt>
                <c:pt idx="820">
                  <c:v>3.9510000000000003E-2</c:v>
                </c:pt>
                <c:pt idx="821">
                  <c:v>3.952E-2</c:v>
                </c:pt>
                <c:pt idx="822">
                  <c:v>3.9359999999999999E-2</c:v>
                </c:pt>
                <c:pt idx="823">
                  <c:v>3.9130000000000005E-2</c:v>
                </c:pt>
                <c:pt idx="824">
                  <c:v>3.9280000000000002E-2</c:v>
                </c:pt>
                <c:pt idx="825">
                  <c:v>3.9779999999999996E-2</c:v>
                </c:pt>
                <c:pt idx="826">
                  <c:v>3.9820000000000001E-2</c:v>
                </c:pt>
                <c:pt idx="827">
                  <c:v>3.9779999999999996E-2</c:v>
                </c:pt>
                <c:pt idx="828">
                  <c:v>3.9420000000000004E-2</c:v>
                </c:pt>
                <c:pt idx="829">
                  <c:v>3.9149999999999997E-2</c:v>
                </c:pt>
                <c:pt idx="830">
                  <c:v>3.9E-2</c:v>
                </c:pt>
                <c:pt idx="831">
                  <c:v>3.9510000000000003E-2</c:v>
                </c:pt>
                <c:pt idx="832">
                  <c:v>3.9370000000000002E-2</c:v>
                </c:pt>
                <c:pt idx="833">
                  <c:v>3.9440000000000003E-2</c:v>
                </c:pt>
                <c:pt idx="834">
                  <c:v>3.9539999999999999E-2</c:v>
                </c:pt>
                <c:pt idx="835">
                  <c:v>3.9390000000000001E-2</c:v>
                </c:pt>
                <c:pt idx="836">
                  <c:v>3.9100000000000003E-2</c:v>
                </c:pt>
                <c:pt idx="837">
                  <c:v>3.9050000000000001E-2</c:v>
                </c:pt>
                <c:pt idx="838">
                  <c:v>3.8989999999999997E-2</c:v>
                </c:pt>
                <c:pt idx="839">
                  <c:v>3.8609999999999998E-2</c:v>
                </c:pt>
                <c:pt idx="840">
                  <c:v>3.8629999999999998E-2</c:v>
                </c:pt>
                <c:pt idx="841">
                  <c:v>3.8919999999999996E-2</c:v>
                </c:pt>
                <c:pt idx="842">
                  <c:v>3.8960000000000002E-2</c:v>
                </c:pt>
                <c:pt idx="843">
                  <c:v>3.9130000000000005E-2</c:v>
                </c:pt>
                <c:pt idx="844">
                  <c:v>3.9759999999999997E-2</c:v>
                </c:pt>
                <c:pt idx="845">
                  <c:v>4.0229999999999995E-2</c:v>
                </c:pt>
                <c:pt idx="846">
                  <c:v>3.9980000000000002E-2</c:v>
                </c:pt>
                <c:pt idx="847">
                  <c:v>4.0500000000000001E-2</c:v>
                </c:pt>
                <c:pt idx="848">
                  <c:v>4.0149999999999998E-2</c:v>
                </c:pt>
                <c:pt idx="849">
                  <c:v>3.943E-2</c:v>
                </c:pt>
                <c:pt idx="850">
                  <c:v>3.9879999999999999E-2</c:v>
                </c:pt>
                <c:pt idx="851">
                  <c:v>3.9079999999999997E-2</c:v>
                </c:pt>
                <c:pt idx="852">
                  <c:v>3.8960000000000002E-2</c:v>
                </c:pt>
                <c:pt idx="853">
                  <c:v>3.993E-2</c:v>
                </c:pt>
                <c:pt idx="854">
                  <c:v>4.0709999999999996E-2</c:v>
                </c:pt>
                <c:pt idx="855">
                  <c:v>3.9039999999999998E-2</c:v>
                </c:pt>
                <c:pt idx="856">
                  <c:v>3.8740000000000004E-2</c:v>
                </c:pt>
                <c:pt idx="857">
                  <c:v>3.8490000000000003E-2</c:v>
                </c:pt>
                <c:pt idx="858">
                  <c:v>3.8399999999999997E-2</c:v>
                </c:pt>
                <c:pt idx="859">
                  <c:v>3.8060000000000004E-2</c:v>
                </c:pt>
                <c:pt idx="860">
                  <c:v>3.7919999999999995E-2</c:v>
                </c:pt>
                <c:pt idx="861">
                  <c:v>3.7199999999999997E-2</c:v>
                </c:pt>
                <c:pt idx="862">
                  <c:v>3.6889999999999999E-2</c:v>
                </c:pt>
                <c:pt idx="863">
                  <c:v>3.6539999999999996E-2</c:v>
                </c:pt>
                <c:pt idx="864">
                  <c:v>3.6760000000000001E-2</c:v>
                </c:pt>
                <c:pt idx="865">
                  <c:v>3.6830000000000002E-2</c:v>
                </c:pt>
                <c:pt idx="866">
                  <c:v>3.6560000000000002E-2</c:v>
                </c:pt>
                <c:pt idx="867">
                  <c:v>3.712E-2</c:v>
                </c:pt>
                <c:pt idx="868">
                  <c:v>3.7560000000000003E-2</c:v>
                </c:pt>
                <c:pt idx="869">
                  <c:v>3.789E-2</c:v>
                </c:pt>
                <c:pt idx="870">
                  <c:v>3.7490000000000002E-2</c:v>
                </c:pt>
                <c:pt idx="871">
                  <c:v>3.8269999999999998E-2</c:v>
                </c:pt>
                <c:pt idx="872">
                  <c:v>3.832E-2</c:v>
                </c:pt>
                <c:pt idx="873">
                  <c:v>3.8260000000000002E-2</c:v>
                </c:pt>
                <c:pt idx="874">
                  <c:v>3.8429999999999999E-2</c:v>
                </c:pt>
                <c:pt idx="875">
                  <c:v>3.8629999999999998E-2</c:v>
                </c:pt>
                <c:pt idx="876">
                  <c:v>3.8890000000000001E-2</c:v>
                </c:pt>
                <c:pt idx="877">
                  <c:v>3.8640000000000001E-2</c:v>
                </c:pt>
                <c:pt idx="878">
                  <c:v>3.8539999999999998E-2</c:v>
                </c:pt>
                <c:pt idx="879">
                  <c:v>3.8199999999999998E-2</c:v>
                </c:pt>
                <c:pt idx="880">
                  <c:v>3.8589999999999999E-2</c:v>
                </c:pt>
                <c:pt idx="881">
                  <c:v>3.8260000000000002E-2</c:v>
                </c:pt>
                <c:pt idx="882">
                  <c:v>3.8449999999999998E-2</c:v>
                </c:pt>
                <c:pt idx="883">
                  <c:v>3.8249999999999999E-2</c:v>
                </c:pt>
                <c:pt idx="884">
                  <c:v>3.8719999999999997E-2</c:v>
                </c:pt>
                <c:pt idx="885">
                  <c:v>3.8260000000000002E-2</c:v>
                </c:pt>
                <c:pt idx="886">
                  <c:v>3.8260000000000002E-2</c:v>
                </c:pt>
                <c:pt idx="887">
                  <c:v>3.8199999999999998E-2</c:v>
                </c:pt>
                <c:pt idx="888">
                  <c:v>3.8209999999999994E-2</c:v>
                </c:pt>
                <c:pt idx="889">
                  <c:v>3.8429999999999999E-2</c:v>
                </c:pt>
                <c:pt idx="890">
                  <c:v>3.9030000000000002E-2</c:v>
                </c:pt>
                <c:pt idx="891">
                  <c:v>3.9539999999999999E-2</c:v>
                </c:pt>
                <c:pt idx="892">
                  <c:v>3.9120000000000002E-2</c:v>
                </c:pt>
                <c:pt idx="893">
                  <c:v>3.8890000000000001E-2</c:v>
                </c:pt>
                <c:pt idx="894">
                  <c:v>3.8940000000000002E-2</c:v>
                </c:pt>
                <c:pt idx="895">
                  <c:v>3.8490000000000003E-2</c:v>
                </c:pt>
                <c:pt idx="896">
                  <c:v>3.8679999999999999E-2</c:v>
                </c:pt>
                <c:pt idx="897">
                  <c:v>3.8759999999999996E-2</c:v>
                </c:pt>
                <c:pt idx="898">
                  <c:v>3.8449999999999998E-2</c:v>
                </c:pt>
                <c:pt idx="899">
                  <c:v>3.8550000000000001E-2</c:v>
                </c:pt>
                <c:pt idx="900">
                  <c:v>3.8199999999999998E-2</c:v>
                </c:pt>
                <c:pt idx="901">
                  <c:v>3.8679999999999999E-2</c:v>
                </c:pt>
                <c:pt idx="902">
                  <c:v>3.9109999999999999E-2</c:v>
                </c:pt>
                <c:pt idx="903">
                  <c:v>3.8929999999999999E-2</c:v>
                </c:pt>
                <c:pt idx="904">
                  <c:v>3.8719999999999997E-2</c:v>
                </c:pt>
                <c:pt idx="905">
                  <c:v>3.9379999999999998E-2</c:v>
                </c:pt>
                <c:pt idx="906">
                  <c:v>3.952E-2</c:v>
                </c:pt>
                <c:pt idx="907">
                  <c:v>3.9210000000000002E-2</c:v>
                </c:pt>
                <c:pt idx="908">
                  <c:v>3.9529999999999996E-2</c:v>
                </c:pt>
                <c:pt idx="909">
                  <c:v>3.9619999999999995E-2</c:v>
                </c:pt>
                <c:pt idx="910">
                  <c:v>3.9599999999999996E-2</c:v>
                </c:pt>
                <c:pt idx="911">
                  <c:v>3.8989999999999997E-2</c:v>
                </c:pt>
                <c:pt idx="912">
                  <c:v>3.866E-2</c:v>
                </c:pt>
                <c:pt idx="913">
                  <c:v>3.857E-2</c:v>
                </c:pt>
                <c:pt idx="914">
                  <c:v>3.832E-2</c:v>
                </c:pt>
                <c:pt idx="915">
                  <c:v>3.8109999999999998E-2</c:v>
                </c:pt>
                <c:pt idx="916">
                  <c:v>3.7170000000000002E-2</c:v>
                </c:pt>
                <c:pt idx="917">
                  <c:v>3.7100000000000001E-2</c:v>
                </c:pt>
                <c:pt idx="918">
                  <c:v>3.6749999999999998E-2</c:v>
                </c:pt>
                <c:pt idx="919">
                  <c:v>3.6589999999999998E-2</c:v>
                </c:pt>
                <c:pt idx="920">
                  <c:v>3.6740000000000002E-2</c:v>
                </c:pt>
                <c:pt idx="921">
                  <c:v>3.6819999999999999E-2</c:v>
                </c:pt>
                <c:pt idx="922">
                  <c:v>3.6310000000000002E-2</c:v>
                </c:pt>
                <c:pt idx="923">
                  <c:v>3.6549999999999999E-2</c:v>
                </c:pt>
                <c:pt idx="924">
                  <c:v>3.6749999999999998E-2</c:v>
                </c:pt>
                <c:pt idx="925">
                  <c:v>3.6339999999999997E-2</c:v>
                </c:pt>
                <c:pt idx="926">
                  <c:v>3.6549999999999999E-2</c:v>
                </c:pt>
                <c:pt idx="927">
                  <c:v>3.5990000000000001E-2</c:v>
                </c:pt>
                <c:pt idx="928">
                  <c:v>3.5819999999999998E-2</c:v>
                </c:pt>
                <c:pt idx="929">
                  <c:v>3.5560000000000001E-2</c:v>
                </c:pt>
                <c:pt idx="930">
                  <c:v>3.576E-2</c:v>
                </c:pt>
                <c:pt idx="931">
                  <c:v>3.5230000000000004E-2</c:v>
                </c:pt>
                <c:pt idx="932">
                  <c:v>3.5540000000000002E-2</c:v>
                </c:pt>
                <c:pt idx="933">
                  <c:v>3.5629999999999995E-2</c:v>
                </c:pt>
                <c:pt idx="934">
                  <c:v>3.5869999999999999E-2</c:v>
                </c:pt>
                <c:pt idx="935">
                  <c:v>3.5029999999999999E-2</c:v>
                </c:pt>
                <c:pt idx="936">
                  <c:v>3.5220000000000001E-2</c:v>
                </c:pt>
                <c:pt idx="937">
                  <c:v>3.5499999999999997E-2</c:v>
                </c:pt>
                <c:pt idx="938">
                  <c:v>3.569E-2</c:v>
                </c:pt>
                <c:pt idx="939">
                  <c:v>3.5830000000000001E-2</c:v>
                </c:pt>
                <c:pt idx="940">
                  <c:v>3.6429999999999997E-2</c:v>
                </c:pt>
                <c:pt idx="941">
                  <c:v>3.603E-2</c:v>
                </c:pt>
                <c:pt idx="942">
                  <c:v>3.5910000000000004E-2</c:v>
                </c:pt>
                <c:pt idx="943">
                  <c:v>3.6330000000000001E-2</c:v>
                </c:pt>
                <c:pt idx="944">
                  <c:v>3.6760000000000001E-2</c:v>
                </c:pt>
                <c:pt idx="945">
                  <c:v>3.6490000000000002E-2</c:v>
                </c:pt>
                <c:pt idx="946">
                  <c:v>3.678E-2</c:v>
                </c:pt>
                <c:pt idx="947">
                  <c:v>3.6650000000000002E-2</c:v>
                </c:pt>
                <c:pt idx="948">
                  <c:v>3.7039999999999997E-2</c:v>
                </c:pt>
                <c:pt idx="949">
                  <c:v>3.73E-2</c:v>
                </c:pt>
                <c:pt idx="950">
                  <c:v>3.7989999999999996E-2</c:v>
                </c:pt>
                <c:pt idx="951">
                  <c:v>3.7149999999999996E-2</c:v>
                </c:pt>
                <c:pt idx="952">
                  <c:v>3.635E-2</c:v>
                </c:pt>
                <c:pt idx="953">
                  <c:v>3.6290000000000003E-2</c:v>
                </c:pt>
                <c:pt idx="954">
                  <c:v>3.6600000000000001E-2</c:v>
                </c:pt>
                <c:pt idx="955">
                  <c:v>3.6459999999999999E-2</c:v>
                </c:pt>
                <c:pt idx="956">
                  <c:v>3.637E-2</c:v>
                </c:pt>
                <c:pt idx="957">
                  <c:v>3.6230000000000005E-2</c:v>
                </c:pt>
                <c:pt idx="958">
                  <c:v>3.6109999999999996E-2</c:v>
                </c:pt>
                <c:pt idx="959">
                  <c:v>3.6089999999999997E-2</c:v>
                </c:pt>
                <c:pt idx="960">
                  <c:v>3.5929999999999997E-2</c:v>
                </c:pt>
                <c:pt idx="961">
                  <c:v>3.6159999999999998E-2</c:v>
                </c:pt>
                <c:pt idx="962">
                  <c:v>3.5499999999999997E-2</c:v>
                </c:pt>
                <c:pt idx="963">
                  <c:v>3.5859999999999996E-2</c:v>
                </c:pt>
                <c:pt idx="964">
                  <c:v>3.5430000000000003E-2</c:v>
                </c:pt>
                <c:pt idx="965">
                  <c:v>3.5140000000000005E-2</c:v>
                </c:pt>
                <c:pt idx="966">
                  <c:v>3.4820000000000004E-2</c:v>
                </c:pt>
                <c:pt idx="967">
                  <c:v>3.4680000000000002E-2</c:v>
                </c:pt>
                <c:pt idx="968">
                  <c:v>3.4799999999999998E-2</c:v>
                </c:pt>
                <c:pt idx="969">
                  <c:v>3.5249999999999997E-2</c:v>
                </c:pt>
                <c:pt idx="970">
                  <c:v>3.4680000000000002E-2</c:v>
                </c:pt>
                <c:pt idx="971">
                  <c:v>3.5529999999999999E-2</c:v>
                </c:pt>
                <c:pt idx="972">
                  <c:v>3.5740000000000001E-2</c:v>
                </c:pt>
                <c:pt idx="973">
                  <c:v>3.6520000000000004E-2</c:v>
                </c:pt>
                <c:pt idx="974">
                  <c:v>3.6520000000000004E-2</c:v>
                </c:pt>
                <c:pt idx="975">
                  <c:v>3.6319999999999998E-2</c:v>
                </c:pt>
                <c:pt idx="976">
                  <c:v>3.5799999999999998E-2</c:v>
                </c:pt>
                <c:pt idx="977">
                  <c:v>3.635E-2</c:v>
                </c:pt>
                <c:pt idx="978">
                  <c:v>3.6450000000000003E-2</c:v>
                </c:pt>
                <c:pt idx="979">
                  <c:v>3.5949999999999996E-2</c:v>
                </c:pt>
                <c:pt idx="980">
                  <c:v>3.5720000000000002E-2</c:v>
                </c:pt>
                <c:pt idx="981">
                  <c:v>3.6549999999999999E-2</c:v>
                </c:pt>
                <c:pt idx="982">
                  <c:v>3.6339999999999997E-2</c:v>
                </c:pt>
                <c:pt idx="983">
                  <c:v>3.6580000000000001E-2</c:v>
                </c:pt>
                <c:pt idx="984">
                  <c:v>3.669E-2</c:v>
                </c:pt>
                <c:pt idx="985">
                  <c:v>3.6549999999999999E-2</c:v>
                </c:pt>
                <c:pt idx="986">
                  <c:v>3.669E-2</c:v>
                </c:pt>
                <c:pt idx="987">
                  <c:v>3.7130000000000003E-2</c:v>
                </c:pt>
                <c:pt idx="988">
                  <c:v>3.7249999999999998E-2</c:v>
                </c:pt>
                <c:pt idx="989">
                  <c:v>3.739E-2</c:v>
                </c:pt>
                <c:pt idx="990">
                  <c:v>3.78E-2</c:v>
                </c:pt>
                <c:pt idx="991">
                  <c:v>3.7839999999999999E-2</c:v>
                </c:pt>
                <c:pt idx="992">
                  <c:v>3.7749999999999999E-2</c:v>
                </c:pt>
                <c:pt idx="993">
                  <c:v>3.8350000000000002E-2</c:v>
                </c:pt>
                <c:pt idx="994">
                  <c:v>3.8120000000000001E-2</c:v>
                </c:pt>
                <c:pt idx="995">
                  <c:v>3.7769999999999998E-2</c:v>
                </c:pt>
                <c:pt idx="996">
                  <c:v>3.7139999999999999E-2</c:v>
                </c:pt>
                <c:pt idx="997">
                  <c:v>3.8449999999999998E-2</c:v>
                </c:pt>
                <c:pt idx="998">
                  <c:v>3.884E-2</c:v>
                </c:pt>
                <c:pt idx="999">
                  <c:v>3.8960000000000002E-2</c:v>
                </c:pt>
                <c:pt idx="1000">
                  <c:v>3.9870000000000003E-2</c:v>
                </c:pt>
                <c:pt idx="1001">
                  <c:v>4.0030000000000003E-2</c:v>
                </c:pt>
                <c:pt idx="1002">
                  <c:v>3.9660000000000001E-2</c:v>
                </c:pt>
                <c:pt idx="1003">
                  <c:v>3.952E-2</c:v>
                </c:pt>
                <c:pt idx="1004">
                  <c:v>3.984E-2</c:v>
                </c:pt>
                <c:pt idx="1005">
                  <c:v>3.9820000000000001E-2</c:v>
                </c:pt>
                <c:pt idx="1006">
                  <c:v>4.0320000000000002E-2</c:v>
                </c:pt>
                <c:pt idx="1007">
                  <c:v>4.0750000000000001E-2</c:v>
                </c:pt>
                <c:pt idx="1008">
                  <c:v>4.0579999999999998E-2</c:v>
                </c:pt>
                <c:pt idx="1009">
                  <c:v>4.07E-2</c:v>
                </c:pt>
                <c:pt idx="1010">
                  <c:v>4.0910000000000002E-2</c:v>
                </c:pt>
                <c:pt idx="1011">
                  <c:v>4.147E-2</c:v>
                </c:pt>
                <c:pt idx="1012">
                  <c:v>4.1570000000000003E-2</c:v>
                </c:pt>
                <c:pt idx="1013">
                  <c:v>4.199E-2</c:v>
                </c:pt>
                <c:pt idx="1014">
                  <c:v>4.1799999999999997E-2</c:v>
                </c:pt>
                <c:pt idx="1015">
                  <c:v>4.1489999999999999E-2</c:v>
                </c:pt>
                <c:pt idx="1016">
                  <c:v>4.1939999999999998E-2</c:v>
                </c:pt>
                <c:pt idx="1017">
                  <c:v>4.1779999999999998E-2</c:v>
                </c:pt>
                <c:pt idx="1018">
                  <c:v>4.2290000000000001E-2</c:v>
                </c:pt>
                <c:pt idx="1019">
                  <c:v>4.2130000000000001E-2</c:v>
                </c:pt>
                <c:pt idx="1020">
                  <c:v>4.2830000000000007E-2</c:v>
                </c:pt>
                <c:pt idx="1021">
                  <c:v>4.2569999999999997E-2</c:v>
                </c:pt>
                <c:pt idx="1022">
                  <c:v>4.2529999999999998E-2</c:v>
                </c:pt>
                <c:pt idx="1023">
                  <c:v>4.2089999999999995E-2</c:v>
                </c:pt>
                <c:pt idx="1024">
                  <c:v>4.1860000000000001E-2</c:v>
                </c:pt>
                <c:pt idx="1025">
                  <c:v>4.1909999999999996E-2</c:v>
                </c:pt>
                <c:pt idx="1026">
                  <c:v>4.1570000000000003E-2</c:v>
                </c:pt>
                <c:pt idx="1027">
                  <c:v>4.1950000000000001E-2</c:v>
                </c:pt>
                <c:pt idx="1028">
                  <c:v>4.1849999999999998E-2</c:v>
                </c:pt>
                <c:pt idx="1029">
                  <c:v>4.1829999999999999E-2</c:v>
                </c:pt>
                <c:pt idx="1030">
                  <c:v>4.2369999999999998E-2</c:v>
                </c:pt>
                <c:pt idx="1031">
                  <c:v>4.2640000000000004E-2</c:v>
                </c:pt>
                <c:pt idx="1032">
                  <c:v>4.4856590909090908E-2</c:v>
                </c:pt>
                <c:pt idx="1033">
                  <c:v>4.4059971590909096E-2</c:v>
                </c:pt>
                <c:pt idx="1034">
                  <c:v>4.3953636363636368E-2</c:v>
                </c:pt>
                <c:pt idx="1035">
                  <c:v>4.4165710227272725E-2</c:v>
                </c:pt>
                <c:pt idx="1036">
                  <c:v>4.4719999999999996E-2</c:v>
                </c:pt>
                <c:pt idx="1037">
                  <c:v>4.4249999999999998E-2</c:v>
                </c:pt>
                <c:pt idx="1038">
                  <c:v>4.4509999999999994E-2</c:v>
                </c:pt>
                <c:pt idx="1039">
                  <c:v>4.3929999999999997E-2</c:v>
                </c:pt>
                <c:pt idx="1040">
                  <c:v>4.3629999999999995E-2</c:v>
                </c:pt>
                <c:pt idx="1041">
                  <c:v>4.3909999999999998E-2</c:v>
                </c:pt>
                <c:pt idx="1042">
                  <c:v>4.4429999999999997E-2</c:v>
                </c:pt>
                <c:pt idx="1043">
                  <c:v>4.4950000000000004E-2</c:v>
                </c:pt>
                <c:pt idx="1044">
                  <c:v>4.4859999999999997E-2</c:v>
                </c:pt>
                <c:pt idx="1045">
                  <c:v>4.4809999999999996E-2</c:v>
                </c:pt>
                <c:pt idx="1046">
                  <c:v>4.4850000000000001E-2</c:v>
                </c:pt>
                <c:pt idx="1047">
                  <c:v>4.428E-2</c:v>
                </c:pt>
                <c:pt idx="1048">
                  <c:v>4.4240000000000002E-2</c:v>
                </c:pt>
                <c:pt idx="1049">
                  <c:v>4.4640000000000006E-2</c:v>
                </c:pt>
                <c:pt idx="1050">
                  <c:v>4.4630000000000003E-2</c:v>
                </c:pt>
                <c:pt idx="1051">
                  <c:v>4.4829999999999995E-2</c:v>
                </c:pt>
                <c:pt idx="1052">
                  <c:v>4.5270000000000005E-2</c:v>
                </c:pt>
                <c:pt idx="1053">
                  <c:v>4.5359999999999998E-2</c:v>
                </c:pt>
                <c:pt idx="1054">
                  <c:v>4.5560000000000003E-2</c:v>
                </c:pt>
                <c:pt idx="1055">
                  <c:v>4.5609999999999998E-2</c:v>
                </c:pt>
                <c:pt idx="1056">
                  <c:v>4.5359999999999998E-2</c:v>
                </c:pt>
                <c:pt idx="1057">
                  <c:v>4.4800000000000006E-2</c:v>
                </c:pt>
                <c:pt idx="1058">
                  <c:v>4.4470000000000003E-2</c:v>
                </c:pt>
                <c:pt idx="1059">
                  <c:v>4.4850000000000001E-2</c:v>
                </c:pt>
                <c:pt idx="1060">
                  <c:v>4.4379999999999996E-2</c:v>
                </c:pt>
                <c:pt idx="1061">
                  <c:v>4.4080000000000001E-2</c:v>
                </c:pt>
                <c:pt idx="1062">
                  <c:v>4.4069999999999998E-2</c:v>
                </c:pt>
                <c:pt idx="1063">
                  <c:v>4.4069999999999998E-2</c:v>
                </c:pt>
                <c:pt idx="1064">
                  <c:v>4.4189999999999993E-2</c:v>
                </c:pt>
                <c:pt idx="1065">
                  <c:v>4.4349999999999994E-2</c:v>
                </c:pt>
                <c:pt idx="1066">
                  <c:v>4.4349999999999994E-2</c:v>
                </c:pt>
                <c:pt idx="1067">
                  <c:v>4.4409999999999998E-2</c:v>
                </c:pt>
                <c:pt idx="1068">
                  <c:v>4.5339999999999998E-2</c:v>
                </c:pt>
                <c:pt idx="1069">
                  <c:v>4.4969999999999996E-2</c:v>
                </c:pt>
                <c:pt idx="1070">
                  <c:v>4.5080000000000002E-2</c:v>
                </c:pt>
                <c:pt idx="1071">
                  <c:v>4.5530000000000001E-2</c:v>
                </c:pt>
                <c:pt idx="1072">
                  <c:v>4.5749999999999999E-2</c:v>
                </c:pt>
                <c:pt idx="1073">
                  <c:v>4.5449999999999997E-2</c:v>
                </c:pt>
                <c:pt idx="1074">
                  <c:v>4.471E-2</c:v>
                </c:pt>
                <c:pt idx="1075">
                  <c:v>4.4359999999999997E-2</c:v>
                </c:pt>
                <c:pt idx="1076">
                  <c:v>4.3890000000000005E-2</c:v>
                </c:pt>
                <c:pt idx="1077">
                  <c:v>4.3429999999999996E-2</c:v>
                </c:pt>
                <c:pt idx="1078">
                  <c:v>4.4069999999999998E-2</c:v>
                </c:pt>
                <c:pt idx="1079">
                  <c:v>4.3920000000000001E-2</c:v>
                </c:pt>
                <c:pt idx="1080">
                  <c:v>4.4420000000000001E-2</c:v>
                </c:pt>
                <c:pt idx="1081">
                  <c:v>4.5179999999999998E-2</c:v>
                </c:pt>
                <c:pt idx="1082">
                  <c:v>4.5670000000000002E-2</c:v>
                </c:pt>
                <c:pt idx="1083">
                  <c:v>4.5899999999999996E-2</c:v>
                </c:pt>
                <c:pt idx="1084">
                  <c:v>4.5990000000000003E-2</c:v>
                </c:pt>
                <c:pt idx="1085">
                  <c:v>4.5999999999999999E-2</c:v>
                </c:pt>
                <c:pt idx="1086">
                  <c:v>4.6349999999999995E-2</c:v>
                </c:pt>
                <c:pt idx="1087">
                  <c:v>4.614E-2</c:v>
                </c:pt>
                <c:pt idx="1088">
                  <c:v>4.6399999999999997E-2</c:v>
                </c:pt>
                <c:pt idx="1089">
                  <c:v>4.6559999999999997E-2</c:v>
                </c:pt>
                <c:pt idx="1090">
                  <c:v>4.6300000000000001E-2</c:v>
                </c:pt>
                <c:pt idx="1091">
                  <c:v>4.6460000000000001E-2</c:v>
                </c:pt>
                <c:pt idx="1092">
                  <c:v>4.6550000000000001E-2</c:v>
                </c:pt>
                <c:pt idx="1093">
                  <c:v>4.6399999999999997E-2</c:v>
                </c:pt>
                <c:pt idx="1094">
                  <c:v>4.6799999999999994E-2</c:v>
                </c:pt>
                <c:pt idx="1095">
                  <c:v>4.6829999999999997E-2</c:v>
                </c:pt>
                <c:pt idx="1096">
                  <c:v>4.6310000000000004E-2</c:v>
                </c:pt>
                <c:pt idx="1097">
                  <c:v>4.6280000000000002E-2</c:v>
                </c:pt>
                <c:pt idx="1098">
                  <c:v>4.6660000000000007E-2</c:v>
                </c:pt>
                <c:pt idx="1099">
                  <c:v>4.6980000000000001E-2</c:v>
                </c:pt>
                <c:pt idx="1100">
                  <c:v>4.6639999999999994E-2</c:v>
                </c:pt>
                <c:pt idx="1101">
                  <c:v>4.6740000000000004E-2</c:v>
                </c:pt>
                <c:pt idx="1102">
                  <c:v>4.6879999999999998E-2</c:v>
                </c:pt>
                <c:pt idx="1103">
                  <c:v>4.6760000000000003E-2</c:v>
                </c:pt>
                <c:pt idx="1104">
                  <c:v>4.6580000000000003E-2</c:v>
                </c:pt>
                <c:pt idx="1105">
                  <c:v>4.6969999999999998E-2</c:v>
                </c:pt>
                <c:pt idx="1106">
                  <c:v>4.6359999999999998E-2</c:v>
                </c:pt>
                <c:pt idx="1107">
                  <c:v>4.6120000000000001E-2</c:v>
                </c:pt>
                <c:pt idx="1108">
                  <c:v>4.6079999999999996E-2</c:v>
                </c:pt>
                <c:pt idx="1109">
                  <c:v>4.6010000000000002E-2</c:v>
                </c:pt>
                <c:pt idx="1110">
                  <c:v>4.582E-2</c:v>
                </c:pt>
                <c:pt idx="1111">
                  <c:v>4.53E-2</c:v>
                </c:pt>
                <c:pt idx="1112">
                  <c:v>4.4729999999999999E-2</c:v>
                </c:pt>
                <c:pt idx="1113">
                  <c:v>4.4580000000000002E-2</c:v>
                </c:pt>
                <c:pt idx="1114">
                  <c:v>4.4580000000000002E-2</c:v>
                </c:pt>
                <c:pt idx="1115">
                  <c:v>4.4310000000000002E-2</c:v>
                </c:pt>
                <c:pt idx="1116">
                  <c:v>4.4389999999999999E-2</c:v>
                </c:pt>
                <c:pt idx="1117">
                  <c:v>4.3890000000000005E-2</c:v>
                </c:pt>
                <c:pt idx="1118">
                  <c:v>4.4080000000000001E-2</c:v>
                </c:pt>
                <c:pt idx="1119">
                  <c:v>4.3769999999999996E-2</c:v>
                </c:pt>
                <c:pt idx="1120">
                  <c:v>4.4010000000000001E-2</c:v>
                </c:pt>
                <c:pt idx="1121">
                  <c:v>4.3920000000000001E-2</c:v>
                </c:pt>
                <c:pt idx="1122">
                  <c:v>4.3749999999999997E-2</c:v>
                </c:pt>
                <c:pt idx="1123">
                  <c:v>4.376E-2</c:v>
                </c:pt>
                <c:pt idx="1124">
                  <c:v>4.4050000000000006E-2</c:v>
                </c:pt>
                <c:pt idx="1125">
                  <c:v>4.385E-2</c:v>
                </c:pt>
                <c:pt idx="1126">
                  <c:v>4.3259999999999993E-2</c:v>
                </c:pt>
                <c:pt idx="1127">
                  <c:v>4.3890000000000005E-2</c:v>
                </c:pt>
                <c:pt idx="1128">
                  <c:v>4.4130000000000003E-2</c:v>
                </c:pt>
                <c:pt idx="1129">
                  <c:v>4.4310000000000002E-2</c:v>
                </c:pt>
                <c:pt idx="1130">
                  <c:v>4.4219999999999995E-2</c:v>
                </c:pt>
                <c:pt idx="1131">
                  <c:v>4.4509999999999994E-2</c:v>
                </c:pt>
                <c:pt idx="1132">
                  <c:v>4.4690000000000001E-2</c:v>
                </c:pt>
                <c:pt idx="1133">
                  <c:v>4.487E-2</c:v>
                </c:pt>
                <c:pt idx="1134">
                  <c:v>4.5589999999999999E-2</c:v>
                </c:pt>
                <c:pt idx="1135">
                  <c:v>4.5749999999999999E-2</c:v>
                </c:pt>
                <c:pt idx="1136">
                  <c:v>4.5909999999999999E-2</c:v>
                </c:pt>
                <c:pt idx="1137">
                  <c:v>4.5730000000000007E-2</c:v>
                </c:pt>
                <c:pt idx="1138">
                  <c:v>4.5850000000000002E-2</c:v>
                </c:pt>
                <c:pt idx="1139">
                  <c:v>4.6129999999999997E-2</c:v>
                </c:pt>
                <c:pt idx="1140">
                  <c:v>4.616E-2</c:v>
                </c:pt>
                <c:pt idx="1141">
                  <c:v>4.6559999999999997E-2</c:v>
                </c:pt>
                <c:pt idx="1142">
                  <c:v>4.6620000000000002E-2</c:v>
                </c:pt>
                <c:pt idx="1143">
                  <c:v>4.7460000000000002E-2</c:v>
                </c:pt>
                <c:pt idx="1144">
                  <c:v>4.7439999999999996E-2</c:v>
                </c:pt>
                <c:pt idx="1145">
                  <c:v>4.7169999999999997E-2</c:v>
                </c:pt>
                <c:pt idx="1146">
                  <c:v>4.7050000000000002E-2</c:v>
                </c:pt>
                <c:pt idx="1147">
                  <c:v>4.734E-2</c:v>
                </c:pt>
                <c:pt idx="1148">
                  <c:v>4.7859999999999993E-2</c:v>
                </c:pt>
                <c:pt idx="1149">
                  <c:v>4.7850000000000004E-2</c:v>
                </c:pt>
                <c:pt idx="1150">
                  <c:v>4.7660000000000001E-2</c:v>
                </c:pt>
                <c:pt idx="1151">
                  <c:v>4.6989999999999997E-2</c:v>
                </c:pt>
                <c:pt idx="1152">
                  <c:v>4.6790000000000005E-2</c:v>
                </c:pt>
                <c:pt idx="1153">
                  <c:v>4.6690000000000002E-2</c:v>
                </c:pt>
                <c:pt idx="1154">
                  <c:v>4.6710000000000002E-2</c:v>
                </c:pt>
                <c:pt idx="1155">
                  <c:v>4.7379999999999999E-2</c:v>
                </c:pt>
                <c:pt idx="1156">
                  <c:v>4.7660000000000001E-2</c:v>
                </c:pt>
                <c:pt idx="1157">
                  <c:v>4.7300000000000002E-2</c:v>
                </c:pt>
                <c:pt idx="1158">
                  <c:v>5.0049999999999997E-2</c:v>
                </c:pt>
                <c:pt idx="1159">
                  <c:v>5.1070000000000004E-2</c:v>
                </c:pt>
                <c:pt idx="1160">
                  <c:v>5.0700000000000002E-2</c:v>
                </c:pt>
                <c:pt idx="1161">
                  <c:v>5.1040000000000002E-2</c:v>
                </c:pt>
                <c:pt idx="1162">
                  <c:v>5.4690000000000003E-2</c:v>
                </c:pt>
                <c:pt idx="1163">
                  <c:v>5.5239999999999997E-2</c:v>
                </c:pt>
                <c:pt idx="1164">
                  <c:v>5.4329999999999996E-2</c:v>
                </c:pt>
                <c:pt idx="1165">
                  <c:v>5.4139999999999994E-2</c:v>
                </c:pt>
                <c:pt idx="1166">
                  <c:v>5.3429999999999998E-2</c:v>
                </c:pt>
                <c:pt idx="1167">
                  <c:v>5.2580000000000002E-2</c:v>
                </c:pt>
                <c:pt idx="1168">
                  <c:v>5.2789999999999997E-2</c:v>
                </c:pt>
                <c:pt idx="1169">
                  <c:v>5.2900000000000003E-2</c:v>
                </c:pt>
                <c:pt idx="1170">
                  <c:v>5.3089999999999998E-2</c:v>
                </c:pt>
                <c:pt idx="1171">
                  <c:v>5.3559999999999997E-2</c:v>
                </c:pt>
                <c:pt idx="1172">
                  <c:v>5.3949999999999998E-2</c:v>
                </c:pt>
                <c:pt idx="1173">
                  <c:v>5.4019999999999999E-2</c:v>
                </c:pt>
                <c:pt idx="1174">
                  <c:v>5.4749999999999993E-2</c:v>
                </c:pt>
                <c:pt idx="1175">
                  <c:v>5.4890000000000001E-2</c:v>
                </c:pt>
                <c:pt idx="1176">
                  <c:v>5.4909999999999994E-2</c:v>
                </c:pt>
                <c:pt idx="1177">
                  <c:v>5.5370000000000003E-2</c:v>
                </c:pt>
                <c:pt idx="1178">
                  <c:v>5.3559999999999997E-2</c:v>
                </c:pt>
                <c:pt idx="1179">
                  <c:v>5.364E-2</c:v>
                </c:pt>
                <c:pt idx="1180">
                  <c:v>5.1959999999999999E-2</c:v>
                </c:pt>
                <c:pt idx="1181">
                  <c:v>5.2450000000000004E-2</c:v>
                </c:pt>
                <c:pt idx="1182">
                  <c:v>5.2649999999999995E-2</c:v>
                </c:pt>
                <c:pt idx="1183">
                  <c:v>5.2400000000000002E-2</c:v>
                </c:pt>
                <c:pt idx="1184">
                  <c:v>5.1950000000000003E-2</c:v>
                </c:pt>
                <c:pt idx="1185">
                  <c:v>5.1249999999999997E-2</c:v>
                </c:pt>
                <c:pt idx="1186">
                  <c:v>4.9879999999999994E-2</c:v>
                </c:pt>
                <c:pt idx="1187">
                  <c:v>4.9840000000000002E-2</c:v>
                </c:pt>
                <c:pt idx="1188">
                  <c:v>4.9840000000000002E-2</c:v>
                </c:pt>
                <c:pt idx="1189">
                  <c:v>4.9669999999999999E-2</c:v>
                </c:pt>
                <c:pt idx="1190">
                  <c:v>5.008E-2</c:v>
                </c:pt>
                <c:pt idx="1191">
                  <c:v>4.9889999999999997E-2</c:v>
                </c:pt>
                <c:pt idx="1192">
                  <c:v>4.9889999999999997E-2</c:v>
                </c:pt>
                <c:pt idx="1193">
                  <c:v>5.0039999999999994E-2</c:v>
                </c:pt>
                <c:pt idx="1194">
                  <c:v>4.9889999999999997E-2</c:v>
                </c:pt>
                <c:pt idx="1195">
                  <c:v>5.008E-2</c:v>
                </c:pt>
                <c:pt idx="1196">
                  <c:v>5.0320000000000004E-2</c:v>
                </c:pt>
                <c:pt idx="1197">
                  <c:v>5.015E-2</c:v>
                </c:pt>
                <c:pt idx="1198">
                  <c:v>5.0130000000000001E-2</c:v>
                </c:pt>
                <c:pt idx="1199">
                  <c:v>5.0140000000000004E-2</c:v>
                </c:pt>
                <c:pt idx="1200">
                  <c:v>5.0359999999999995E-2</c:v>
                </c:pt>
                <c:pt idx="1201">
                  <c:v>5.0099999999999999E-2</c:v>
                </c:pt>
                <c:pt idx="1202">
                  <c:v>4.9800000000000004E-2</c:v>
                </c:pt>
                <c:pt idx="1203">
                  <c:v>5.0199999999999995E-2</c:v>
                </c:pt>
                <c:pt idx="1204">
                  <c:v>5.1159999999999997E-2</c:v>
                </c:pt>
                <c:pt idx="1205">
                  <c:v>5.1769999999999997E-2</c:v>
                </c:pt>
                <c:pt idx="1206">
                  <c:v>5.1479999999999998E-2</c:v>
                </c:pt>
                <c:pt idx="1207">
                  <c:v>5.0410000000000003E-2</c:v>
                </c:pt>
                <c:pt idx="1208">
                  <c:v>4.9970000000000001E-2</c:v>
                </c:pt>
                <c:pt idx="1209">
                  <c:v>4.9909999999999996E-2</c:v>
                </c:pt>
                <c:pt idx="1210">
                  <c:v>5.074E-2</c:v>
                </c:pt>
                <c:pt idx="1211">
                  <c:v>5.083E-2</c:v>
                </c:pt>
                <c:pt idx="1212">
                  <c:v>5.1889999999999999E-2</c:v>
                </c:pt>
                <c:pt idx="1213">
                  <c:v>5.212E-2</c:v>
                </c:pt>
                <c:pt idx="1214">
                  <c:v>5.2600000000000001E-2</c:v>
                </c:pt>
                <c:pt idx="1215">
                  <c:v>5.3089999999999998E-2</c:v>
                </c:pt>
                <c:pt idx="1216">
                  <c:v>5.3390000000000007E-2</c:v>
                </c:pt>
                <c:pt idx="1217">
                  <c:v>5.2939999999999994E-2</c:v>
                </c:pt>
                <c:pt idx="1218">
                  <c:v>5.3269999999999998E-2</c:v>
                </c:pt>
                <c:pt idx="1219">
                  <c:v>5.3800000000000001E-2</c:v>
                </c:pt>
                <c:pt idx="1220">
                  <c:v>5.4760000000000003E-2</c:v>
                </c:pt>
                <c:pt idx="1221">
                  <c:v>5.5210000000000002E-2</c:v>
                </c:pt>
                <c:pt idx="1222">
                  <c:v>5.5570000000000001E-2</c:v>
                </c:pt>
                <c:pt idx="1223">
                  <c:v>5.5820000000000002E-2</c:v>
                </c:pt>
                <c:pt idx="1224">
                  <c:v>5.5739999999999998E-2</c:v>
                </c:pt>
                <c:pt idx="1225">
                  <c:v>5.6509999999999998E-2</c:v>
                </c:pt>
                <c:pt idx="1226">
                  <c:v>5.6050000000000003E-2</c:v>
                </c:pt>
                <c:pt idx="1227">
                  <c:v>5.6860000000000001E-2</c:v>
                </c:pt>
                <c:pt idx="1228">
                  <c:v>5.6530000000000004E-2</c:v>
                </c:pt>
                <c:pt idx="1229">
                  <c:v>5.6280000000000004E-2</c:v>
                </c:pt>
                <c:pt idx="1230">
                  <c:v>5.6799999999999996E-2</c:v>
                </c:pt>
                <c:pt idx="1231">
                  <c:v>5.688E-2</c:v>
                </c:pt>
                <c:pt idx="1232">
                  <c:v>5.7620000000000005E-2</c:v>
                </c:pt>
                <c:pt idx="1233">
                  <c:v>5.7859999999999995E-2</c:v>
                </c:pt>
                <c:pt idx="1234">
                  <c:v>5.7419999999999999E-2</c:v>
                </c:pt>
                <c:pt idx="1235">
                  <c:v>5.6929999999999994E-2</c:v>
                </c:pt>
                <c:pt idx="1236">
                  <c:v>5.672E-2</c:v>
                </c:pt>
                <c:pt idx="1237">
                  <c:v>5.7219999999999993E-2</c:v>
                </c:pt>
                <c:pt idx="1238">
                  <c:v>5.7249999999999995E-2</c:v>
                </c:pt>
                <c:pt idx="1239">
                  <c:v>5.7549999999999997E-2</c:v>
                </c:pt>
                <c:pt idx="1240">
                  <c:v>5.6820000000000002E-2</c:v>
                </c:pt>
                <c:pt idx="1241">
                  <c:v>5.7839999999999996E-2</c:v>
                </c:pt>
                <c:pt idx="1242">
                  <c:v>5.824E-2</c:v>
                </c:pt>
                <c:pt idx="1243">
                  <c:v>5.9000000000000004E-2</c:v>
                </c:pt>
                <c:pt idx="1244">
                  <c:v>6.0090000000000005E-2</c:v>
                </c:pt>
                <c:pt idx="1245">
                  <c:v>6.4710000000000004E-2</c:v>
                </c:pt>
                <c:pt idx="1246">
                  <c:v>6.8989999999999996E-2</c:v>
                </c:pt>
                <c:pt idx="1247">
                  <c:v>7.2430000000000008E-2</c:v>
                </c:pt>
                <c:pt idx="1248">
                  <c:v>7.2969999999999993E-2</c:v>
                </c:pt>
                <c:pt idx="1249">
                  <c:v>7.4099999999999999E-2</c:v>
                </c:pt>
                <c:pt idx="1250">
                  <c:v>7.4349999999999999E-2</c:v>
                </c:pt>
                <c:pt idx="1251">
                  <c:v>7.4429999999999996E-2</c:v>
                </c:pt>
                <c:pt idx="1252">
                  <c:v>7.442E-2</c:v>
                </c:pt>
                <c:pt idx="1253">
                  <c:v>7.3859999999999995E-2</c:v>
                </c:pt>
                <c:pt idx="1254">
                  <c:v>7.3300000000000004E-2</c:v>
                </c:pt>
                <c:pt idx="1255">
                  <c:v>7.3550000000000004E-2</c:v>
                </c:pt>
                <c:pt idx="1256">
                  <c:v>7.356E-2</c:v>
                </c:pt>
                <c:pt idx="1257">
                  <c:v>7.3349999999999999E-2</c:v>
                </c:pt>
                <c:pt idx="1258">
                  <c:v>7.2859999999999994E-2</c:v>
                </c:pt>
                <c:pt idx="1259">
                  <c:v>7.2309999999999999E-2</c:v>
                </c:pt>
                <c:pt idx="1260">
                  <c:v>7.1550000000000002E-2</c:v>
                </c:pt>
                <c:pt idx="1261">
                  <c:v>6.923E-2</c:v>
                </c:pt>
                <c:pt idx="1262">
                  <c:v>6.9249999999999992E-2</c:v>
                </c:pt>
                <c:pt idx="1263">
                  <c:v>6.9539999999999991E-2</c:v>
                </c:pt>
                <c:pt idx="1264">
                  <c:v>6.9210000000000008E-2</c:v>
                </c:pt>
                <c:pt idx="1265">
                  <c:v>6.8769999999999998E-2</c:v>
                </c:pt>
                <c:pt idx="1266">
                  <c:v>6.8449999999999997E-2</c:v>
                </c:pt>
                <c:pt idx="1267">
                  <c:v>6.9120000000000001E-2</c:v>
                </c:pt>
                <c:pt idx="1268">
                  <c:v>6.7379999999999995E-2</c:v>
                </c:pt>
                <c:pt idx="1269">
                  <c:v>6.726E-2</c:v>
                </c:pt>
                <c:pt idx="1270">
                  <c:v>6.719E-2</c:v>
                </c:pt>
                <c:pt idx="1271">
                  <c:v>6.7350000000000007E-2</c:v>
                </c:pt>
                <c:pt idx="1272">
                  <c:v>6.7240000000000008E-2</c:v>
                </c:pt>
                <c:pt idx="1273">
                  <c:v>6.7150000000000001E-2</c:v>
                </c:pt>
                <c:pt idx="1274">
                  <c:v>6.7080000000000001E-2</c:v>
                </c:pt>
                <c:pt idx="1275">
                  <c:v>6.7360000000000003E-2</c:v>
                </c:pt>
                <c:pt idx="1276">
                  <c:v>6.6860000000000003E-2</c:v>
                </c:pt>
                <c:pt idx="1277">
                  <c:v>6.6600000000000006E-2</c:v>
                </c:pt>
                <c:pt idx="1278">
                  <c:v>6.6799999999999998E-2</c:v>
                </c:pt>
                <c:pt idx="1279">
                  <c:v>6.6680000000000003E-2</c:v>
                </c:pt>
                <c:pt idx="1280">
                  <c:v>6.6540000000000002E-2</c:v>
                </c:pt>
                <c:pt idx="1281">
                  <c:v>6.6659999999999997E-2</c:v>
                </c:pt>
                <c:pt idx="1282">
                  <c:v>6.6710000000000005E-2</c:v>
                </c:pt>
                <c:pt idx="1283">
                  <c:v>6.6750000000000004E-2</c:v>
                </c:pt>
                <c:pt idx="1284">
                  <c:v>6.692999999999999E-2</c:v>
                </c:pt>
                <c:pt idx="1285">
                  <c:v>6.7049999999999998E-2</c:v>
                </c:pt>
                <c:pt idx="1286">
                  <c:v>6.726E-2</c:v>
                </c:pt>
                <c:pt idx="1287">
                  <c:v>6.8769999999999998E-2</c:v>
                </c:pt>
                <c:pt idx="1288">
                  <c:v>7.0400000000000004E-2</c:v>
                </c:pt>
                <c:pt idx="1289">
                  <c:v>7.0849999999999996E-2</c:v>
                </c:pt>
                <c:pt idx="1290">
                  <c:v>7.1870000000000003E-2</c:v>
                </c:pt>
                <c:pt idx="1291">
                  <c:v>7.1429999999999993E-2</c:v>
                </c:pt>
                <c:pt idx="1292">
                  <c:v>7.1330000000000005E-2</c:v>
                </c:pt>
                <c:pt idx="1293">
                  <c:v>7.0460000000000009E-2</c:v>
                </c:pt>
                <c:pt idx="1294">
                  <c:v>7.0330000000000004E-2</c:v>
                </c:pt>
                <c:pt idx="1295">
                  <c:v>7.0029999999999995E-2</c:v>
                </c:pt>
                <c:pt idx="1296">
                  <c:v>6.7949999999999997E-2</c:v>
                </c:pt>
                <c:pt idx="1297">
                  <c:v>6.6830000000000001E-2</c:v>
                </c:pt>
                <c:pt idx="1298">
                  <c:v>6.6799999999999998E-2</c:v>
                </c:pt>
                <c:pt idx="1299">
                  <c:v>6.6780000000000006E-2</c:v>
                </c:pt>
                <c:pt idx="1300">
                  <c:v>6.5730000000000011E-2</c:v>
                </c:pt>
                <c:pt idx="1301">
                  <c:v>6.4809999999999993E-2</c:v>
                </c:pt>
                <c:pt idx="1302">
                  <c:v>6.4619999999999997E-2</c:v>
                </c:pt>
                <c:pt idx="1303">
                  <c:v>6.3909999999999995E-2</c:v>
                </c:pt>
                <c:pt idx="1304">
                  <c:v>6.3E-2</c:v>
                </c:pt>
                <c:pt idx="1305">
                  <c:v>6.1310000000000003E-2</c:v>
                </c:pt>
                <c:pt idx="1306">
                  <c:v>6.1079999999999995E-2</c:v>
                </c:pt>
                <c:pt idx="1307">
                  <c:v>5.9790000000000003E-2</c:v>
                </c:pt>
                <c:pt idx="1308">
                  <c:v>5.9559999999999995E-2</c:v>
                </c:pt>
                <c:pt idx="1309">
                  <c:v>5.9080000000000001E-2</c:v>
                </c:pt>
                <c:pt idx="1310">
                  <c:v>5.8799999999999998E-2</c:v>
                </c:pt>
                <c:pt idx="1311">
                  <c:v>5.8360000000000002E-2</c:v>
                </c:pt>
                <c:pt idx="1312">
                  <c:v>5.8019999999999995E-2</c:v>
                </c:pt>
                <c:pt idx="1313">
                  <c:v>5.808E-2</c:v>
                </c:pt>
                <c:pt idx="1314">
                  <c:v>5.8230000000000004E-2</c:v>
                </c:pt>
                <c:pt idx="1315">
                  <c:v>5.9229999999999998E-2</c:v>
                </c:pt>
                <c:pt idx="1316">
                  <c:v>5.9359999999999996E-2</c:v>
                </c:pt>
                <c:pt idx="1317">
                  <c:v>5.944E-2</c:v>
                </c:pt>
                <c:pt idx="1318">
                  <c:v>5.9269999999999996E-2</c:v>
                </c:pt>
                <c:pt idx="1319">
                  <c:v>5.8440000000000006E-2</c:v>
                </c:pt>
                <c:pt idx="1320">
                  <c:v>5.8339999999999996E-2</c:v>
                </c:pt>
                <c:pt idx="1321">
                  <c:v>5.7519999999999995E-2</c:v>
                </c:pt>
                <c:pt idx="1322">
                  <c:v>5.7050000000000003E-2</c:v>
                </c:pt>
                <c:pt idx="1323">
                  <c:v>5.5559999999999998E-2</c:v>
                </c:pt>
                <c:pt idx="1324">
                  <c:v>5.441E-2</c:v>
                </c:pt>
                <c:pt idx="1325">
                  <c:v>5.3419999999999995E-2</c:v>
                </c:pt>
                <c:pt idx="1326">
                  <c:v>5.2930000000000005E-2</c:v>
                </c:pt>
                <c:pt idx="1327">
                  <c:v>5.2060000000000002E-2</c:v>
                </c:pt>
                <c:pt idx="1328">
                  <c:v>5.2260000000000001E-2</c:v>
                </c:pt>
                <c:pt idx="1329">
                  <c:v>5.2209999999999999E-2</c:v>
                </c:pt>
                <c:pt idx="1330">
                  <c:v>5.1670000000000001E-2</c:v>
                </c:pt>
                <c:pt idx="1331">
                  <c:v>5.1429999999999997E-2</c:v>
                </c:pt>
                <c:pt idx="1332">
                  <c:v>5.1249999999999997E-2</c:v>
                </c:pt>
                <c:pt idx="1333">
                  <c:v>5.1340000000000004E-2</c:v>
                </c:pt>
                <c:pt idx="1334">
                  <c:v>5.1729999999999998E-2</c:v>
                </c:pt>
                <c:pt idx="1335">
                  <c:v>5.1810000000000002E-2</c:v>
                </c:pt>
                <c:pt idx="1336">
                  <c:v>5.1970000000000002E-2</c:v>
                </c:pt>
                <c:pt idx="1337">
                  <c:v>5.1849999999999993E-2</c:v>
                </c:pt>
                <c:pt idx="1338">
                  <c:v>5.1769999999999997E-2</c:v>
                </c:pt>
                <c:pt idx="1339">
                  <c:v>5.176E-2</c:v>
                </c:pt>
                <c:pt idx="1340">
                  <c:v>5.1869999999999999E-2</c:v>
                </c:pt>
                <c:pt idx="1341">
                  <c:v>5.2670000000000002E-2</c:v>
                </c:pt>
                <c:pt idx="1342">
                  <c:v>5.3360000000000005E-2</c:v>
                </c:pt>
                <c:pt idx="1343">
                  <c:v>5.382E-2</c:v>
                </c:pt>
                <c:pt idx="1344">
                  <c:v>5.3749999999999999E-2</c:v>
                </c:pt>
                <c:pt idx="1345">
                  <c:v>5.4039999999999998E-2</c:v>
                </c:pt>
                <c:pt idx="1346">
                  <c:v>5.4089999999999999E-2</c:v>
                </c:pt>
                <c:pt idx="1347">
                  <c:v>5.4240000000000003E-2</c:v>
                </c:pt>
                <c:pt idx="1348">
                  <c:v>5.4329999999999996E-2</c:v>
                </c:pt>
                <c:pt idx="1349">
                  <c:v>5.4280000000000002E-2</c:v>
                </c:pt>
                <c:pt idx="1350">
                  <c:v>5.4269999999999999E-2</c:v>
                </c:pt>
                <c:pt idx="1351">
                  <c:v>5.4713076923076927E-2</c:v>
                </c:pt>
                <c:pt idx="1352">
                  <c:v>5.5893703703703702E-2</c:v>
                </c:pt>
                <c:pt idx="1353">
                  <c:v>5.6211566951566955E-2</c:v>
                </c:pt>
                <c:pt idx="1354">
                  <c:v>5.6261965811965818E-2</c:v>
                </c:pt>
                <c:pt idx="1355">
                  <c:v>5.6423333333333332E-2</c:v>
                </c:pt>
                <c:pt idx="1356">
                  <c:v>5.6354985754985751E-2</c:v>
                </c:pt>
                <c:pt idx="1357">
                  <c:v>5.5998319088319086E-2</c:v>
                </c:pt>
                <c:pt idx="1358">
                  <c:v>5.6013076923076922E-2</c:v>
                </c:pt>
                <c:pt idx="1359">
                  <c:v>5.6100284900284902E-2</c:v>
                </c:pt>
                <c:pt idx="1360">
                  <c:v>5.6319686609686608E-2</c:v>
                </c:pt>
                <c:pt idx="1361">
                  <c:v>5.6271111111111105E-2</c:v>
                </c:pt>
                <c:pt idx="1362">
                  <c:v>5.6274529914529914E-2</c:v>
                </c:pt>
                <c:pt idx="1363">
                  <c:v>5.6106923076923075E-2</c:v>
                </c:pt>
                <c:pt idx="1364">
                  <c:v>5.6210626780626785E-2</c:v>
                </c:pt>
                <c:pt idx="1365">
                  <c:v>5.6037142857142862E-2</c:v>
                </c:pt>
                <c:pt idx="1366">
                  <c:v>5.5920455840455838E-2</c:v>
                </c:pt>
                <c:pt idx="1367">
                  <c:v>5.56180056980057E-2</c:v>
                </c:pt>
                <c:pt idx="1368">
                  <c:v>5.4986324786324786E-2</c:v>
                </c:pt>
                <c:pt idx="1369">
                  <c:v>5.5093333333333334E-2</c:v>
                </c:pt>
                <c:pt idx="1370">
                  <c:v>5.4898803418803412E-2</c:v>
                </c:pt>
                <c:pt idx="1371">
                  <c:v>5.5244045584045588E-2</c:v>
                </c:pt>
                <c:pt idx="1372">
                  <c:v>5.5016923076923074E-2</c:v>
                </c:pt>
                <c:pt idx="1373">
                  <c:v>5.4912792022792027E-2</c:v>
                </c:pt>
                <c:pt idx="1374">
                  <c:v>5.4947549857549856E-2</c:v>
                </c:pt>
                <c:pt idx="1375">
                  <c:v>5.4963162393162387E-2</c:v>
                </c:pt>
                <c:pt idx="1376">
                  <c:v>5.5042307692307696E-2</c:v>
                </c:pt>
                <c:pt idx="1377">
                  <c:v>5.5087834757834749E-2</c:v>
                </c:pt>
                <c:pt idx="1378">
                  <c:v>5.5071538461538463E-2</c:v>
                </c:pt>
                <c:pt idx="1379">
                  <c:v>5.5060569800569795E-2</c:v>
                </c:pt>
                <c:pt idx="1380">
                  <c:v>5.4951025641025636E-2</c:v>
                </c:pt>
                <c:pt idx="1381">
                  <c:v>5.4688319088319087E-2</c:v>
                </c:pt>
                <c:pt idx="1382">
                  <c:v>5.4816552706552703E-2</c:v>
                </c:pt>
                <c:pt idx="1383">
                  <c:v>5.468615384615385E-2</c:v>
                </c:pt>
                <c:pt idx="1384">
                  <c:v>5.4621025641025646E-2</c:v>
                </c:pt>
                <c:pt idx="1385">
                  <c:v>5.4688319088319087E-2</c:v>
                </c:pt>
                <c:pt idx="1386">
                  <c:v>5.4646E-2</c:v>
                </c:pt>
                <c:pt idx="1387">
                  <c:v>5.5036000000000002E-2</c:v>
                </c:pt>
                <c:pt idx="1388">
                  <c:v>5.5645897435897436E-2</c:v>
                </c:pt>
                <c:pt idx="1389">
                  <c:v>5.56676923076923E-2</c:v>
                </c:pt>
                <c:pt idx="1390">
                  <c:v>5.5621082621082618E-2</c:v>
                </c:pt>
                <c:pt idx="1391">
                  <c:v>5.5337521367521368E-2</c:v>
                </c:pt>
                <c:pt idx="1392">
                  <c:v>5.5232564102564101E-2</c:v>
                </c:pt>
                <c:pt idx="1393">
                  <c:v>5.5933133903133897E-2</c:v>
                </c:pt>
                <c:pt idx="1394">
                  <c:v>5.5994301994301991E-2</c:v>
                </c:pt>
                <c:pt idx="1395">
                  <c:v>5.6958660968660972E-2</c:v>
                </c:pt>
                <c:pt idx="1396">
                  <c:v>5.8073076923076929E-2</c:v>
                </c:pt>
                <c:pt idx="1397">
                  <c:v>5.9011737891737887E-2</c:v>
                </c:pt>
                <c:pt idx="1398">
                  <c:v>5.8682592592592585E-2</c:v>
                </c:pt>
                <c:pt idx="1399">
                  <c:v>6.0928945868945872E-2</c:v>
                </c:pt>
                <c:pt idx="1400">
                  <c:v>6.1852905982905985E-2</c:v>
                </c:pt>
                <c:pt idx="1401">
                  <c:v>6.1810028490028486E-2</c:v>
                </c:pt>
                <c:pt idx="1402">
                  <c:v>6.1554786324786323E-2</c:v>
                </c:pt>
                <c:pt idx="1403">
                  <c:v>6.1331538461538465E-2</c:v>
                </c:pt>
                <c:pt idx="1404">
                  <c:v>6.1147948717948715E-2</c:v>
                </c:pt>
                <c:pt idx="1405">
                  <c:v>6.162096866096866E-2</c:v>
                </c:pt>
                <c:pt idx="1406">
                  <c:v>6.1272193732193732E-2</c:v>
                </c:pt>
                <c:pt idx="1407">
                  <c:v>6.2321965811965814E-2</c:v>
                </c:pt>
                <c:pt idx="1408">
                  <c:v>6.2252222222222216E-2</c:v>
                </c:pt>
                <c:pt idx="1409">
                  <c:v>6.1976980056980054E-2</c:v>
                </c:pt>
                <c:pt idx="1410">
                  <c:v>6.209962962962963E-2</c:v>
                </c:pt>
                <c:pt idx="1411">
                  <c:v>6.3002991452991444E-2</c:v>
                </c:pt>
                <c:pt idx="1412">
                  <c:v>6.5605726495726491E-2</c:v>
                </c:pt>
                <c:pt idx="1413">
                  <c:v>6.6853846153846153E-2</c:v>
                </c:pt>
                <c:pt idx="1414">
                  <c:v>7.0081225071225065E-2</c:v>
                </c:pt>
                <c:pt idx="1415">
                  <c:v>6.8703846153846157E-2</c:v>
                </c:pt>
                <c:pt idx="1416">
                  <c:v>6.7650883190883193E-2</c:v>
                </c:pt>
                <c:pt idx="1417">
                  <c:v>6.7201851851851846E-2</c:v>
                </c:pt>
                <c:pt idx="1418">
                  <c:v>6.7484358974358977E-2</c:v>
                </c:pt>
                <c:pt idx="1419">
                  <c:v>6.7665897435897432E-2</c:v>
                </c:pt>
                <c:pt idx="1420">
                  <c:v>6.623452991452991E-2</c:v>
                </c:pt>
                <c:pt idx="1421">
                  <c:v>6.611794871794871E-2</c:v>
                </c:pt>
                <c:pt idx="1422">
                  <c:v>6.5881538461538464E-2</c:v>
                </c:pt>
                <c:pt idx="1423">
                  <c:v>6.6058689458689465E-2</c:v>
                </c:pt>
                <c:pt idx="1424">
                  <c:v>6.6720142450142447E-2</c:v>
                </c:pt>
                <c:pt idx="1425">
                  <c:v>6.720834757834758E-2</c:v>
                </c:pt>
                <c:pt idx="1426">
                  <c:v>6.7331111111111105E-2</c:v>
                </c:pt>
                <c:pt idx="1427">
                  <c:v>6.7444586894586905E-2</c:v>
                </c:pt>
                <c:pt idx="1428">
                  <c:v>6.7106096866096865E-2</c:v>
                </c:pt>
                <c:pt idx="1429">
                  <c:v>6.597571428571429E-2</c:v>
                </c:pt>
                <c:pt idx="1430">
                  <c:v>6.5545714285714277E-2</c:v>
                </c:pt>
                <c:pt idx="1431">
                  <c:v>6.5256153846153839E-2</c:v>
                </c:pt>
                <c:pt idx="1432">
                  <c:v>6.4864131054131052E-2</c:v>
                </c:pt>
                <c:pt idx="1433">
                  <c:v>6.9129971509971522E-2</c:v>
                </c:pt>
                <c:pt idx="1434">
                  <c:v>6.9893988603988599E-2</c:v>
                </c:pt>
                <c:pt idx="1435">
                  <c:v>6.9552307692307691E-2</c:v>
                </c:pt>
                <c:pt idx="1436">
                  <c:v>6.9562592592592593E-2</c:v>
                </c:pt>
                <c:pt idx="1437">
                  <c:v>6.9620655270655266E-2</c:v>
                </c:pt>
                <c:pt idx="1438">
                  <c:v>7.3250683760683763E-2</c:v>
                </c:pt>
                <c:pt idx="1439">
                  <c:v>7.5027777777777777E-2</c:v>
                </c:pt>
                <c:pt idx="1440">
                  <c:v>7.5618205128205135E-2</c:v>
                </c:pt>
                <c:pt idx="1441">
                  <c:v>7.5395669515669506E-2</c:v>
                </c:pt>
                <c:pt idx="1442">
                  <c:v>7.5005384615384613E-2</c:v>
                </c:pt>
                <c:pt idx="1443">
                  <c:v>7.4589886039886033E-2</c:v>
                </c:pt>
                <c:pt idx="1444">
                  <c:v>7.2915242165242158E-2</c:v>
                </c:pt>
                <c:pt idx="1445">
                  <c:v>7.2725925925925916E-2</c:v>
                </c:pt>
                <c:pt idx="1446">
                  <c:v>7.1318632478632474E-2</c:v>
                </c:pt>
                <c:pt idx="1447">
                  <c:v>6.9385014245014254E-2</c:v>
                </c:pt>
                <c:pt idx="1448">
                  <c:v>6.9019715099715107E-2</c:v>
                </c:pt>
                <c:pt idx="1449">
                  <c:v>6.8917464387464392E-2</c:v>
                </c:pt>
                <c:pt idx="1450">
                  <c:v>6.8315470085470092E-2</c:v>
                </c:pt>
                <c:pt idx="1451">
                  <c:v>6.8521481481481475E-2</c:v>
                </c:pt>
                <c:pt idx="1452">
                  <c:v>6.8483714285714287E-2</c:v>
                </c:pt>
                <c:pt idx="1453">
                  <c:v>6.8573714285714293E-2</c:v>
                </c:pt>
                <c:pt idx="1454">
                  <c:v>6.8646609686609683E-2</c:v>
                </c:pt>
                <c:pt idx="1455">
                  <c:v>6.9000000000000006E-2</c:v>
                </c:pt>
                <c:pt idx="1456">
                  <c:v>6.9660142450142459E-2</c:v>
                </c:pt>
                <c:pt idx="1457">
                  <c:v>6.8572478632478631E-2</c:v>
                </c:pt>
                <c:pt idx="1458">
                  <c:v>6.4872735042735039E-2</c:v>
                </c:pt>
                <c:pt idx="1459">
                  <c:v>6.5084615384615394E-2</c:v>
                </c:pt>
                <c:pt idx="1460">
                  <c:v>6.4993390313390312E-2</c:v>
                </c:pt>
                <c:pt idx="1461">
                  <c:v>6.5268490028490028E-2</c:v>
                </c:pt>
                <c:pt idx="1462">
                  <c:v>6.5299230769230776E-2</c:v>
                </c:pt>
                <c:pt idx="1463">
                  <c:v>6.4926182336182331E-2</c:v>
                </c:pt>
                <c:pt idx="1464">
                  <c:v>6.4904814814814818E-2</c:v>
                </c:pt>
                <c:pt idx="1465">
                  <c:v>6.4578233618233616E-2</c:v>
                </c:pt>
                <c:pt idx="1466">
                  <c:v>6.4373760683760689E-2</c:v>
                </c:pt>
                <c:pt idx="1467">
                  <c:v>6.4471424501424499E-2</c:v>
                </c:pt>
                <c:pt idx="1468">
                  <c:v>6.4599373219373216E-2</c:v>
                </c:pt>
                <c:pt idx="1469">
                  <c:v>6.4578974358974361E-2</c:v>
                </c:pt>
                <c:pt idx="1470">
                  <c:v>6.4633333333333334E-2</c:v>
                </c:pt>
                <c:pt idx="1471">
                  <c:v>6.4985698005698006E-2</c:v>
                </c:pt>
                <c:pt idx="1472">
                  <c:v>6.5330854700854701E-2</c:v>
                </c:pt>
                <c:pt idx="1473">
                  <c:v>6.4395470085470086E-2</c:v>
                </c:pt>
                <c:pt idx="1474">
                  <c:v>6.4143589743589746E-2</c:v>
                </c:pt>
                <c:pt idx="1475">
                  <c:v>6.3861566951566945E-2</c:v>
                </c:pt>
                <c:pt idx="1476">
                  <c:v>6.3765299145299145E-2</c:v>
                </c:pt>
                <c:pt idx="1477">
                  <c:v>6.3723931623931626E-2</c:v>
                </c:pt>
                <c:pt idx="1478">
                  <c:v>6.3632905982905982E-2</c:v>
                </c:pt>
                <c:pt idx="1479">
                  <c:v>6.3062222222222214E-2</c:v>
                </c:pt>
                <c:pt idx="1480">
                  <c:v>6.2888119658119648E-2</c:v>
                </c:pt>
                <c:pt idx="1481">
                  <c:v>6.2886923076923076E-2</c:v>
                </c:pt>
                <c:pt idx="1482">
                  <c:v>6.3252934472934466E-2</c:v>
                </c:pt>
                <c:pt idx="1483">
                  <c:v>6.235102564102564E-2</c:v>
                </c:pt>
                <c:pt idx="1484">
                  <c:v>6.220980056980057E-2</c:v>
                </c:pt>
                <c:pt idx="1485">
                  <c:v>6.2036324786324787E-2</c:v>
                </c:pt>
                <c:pt idx="1486">
                  <c:v>6.023367521367521E-2</c:v>
                </c:pt>
                <c:pt idx="1487">
                  <c:v>5.9976324786324788E-2</c:v>
                </c:pt>
                <c:pt idx="1488">
                  <c:v>5.8495897435897434E-2</c:v>
                </c:pt>
                <c:pt idx="1489">
                  <c:v>5.7464273504273508E-2</c:v>
                </c:pt>
                <c:pt idx="1490">
                  <c:v>5.7110940170940171E-2</c:v>
                </c:pt>
                <c:pt idx="1491">
                  <c:v>5.7107549857549858E-2</c:v>
                </c:pt>
                <c:pt idx="1492">
                  <c:v>5.7074957264957267E-2</c:v>
                </c:pt>
                <c:pt idx="1493">
                  <c:v>5.6766296296296301E-2</c:v>
                </c:pt>
                <c:pt idx="1494">
                  <c:v>5.6547008547008552E-2</c:v>
                </c:pt>
                <c:pt idx="1495">
                  <c:v>5.6743714285714286E-2</c:v>
                </c:pt>
                <c:pt idx="1496">
                  <c:v>5.6775428571428567E-2</c:v>
                </c:pt>
                <c:pt idx="1497">
                  <c:v>5.7017264957264953E-2</c:v>
                </c:pt>
                <c:pt idx="1498">
                  <c:v>5.7092934472934474E-2</c:v>
                </c:pt>
                <c:pt idx="1499">
                  <c:v>5.7151709401709411E-2</c:v>
                </c:pt>
                <c:pt idx="1500">
                  <c:v>5.6946125356125359E-2</c:v>
                </c:pt>
                <c:pt idx="1501">
                  <c:v>5.7126923076923075E-2</c:v>
                </c:pt>
                <c:pt idx="1502">
                  <c:v>5.7301680911680919E-2</c:v>
                </c:pt>
                <c:pt idx="1503">
                  <c:v>5.7584074074074072E-2</c:v>
                </c:pt>
                <c:pt idx="1504">
                  <c:v>5.7866723646723649E-2</c:v>
                </c:pt>
                <c:pt idx="1505">
                  <c:v>5.8440341880341883E-2</c:v>
                </c:pt>
                <c:pt idx="1506">
                  <c:v>5.8687863247863251E-2</c:v>
                </c:pt>
                <c:pt idx="1507">
                  <c:v>5.8989373219373226E-2</c:v>
                </c:pt>
                <c:pt idx="1508">
                  <c:v>5.8905128205128207E-2</c:v>
                </c:pt>
                <c:pt idx="1509">
                  <c:v>5.8803333333333326E-2</c:v>
                </c:pt>
                <c:pt idx="1510">
                  <c:v>5.9045612535612531E-2</c:v>
                </c:pt>
                <c:pt idx="1511">
                  <c:v>5.824441595441595E-2</c:v>
                </c:pt>
                <c:pt idx="1512">
                  <c:v>5.7148888888888888E-2</c:v>
                </c:pt>
                <c:pt idx="1513">
                  <c:v>5.6916951566951562E-2</c:v>
                </c:pt>
                <c:pt idx="1514">
                  <c:v>5.6778148148148147E-2</c:v>
                </c:pt>
                <c:pt idx="1515">
                  <c:v>5.6747692307692305E-2</c:v>
                </c:pt>
                <c:pt idx="1516">
                  <c:v>5.6602991452991455E-2</c:v>
                </c:pt>
                <c:pt idx="1517">
                  <c:v>5.6450769230769235E-2</c:v>
                </c:pt>
                <c:pt idx="1518">
                  <c:v>5.6632857142857145E-2</c:v>
                </c:pt>
                <c:pt idx="1519">
                  <c:v>5.6411339031339026E-2</c:v>
                </c:pt>
                <c:pt idx="1520">
                  <c:v>5.6332307692307688E-2</c:v>
                </c:pt>
                <c:pt idx="1521">
                  <c:v>5.6844074074074075E-2</c:v>
                </c:pt>
                <c:pt idx="1522">
                  <c:v>5.7394387464387471E-2</c:v>
                </c:pt>
                <c:pt idx="1523">
                  <c:v>5.7851025641025643E-2</c:v>
                </c:pt>
                <c:pt idx="1524">
                  <c:v>5.9314700854700864E-2</c:v>
                </c:pt>
                <c:pt idx="1525">
                  <c:v>5.9569487179487179E-2</c:v>
                </c:pt>
                <c:pt idx="1526">
                  <c:v>5.8651310541310543E-2</c:v>
                </c:pt>
                <c:pt idx="1527">
                  <c:v>5.8480256410256413E-2</c:v>
                </c:pt>
                <c:pt idx="1528">
                  <c:v>5.8360455840455849E-2</c:v>
                </c:pt>
                <c:pt idx="1529">
                  <c:v>5.805247863247863E-2</c:v>
                </c:pt>
                <c:pt idx="1530">
                  <c:v>5.7895925925925927E-2</c:v>
                </c:pt>
                <c:pt idx="1531">
                  <c:v>5.6164358974358973E-2</c:v>
                </c:pt>
                <c:pt idx="1532">
                  <c:v>5.5538034188034185E-2</c:v>
                </c:pt>
                <c:pt idx="1533">
                  <c:v>5.5324928774928776E-2</c:v>
                </c:pt>
                <c:pt idx="1534">
                  <c:v>5.533245014245014E-2</c:v>
                </c:pt>
                <c:pt idx="1535">
                  <c:v>5.5148945868945871E-2</c:v>
                </c:pt>
                <c:pt idx="1536">
                  <c:v>5.5101452991452991E-2</c:v>
                </c:pt>
                <c:pt idx="1537">
                  <c:v>5.509E-2</c:v>
                </c:pt>
                <c:pt idx="1538">
                  <c:v>5.4528695652173914E-2</c:v>
                </c:pt>
                <c:pt idx="1539">
                  <c:v>5.2677292143401978E-2</c:v>
                </c:pt>
                <c:pt idx="1540">
                  <c:v>5.1873729977116707E-2</c:v>
                </c:pt>
                <c:pt idx="1541">
                  <c:v>5.1128062547673526E-2</c:v>
                </c:pt>
                <c:pt idx="1542">
                  <c:v>5.1094645308924484E-2</c:v>
                </c:pt>
                <c:pt idx="1543">
                  <c:v>5.0277719298245621E-2</c:v>
                </c:pt>
                <c:pt idx="1544">
                  <c:v>5.0060091533180778E-2</c:v>
                </c:pt>
                <c:pt idx="1545">
                  <c:v>4.9725301296720065E-2</c:v>
                </c:pt>
                <c:pt idx="1546">
                  <c:v>4.9714912280701753E-2</c:v>
                </c:pt>
                <c:pt idx="1547">
                  <c:v>4.9794729214340201E-2</c:v>
                </c:pt>
                <c:pt idx="1548">
                  <c:v>5.0731967963386727E-2</c:v>
                </c:pt>
                <c:pt idx="1549">
                  <c:v>5.2220610221205187E-2</c:v>
                </c:pt>
                <c:pt idx="1550">
                  <c:v>5.3311334858886346E-2</c:v>
                </c:pt>
                <c:pt idx="1551">
                  <c:v>5.3416933638443936E-2</c:v>
                </c:pt>
                <c:pt idx="1552">
                  <c:v>5.3561739130434785E-2</c:v>
                </c:pt>
                <c:pt idx="1553">
                  <c:v>5.3905896262395121E-2</c:v>
                </c:pt>
                <c:pt idx="1554">
                  <c:v>5.4175415713196035E-2</c:v>
                </c:pt>
                <c:pt idx="1555">
                  <c:v>5.3991052631578954E-2</c:v>
                </c:pt>
                <c:pt idx="1556">
                  <c:v>5.3297406559877955E-2</c:v>
                </c:pt>
                <c:pt idx="1557">
                  <c:v>5.265426392067124E-2</c:v>
                </c:pt>
                <c:pt idx="1558">
                  <c:v>5.2600091533180772E-2</c:v>
                </c:pt>
                <c:pt idx="1559">
                  <c:v>5.269471395881007E-2</c:v>
                </c:pt>
                <c:pt idx="1560">
                  <c:v>5.2943798627002291E-2</c:v>
                </c:pt>
                <c:pt idx="1561">
                  <c:v>5.3088535469107558E-2</c:v>
                </c:pt>
                <c:pt idx="1562">
                  <c:v>5.4002807017543855E-2</c:v>
                </c:pt>
                <c:pt idx="1563">
                  <c:v>5.3990137299771174E-2</c:v>
                </c:pt>
                <c:pt idx="1564">
                  <c:v>5.4026132723112123E-2</c:v>
                </c:pt>
                <c:pt idx="1565">
                  <c:v>5.4022753623188403E-2</c:v>
                </c:pt>
                <c:pt idx="1566">
                  <c:v>5.4612959572845156E-2</c:v>
                </c:pt>
                <c:pt idx="1567">
                  <c:v>5.4972868039664384E-2</c:v>
                </c:pt>
                <c:pt idx="1568">
                  <c:v>5.4459290617848967E-2</c:v>
                </c:pt>
                <c:pt idx="1569">
                  <c:v>5.359633104500381E-2</c:v>
                </c:pt>
                <c:pt idx="1570">
                  <c:v>5.3339282990083906E-2</c:v>
                </c:pt>
                <c:pt idx="1571">
                  <c:v>5.2983684210526322E-2</c:v>
                </c:pt>
                <c:pt idx="1572">
                  <c:v>5.2877734553775743E-2</c:v>
                </c:pt>
                <c:pt idx="1573">
                  <c:v>5.2657498093058731E-2</c:v>
                </c:pt>
                <c:pt idx="1574">
                  <c:v>5.2620282227307406E-2</c:v>
                </c:pt>
                <c:pt idx="1575">
                  <c:v>5.3013363844393598E-2</c:v>
                </c:pt>
                <c:pt idx="1576">
                  <c:v>5.2929458428680395E-2</c:v>
                </c:pt>
                <c:pt idx="1577">
                  <c:v>5.2710533943554537E-2</c:v>
                </c:pt>
                <c:pt idx="1578">
                  <c:v>5.404696414950419E-2</c:v>
                </c:pt>
                <c:pt idx="1579">
                  <c:v>5.4038947368421048E-2</c:v>
                </c:pt>
                <c:pt idx="1580">
                  <c:v>5.398814645308924E-2</c:v>
                </c:pt>
                <c:pt idx="1581">
                  <c:v>5.4130389016018306E-2</c:v>
                </c:pt>
                <c:pt idx="1582">
                  <c:v>5.4521693363844388E-2</c:v>
                </c:pt>
                <c:pt idx="1583">
                  <c:v>5.4518749046529369E-2</c:v>
                </c:pt>
                <c:pt idx="1584">
                  <c:v>5.424512585812357E-2</c:v>
                </c:pt>
                <c:pt idx="1585">
                  <c:v>5.442178489702517E-2</c:v>
                </c:pt>
                <c:pt idx="1586">
                  <c:v>5.4317063310450039E-2</c:v>
                </c:pt>
                <c:pt idx="1587">
                  <c:v>5.433846681922197E-2</c:v>
                </c:pt>
                <c:pt idx="1588">
                  <c:v>5.4143432494279178E-2</c:v>
                </c:pt>
                <c:pt idx="1589">
                  <c:v>5.3887513348588864E-2</c:v>
                </c:pt>
                <c:pt idx="1590">
                  <c:v>5.1522555301296721E-2</c:v>
                </c:pt>
                <c:pt idx="1591">
                  <c:v>5.1489816933638445E-2</c:v>
                </c:pt>
                <c:pt idx="1592">
                  <c:v>5.2292974828375291E-2</c:v>
                </c:pt>
                <c:pt idx="1593">
                  <c:v>5.2767978642257816E-2</c:v>
                </c:pt>
                <c:pt idx="1594">
                  <c:v>5.4394035087719297E-2</c:v>
                </c:pt>
                <c:pt idx="1595">
                  <c:v>5.5202997711670483E-2</c:v>
                </c:pt>
                <c:pt idx="1596">
                  <c:v>5.775073226544622E-2</c:v>
                </c:pt>
                <c:pt idx="1597">
                  <c:v>5.6646086956521735E-2</c:v>
                </c:pt>
                <c:pt idx="1598">
                  <c:v>6.0467787948131201E-2</c:v>
                </c:pt>
                <c:pt idx="1599">
                  <c:v>6.5602974828375279E-2</c:v>
                </c:pt>
                <c:pt idx="1600">
                  <c:v>6.3780457665903886E-2</c:v>
                </c:pt>
                <c:pt idx="1601">
                  <c:v>6.2996384439359274E-2</c:v>
                </c:pt>
                <c:pt idx="1602">
                  <c:v>6.2415720823798627E-2</c:v>
                </c:pt>
                <c:pt idx="1603">
                  <c:v>6.3127498093058731E-2</c:v>
                </c:pt>
                <c:pt idx="1604">
                  <c:v>6.2739748283752853E-2</c:v>
                </c:pt>
                <c:pt idx="1605">
                  <c:v>6.1166506483600308E-2</c:v>
                </c:pt>
                <c:pt idx="1606">
                  <c:v>6.0445247902364614E-2</c:v>
                </c:pt>
                <c:pt idx="1607">
                  <c:v>5.9726254767353167E-2</c:v>
                </c:pt>
                <c:pt idx="1608">
                  <c:v>6.0936956521739132E-2</c:v>
                </c:pt>
                <c:pt idx="1609">
                  <c:v>6.4330701754385974E-2</c:v>
                </c:pt>
                <c:pt idx="1610">
                  <c:v>6.5153249427917614E-2</c:v>
                </c:pt>
                <c:pt idx="1611">
                  <c:v>6.5546636155606408E-2</c:v>
                </c:pt>
                <c:pt idx="1612">
                  <c:v>6.5440091533180783E-2</c:v>
                </c:pt>
                <c:pt idx="1613">
                  <c:v>6.6758283752860414E-2</c:v>
                </c:pt>
                <c:pt idx="1614">
                  <c:v>6.1646353928299008E-2</c:v>
                </c:pt>
                <c:pt idx="1615">
                  <c:v>6.1841510297482839E-2</c:v>
                </c:pt>
                <c:pt idx="1616">
                  <c:v>6.0947932875667431E-2</c:v>
                </c:pt>
                <c:pt idx="1617">
                  <c:v>5.8699420289855073E-2</c:v>
                </c:pt>
                <c:pt idx="1618">
                  <c:v>5.6316918382913805E-2</c:v>
                </c:pt>
                <c:pt idx="1619">
                  <c:v>5.6153363844393588E-2</c:v>
                </c:pt>
                <c:pt idx="1620">
                  <c:v>5.6237246376811593E-2</c:v>
                </c:pt>
                <c:pt idx="1621">
                  <c:v>5.6246582761250954E-2</c:v>
                </c:pt>
                <c:pt idx="1622">
                  <c:v>5.6053325705568265E-2</c:v>
                </c:pt>
                <c:pt idx="1623">
                  <c:v>5.6085881006864992E-2</c:v>
                </c:pt>
                <c:pt idx="1624">
                  <c:v>5.7241601830663617E-2</c:v>
                </c:pt>
                <c:pt idx="1625">
                  <c:v>5.593578947368421E-2</c:v>
                </c:pt>
                <c:pt idx="1626">
                  <c:v>5.5044736842105264E-2</c:v>
                </c:pt>
                <c:pt idx="1627">
                  <c:v>5.5048947368421051E-2</c:v>
                </c:pt>
                <c:pt idx="1628">
                  <c:v>5.5179069412662089E-2</c:v>
                </c:pt>
                <c:pt idx="1629">
                  <c:v>5.5228611746758201E-2</c:v>
                </c:pt>
                <c:pt idx="1630">
                  <c:v>5.4797757437070944E-2</c:v>
                </c:pt>
                <c:pt idx="1631">
                  <c:v>5.4751029748283747E-2</c:v>
                </c:pt>
                <c:pt idx="1632">
                  <c:v>5.5573699466056448E-2</c:v>
                </c:pt>
                <c:pt idx="1633">
                  <c:v>5.5567391304347832E-2</c:v>
                </c:pt>
                <c:pt idx="1634">
                  <c:v>5.5906224256292908E-2</c:v>
                </c:pt>
                <c:pt idx="1635">
                  <c:v>5.6755011441647601E-2</c:v>
                </c:pt>
                <c:pt idx="1636">
                  <c:v>5.6960251716247141E-2</c:v>
                </c:pt>
                <c:pt idx="1637">
                  <c:v>5.7127063310450039E-2</c:v>
                </c:pt>
                <c:pt idx="1638">
                  <c:v>5.7247917620137298E-2</c:v>
                </c:pt>
                <c:pt idx="1639">
                  <c:v>5.7093722349351637E-2</c:v>
                </c:pt>
                <c:pt idx="1640">
                  <c:v>5.7309794050343248E-2</c:v>
                </c:pt>
                <c:pt idx="1641">
                  <c:v>5.722546910755149E-2</c:v>
                </c:pt>
                <c:pt idx="1642">
                  <c:v>5.7203432494279179E-2</c:v>
                </c:pt>
                <c:pt idx="1643">
                  <c:v>5.7249595728451563E-2</c:v>
                </c:pt>
                <c:pt idx="1644">
                  <c:v>5.7340350877192983E-2</c:v>
                </c:pt>
                <c:pt idx="1645">
                  <c:v>5.7271006864988559E-2</c:v>
                </c:pt>
                <c:pt idx="1646">
                  <c:v>5.8714439359267734E-2</c:v>
                </c:pt>
                <c:pt idx="1647">
                  <c:v>5.9536956521739126E-2</c:v>
                </c:pt>
                <c:pt idx="1648">
                  <c:v>5.9555507246376808E-2</c:v>
                </c:pt>
                <c:pt idx="1649">
                  <c:v>5.9936979405034327E-2</c:v>
                </c:pt>
                <c:pt idx="1650">
                  <c:v>6.0577437070938218E-2</c:v>
                </c:pt>
                <c:pt idx="1651">
                  <c:v>6.2110198321891685E-2</c:v>
                </c:pt>
                <c:pt idx="1652">
                  <c:v>6.1929649122807018E-2</c:v>
                </c:pt>
                <c:pt idx="1653">
                  <c:v>6.3496163234172384E-2</c:v>
                </c:pt>
                <c:pt idx="1654">
                  <c:v>6.3529336384439361E-2</c:v>
                </c:pt>
                <c:pt idx="1655">
                  <c:v>6.3757765064836006E-2</c:v>
                </c:pt>
                <c:pt idx="1656">
                  <c:v>6.1792173913043473E-2</c:v>
                </c:pt>
                <c:pt idx="1657">
                  <c:v>6.160072463768116E-2</c:v>
                </c:pt>
                <c:pt idx="1658">
                  <c:v>6.1670091533180774E-2</c:v>
                </c:pt>
                <c:pt idx="1659">
                  <c:v>6.1570183066361556E-2</c:v>
                </c:pt>
                <c:pt idx="1660">
                  <c:v>6.3683272311212805E-2</c:v>
                </c:pt>
                <c:pt idx="1661">
                  <c:v>6.3776704805491982E-2</c:v>
                </c:pt>
                <c:pt idx="1662">
                  <c:v>6.5336910755148747E-2</c:v>
                </c:pt>
                <c:pt idx="1663">
                  <c:v>6.6344019832189169E-2</c:v>
                </c:pt>
                <c:pt idx="1664">
                  <c:v>6.6067490465293671E-2</c:v>
                </c:pt>
                <c:pt idx="1665">
                  <c:v>6.5440457665903895E-2</c:v>
                </c:pt>
                <c:pt idx="1666">
                  <c:v>6.4878131197559114E-2</c:v>
                </c:pt>
                <c:pt idx="1667">
                  <c:v>6.4599450800915323E-2</c:v>
                </c:pt>
                <c:pt idx="1668">
                  <c:v>6.4075293668954994E-2</c:v>
                </c:pt>
                <c:pt idx="1669">
                  <c:v>6.5296201372997714E-2</c:v>
                </c:pt>
                <c:pt idx="1670">
                  <c:v>6.5365591151792524E-2</c:v>
                </c:pt>
                <c:pt idx="1671">
                  <c:v>6.500510297482838E-2</c:v>
                </c:pt>
                <c:pt idx="1672">
                  <c:v>6.4823569794050337E-2</c:v>
                </c:pt>
                <c:pt idx="1673">
                  <c:v>6.4591441647597253E-2</c:v>
                </c:pt>
                <c:pt idx="1674">
                  <c:v>6.4717879481311968E-2</c:v>
                </c:pt>
                <c:pt idx="1675">
                  <c:v>6.472246376811594E-2</c:v>
                </c:pt>
                <c:pt idx="1676">
                  <c:v>6.4766315789473686E-2</c:v>
                </c:pt>
                <c:pt idx="1677">
                  <c:v>6.4815263157894737E-2</c:v>
                </c:pt>
                <c:pt idx="1678">
                  <c:v>6.4623447749809312E-2</c:v>
                </c:pt>
                <c:pt idx="1679">
                  <c:v>6.4233798627002292E-2</c:v>
                </c:pt>
                <c:pt idx="1680">
                  <c:v>6.3717780320366138E-2</c:v>
                </c:pt>
                <c:pt idx="1681">
                  <c:v>6.3174721586575139E-2</c:v>
                </c:pt>
                <c:pt idx="1682">
                  <c:v>6.2958916857360797E-2</c:v>
                </c:pt>
                <c:pt idx="1683">
                  <c:v>6.2821769641495037E-2</c:v>
                </c:pt>
                <c:pt idx="1684">
                  <c:v>6.2764141876430202E-2</c:v>
                </c:pt>
                <c:pt idx="1685">
                  <c:v>6.2575781845919151E-2</c:v>
                </c:pt>
                <c:pt idx="1686">
                  <c:v>6.2538848207475212E-2</c:v>
                </c:pt>
                <c:pt idx="1687">
                  <c:v>6.2448710907704041E-2</c:v>
                </c:pt>
                <c:pt idx="1688">
                  <c:v>6.2344782608695651E-2</c:v>
                </c:pt>
                <c:pt idx="1689">
                  <c:v>6.2466956521739128E-2</c:v>
                </c:pt>
                <c:pt idx="1690">
                  <c:v>6.2480297482837531E-2</c:v>
                </c:pt>
                <c:pt idx="1691">
                  <c:v>6.2476384439359267E-2</c:v>
                </c:pt>
                <c:pt idx="1692">
                  <c:v>6.2536559877955755E-2</c:v>
                </c:pt>
                <c:pt idx="1693">
                  <c:v>6.2637025171624713E-2</c:v>
                </c:pt>
                <c:pt idx="1694">
                  <c:v>6.2514363081617091E-2</c:v>
                </c:pt>
                <c:pt idx="1695">
                  <c:v>6.2373859649122815E-2</c:v>
                </c:pt>
                <c:pt idx="1696">
                  <c:v>6.2463546910755154E-2</c:v>
                </c:pt>
                <c:pt idx="1697">
                  <c:v>6.2576750572082382E-2</c:v>
                </c:pt>
                <c:pt idx="1698">
                  <c:v>6.2573440122044244E-2</c:v>
                </c:pt>
                <c:pt idx="1699">
                  <c:v>6.2526514111365381E-2</c:v>
                </c:pt>
                <c:pt idx="1700">
                  <c:v>6.2783432494279173E-2</c:v>
                </c:pt>
                <c:pt idx="1701">
                  <c:v>6.3027154843630806E-2</c:v>
                </c:pt>
                <c:pt idx="1702">
                  <c:v>6.3239275362318839E-2</c:v>
                </c:pt>
                <c:pt idx="1703">
                  <c:v>6.345784897025171E-2</c:v>
                </c:pt>
                <c:pt idx="1704">
                  <c:v>6.379343249427917E-2</c:v>
                </c:pt>
                <c:pt idx="1705">
                  <c:v>6.4720976353928303E-2</c:v>
                </c:pt>
                <c:pt idx="1706">
                  <c:v>6.48410831426392E-2</c:v>
                </c:pt>
                <c:pt idx="1707">
                  <c:v>6.467235697940503E-2</c:v>
                </c:pt>
                <c:pt idx="1708">
                  <c:v>6.4783913043478247E-2</c:v>
                </c:pt>
                <c:pt idx="1709">
                  <c:v>6.4860122044241034E-2</c:v>
                </c:pt>
                <c:pt idx="1710">
                  <c:v>6.4620045766590389E-2</c:v>
                </c:pt>
                <c:pt idx="1711">
                  <c:v>6.4921922196796336E-2</c:v>
                </c:pt>
                <c:pt idx="1712">
                  <c:v>6.5131861174675815E-2</c:v>
                </c:pt>
                <c:pt idx="1713">
                  <c:v>6.5235835240274598E-2</c:v>
                </c:pt>
                <c:pt idx="1714">
                  <c:v>6.5258390541571315E-2</c:v>
                </c:pt>
                <c:pt idx="1715">
                  <c:v>6.5481090770404274E-2</c:v>
                </c:pt>
                <c:pt idx="1716">
                  <c:v>6.5310915331807773E-2</c:v>
                </c:pt>
                <c:pt idx="1717">
                  <c:v>6.5483935926773457E-2</c:v>
                </c:pt>
                <c:pt idx="1718">
                  <c:v>6.5539885583524027E-2</c:v>
                </c:pt>
                <c:pt idx="1719">
                  <c:v>6.5635781845919144E-2</c:v>
                </c:pt>
                <c:pt idx="1720">
                  <c:v>6.5649061784897031E-2</c:v>
                </c:pt>
                <c:pt idx="1721">
                  <c:v>6.5581479786422578E-2</c:v>
                </c:pt>
                <c:pt idx="1722">
                  <c:v>6.5508718535469107E-2</c:v>
                </c:pt>
                <c:pt idx="1723">
                  <c:v>6.578472158657514E-2</c:v>
                </c:pt>
                <c:pt idx="1724">
                  <c:v>6.5681418764302058E-2</c:v>
                </c:pt>
                <c:pt idx="1725">
                  <c:v>6.4754103737604887E-2</c:v>
                </c:pt>
                <c:pt idx="1726">
                  <c:v>6.4835881006864993E-2</c:v>
                </c:pt>
                <c:pt idx="1727">
                  <c:v>6.48847292143402E-2</c:v>
                </c:pt>
                <c:pt idx="1728">
                  <c:v>6.5076842105263155E-2</c:v>
                </c:pt>
                <c:pt idx="1729">
                  <c:v>6.497091533180778E-2</c:v>
                </c:pt>
                <c:pt idx="1730">
                  <c:v>6.5239633867276894E-2</c:v>
                </c:pt>
                <c:pt idx="1731">
                  <c:v>6.535478260869565E-2</c:v>
                </c:pt>
                <c:pt idx="1732">
                  <c:v>6.5715675057208239E-2</c:v>
                </c:pt>
                <c:pt idx="1733">
                  <c:v>6.5400991609458434E-2</c:v>
                </c:pt>
                <c:pt idx="1734">
                  <c:v>6.5168360030511061E-2</c:v>
                </c:pt>
                <c:pt idx="1735">
                  <c:v>6.5646887871853549E-2</c:v>
                </c:pt>
                <c:pt idx="1736">
                  <c:v>6.6056552250190692E-2</c:v>
                </c:pt>
                <c:pt idx="1737">
                  <c:v>6.5758268497330283E-2</c:v>
                </c:pt>
                <c:pt idx="1738">
                  <c:v>6.5641815408085433E-2</c:v>
                </c:pt>
                <c:pt idx="1739">
                  <c:v>6.5577757437070935E-2</c:v>
                </c:pt>
                <c:pt idx="1740">
                  <c:v>6.5623333333333325E-2</c:v>
                </c:pt>
                <c:pt idx="1741">
                  <c:v>6.5551670480549204E-2</c:v>
                </c:pt>
                <c:pt idx="1742">
                  <c:v>6.5521540808543097E-2</c:v>
                </c:pt>
                <c:pt idx="1743">
                  <c:v>6.5424370709382146E-2</c:v>
                </c:pt>
                <c:pt idx="1744">
                  <c:v>6.3641014492753625E-2</c:v>
                </c:pt>
                <c:pt idx="1745">
                  <c:v>6.3210701754385965E-2</c:v>
                </c:pt>
                <c:pt idx="1746">
                  <c:v>6.1850205949656747E-2</c:v>
                </c:pt>
                <c:pt idx="1747">
                  <c:v>6.1207826086956525E-2</c:v>
                </c:pt>
                <c:pt idx="1748">
                  <c:v>6.0981777269260108E-2</c:v>
                </c:pt>
                <c:pt idx="1749">
                  <c:v>6.040132723112128E-2</c:v>
                </c:pt>
                <c:pt idx="1750">
                  <c:v>6.0361876430205949E-2</c:v>
                </c:pt>
                <c:pt idx="1751">
                  <c:v>6.0416270022883294E-2</c:v>
                </c:pt>
                <c:pt idx="1752">
                  <c:v>6.0476910755148744E-2</c:v>
                </c:pt>
                <c:pt idx="1753">
                  <c:v>6.0712822273073987E-2</c:v>
                </c:pt>
                <c:pt idx="1754">
                  <c:v>6.065750572082379E-2</c:v>
                </c:pt>
                <c:pt idx="1755">
                  <c:v>6.0708077803203662E-2</c:v>
                </c:pt>
                <c:pt idx="1756">
                  <c:v>6.0724660564454608E-2</c:v>
                </c:pt>
                <c:pt idx="1757">
                  <c:v>6.0446559877955754E-2</c:v>
                </c:pt>
                <c:pt idx="1758">
                  <c:v>6.0467246376811598E-2</c:v>
                </c:pt>
                <c:pt idx="1759">
                  <c:v>6.0339199084668192E-2</c:v>
                </c:pt>
                <c:pt idx="1760">
                  <c:v>5.9668619374523273E-2</c:v>
                </c:pt>
                <c:pt idx="1761">
                  <c:v>5.9524881769641498E-2</c:v>
                </c:pt>
                <c:pt idx="1762">
                  <c:v>5.982166285278414E-2</c:v>
                </c:pt>
                <c:pt idx="1763">
                  <c:v>5.9646018306636163E-2</c:v>
                </c:pt>
                <c:pt idx="1764">
                  <c:v>5.9629786422578185E-2</c:v>
                </c:pt>
                <c:pt idx="1765">
                  <c:v>5.8956918382913809E-2</c:v>
                </c:pt>
                <c:pt idx="1766">
                  <c:v>5.6503821510297481E-2</c:v>
                </c:pt>
                <c:pt idx="1767">
                  <c:v>5.5682242562929057E-2</c:v>
                </c:pt>
                <c:pt idx="1768">
                  <c:v>5.5171395881006863E-2</c:v>
                </c:pt>
                <c:pt idx="1769">
                  <c:v>5.5246987032799393E-2</c:v>
                </c:pt>
                <c:pt idx="1770">
                  <c:v>5.5290228832951947E-2</c:v>
                </c:pt>
                <c:pt idx="1771">
                  <c:v>5.5284576659038895E-2</c:v>
                </c:pt>
                <c:pt idx="1772">
                  <c:v>5.5539984744469868E-2</c:v>
                </c:pt>
                <c:pt idx="1773">
                  <c:v>5.5483142639206715E-2</c:v>
                </c:pt>
                <c:pt idx="1774">
                  <c:v>5.5228604118993135E-2</c:v>
                </c:pt>
                <c:pt idx="1775">
                  <c:v>5.5172662090007624E-2</c:v>
                </c:pt>
                <c:pt idx="1776">
                  <c:v>5.5064233409610981E-2</c:v>
                </c:pt>
                <c:pt idx="1777">
                  <c:v>5.4937520976353932E-2</c:v>
                </c:pt>
                <c:pt idx="1778">
                  <c:v>5.4671578947368425E-2</c:v>
                </c:pt>
                <c:pt idx="1779">
                  <c:v>5.4751434019832193E-2</c:v>
                </c:pt>
                <c:pt idx="1780">
                  <c:v>5.4682356979405038E-2</c:v>
                </c:pt>
                <c:pt idx="1781">
                  <c:v>5.4506201372997706E-2</c:v>
                </c:pt>
                <c:pt idx="1782">
                  <c:v>5.448093821510297E-2</c:v>
                </c:pt>
                <c:pt idx="1783">
                  <c:v>5.433512585812357E-2</c:v>
                </c:pt>
                <c:pt idx="1784">
                  <c:v>5.41291533180778E-2</c:v>
                </c:pt>
                <c:pt idx="1785">
                  <c:v>5.2332951945080086E-2</c:v>
                </c:pt>
                <c:pt idx="1786">
                  <c:v>5.1433623188405803E-2</c:v>
                </c:pt>
                <c:pt idx="1787">
                  <c:v>4.9519290617848967E-2</c:v>
                </c:pt>
                <c:pt idx="1788">
                  <c:v>4.8902669717772691E-2</c:v>
                </c:pt>
                <c:pt idx="1789">
                  <c:v>4.8479542334096112E-2</c:v>
                </c:pt>
                <c:pt idx="1790">
                  <c:v>4.8577299771167051E-2</c:v>
                </c:pt>
                <c:pt idx="1791">
                  <c:v>4.8897032799389777E-2</c:v>
                </c:pt>
                <c:pt idx="1792">
                  <c:v>4.8897376048817699E-2</c:v>
                </c:pt>
                <c:pt idx="1793">
                  <c:v>4.8900823798627001E-2</c:v>
                </c:pt>
                <c:pt idx="1794">
                  <c:v>4.8904271548436302E-2</c:v>
                </c:pt>
                <c:pt idx="1795">
                  <c:v>4.8907719298245611E-2</c:v>
                </c:pt>
                <c:pt idx="1796">
                  <c:v>4.8413569794050343E-2</c:v>
                </c:pt>
                <c:pt idx="1797">
                  <c:v>4.8419679633867278E-2</c:v>
                </c:pt>
                <c:pt idx="1798">
                  <c:v>4.8419679633867278E-2</c:v>
                </c:pt>
                <c:pt idx="1799">
                  <c:v>4.8423897787948131E-2</c:v>
                </c:pt>
                <c:pt idx="1800">
                  <c:v>4.8298260869565214E-2</c:v>
                </c:pt>
                <c:pt idx="1801">
                  <c:v>4.7723592677345536E-2</c:v>
                </c:pt>
                <c:pt idx="1802">
                  <c:v>4.7825766590389014E-2</c:v>
                </c:pt>
                <c:pt idx="1803">
                  <c:v>4.7505964912280707E-2</c:v>
                </c:pt>
                <c:pt idx="1804">
                  <c:v>4.6962768878718537E-2</c:v>
                </c:pt>
                <c:pt idx="1805">
                  <c:v>4.6708581235697946E-2</c:v>
                </c:pt>
                <c:pt idx="1806">
                  <c:v>4.5990007627765062E-2</c:v>
                </c:pt>
                <c:pt idx="1807">
                  <c:v>4.5705934401220442E-2</c:v>
                </c:pt>
                <c:pt idx="1808">
                  <c:v>4.4576575133485889E-2</c:v>
                </c:pt>
                <c:pt idx="1809">
                  <c:v>4.4484988558352395E-2</c:v>
                </c:pt>
                <c:pt idx="1810">
                  <c:v>4.4692219679633868E-2</c:v>
                </c:pt>
                <c:pt idx="1811">
                  <c:v>4.4694363081617089E-2</c:v>
                </c:pt>
                <c:pt idx="1812">
                  <c:v>4.4515095347063313E-2</c:v>
                </c:pt>
                <c:pt idx="1813">
                  <c:v>4.4549565217391306E-2</c:v>
                </c:pt>
                <c:pt idx="1814">
                  <c:v>4.4544462242562928E-2</c:v>
                </c:pt>
                <c:pt idx="1815">
                  <c:v>4.4588733790999237E-2</c:v>
                </c:pt>
                <c:pt idx="1816">
                  <c:v>4.6719038901601832E-2</c:v>
                </c:pt>
                <c:pt idx="1817">
                  <c:v>4.7311784897025165E-2</c:v>
                </c:pt>
                <c:pt idx="1818">
                  <c:v>4.6598161708619371E-2</c:v>
                </c:pt>
                <c:pt idx="1819">
                  <c:v>4.6706392067124333E-2</c:v>
                </c:pt>
                <c:pt idx="1820">
                  <c:v>4.7279977116704799E-2</c:v>
                </c:pt>
                <c:pt idx="1821">
                  <c:v>4.7388237986270017E-2</c:v>
                </c:pt>
                <c:pt idx="1822">
                  <c:v>4.7239153318077799E-2</c:v>
                </c:pt>
                <c:pt idx="1823">
                  <c:v>4.6695293668954994E-2</c:v>
                </c:pt>
                <c:pt idx="1824">
                  <c:v>4.633178489702517E-2</c:v>
                </c:pt>
                <c:pt idx="1825">
                  <c:v>4.6127894736842111E-2</c:v>
                </c:pt>
                <c:pt idx="1826">
                  <c:v>4.6255453852021358E-2</c:v>
                </c:pt>
                <c:pt idx="1827">
                  <c:v>4.4866666666666666E-2</c:v>
                </c:pt>
                <c:pt idx="1828">
                  <c:v>4.2970411899313506E-2</c:v>
                </c:pt>
                <c:pt idx="1829">
                  <c:v>4.1846842105263155E-2</c:v>
                </c:pt>
                <c:pt idx="1830">
                  <c:v>4.1836353928299007E-2</c:v>
                </c:pt>
                <c:pt idx="1831">
                  <c:v>4.1684256292906181E-2</c:v>
                </c:pt>
                <c:pt idx="1832">
                  <c:v>4.1343249427917624E-2</c:v>
                </c:pt>
                <c:pt idx="1833">
                  <c:v>4.1358558352402743E-2</c:v>
                </c:pt>
                <c:pt idx="1834">
                  <c:v>4.1325347063310452E-2</c:v>
                </c:pt>
                <c:pt idx="1835">
                  <c:v>4.1005850495804734E-2</c:v>
                </c:pt>
                <c:pt idx="1836">
                  <c:v>3.9782105263157896E-2</c:v>
                </c:pt>
                <c:pt idx="1837">
                  <c:v>3.9689954233409611E-2</c:v>
                </c:pt>
                <c:pt idx="1838">
                  <c:v>3.9688451563691836E-2</c:v>
                </c:pt>
                <c:pt idx="1839">
                  <c:v>3.9469092295957284E-2</c:v>
                </c:pt>
                <c:pt idx="1840">
                  <c:v>3.9214462242562934E-2</c:v>
                </c:pt>
                <c:pt idx="1841">
                  <c:v>3.9047894736842108E-2</c:v>
                </c:pt>
                <c:pt idx="1842">
                  <c:v>3.9571372997711664E-2</c:v>
                </c:pt>
                <c:pt idx="1843">
                  <c:v>3.9279763539282989E-2</c:v>
                </c:pt>
                <c:pt idx="1844">
                  <c:v>3.795157894736842E-2</c:v>
                </c:pt>
                <c:pt idx="1845">
                  <c:v>3.7766430205949657E-2</c:v>
                </c:pt>
                <c:pt idx="1846">
                  <c:v>3.7702883295194507E-2</c:v>
                </c:pt>
                <c:pt idx="1847">
                  <c:v>3.7707604881769635E-2</c:v>
                </c:pt>
                <c:pt idx="1848">
                  <c:v>3.7569794050343247E-2</c:v>
                </c:pt>
                <c:pt idx="1849">
                  <c:v>3.7865331807780317E-2</c:v>
                </c:pt>
                <c:pt idx="1850">
                  <c:v>3.7800480549199086E-2</c:v>
                </c:pt>
                <c:pt idx="1851">
                  <c:v>3.8193745232646834E-2</c:v>
                </c:pt>
                <c:pt idx="1852">
                  <c:v>3.7985118230358508E-2</c:v>
                </c:pt>
                <c:pt idx="1853">
                  <c:v>3.8113913043478262E-2</c:v>
                </c:pt>
                <c:pt idx="1854">
                  <c:v>3.7872890922959576E-2</c:v>
                </c:pt>
                <c:pt idx="1855">
                  <c:v>3.7879786422578186E-2</c:v>
                </c:pt>
                <c:pt idx="1856">
                  <c:v>3.770986270022883E-2</c:v>
                </c:pt>
                <c:pt idx="1857">
                  <c:v>3.767556064073227E-2</c:v>
                </c:pt>
                <c:pt idx="1858">
                  <c:v>3.739184591914569E-2</c:v>
                </c:pt>
                <c:pt idx="1859">
                  <c:v>3.6085568268497334E-2</c:v>
                </c:pt>
                <c:pt idx="1860">
                  <c:v>3.5841967963386727E-2</c:v>
                </c:pt>
                <c:pt idx="1861">
                  <c:v>3.4968070175438598E-2</c:v>
                </c:pt>
                <c:pt idx="1862">
                  <c:v>3.520192219679634E-2</c:v>
                </c:pt>
                <c:pt idx="1863">
                  <c:v>3.4460701754385967E-2</c:v>
                </c:pt>
                <c:pt idx="1864">
                  <c:v>3.4016201372997712E-2</c:v>
                </c:pt>
                <c:pt idx="1865">
                  <c:v>3.3200389016018308E-2</c:v>
                </c:pt>
                <c:pt idx="1866">
                  <c:v>3.3060465293668954E-2</c:v>
                </c:pt>
                <c:pt idx="1867">
                  <c:v>3.2929420289855071E-2</c:v>
                </c:pt>
                <c:pt idx="1868">
                  <c:v>3.3448093058733794E-2</c:v>
                </c:pt>
                <c:pt idx="1869">
                  <c:v>3.3520434782608695E-2</c:v>
                </c:pt>
                <c:pt idx="1870">
                  <c:v>3.3377597254004576E-2</c:v>
                </c:pt>
                <c:pt idx="1871">
                  <c:v>3.4247833714721586E-2</c:v>
                </c:pt>
                <c:pt idx="1872">
                  <c:v>3.5563798627002291E-2</c:v>
                </c:pt>
                <c:pt idx="1873">
                  <c:v>3.5034233409610982E-2</c:v>
                </c:pt>
                <c:pt idx="1874">
                  <c:v>3.4553012967200612E-2</c:v>
                </c:pt>
                <c:pt idx="1875">
                  <c:v>3.4421472158657512E-2</c:v>
                </c:pt>
                <c:pt idx="1876">
                  <c:v>3.4427025171624714E-2</c:v>
                </c:pt>
                <c:pt idx="1877">
                  <c:v>3.4443684210526321E-2</c:v>
                </c:pt>
                <c:pt idx="1878">
                  <c:v>3.39277421815408E-2</c:v>
                </c:pt>
                <c:pt idx="1879">
                  <c:v>3.3934126620900076E-2</c:v>
                </c:pt>
                <c:pt idx="1880">
                  <c:v>3.4499908466819225E-2</c:v>
                </c:pt>
                <c:pt idx="1881">
                  <c:v>3.5623493516399693E-2</c:v>
                </c:pt>
                <c:pt idx="1882">
                  <c:v>3.7425553012967197E-2</c:v>
                </c:pt>
                <c:pt idx="1883">
                  <c:v>3.6048680396643787E-2</c:v>
                </c:pt>
                <c:pt idx="1884">
                  <c:v>3.5266453089244851E-2</c:v>
                </c:pt>
                <c:pt idx="1885">
                  <c:v>3.5219183829138058E-2</c:v>
                </c:pt>
                <c:pt idx="1886">
                  <c:v>3.3499328756674294E-2</c:v>
                </c:pt>
                <c:pt idx="1887">
                  <c:v>3.4181151792524789E-2</c:v>
                </c:pt>
                <c:pt idx="1888">
                  <c:v>3.3967322654462243E-2</c:v>
                </c:pt>
                <c:pt idx="1889">
                  <c:v>3.3140922959572848E-2</c:v>
                </c:pt>
                <c:pt idx="1890">
                  <c:v>3.2956079328756681E-2</c:v>
                </c:pt>
                <c:pt idx="1891">
                  <c:v>3.3152219679633867E-2</c:v>
                </c:pt>
                <c:pt idx="1892">
                  <c:v>3.2894370709382149E-2</c:v>
                </c:pt>
                <c:pt idx="1893">
                  <c:v>3.3129557589626241E-2</c:v>
                </c:pt>
                <c:pt idx="1894">
                  <c:v>3.2726315789473687E-2</c:v>
                </c:pt>
                <c:pt idx="1895">
                  <c:v>3.3599130434782604E-2</c:v>
                </c:pt>
                <c:pt idx="1896">
                  <c:v>3.4331296720061022E-2</c:v>
                </c:pt>
                <c:pt idx="1897">
                  <c:v>3.4490213577421817E-2</c:v>
                </c:pt>
                <c:pt idx="1898">
                  <c:v>3.5195415713196038E-2</c:v>
                </c:pt>
                <c:pt idx="1899">
                  <c:v>3.5297231121281462E-2</c:v>
                </c:pt>
                <c:pt idx="1900">
                  <c:v>3.5088878718535464E-2</c:v>
                </c:pt>
                <c:pt idx="1901">
                  <c:v>3.4776872616323423E-2</c:v>
                </c:pt>
                <c:pt idx="1902">
                  <c:v>3.419567505720824E-2</c:v>
                </c:pt>
                <c:pt idx="1903">
                  <c:v>3.3736727688787188E-2</c:v>
                </c:pt>
                <c:pt idx="1904">
                  <c:v>3.2716140350877193E-2</c:v>
                </c:pt>
                <c:pt idx="1905">
                  <c:v>3.277580472921434E-2</c:v>
                </c:pt>
                <c:pt idx="1906">
                  <c:v>3.261E-2</c:v>
                </c:pt>
                <c:pt idx="1907">
                  <c:v>3.2710000000000003E-2</c:v>
                </c:pt>
                <c:pt idx="1908">
                  <c:v>3.2620000000000003E-2</c:v>
                </c:pt>
                <c:pt idx="1909">
                  <c:v>3.2689999999999997E-2</c:v>
                </c:pt>
                <c:pt idx="1910">
                  <c:v>3.2379999999999999E-2</c:v>
                </c:pt>
                <c:pt idx="1911">
                  <c:v>3.1629999999999998E-2</c:v>
                </c:pt>
                <c:pt idx="1912">
                  <c:v>3.0328915537017727E-2</c:v>
                </c:pt>
                <c:pt idx="1913">
                  <c:v>2.9340312825860269E-2</c:v>
                </c:pt>
                <c:pt idx="1914">
                  <c:v>2.9691376433785194E-2</c:v>
                </c:pt>
                <c:pt idx="1915">
                  <c:v>2.9647247132429614E-2</c:v>
                </c:pt>
                <c:pt idx="1916">
                  <c:v>2.9729551616266944E-2</c:v>
                </c:pt>
                <c:pt idx="1917">
                  <c:v>2.9354087591240873E-2</c:v>
                </c:pt>
                <c:pt idx="1918">
                  <c:v>3.0206485922836288E-2</c:v>
                </c:pt>
                <c:pt idx="1919">
                  <c:v>2.9995286757038581E-2</c:v>
                </c:pt>
                <c:pt idx="1920">
                  <c:v>2.987288842544317E-2</c:v>
                </c:pt>
                <c:pt idx="1921">
                  <c:v>3.0209165797705943E-2</c:v>
                </c:pt>
                <c:pt idx="1922">
                  <c:v>3.034760166840459E-2</c:v>
                </c:pt>
                <c:pt idx="1923">
                  <c:v>3.0315505735140767E-2</c:v>
                </c:pt>
                <c:pt idx="1924">
                  <c:v>3.0260229405630869E-2</c:v>
                </c:pt>
                <c:pt idx="1925">
                  <c:v>3.0151991657977061E-2</c:v>
                </c:pt>
                <c:pt idx="1926">
                  <c:v>3.0224098018769553E-2</c:v>
                </c:pt>
                <c:pt idx="1927">
                  <c:v>3.1199885297184569E-2</c:v>
                </c:pt>
                <c:pt idx="1928">
                  <c:v>3.1259301355578729E-2</c:v>
                </c:pt>
                <c:pt idx="1929">
                  <c:v>3.151758081334724E-2</c:v>
                </c:pt>
                <c:pt idx="1930">
                  <c:v>3.1766339937434829E-2</c:v>
                </c:pt>
                <c:pt idx="1931">
                  <c:v>3.1485182481751826E-2</c:v>
                </c:pt>
                <c:pt idx="1932">
                  <c:v>3.1606319082377474E-2</c:v>
                </c:pt>
                <c:pt idx="1933">
                  <c:v>3.1661251303441086E-2</c:v>
                </c:pt>
                <c:pt idx="1934">
                  <c:v>3.2120271115745565E-2</c:v>
                </c:pt>
                <c:pt idx="1935">
                  <c:v>3.3056392075078204E-2</c:v>
                </c:pt>
                <c:pt idx="1936">
                  <c:v>3.2496757038581854E-2</c:v>
                </c:pt>
                <c:pt idx="1937">
                  <c:v>3.1260052137643379E-2</c:v>
                </c:pt>
                <c:pt idx="1938">
                  <c:v>3.0887622523461937E-2</c:v>
                </c:pt>
                <c:pt idx="1939">
                  <c:v>3.0774880083420234E-2</c:v>
                </c:pt>
                <c:pt idx="1940">
                  <c:v>3.1012857142857148E-2</c:v>
                </c:pt>
                <c:pt idx="1941">
                  <c:v>3.1356339937434828E-2</c:v>
                </c:pt>
                <c:pt idx="1942">
                  <c:v>3.1375203336809182E-2</c:v>
                </c:pt>
                <c:pt idx="1943">
                  <c:v>3.1177997914494261E-2</c:v>
                </c:pt>
                <c:pt idx="1944">
                  <c:v>3.1184744525547443E-2</c:v>
                </c:pt>
                <c:pt idx="1945">
                  <c:v>3.1051449426485921E-2</c:v>
                </c:pt>
                <c:pt idx="1946">
                  <c:v>3.1065818561001043E-2</c:v>
                </c:pt>
                <c:pt idx="1947">
                  <c:v>3.0952127215849844E-2</c:v>
                </c:pt>
                <c:pt idx="1948">
                  <c:v>3.0979760166840464E-2</c:v>
                </c:pt>
                <c:pt idx="1949">
                  <c:v>3.0925109489051097E-2</c:v>
                </c:pt>
                <c:pt idx="1950">
                  <c:v>3.1904942648592283E-2</c:v>
                </c:pt>
                <c:pt idx="1951">
                  <c:v>3.2739989572471324E-2</c:v>
                </c:pt>
                <c:pt idx="1952">
                  <c:v>3.2241459854014602E-2</c:v>
                </c:pt>
                <c:pt idx="1953">
                  <c:v>3.2248905109489051E-2</c:v>
                </c:pt>
                <c:pt idx="1954">
                  <c:v>3.2504869655891555E-2</c:v>
                </c:pt>
                <c:pt idx="1955">
                  <c:v>3.2654139728884257E-2</c:v>
                </c:pt>
                <c:pt idx="1956">
                  <c:v>3.2756715328467155E-2</c:v>
                </c:pt>
                <c:pt idx="1957">
                  <c:v>3.2170291970802921E-2</c:v>
                </c:pt>
                <c:pt idx="1958">
                  <c:v>3.1674025026068822E-2</c:v>
                </c:pt>
                <c:pt idx="1959">
                  <c:v>3.1115464025026063E-2</c:v>
                </c:pt>
                <c:pt idx="1960">
                  <c:v>3.0323753910323256E-2</c:v>
                </c:pt>
                <c:pt idx="1961">
                  <c:v>3.0146600625651717E-2</c:v>
                </c:pt>
                <c:pt idx="1962">
                  <c:v>2.9971678832116787E-2</c:v>
                </c:pt>
                <c:pt idx="1963">
                  <c:v>2.9816538060479666E-2</c:v>
                </c:pt>
                <c:pt idx="1964">
                  <c:v>2.9503899895724713E-2</c:v>
                </c:pt>
                <c:pt idx="1965">
                  <c:v>2.9190948905109489E-2</c:v>
                </c:pt>
                <c:pt idx="1966">
                  <c:v>2.9127361835245048E-2</c:v>
                </c:pt>
                <c:pt idx="1967">
                  <c:v>2.7900875912408755E-2</c:v>
                </c:pt>
                <c:pt idx="1968">
                  <c:v>2.7447612095933261E-2</c:v>
                </c:pt>
                <c:pt idx="1969">
                  <c:v>2.6195557872784148E-2</c:v>
                </c:pt>
                <c:pt idx="1970">
                  <c:v>2.6410698644421277E-2</c:v>
                </c:pt>
                <c:pt idx="1971">
                  <c:v>2.6465672575599584E-2</c:v>
                </c:pt>
                <c:pt idx="1972">
                  <c:v>2.6516704900938479E-2</c:v>
                </c:pt>
                <c:pt idx="1973">
                  <c:v>2.71307299270073E-2</c:v>
                </c:pt>
                <c:pt idx="1974">
                  <c:v>2.7167778936392072E-2</c:v>
                </c:pt>
                <c:pt idx="1975">
                  <c:v>2.6604973931178312E-2</c:v>
                </c:pt>
                <c:pt idx="1976">
                  <c:v>2.6189144942648596E-2</c:v>
                </c:pt>
                <c:pt idx="1977">
                  <c:v>2.6164786235662145E-2</c:v>
                </c:pt>
                <c:pt idx="1978">
                  <c:v>2.6200000000000001E-2</c:v>
                </c:pt>
                <c:pt idx="1979">
                  <c:v>2.6584834912431812E-2</c:v>
                </c:pt>
                <c:pt idx="1980">
                  <c:v>2.6549589009599351E-2</c:v>
                </c:pt>
                <c:pt idx="1981">
                  <c:v>2.6834759192128431E-2</c:v>
                </c:pt>
                <c:pt idx="1982">
                  <c:v>2.6879257142857139E-2</c:v>
                </c:pt>
                <c:pt idx="1983">
                  <c:v>2.6813740105159765E-2</c:v>
                </c:pt>
                <c:pt idx="1984">
                  <c:v>2.6758151425762041E-2</c:v>
                </c:pt>
                <c:pt idx="1985">
                  <c:v>2.7098181818181816E-2</c:v>
                </c:pt>
                <c:pt idx="1986">
                  <c:v>2.6414385026737968E-2</c:v>
                </c:pt>
                <c:pt idx="1987">
                  <c:v>2.6124224598930487E-2</c:v>
                </c:pt>
                <c:pt idx="1988">
                  <c:v>2.5999893048128345E-2</c:v>
                </c:pt>
                <c:pt idx="1989">
                  <c:v>2.5546042780748662E-2</c:v>
                </c:pt>
                <c:pt idx="1990">
                  <c:v>2.5511301247771838E-2</c:v>
                </c:pt>
                <c:pt idx="1991">
                  <c:v>2.5667878787878792E-2</c:v>
                </c:pt>
                <c:pt idx="1992">
                  <c:v>2.7455204991087345E-2</c:v>
                </c:pt>
                <c:pt idx="1993">
                  <c:v>2.6937219251336901E-2</c:v>
                </c:pt>
                <c:pt idx="1994">
                  <c:v>2.515176470588236E-2</c:v>
                </c:pt>
                <c:pt idx="1995">
                  <c:v>2.5088146167557931E-2</c:v>
                </c:pt>
                <c:pt idx="1996">
                  <c:v>2.4984705882352944E-2</c:v>
                </c:pt>
                <c:pt idx="1997">
                  <c:v>2.4639625668449197E-2</c:v>
                </c:pt>
                <c:pt idx="1998">
                  <c:v>2.4640320855614975E-2</c:v>
                </c:pt>
                <c:pt idx="1999">
                  <c:v>2.5197361853832444E-2</c:v>
                </c:pt>
                <c:pt idx="2000">
                  <c:v>2.4624117647058821E-2</c:v>
                </c:pt>
                <c:pt idx="2001">
                  <c:v>2.5086648841354725E-2</c:v>
                </c:pt>
                <c:pt idx="2002">
                  <c:v>2.5381515151515151E-2</c:v>
                </c:pt>
                <c:pt idx="2003">
                  <c:v>2.538916221033868E-2</c:v>
                </c:pt>
                <c:pt idx="2004">
                  <c:v>2.588E-2</c:v>
                </c:pt>
                <c:pt idx="2005">
                  <c:v>2.7890000000000002E-2</c:v>
                </c:pt>
                <c:pt idx="2006">
                  <c:v>2.7389999999999998E-2</c:v>
                </c:pt>
                <c:pt idx="2007">
                  <c:v>2.7789999999999999E-2</c:v>
                </c:pt>
                <c:pt idx="2008">
                  <c:v>2.8900000000000002E-2</c:v>
                </c:pt>
                <c:pt idx="2009">
                  <c:v>2.8399999999999998E-2</c:v>
                </c:pt>
                <c:pt idx="2010">
                  <c:v>2.7999999999999997E-2</c:v>
                </c:pt>
                <c:pt idx="2011">
                  <c:v>2.7954385026737971E-2</c:v>
                </c:pt>
                <c:pt idx="2012">
                  <c:v>2.791716577540107E-2</c:v>
                </c:pt>
                <c:pt idx="2013">
                  <c:v>2.8231586452762924E-2</c:v>
                </c:pt>
                <c:pt idx="2014">
                  <c:v>2.8486363636363636E-2</c:v>
                </c:pt>
                <c:pt idx="2015">
                  <c:v>2.8529090909090907E-2</c:v>
                </c:pt>
                <c:pt idx="2016">
                  <c:v>2.7998181818181821E-2</c:v>
                </c:pt>
                <c:pt idx="2017">
                  <c:v>2.7951122994652411E-2</c:v>
                </c:pt>
                <c:pt idx="2018">
                  <c:v>2.7695490196078431E-2</c:v>
                </c:pt>
                <c:pt idx="2019">
                  <c:v>2.7184652406417112E-2</c:v>
                </c:pt>
                <c:pt idx="2020">
                  <c:v>2.6738128342245992E-2</c:v>
                </c:pt>
                <c:pt idx="2021">
                  <c:v>2.6715739750445631E-2</c:v>
                </c:pt>
                <c:pt idx="2022">
                  <c:v>2.6580730837789664E-2</c:v>
                </c:pt>
                <c:pt idx="2023">
                  <c:v>2.6459875222816402E-2</c:v>
                </c:pt>
                <c:pt idx="2024">
                  <c:v>2.6145026737967914E-2</c:v>
                </c:pt>
                <c:pt idx="2025">
                  <c:v>2.5997825311942956E-2</c:v>
                </c:pt>
                <c:pt idx="2026">
                  <c:v>2.5945632798573971E-2</c:v>
                </c:pt>
                <c:pt idx="2027">
                  <c:v>2.583727272727273E-2</c:v>
                </c:pt>
                <c:pt idx="2028">
                  <c:v>2.5377967914438502E-2</c:v>
                </c:pt>
                <c:pt idx="2029">
                  <c:v>2.5732049910873443E-2</c:v>
                </c:pt>
                <c:pt idx="2030">
                  <c:v>2.523691622103387E-2</c:v>
                </c:pt>
                <c:pt idx="2031">
                  <c:v>2.48279679144385E-2</c:v>
                </c:pt>
                <c:pt idx="2032">
                  <c:v>2.3736684491978612E-2</c:v>
                </c:pt>
                <c:pt idx="2033">
                  <c:v>2.3260623885918003E-2</c:v>
                </c:pt>
                <c:pt idx="2034">
                  <c:v>2.3397254901960783E-2</c:v>
                </c:pt>
                <c:pt idx="2035">
                  <c:v>2.2671122994652411E-2</c:v>
                </c:pt>
                <c:pt idx="2036">
                  <c:v>2.1641354723707665E-2</c:v>
                </c:pt>
                <c:pt idx="2037">
                  <c:v>2.090379679144385E-2</c:v>
                </c:pt>
                <c:pt idx="2038">
                  <c:v>2.0951461675579323E-2</c:v>
                </c:pt>
                <c:pt idx="2039">
                  <c:v>2.1059465240641711E-2</c:v>
                </c:pt>
                <c:pt idx="2040">
                  <c:v>2.1156969696969695E-2</c:v>
                </c:pt>
                <c:pt idx="2041">
                  <c:v>2.0962798573975046E-2</c:v>
                </c:pt>
                <c:pt idx="2042">
                  <c:v>2.1037771836007128E-2</c:v>
                </c:pt>
                <c:pt idx="2043">
                  <c:v>2.1214438502673794E-2</c:v>
                </c:pt>
                <c:pt idx="2044">
                  <c:v>2.1843065953654192E-2</c:v>
                </c:pt>
                <c:pt idx="2045">
                  <c:v>2.2715187165775405E-2</c:v>
                </c:pt>
                <c:pt idx="2046">
                  <c:v>2.3061764705882351E-2</c:v>
                </c:pt>
                <c:pt idx="2047">
                  <c:v>2.3308288770053479E-2</c:v>
                </c:pt>
                <c:pt idx="2048">
                  <c:v>2.4199126559714793E-2</c:v>
                </c:pt>
                <c:pt idx="2049">
                  <c:v>2.2793654188948308E-2</c:v>
                </c:pt>
                <c:pt idx="2050">
                  <c:v>2.1909411764705879E-2</c:v>
                </c:pt>
                <c:pt idx="2051">
                  <c:v>2.152650623885918E-2</c:v>
                </c:pt>
                <c:pt idx="2052">
                  <c:v>2.1645757575757579E-2</c:v>
                </c:pt>
                <c:pt idx="2053">
                  <c:v>2.2037397504456328E-2</c:v>
                </c:pt>
                <c:pt idx="2054">
                  <c:v>2.2493048128342245E-2</c:v>
                </c:pt>
                <c:pt idx="2055">
                  <c:v>2.2496791443850264E-2</c:v>
                </c:pt>
                <c:pt idx="2056">
                  <c:v>2.2500534759358287E-2</c:v>
                </c:pt>
                <c:pt idx="2057">
                  <c:v>2.2017647058823527E-2</c:v>
                </c:pt>
                <c:pt idx="2058">
                  <c:v>2.2019679144385025E-2</c:v>
                </c:pt>
                <c:pt idx="2059">
                  <c:v>2.2485508021390373E-2</c:v>
                </c:pt>
                <c:pt idx="2060">
                  <c:v>2.2489251336898396E-2</c:v>
                </c:pt>
                <c:pt idx="2061">
                  <c:v>2.1302852049910871E-2</c:v>
                </c:pt>
                <c:pt idx="2062">
                  <c:v>2.03721568627451E-2</c:v>
                </c:pt>
                <c:pt idx="2063">
                  <c:v>2.0341283422459892E-2</c:v>
                </c:pt>
                <c:pt idx="2064">
                  <c:v>2.063385026737968E-2</c:v>
                </c:pt>
                <c:pt idx="2065">
                  <c:v>2.0713333333333334E-2</c:v>
                </c:pt>
                <c:pt idx="2066">
                  <c:v>2.0848449197860962E-2</c:v>
                </c:pt>
                <c:pt idx="2067">
                  <c:v>2.0811657754010695E-2</c:v>
                </c:pt>
                <c:pt idx="2068">
                  <c:v>2.042090909090909E-2</c:v>
                </c:pt>
                <c:pt idx="2069">
                  <c:v>1.9442370766488411E-2</c:v>
                </c:pt>
                <c:pt idx="2070">
                  <c:v>1.9399625668449196E-2</c:v>
                </c:pt>
                <c:pt idx="2071">
                  <c:v>1.8716720142602495E-2</c:v>
                </c:pt>
                <c:pt idx="2072">
                  <c:v>1.860187165775401E-2</c:v>
                </c:pt>
                <c:pt idx="2073">
                  <c:v>1.8457379679144386E-2</c:v>
                </c:pt>
                <c:pt idx="2074">
                  <c:v>1.8581176470588236E-2</c:v>
                </c:pt>
                <c:pt idx="2075">
                  <c:v>1.7135490196078431E-2</c:v>
                </c:pt>
                <c:pt idx="2076">
                  <c:v>1.4802014260249553E-2</c:v>
                </c:pt>
                <c:pt idx="2077">
                  <c:v>1.4514456327985741E-2</c:v>
                </c:pt>
                <c:pt idx="2078">
                  <c:v>1.485754010695187E-2</c:v>
                </c:pt>
                <c:pt idx="2079">
                  <c:v>1.5361212121212123E-2</c:v>
                </c:pt>
                <c:pt idx="2080">
                  <c:v>1.5374260249554367E-2</c:v>
                </c:pt>
                <c:pt idx="2081">
                  <c:v>1.5284866310160428E-2</c:v>
                </c:pt>
                <c:pt idx="2082">
                  <c:v>1.5311568627450979E-2</c:v>
                </c:pt>
                <c:pt idx="2083">
                  <c:v>1.5204598930481284E-2</c:v>
                </c:pt>
                <c:pt idx="2084">
                  <c:v>1.5095918003565063E-2</c:v>
                </c:pt>
                <c:pt idx="2085">
                  <c:v>1.5154064171122994E-2</c:v>
                </c:pt>
                <c:pt idx="2086">
                  <c:v>1.4832406417112301E-2</c:v>
                </c:pt>
                <c:pt idx="2087">
                  <c:v>1.5123368983957219E-2</c:v>
                </c:pt>
                <c:pt idx="2088">
                  <c:v>1.5549875222816398E-2</c:v>
                </c:pt>
                <c:pt idx="2089">
                  <c:v>1.5540213903743317E-2</c:v>
                </c:pt>
                <c:pt idx="2090">
                  <c:v>1.541818181818182E-2</c:v>
                </c:pt>
                <c:pt idx="2091">
                  <c:v>1.5401764705882351E-2</c:v>
                </c:pt>
                <c:pt idx="2092">
                  <c:v>1.543650623885918E-2</c:v>
                </c:pt>
                <c:pt idx="2093">
                  <c:v>1.570017825311943E-2</c:v>
                </c:pt>
                <c:pt idx="2094">
                  <c:v>1.5825187165775401E-2</c:v>
                </c:pt>
                <c:pt idx="2095">
                  <c:v>1.542878787878788E-2</c:v>
                </c:pt>
                <c:pt idx="2096">
                  <c:v>1.5254420677361855E-2</c:v>
                </c:pt>
                <c:pt idx="2097">
                  <c:v>1.4816987522281642E-2</c:v>
                </c:pt>
                <c:pt idx="2098">
                  <c:v>1.4311764705882352E-2</c:v>
                </c:pt>
                <c:pt idx="2099">
                  <c:v>1.3177611408199643E-2</c:v>
                </c:pt>
                <c:pt idx="2100">
                  <c:v>1.2719786096256685E-2</c:v>
                </c:pt>
                <c:pt idx="2101">
                  <c:v>1.2458877005347596E-2</c:v>
                </c:pt>
                <c:pt idx="2102">
                  <c:v>1.133235294117647E-2</c:v>
                </c:pt>
                <c:pt idx="2103">
                  <c:v>1.1318235294117646E-2</c:v>
                </c:pt>
                <c:pt idx="2104">
                  <c:v>1.1382602495543672E-2</c:v>
                </c:pt>
                <c:pt idx="2105">
                  <c:v>1.0632352941176471E-2</c:v>
                </c:pt>
                <c:pt idx="2106">
                  <c:v>9.8142245989304815E-3</c:v>
                </c:pt>
                <c:pt idx="2107">
                  <c:v>9.5490374331550793E-3</c:v>
                </c:pt>
                <c:pt idx="2108">
                  <c:v>9.2975222816399292E-3</c:v>
                </c:pt>
                <c:pt idx="2109">
                  <c:v>9.0028877005347615E-3</c:v>
                </c:pt>
                <c:pt idx="2110">
                  <c:v>8.4386631016042778E-3</c:v>
                </c:pt>
                <c:pt idx="2111">
                  <c:v>8.5152584670231731E-3</c:v>
                </c:pt>
                <c:pt idx="2112">
                  <c:v>8.526666666666665E-3</c:v>
                </c:pt>
                <c:pt idx="2113">
                  <c:v>9.3820855614973261E-3</c:v>
                </c:pt>
                <c:pt idx="2114">
                  <c:v>1.0091016042780749E-2</c:v>
                </c:pt>
                <c:pt idx="2115">
                  <c:v>1.0958502673796793E-2</c:v>
                </c:pt>
                <c:pt idx="2116">
                  <c:v>1.1176648841354725E-2</c:v>
                </c:pt>
                <c:pt idx="2117">
                  <c:v>1.116114081996435E-2</c:v>
                </c:pt>
                <c:pt idx="2118">
                  <c:v>1.1381871657754011E-2</c:v>
                </c:pt>
                <c:pt idx="2119">
                  <c:v>1.1511176470588236E-2</c:v>
                </c:pt>
                <c:pt idx="2120">
                  <c:v>1.2322994652406417E-2</c:v>
                </c:pt>
                <c:pt idx="2121">
                  <c:v>1.1941764705882353E-2</c:v>
                </c:pt>
                <c:pt idx="2122">
                  <c:v>1.189994652406417E-2</c:v>
                </c:pt>
                <c:pt idx="2123">
                  <c:v>1.18E-2</c:v>
                </c:pt>
                <c:pt idx="2124">
                  <c:v>1.0783297682709447E-2</c:v>
                </c:pt>
                <c:pt idx="2125">
                  <c:v>1.0994028520499109E-2</c:v>
                </c:pt>
                <c:pt idx="2126">
                  <c:v>1.0996363636363637E-2</c:v>
                </c:pt>
                <c:pt idx="2127">
                  <c:v>1.1003368983957221E-2</c:v>
                </c:pt>
                <c:pt idx="2128">
                  <c:v>1.0931550802139039E-2</c:v>
                </c:pt>
                <c:pt idx="2129">
                  <c:v>1.0590980392156861E-2</c:v>
                </c:pt>
                <c:pt idx="2130">
                  <c:v>1.0682994652406417E-2</c:v>
                </c:pt>
                <c:pt idx="2131">
                  <c:v>1.0556292335115864E-2</c:v>
                </c:pt>
                <c:pt idx="2132">
                  <c:v>1.0596310160427809E-2</c:v>
                </c:pt>
                <c:pt idx="2133">
                  <c:v>1.0676238859180035E-2</c:v>
                </c:pt>
                <c:pt idx="2134">
                  <c:v>1.0891229946524063E-2</c:v>
                </c:pt>
                <c:pt idx="2135">
                  <c:v>1.0960303030303032E-2</c:v>
                </c:pt>
                <c:pt idx="2136">
                  <c:v>1.1356880570409981E-2</c:v>
                </c:pt>
                <c:pt idx="2137">
                  <c:v>1.1410909090909091E-2</c:v>
                </c:pt>
                <c:pt idx="2138">
                  <c:v>1.1591122994652408E-2</c:v>
                </c:pt>
                <c:pt idx="2139">
                  <c:v>1.1733030303030302E-2</c:v>
                </c:pt>
                <c:pt idx="2140">
                  <c:v>1.1881087344028519E-2</c:v>
                </c:pt>
                <c:pt idx="2141">
                  <c:v>1.2021336898395723E-2</c:v>
                </c:pt>
                <c:pt idx="2142">
                  <c:v>1.2036791443850265E-2</c:v>
                </c:pt>
                <c:pt idx="2143">
                  <c:v>1.1824135472370765E-2</c:v>
                </c:pt>
                <c:pt idx="2144">
                  <c:v>1.2648573975044564E-2</c:v>
                </c:pt>
                <c:pt idx="2145">
                  <c:v>1.2543529411764707E-2</c:v>
                </c:pt>
                <c:pt idx="2146">
                  <c:v>1.2904670231729056E-2</c:v>
                </c:pt>
                <c:pt idx="2147">
                  <c:v>1.3094830659536543E-2</c:v>
                </c:pt>
                <c:pt idx="2148">
                  <c:v>1.3186327985739751E-2</c:v>
                </c:pt>
                <c:pt idx="2149">
                  <c:v>1.5390320855614974E-2</c:v>
                </c:pt>
                <c:pt idx="2150">
                  <c:v>1.7009696969696966E-2</c:v>
                </c:pt>
                <c:pt idx="2151">
                  <c:v>1.6207860962566843E-2</c:v>
                </c:pt>
                <c:pt idx="2152">
                  <c:v>1.6561176470588235E-2</c:v>
                </c:pt>
                <c:pt idx="2153">
                  <c:v>1.7513155080213904E-2</c:v>
                </c:pt>
                <c:pt idx="2154">
                  <c:v>1.710233511586453E-2</c:v>
                </c:pt>
                <c:pt idx="2155">
                  <c:v>1.7103493761140821E-2</c:v>
                </c:pt>
                <c:pt idx="2156">
                  <c:v>1.6721657754010695E-2</c:v>
                </c:pt>
                <c:pt idx="2157">
                  <c:v>1.7212673796791443E-2</c:v>
                </c:pt>
                <c:pt idx="2158">
                  <c:v>1.6383778966131909E-2</c:v>
                </c:pt>
                <c:pt idx="2159">
                  <c:v>1.7121639928698754E-2</c:v>
                </c:pt>
                <c:pt idx="2160">
                  <c:v>1.7533796791443849E-2</c:v>
                </c:pt>
                <c:pt idx="2161">
                  <c:v>1.7569411764705879E-2</c:v>
                </c:pt>
                <c:pt idx="2162">
                  <c:v>1.7654295900178252E-2</c:v>
                </c:pt>
                <c:pt idx="2163">
                  <c:v>1.8215882352941179E-2</c:v>
                </c:pt>
                <c:pt idx="2164">
                  <c:v>1.8167219251336898E-2</c:v>
                </c:pt>
                <c:pt idx="2165">
                  <c:v>1.8035614973262032E-2</c:v>
                </c:pt>
                <c:pt idx="2166">
                  <c:v>1.8365187165775402E-2</c:v>
                </c:pt>
                <c:pt idx="2167">
                  <c:v>1.8699875222816398E-2</c:v>
                </c:pt>
                <c:pt idx="2168">
                  <c:v>2.0416381461675581E-2</c:v>
                </c:pt>
                <c:pt idx="2169">
                  <c:v>2.029294117647059E-2</c:v>
                </c:pt>
                <c:pt idx="2170">
                  <c:v>2.1050926916221034E-2</c:v>
                </c:pt>
                <c:pt idx="2171">
                  <c:v>2.1586417112299462E-2</c:v>
                </c:pt>
                <c:pt idx="2172">
                  <c:v>2.2377522281639931E-2</c:v>
                </c:pt>
                <c:pt idx="2173">
                  <c:v>2.3293208556149733E-2</c:v>
                </c:pt>
                <c:pt idx="2174">
                  <c:v>2.3936987522281638E-2</c:v>
                </c:pt>
                <c:pt idx="2175">
                  <c:v>2.3471818181818184E-2</c:v>
                </c:pt>
                <c:pt idx="2176">
                  <c:v>2.3767647058823525E-2</c:v>
                </c:pt>
                <c:pt idx="2177">
                  <c:v>2.591010695187166E-2</c:v>
                </c:pt>
                <c:pt idx="2178">
                  <c:v>2.7080338680926914E-2</c:v>
                </c:pt>
                <c:pt idx="2179">
                  <c:v>2.6798502673796794E-2</c:v>
                </c:pt>
                <c:pt idx="2180">
                  <c:v>2.5668716577540107E-2</c:v>
                </c:pt>
                <c:pt idx="2181">
                  <c:v>2.4908039215686278E-2</c:v>
                </c:pt>
                <c:pt idx="2182">
                  <c:v>2.2955026737967916E-2</c:v>
                </c:pt>
                <c:pt idx="2183">
                  <c:v>2.2685472370766489E-2</c:v>
                </c:pt>
                <c:pt idx="2184">
                  <c:v>2.2698930481283422E-2</c:v>
                </c:pt>
                <c:pt idx="2185">
                  <c:v>2.2955882352941173E-2</c:v>
                </c:pt>
                <c:pt idx="2186">
                  <c:v>2.2624099821746881E-2</c:v>
                </c:pt>
                <c:pt idx="2187">
                  <c:v>2.52396256684492E-2</c:v>
                </c:pt>
                <c:pt idx="2188">
                  <c:v>2.4233743315508025E-2</c:v>
                </c:pt>
                <c:pt idx="2189">
                  <c:v>2.3667843137254906E-2</c:v>
                </c:pt>
                <c:pt idx="2190">
                  <c:v>2.4096666666666669E-2</c:v>
                </c:pt>
                <c:pt idx="2191">
                  <c:v>2.3834331550802137E-2</c:v>
                </c:pt>
                <c:pt idx="2192">
                  <c:v>2.4267647058823529E-2</c:v>
                </c:pt>
                <c:pt idx="2193">
                  <c:v>2.3820499108734402E-2</c:v>
                </c:pt>
                <c:pt idx="2194">
                  <c:v>2.3200570409982177E-2</c:v>
                </c:pt>
                <c:pt idx="2195">
                  <c:v>2.2444385026737967E-2</c:v>
                </c:pt>
                <c:pt idx="2196">
                  <c:v>2.1996007130124777E-2</c:v>
                </c:pt>
                <c:pt idx="2197">
                  <c:v>2.15621568627451E-2</c:v>
                </c:pt>
                <c:pt idx="2198">
                  <c:v>2.1825597147950088E-2</c:v>
                </c:pt>
                <c:pt idx="2199">
                  <c:v>2.1458181818181817E-2</c:v>
                </c:pt>
                <c:pt idx="2200">
                  <c:v>2.0890926916221034E-2</c:v>
                </c:pt>
                <c:pt idx="2201">
                  <c:v>2.0367647058823532E-2</c:v>
                </c:pt>
                <c:pt idx="2202">
                  <c:v>2.0770802139037432E-2</c:v>
                </c:pt>
                <c:pt idx="2203">
                  <c:v>2.1162406417112301E-2</c:v>
                </c:pt>
                <c:pt idx="2204">
                  <c:v>2.0825864527629231E-2</c:v>
                </c:pt>
                <c:pt idx="2205">
                  <c:v>2.0750998217468807E-2</c:v>
                </c:pt>
                <c:pt idx="2206">
                  <c:v>2.0606684491978607E-2</c:v>
                </c:pt>
                <c:pt idx="2207">
                  <c:v>2.0797058823529412E-2</c:v>
                </c:pt>
                <c:pt idx="2208">
                  <c:v>2.1360000000000001E-2</c:v>
                </c:pt>
                <c:pt idx="2209">
                  <c:v>2.128214876033058E-2</c:v>
                </c:pt>
                <c:pt idx="2210">
                  <c:v>2.1243884297520662E-2</c:v>
                </c:pt>
                <c:pt idx="2211">
                  <c:v>2.1105206611570247E-2</c:v>
                </c:pt>
                <c:pt idx="2212">
                  <c:v>2.0884669421487607E-2</c:v>
                </c:pt>
                <c:pt idx="2213">
                  <c:v>2.0676115702479337E-2</c:v>
                </c:pt>
                <c:pt idx="2214">
                  <c:v>2.1109669421487603E-2</c:v>
                </c:pt>
                <c:pt idx="2215">
                  <c:v>2.095479338842975E-2</c:v>
                </c:pt>
                <c:pt idx="2216">
                  <c:v>2.0963429752066113E-2</c:v>
                </c:pt>
                <c:pt idx="2217">
                  <c:v>2.0947190082644628E-2</c:v>
                </c:pt>
                <c:pt idx="2218">
                  <c:v>2.0353512396694216E-2</c:v>
                </c:pt>
                <c:pt idx="2219">
                  <c:v>2.023876033057851E-2</c:v>
                </c:pt>
                <c:pt idx="2220">
                  <c:v>2.0062066115702479E-2</c:v>
                </c:pt>
                <c:pt idx="2221">
                  <c:v>1.9610826446280993E-2</c:v>
                </c:pt>
                <c:pt idx="2222">
                  <c:v>1.8875950413223139E-2</c:v>
                </c:pt>
                <c:pt idx="2223">
                  <c:v>1.8899421487603305E-2</c:v>
                </c:pt>
                <c:pt idx="2224">
                  <c:v>1.8849834710743803E-2</c:v>
                </c:pt>
                <c:pt idx="2225">
                  <c:v>1.8925454545454544E-2</c:v>
                </c:pt>
                <c:pt idx="2226">
                  <c:v>1.8957892561983471E-2</c:v>
                </c:pt>
                <c:pt idx="2227">
                  <c:v>1.9670991735537189E-2</c:v>
                </c:pt>
                <c:pt idx="2228">
                  <c:v>2.03149173553719E-2</c:v>
                </c:pt>
                <c:pt idx="2229">
                  <c:v>2.0492975206611572E-2</c:v>
                </c:pt>
                <c:pt idx="2230">
                  <c:v>2.0317066115702481E-2</c:v>
                </c:pt>
                <c:pt idx="2231">
                  <c:v>1.9957685950413223E-2</c:v>
                </c:pt>
                <c:pt idx="2232">
                  <c:v>2.028595041322314E-2</c:v>
                </c:pt>
                <c:pt idx="2233">
                  <c:v>2.0329090909090904E-2</c:v>
                </c:pt>
                <c:pt idx="2234">
                  <c:v>2.0519586776859503E-2</c:v>
                </c:pt>
                <c:pt idx="2235">
                  <c:v>2.01999173553719E-2</c:v>
                </c:pt>
                <c:pt idx="2236">
                  <c:v>1.9654297520661158E-2</c:v>
                </c:pt>
                <c:pt idx="2237">
                  <c:v>1.9534710743801652E-2</c:v>
                </c:pt>
                <c:pt idx="2238">
                  <c:v>1.9352066115702476E-2</c:v>
                </c:pt>
                <c:pt idx="2239">
                  <c:v>1.9172314049586778E-2</c:v>
                </c:pt>
                <c:pt idx="2240">
                  <c:v>1.9296198347107441E-2</c:v>
                </c:pt>
                <c:pt idx="2241">
                  <c:v>1.9345909090909091E-2</c:v>
                </c:pt>
                <c:pt idx="2242">
                  <c:v>1.933818181818182E-2</c:v>
                </c:pt>
                <c:pt idx="2243">
                  <c:v>1.9452851239669423E-2</c:v>
                </c:pt>
                <c:pt idx="2244">
                  <c:v>1.9552479338842976E-2</c:v>
                </c:pt>
                <c:pt idx="2245">
                  <c:v>1.9304380165289257E-2</c:v>
                </c:pt>
                <c:pt idx="2246">
                  <c:v>1.8307685950413224E-2</c:v>
                </c:pt>
                <c:pt idx="2247">
                  <c:v>1.8228347107438016E-2</c:v>
                </c:pt>
                <c:pt idx="2248">
                  <c:v>1.8036280991735539E-2</c:v>
                </c:pt>
                <c:pt idx="2249">
                  <c:v>1.8007727272727272E-2</c:v>
                </c:pt>
                <c:pt idx="2250">
                  <c:v>1.8135206611570247E-2</c:v>
                </c:pt>
                <c:pt idx="2251">
                  <c:v>1.8421404958677685E-2</c:v>
                </c:pt>
                <c:pt idx="2252">
                  <c:v>1.8380330578512395E-2</c:v>
                </c:pt>
                <c:pt idx="2253">
                  <c:v>1.8497024793388429E-2</c:v>
                </c:pt>
                <c:pt idx="2254">
                  <c:v>1.8473636363636366E-2</c:v>
                </c:pt>
                <c:pt idx="2255">
                  <c:v>1.8078016528925621E-2</c:v>
                </c:pt>
                <c:pt idx="2256">
                  <c:v>1.785710743801653E-2</c:v>
                </c:pt>
                <c:pt idx="2257">
                  <c:v>1.7774545454545453E-2</c:v>
                </c:pt>
                <c:pt idx="2258">
                  <c:v>1.783504132231405E-2</c:v>
                </c:pt>
                <c:pt idx="2259">
                  <c:v>1.7833677685950414E-2</c:v>
                </c:pt>
                <c:pt idx="2260">
                  <c:v>1.7610000000000001E-2</c:v>
                </c:pt>
                <c:pt idx="2261">
                  <c:v>1.7630454545454546E-2</c:v>
                </c:pt>
                <c:pt idx="2262">
                  <c:v>1.76896694214876E-2</c:v>
                </c:pt>
                <c:pt idx="2263">
                  <c:v>1.7485413223140497E-2</c:v>
                </c:pt>
                <c:pt idx="2264">
                  <c:v>1.7468016528925618E-2</c:v>
                </c:pt>
                <c:pt idx="2265">
                  <c:v>1.752181818181818E-2</c:v>
                </c:pt>
                <c:pt idx="2266">
                  <c:v>1.7399752066115701E-2</c:v>
                </c:pt>
                <c:pt idx="2267">
                  <c:v>1.7014628099173552E-2</c:v>
                </c:pt>
                <c:pt idx="2268">
                  <c:v>1.7391735537190083E-2</c:v>
                </c:pt>
                <c:pt idx="2269">
                  <c:v>1.7292685950413226E-2</c:v>
                </c:pt>
                <c:pt idx="2270">
                  <c:v>1.6485702479338841E-2</c:v>
                </c:pt>
                <c:pt idx="2271">
                  <c:v>1.6305289256198344E-2</c:v>
                </c:pt>
                <c:pt idx="2272">
                  <c:v>1.6415454545454546E-2</c:v>
                </c:pt>
                <c:pt idx="2273">
                  <c:v>1.617396694214876E-2</c:v>
                </c:pt>
                <c:pt idx="2274">
                  <c:v>1.5329090909090909E-2</c:v>
                </c:pt>
                <c:pt idx="2275">
                  <c:v>1.6027231404958677E-2</c:v>
                </c:pt>
                <c:pt idx="2276">
                  <c:v>1.6143140495867771E-2</c:v>
                </c:pt>
                <c:pt idx="2277">
                  <c:v>1.6289090909090909E-2</c:v>
                </c:pt>
                <c:pt idx="2278">
                  <c:v>1.6195826446280991E-2</c:v>
                </c:pt>
                <c:pt idx="2279">
                  <c:v>1.6151322314049588E-2</c:v>
                </c:pt>
                <c:pt idx="2280">
                  <c:v>1.6340661157024792E-2</c:v>
                </c:pt>
                <c:pt idx="2281">
                  <c:v>1.7126115702479339E-2</c:v>
                </c:pt>
                <c:pt idx="2282">
                  <c:v>1.771223140495868E-2</c:v>
                </c:pt>
                <c:pt idx="2283">
                  <c:v>1.7114628099173551E-2</c:v>
                </c:pt>
                <c:pt idx="2284">
                  <c:v>1.6562644628099175E-2</c:v>
                </c:pt>
                <c:pt idx="2285">
                  <c:v>1.646115702479339E-2</c:v>
                </c:pt>
                <c:pt idx="2286">
                  <c:v>1.6325206611570248E-2</c:v>
                </c:pt>
                <c:pt idx="2287">
                  <c:v>1.6099504132231407E-2</c:v>
                </c:pt>
                <c:pt idx="2288">
                  <c:v>1.6217438016528925E-2</c:v>
                </c:pt>
                <c:pt idx="2289">
                  <c:v>1.5952727272727275E-2</c:v>
                </c:pt>
                <c:pt idx="2290">
                  <c:v>1.575785123966942E-2</c:v>
                </c:pt>
                <c:pt idx="2291">
                  <c:v>1.5605206611570248E-2</c:v>
                </c:pt>
                <c:pt idx="2292">
                  <c:v>1.5717685950413222E-2</c:v>
                </c:pt>
                <c:pt idx="2293">
                  <c:v>1.5382892561983472E-2</c:v>
                </c:pt>
                <c:pt idx="2294">
                  <c:v>1.4847314049586778E-2</c:v>
                </c:pt>
                <c:pt idx="2295">
                  <c:v>1.4756363636363637E-2</c:v>
                </c:pt>
                <c:pt idx="2296">
                  <c:v>1.4574669421487602E-2</c:v>
                </c:pt>
                <c:pt idx="2297">
                  <c:v>1.4514380165289255E-2</c:v>
                </c:pt>
                <c:pt idx="2298">
                  <c:v>1.464809917355372E-2</c:v>
                </c:pt>
                <c:pt idx="2299">
                  <c:v>1.4435123966942149E-2</c:v>
                </c:pt>
                <c:pt idx="2300">
                  <c:v>1.5351900826446281E-2</c:v>
                </c:pt>
                <c:pt idx="2301">
                  <c:v>1.5945702479338842E-2</c:v>
                </c:pt>
                <c:pt idx="2302">
                  <c:v>1.5481157024793388E-2</c:v>
                </c:pt>
                <c:pt idx="2303">
                  <c:v>1.5459917355371899E-2</c:v>
                </c:pt>
                <c:pt idx="2304">
                  <c:v>1.5479752066115703E-2</c:v>
                </c:pt>
                <c:pt idx="2305">
                  <c:v>1.516909090909091E-2</c:v>
                </c:pt>
                <c:pt idx="2306">
                  <c:v>1.5345165289256198E-2</c:v>
                </c:pt>
                <c:pt idx="2307">
                  <c:v>1.5664628099173555E-2</c:v>
                </c:pt>
                <c:pt idx="2308">
                  <c:v>1.6226074380165288E-2</c:v>
                </c:pt>
                <c:pt idx="2309">
                  <c:v>1.6600495867768593E-2</c:v>
                </c:pt>
                <c:pt idx="2310">
                  <c:v>1.6122272727272728E-2</c:v>
                </c:pt>
                <c:pt idx="2311">
                  <c:v>1.6097024793388429E-2</c:v>
                </c:pt>
                <c:pt idx="2312">
                  <c:v>1.6408636363636361E-2</c:v>
                </c:pt>
                <c:pt idx="2313">
                  <c:v>1.6344628099173551E-2</c:v>
                </c:pt>
                <c:pt idx="2314">
                  <c:v>1.6589380165289255E-2</c:v>
                </c:pt>
                <c:pt idx="2315">
                  <c:v>1.6695041322314048E-2</c:v>
                </c:pt>
                <c:pt idx="2316">
                  <c:v>1.6698842975206612E-2</c:v>
                </c:pt>
                <c:pt idx="2317">
                  <c:v>1.9383140495867764E-2</c:v>
                </c:pt>
                <c:pt idx="2318">
                  <c:v>1.6482933884297519E-2</c:v>
                </c:pt>
                <c:pt idx="2319">
                  <c:v>1.6550661157024794E-2</c:v>
                </c:pt>
                <c:pt idx="2320">
                  <c:v>1.6550661157024794E-2</c:v>
                </c:pt>
                <c:pt idx="2321">
                  <c:v>1.6554876033057851E-2</c:v>
                </c:pt>
                <c:pt idx="2322">
                  <c:v>1.6119256198347108E-2</c:v>
                </c:pt>
                <c:pt idx="2323">
                  <c:v>1.5773595041322315E-2</c:v>
                </c:pt>
                <c:pt idx="2324">
                  <c:v>1.5432561983471076E-2</c:v>
                </c:pt>
                <c:pt idx="2325">
                  <c:v>1.5621652892561984E-2</c:v>
                </c:pt>
                <c:pt idx="2326">
                  <c:v>1.5570413223140496E-2</c:v>
                </c:pt>
                <c:pt idx="2327">
                  <c:v>1.597413223140496E-2</c:v>
                </c:pt>
                <c:pt idx="2328">
                  <c:v>1.6300495867768595E-2</c:v>
                </c:pt>
                <c:pt idx="2329">
                  <c:v>1.5946363636363637E-2</c:v>
                </c:pt>
                <c:pt idx="2330">
                  <c:v>1.6018677685950413E-2</c:v>
                </c:pt>
                <c:pt idx="2331">
                  <c:v>1.6074338842975204E-2</c:v>
                </c:pt>
                <c:pt idx="2332">
                  <c:v>1.6242314049586776E-2</c:v>
                </c:pt>
                <c:pt idx="2333">
                  <c:v>1.6485041322314049E-2</c:v>
                </c:pt>
                <c:pt idx="2334">
                  <c:v>1.7090413223140498E-2</c:v>
                </c:pt>
                <c:pt idx="2335">
                  <c:v>1.6590413223140497E-2</c:v>
                </c:pt>
                <c:pt idx="2336">
                  <c:v>1.6256363636363635E-2</c:v>
                </c:pt>
                <c:pt idx="2337">
                  <c:v>1.6543471074380166E-2</c:v>
                </c:pt>
                <c:pt idx="2338">
                  <c:v>1.6214297520661156E-2</c:v>
                </c:pt>
                <c:pt idx="2339">
                  <c:v>1.6175578512396694E-2</c:v>
                </c:pt>
                <c:pt idx="2340">
                  <c:v>1.5931404958677686E-2</c:v>
                </c:pt>
                <c:pt idx="2341">
                  <c:v>1.5435991735537192E-2</c:v>
                </c:pt>
                <c:pt idx="2342">
                  <c:v>1.5493719008264462E-2</c:v>
                </c:pt>
                <c:pt idx="2343">
                  <c:v>1.5432231404958679E-2</c:v>
                </c:pt>
                <c:pt idx="2344">
                  <c:v>1.5274545454545456E-2</c:v>
                </c:pt>
                <c:pt idx="2345">
                  <c:v>1.5564958677685951E-2</c:v>
                </c:pt>
                <c:pt idx="2346">
                  <c:v>1.5769545454545453E-2</c:v>
                </c:pt>
                <c:pt idx="2347">
                  <c:v>1.6747355371900828E-2</c:v>
                </c:pt>
                <c:pt idx="2348">
                  <c:v>1.7000000000000001E-2</c:v>
                </c:pt>
                <c:pt idx="2349">
                  <c:v>1.6399999999999998E-2</c:v>
                </c:pt>
                <c:pt idx="2350">
                  <c:v>1.6899999999999998E-2</c:v>
                </c:pt>
                <c:pt idx="2351">
                  <c:v>1.67E-2</c:v>
                </c:pt>
                <c:pt idx="2352">
                  <c:v>1.6399999999999998E-2</c:v>
                </c:pt>
                <c:pt idx="2353">
                  <c:v>1.6500000000000001E-2</c:v>
                </c:pt>
                <c:pt idx="2354">
                  <c:v>1.6500000000000001E-2</c:v>
                </c:pt>
                <c:pt idx="2355">
                  <c:v>1.6500000000000001E-2</c:v>
                </c:pt>
                <c:pt idx="2356">
                  <c:v>1.6200000000000003E-2</c:v>
                </c:pt>
                <c:pt idx="2357">
                  <c:v>1.6200000000000003E-2</c:v>
                </c:pt>
                <c:pt idx="2358">
                  <c:v>1.5900000000000001E-2</c:v>
                </c:pt>
                <c:pt idx="2359">
                  <c:v>1.5896115702479337E-2</c:v>
                </c:pt>
                <c:pt idx="2360">
                  <c:v>1.6498140495867772E-2</c:v>
                </c:pt>
                <c:pt idx="2361">
                  <c:v>1.6398760330578511E-2</c:v>
                </c:pt>
                <c:pt idx="2362">
                  <c:v>1.6046280991735537E-2</c:v>
                </c:pt>
                <c:pt idx="2363">
                  <c:v>1.5503388429752065E-2</c:v>
                </c:pt>
                <c:pt idx="2364">
                  <c:v>1.5584628099173554E-2</c:v>
                </c:pt>
                <c:pt idx="2365">
                  <c:v>1.5300206611570248E-2</c:v>
                </c:pt>
                <c:pt idx="2366">
                  <c:v>1.5043636363636363E-2</c:v>
                </c:pt>
                <c:pt idx="2367">
                  <c:v>1.5009297520661156E-2</c:v>
                </c:pt>
                <c:pt idx="2368">
                  <c:v>1.4732396694214875E-2</c:v>
                </c:pt>
                <c:pt idx="2369">
                  <c:v>1.4274628099173554E-2</c:v>
                </c:pt>
                <c:pt idx="2370">
                  <c:v>1.4199999999999999E-2</c:v>
                </c:pt>
                <c:pt idx="2371">
                  <c:v>1.44E-2</c:v>
                </c:pt>
                <c:pt idx="2372">
                  <c:v>1.44E-2</c:v>
                </c:pt>
                <c:pt idx="2373">
                  <c:v>1.41E-2</c:v>
                </c:pt>
                <c:pt idx="2374">
                  <c:v>1.3899999999999999E-2</c:v>
                </c:pt>
                <c:pt idx="2375">
                  <c:v>1.3556942148760331E-2</c:v>
                </c:pt>
                <c:pt idx="2376">
                  <c:v>1.3502561983471075E-2</c:v>
                </c:pt>
                <c:pt idx="2377">
                  <c:v>1.3483223140495867E-2</c:v>
                </c:pt>
                <c:pt idx="2378">
                  <c:v>1.3844380165289256E-2</c:v>
                </c:pt>
                <c:pt idx="2379">
                  <c:v>1.3846983471074381E-2</c:v>
                </c:pt>
                <c:pt idx="2380">
                  <c:v>1.3687107438016528E-2</c:v>
                </c:pt>
                <c:pt idx="2381">
                  <c:v>1.359E-2</c:v>
                </c:pt>
                <c:pt idx="2382">
                  <c:v>1.34E-2</c:v>
                </c:pt>
                <c:pt idx="2383">
                  <c:v>1.3094482421874991E-2</c:v>
                </c:pt>
                <c:pt idx="2384">
                  <c:v>1.3384195968120018E-2</c:v>
                </c:pt>
                <c:pt idx="2385">
                  <c:v>1.3477557430848573E-2</c:v>
                </c:pt>
                <c:pt idx="2386">
                  <c:v>1.3511153305203938E-2</c:v>
                </c:pt>
                <c:pt idx="2387">
                  <c:v>1.3993333333333333E-2</c:v>
                </c:pt>
                <c:pt idx="2388">
                  <c:v>1.3817229254571026E-2</c:v>
                </c:pt>
                <c:pt idx="2389">
                  <c:v>1.338749179559306E-2</c:v>
                </c:pt>
                <c:pt idx="2390">
                  <c:v>1.345084388185654E-2</c:v>
                </c:pt>
                <c:pt idx="2391">
                  <c:v>1.3212784810126584E-2</c:v>
                </c:pt>
                <c:pt idx="2392">
                  <c:v>1.3476338490389124E-2</c:v>
                </c:pt>
                <c:pt idx="2393">
                  <c:v>1.3489507735583684E-2</c:v>
                </c:pt>
                <c:pt idx="2394">
                  <c:v>1.3639324894514771E-2</c:v>
                </c:pt>
                <c:pt idx="2395">
                  <c:v>1.4043244256915144E-2</c:v>
                </c:pt>
                <c:pt idx="2396">
                  <c:v>1.38671354899203E-2</c:v>
                </c:pt>
                <c:pt idx="2397">
                  <c:v>1.439E-2</c:v>
                </c:pt>
                <c:pt idx="2398">
                  <c:v>1.4306118143459915E-2</c:v>
                </c:pt>
                <c:pt idx="2399">
                  <c:v>1.4597083919362401E-2</c:v>
                </c:pt>
                <c:pt idx="2400">
                  <c:v>1.459117674636662E-2</c:v>
                </c:pt>
                <c:pt idx="2401">
                  <c:v>1.4355569620253163E-2</c:v>
                </c:pt>
                <c:pt idx="2402">
                  <c:v>1.4137140178152836E-2</c:v>
                </c:pt>
                <c:pt idx="2403">
                  <c:v>1.4002376933895923E-2</c:v>
                </c:pt>
                <c:pt idx="2404">
                  <c:v>1.41E-2</c:v>
                </c:pt>
                <c:pt idx="2405">
                  <c:v>1.4199999999999999E-2</c:v>
                </c:pt>
                <c:pt idx="2406">
                  <c:v>1.43E-2</c:v>
                </c:pt>
                <c:pt idx="2407">
                  <c:v>1.43E-2</c:v>
                </c:pt>
                <c:pt idx="2408">
                  <c:v>1.3794022503516174E-2</c:v>
                </c:pt>
                <c:pt idx="2409">
                  <c:v>1.36714580403188E-2</c:v>
                </c:pt>
                <c:pt idx="2410">
                  <c:v>1.4521476793248946E-2</c:v>
                </c:pt>
                <c:pt idx="2411">
                  <c:v>1.5026694796061885E-2</c:v>
                </c:pt>
                <c:pt idx="2412">
                  <c:v>1.4990590717299577E-2</c:v>
                </c:pt>
                <c:pt idx="2413">
                  <c:v>1.4990881387716832E-2</c:v>
                </c:pt>
                <c:pt idx="2414">
                  <c:v>1.4854158462259728E-2</c:v>
                </c:pt>
                <c:pt idx="2415">
                  <c:v>1.5046976090014064E-2</c:v>
                </c:pt>
                <c:pt idx="2416">
                  <c:v>1.4980684481950304E-2</c:v>
                </c:pt>
                <c:pt idx="2417">
                  <c:v>1.4894636661978435E-2</c:v>
                </c:pt>
                <c:pt idx="2418">
                  <c:v>1.4930890764181904E-2</c:v>
                </c:pt>
                <c:pt idx="2419">
                  <c:v>1.4968987341772154E-2</c:v>
                </c:pt>
                <c:pt idx="2420">
                  <c:v>1.4657974683544305E-2</c:v>
                </c:pt>
                <c:pt idx="2421">
                  <c:v>1.4603230192217534E-2</c:v>
                </c:pt>
                <c:pt idx="2422">
                  <c:v>1.4602137834036568E-2</c:v>
                </c:pt>
                <c:pt idx="2423">
                  <c:v>1.4249282700421939E-2</c:v>
                </c:pt>
                <c:pt idx="2424">
                  <c:v>1.417450070323488E-2</c:v>
                </c:pt>
                <c:pt idx="2425">
                  <c:v>1.4307623066104079E-2</c:v>
                </c:pt>
                <c:pt idx="2426">
                  <c:v>1.4229864041256448E-2</c:v>
                </c:pt>
                <c:pt idx="2427">
                  <c:v>1.403354430379747E-2</c:v>
                </c:pt>
                <c:pt idx="2428">
                  <c:v>1.4167735583684954E-2</c:v>
                </c:pt>
                <c:pt idx="2429">
                  <c:v>1.3927416783872482E-2</c:v>
                </c:pt>
                <c:pt idx="2430">
                  <c:v>1.3774753867791843E-2</c:v>
                </c:pt>
                <c:pt idx="2431">
                  <c:v>1.3432883263009844E-2</c:v>
                </c:pt>
                <c:pt idx="2432">
                  <c:v>1.356300515705579E-2</c:v>
                </c:pt>
                <c:pt idx="2433">
                  <c:v>1.3807097984060008E-2</c:v>
                </c:pt>
                <c:pt idx="2434">
                  <c:v>1.4121523675574309E-2</c:v>
                </c:pt>
                <c:pt idx="2435">
                  <c:v>1.4171561181434599E-2</c:v>
                </c:pt>
                <c:pt idx="2436">
                  <c:v>1.4546230661040787E-2</c:v>
                </c:pt>
                <c:pt idx="2437">
                  <c:v>1.4255007032348806E-2</c:v>
                </c:pt>
                <c:pt idx="2438">
                  <c:v>1.364678856071261E-2</c:v>
                </c:pt>
                <c:pt idx="2439">
                  <c:v>1.3522151898734175E-2</c:v>
                </c:pt>
                <c:pt idx="2440">
                  <c:v>1.3209878105954054E-2</c:v>
                </c:pt>
                <c:pt idx="2441">
                  <c:v>1.3017210501640881E-2</c:v>
                </c:pt>
                <c:pt idx="2442">
                  <c:v>1.3782278481012655E-2</c:v>
                </c:pt>
                <c:pt idx="2443">
                  <c:v>1.3326962025316455E-2</c:v>
                </c:pt>
                <c:pt idx="2444">
                  <c:v>1.2305593061415845E-2</c:v>
                </c:pt>
                <c:pt idx="2445">
                  <c:v>1.1828307548054385E-2</c:v>
                </c:pt>
                <c:pt idx="2446">
                  <c:v>1.1398059071729957E-2</c:v>
                </c:pt>
                <c:pt idx="2447">
                  <c:v>1.0813281762775432E-2</c:v>
                </c:pt>
                <c:pt idx="2448">
                  <c:v>1.0781875293014533E-2</c:v>
                </c:pt>
                <c:pt idx="2449">
                  <c:v>1.0933061415846226E-2</c:v>
                </c:pt>
                <c:pt idx="2450">
                  <c:v>1.0686793248945147E-2</c:v>
                </c:pt>
                <c:pt idx="2451">
                  <c:v>1.0280131270511018E-2</c:v>
                </c:pt>
                <c:pt idx="2452">
                  <c:v>1.0018776371308016E-2</c:v>
                </c:pt>
                <c:pt idx="2453">
                  <c:v>9.9207923112986391E-3</c:v>
                </c:pt>
                <c:pt idx="2454">
                  <c:v>1.0084050632911392E-2</c:v>
                </c:pt>
                <c:pt idx="2455">
                  <c:v>9.9368354430379741E-3</c:v>
                </c:pt>
                <c:pt idx="2456">
                  <c:v>9.5544960150023457E-3</c:v>
                </c:pt>
                <c:pt idx="2457">
                  <c:v>9.1612658227848091E-3</c:v>
                </c:pt>
                <c:pt idx="2458">
                  <c:v>8.6E-3</c:v>
                </c:pt>
                <c:pt idx="2459">
                  <c:v>8.5000000000000006E-3</c:v>
                </c:pt>
                <c:pt idx="2460">
                  <c:v>8.6E-3</c:v>
                </c:pt>
                <c:pt idx="2461">
                  <c:v>8.6999999999999994E-3</c:v>
                </c:pt>
                <c:pt idx="2462">
                  <c:v>8.6999999999999994E-3</c:v>
                </c:pt>
                <c:pt idx="2463">
                  <c:v>8.8864275668073135E-3</c:v>
                </c:pt>
                <c:pt idx="2464">
                  <c:v>9.0750023441162689E-3</c:v>
                </c:pt>
                <c:pt idx="2465">
                  <c:v>9.1162447257383955E-3</c:v>
                </c:pt>
                <c:pt idx="2466">
                  <c:v>9.0418846694796055E-3</c:v>
                </c:pt>
                <c:pt idx="2467">
                  <c:v>9.0936661978434138E-3</c:v>
                </c:pt>
                <c:pt idx="2468">
                  <c:v>9.1300093764650724E-3</c:v>
                </c:pt>
                <c:pt idx="2469">
                  <c:v>9.5843225503985004E-3</c:v>
                </c:pt>
                <c:pt idx="2470">
                  <c:v>9.5677215189873422E-3</c:v>
                </c:pt>
                <c:pt idx="2471">
                  <c:v>9.2740365682137844E-3</c:v>
                </c:pt>
                <c:pt idx="2472">
                  <c:v>9.2533380215658687E-3</c:v>
                </c:pt>
                <c:pt idx="2473">
                  <c:v>9.1526582278481025E-3</c:v>
                </c:pt>
                <c:pt idx="2474">
                  <c:v>8.9573839662447259E-3</c:v>
                </c:pt>
                <c:pt idx="2475">
                  <c:v>8.4722503516174406E-3</c:v>
                </c:pt>
                <c:pt idx="2476">
                  <c:v>8.300431317393343E-3</c:v>
                </c:pt>
                <c:pt idx="2477">
                  <c:v>8.2072995780590723E-3</c:v>
                </c:pt>
                <c:pt idx="2478">
                  <c:v>8.2205063291139243E-3</c:v>
                </c:pt>
                <c:pt idx="2479">
                  <c:v>8.5502109704641352E-3</c:v>
                </c:pt>
                <c:pt idx="2480">
                  <c:v>8.0907876230661042E-3</c:v>
                </c:pt>
                <c:pt idx="2481">
                  <c:v>7.6904781997187057E-3</c:v>
                </c:pt>
                <c:pt idx="2482">
                  <c:v>7.9229535864978901E-3</c:v>
                </c:pt>
                <c:pt idx="2483">
                  <c:v>7.6240834505391462E-3</c:v>
                </c:pt>
                <c:pt idx="2484">
                  <c:v>7.8390107829348337E-3</c:v>
                </c:pt>
                <c:pt idx="2485">
                  <c:v>7.9477637130801696E-3</c:v>
                </c:pt>
                <c:pt idx="2486">
                  <c:v>7.8301125175808724E-3</c:v>
                </c:pt>
                <c:pt idx="2487">
                  <c:v>7.8816408813877151E-3</c:v>
                </c:pt>
                <c:pt idx="2488">
                  <c:v>8.491664322550399E-3</c:v>
                </c:pt>
                <c:pt idx="2489">
                  <c:v>8.3519409282700411E-3</c:v>
                </c:pt>
                <c:pt idx="2490">
                  <c:v>8.3779606188466946E-3</c:v>
                </c:pt>
                <c:pt idx="2491">
                  <c:v>8.3708579465541482E-3</c:v>
                </c:pt>
                <c:pt idx="2492">
                  <c:v>8.237496483825598E-3</c:v>
                </c:pt>
                <c:pt idx="2493">
                  <c:v>8.1408860759493665E-3</c:v>
                </c:pt>
                <c:pt idx="2494">
                  <c:v>7.9239240506329117E-3</c:v>
                </c:pt>
                <c:pt idx="2495">
                  <c:v>7.7484341303328654E-3</c:v>
                </c:pt>
                <c:pt idx="2496">
                  <c:v>7.8529629629629626E-3</c:v>
                </c:pt>
                <c:pt idx="2497">
                  <c:v>8.0854008438818563E-3</c:v>
                </c:pt>
                <c:pt idx="2498">
                  <c:v>8.4288607594936709E-3</c:v>
                </c:pt>
                <c:pt idx="2499">
                  <c:v>8.891237693389592E-3</c:v>
                </c:pt>
                <c:pt idx="2500">
                  <c:v>8.6228363806844822E-3</c:v>
                </c:pt>
                <c:pt idx="2501">
                  <c:v>8.5798312236286933E-3</c:v>
                </c:pt>
                <c:pt idx="2502">
                  <c:v>8.4451992498827937E-3</c:v>
                </c:pt>
                <c:pt idx="2503">
                  <c:v>8.4948101265822796E-3</c:v>
                </c:pt>
                <c:pt idx="2504">
                  <c:v>8.2399296765119541E-3</c:v>
                </c:pt>
                <c:pt idx="2505">
                  <c:v>8.2547679324894499E-3</c:v>
                </c:pt>
                <c:pt idx="2506">
                  <c:v>7.7047866854195969E-3</c:v>
                </c:pt>
                <c:pt idx="2507">
                  <c:v>7.7712564463197379E-3</c:v>
                </c:pt>
                <c:pt idx="2508">
                  <c:v>6.9519127988748241E-3</c:v>
                </c:pt>
                <c:pt idx="2509">
                  <c:v>6.7885935302390999E-3</c:v>
                </c:pt>
                <c:pt idx="2510">
                  <c:v>6.7324003750586026E-3</c:v>
                </c:pt>
                <c:pt idx="2511">
                  <c:v>6.6921190811064226E-3</c:v>
                </c:pt>
                <c:pt idx="2512">
                  <c:v>6.6410548523206745E-3</c:v>
                </c:pt>
                <c:pt idx="2513">
                  <c:v>6.6622503516174407E-3</c:v>
                </c:pt>
                <c:pt idx="2514">
                  <c:v>6.9415752461322077E-3</c:v>
                </c:pt>
                <c:pt idx="2515">
                  <c:v>6.800239099859353E-3</c:v>
                </c:pt>
                <c:pt idx="2516">
                  <c:v>6.7019831223628697E-3</c:v>
                </c:pt>
                <c:pt idx="2517">
                  <c:v>6.7821284575714947E-3</c:v>
                </c:pt>
                <c:pt idx="2518">
                  <c:v>6.7963244256915153E-3</c:v>
                </c:pt>
                <c:pt idx="2519">
                  <c:v>6.6257759024847627E-3</c:v>
                </c:pt>
                <c:pt idx="2520">
                  <c:v>6.6316877637130796E-3</c:v>
                </c:pt>
                <c:pt idx="2521">
                  <c:v>6.259184247538678E-3</c:v>
                </c:pt>
                <c:pt idx="2522">
                  <c:v>6.076629160806377E-3</c:v>
                </c:pt>
                <c:pt idx="2523">
                  <c:v>6.205232067510549E-3</c:v>
                </c:pt>
                <c:pt idx="2524">
                  <c:v>6.5943881856540092E-3</c:v>
                </c:pt>
                <c:pt idx="2525">
                  <c:v>6.5647022972339418E-3</c:v>
                </c:pt>
                <c:pt idx="2526">
                  <c:v>6.5504031879981238E-3</c:v>
                </c:pt>
                <c:pt idx="2527">
                  <c:v>6.683305203938116E-3</c:v>
                </c:pt>
                <c:pt idx="2528">
                  <c:v>6.7262728551336151E-3</c:v>
                </c:pt>
                <c:pt idx="2529">
                  <c:v>6.9597187060478202E-3</c:v>
                </c:pt>
                <c:pt idx="2530">
                  <c:v>7.8958227848101269E-3</c:v>
                </c:pt>
                <c:pt idx="2531">
                  <c:v>8.2050632911392397E-3</c:v>
                </c:pt>
                <c:pt idx="2532">
                  <c:v>8.2843272386310361E-3</c:v>
                </c:pt>
                <c:pt idx="2533">
                  <c:v>8.2886497890295365E-3</c:v>
                </c:pt>
                <c:pt idx="2534">
                  <c:v>8.4395921237693378E-3</c:v>
                </c:pt>
                <c:pt idx="2535">
                  <c:v>8.4567885607126116E-3</c:v>
                </c:pt>
                <c:pt idx="2536">
                  <c:v>8.5240506329113935E-3</c:v>
                </c:pt>
                <c:pt idx="2537">
                  <c:v>8.3892545710267247E-3</c:v>
                </c:pt>
                <c:pt idx="2538">
                  <c:v>8.2650210970464134E-3</c:v>
                </c:pt>
                <c:pt idx="2539">
                  <c:v>8.4744022503516186E-3</c:v>
                </c:pt>
                <c:pt idx="2540">
                  <c:v>8.499240506329114E-3</c:v>
                </c:pt>
                <c:pt idx="2541">
                  <c:v>9.4460243788091879E-3</c:v>
                </c:pt>
                <c:pt idx="2542">
                  <c:v>1.0590857946554148E-2</c:v>
                </c:pt>
                <c:pt idx="2543">
                  <c:v>1.1296572902015941E-2</c:v>
                </c:pt>
                <c:pt idx="2544">
                  <c:v>1.0871603375527426E-2</c:v>
                </c:pt>
                <c:pt idx="2545">
                  <c:v>1.1019226441631504E-2</c:v>
                </c:pt>
                <c:pt idx="2546">
                  <c:v>1.1174135021097048E-2</c:v>
                </c:pt>
                <c:pt idx="2547">
                  <c:v>1.1746652601969056E-2</c:v>
                </c:pt>
                <c:pt idx="2548">
                  <c:v>1.1634978902953588E-2</c:v>
                </c:pt>
                <c:pt idx="2549">
                  <c:v>1.1309924988279416E-2</c:v>
                </c:pt>
                <c:pt idx="2550">
                  <c:v>1.1501870604781996E-2</c:v>
                </c:pt>
                <c:pt idx="2551">
                  <c:v>1.1228607594936711E-2</c:v>
                </c:pt>
                <c:pt idx="2552">
                  <c:v>1.1160201593999062E-2</c:v>
                </c:pt>
                <c:pt idx="2553">
                  <c:v>1.1041608063759962E-2</c:v>
                </c:pt>
                <c:pt idx="2554">
                  <c:v>1.0504486638537272E-2</c:v>
                </c:pt>
                <c:pt idx="2555">
                  <c:v>1.1160393811533052E-2</c:v>
                </c:pt>
                <c:pt idx="2556">
                  <c:v>1.1290215658696671E-2</c:v>
                </c:pt>
                <c:pt idx="2557">
                  <c:v>1.1790201593999064E-2</c:v>
                </c:pt>
                <c:pt idx="2558">
                  <c:v>1.219429910923582E-2</c:v>
                </c:pt>
                <c:pt idx="2559">
                  <c:v>1.1553023909985936E-2</c:v>
                </c:pt>
                <c:pt idx="2560">
                  <c:v>1.1043342709798405E-2</c:v>
                </c:pt>
                <c:pt idx="2561">
                  <c:v>1.0863398968588843E-2</c:v>
                </c:pt>
                <c:pt idx="2562">
                  <c:v>1.0769423347398031E-2</c:v>
                </c:pt>
                <c:pt idx="2563">
                  <c:v>1.0840590717299576E-2</c:v>
                </c:pt>
                <c:pt idx="2564">
                  <c:v>1.0831945616502579E-2</c:v>
                </c:pt>
                <c:pt idx="2565">
                  <c:v>1.0743366150961086E-2</c:v>
                </c:pt>
                <c:pt idx="2566">
                  <c:v>1.017607594936709E-2</c:v>
                </c:pt>
                <c:pt idx="2567">
                  <c:v>9.7109470229723386E-3</c:v>
                </c:pt>
                <c:pt idx="2568">
                  <c:v>9.7182606657290199E-3</c:v>
                </c:pt>
                <c:pt idx="2569">
                  <c:v>9.7561462728551328E-3</c:v>
                </c:pt>
                <c:pt idx="2570">
                  <c:v>9.6548523206751065E-3</c:v>
                </c:pt>
                <c:pt idx="2571">
                  <c:v>9.7826394749179549E-3</c:v>
                </c:pt>
                <c:pt idx="2572">
                  <c:v>9.322015939990623E-3</c:v>
                </c:pt>
                <c:pt idx="2573">
                  <c:v>9.5474824191279888E-3</c:v>
                </c:pt>
                <c:pt idx="2574">
                  <c:v>9.3558977965307061E-3</c:v>
                </c:pt>
                <c:pt idx="2575">
                  <c:v>9.3368448195030474E-3</c:v>
                </c:pt>
                <c:pt idx="2576">
                  <c:v>9.5072151898734168E-3</c:v>
                </c:pt>
                <c:pt idx="2577">
                  <c:v>9.3706938584153781E-3</c:v>
                </c:pt>
                <c:pt idx="2578">
                  <c:v>9.777679324894515E-3</c:v>
                </c:pt>
                <c:pt idx="2579">
                  <c:v>9.9195780590717302E-3</c:v>
                </c:pt>
                <c:pt idx="2580">
                  <c:v>9.8469807782466008E-3</c:v>
                </c:pt>
                <c:pt idx="2581">
                  <c:v>1.0490464135021098E-2</c:v>
                </c:pt>
                <c:pt idx="2582">
                  <c:v>1.0915461052631579E-2</c:v>
                </c:pt>
                <c:pt idx="2583">
                  <c:v>1.0981722105263159E-2</c:v>
                </c:pt>
                <c:pt idx="2584">
                  <c:v>1.086709894736842E-2</c:v>
                </c:pt>
                <c:pt idx="2585">
                  <c:v>1.0754909473684212E-2</c:v>
                </c:pt>
                <c:pt idx="2586">
                  <c:v>1.0852842105263159E-2</c:v>
                </c:pt>
                <c:pt idx="2587">
                  <c:v>1.1628534736842104E-2</c:v>
                </c:pt>
                <c:pt idx="2588">
                  <c:v>1.1927625263157896E-2</c:v>
                </c:pt>
                <c:pt idx="2589">
                  <c:v>1.2151305263157894E-2</c:v>
                </c:pt>
                <c:pt idx="2590">
                  <c:v>1.2387128421052631E-2</c:v>
                </c:pt>
                <c:pt idx="2591">
                  <c:v>1.227584E-2</c:v>
                </c:pt>
                <c:pt idx="2592">
                  <c:v>1.218682105263158E-2</c:v>
                </c:pt>
                <c:pt idx="2593">
                  <c:v>1.35516835016835E-2</c:v>
                </c:pt>
                <c:pt idx="2594">
                  <c:v>1.3715656565656565E-2</c:v>
                </c:pt>
                <c:pt idx="2595">
                  <c:v>1.4233434343434347E-2</c:v>
                </c:pt>
                <c:pt idx="2596">
                  <c:v>1.4456111111111109E-2</c:v>
                </c:pt>
                <c:pt idx="2597">
                  <c:v>1.4835959595959599E-2</c:v>
                </c:pt>
                <c:pt idx="2598">
                  <c:v>1.4858956228956229E-2</c:v>
                </c:pt>
                <c:pt idx="2599">
                  <c:v>1.4975959595959593E-2</c:v>
                </c:pt>
                <c:pt idx="2600">
                  <c:v>1.4658350168350169E-2</c:v>
                </c:pt>
                <c:pt idx="2601">
                  <c:v>1.4647558922558923E-2</c:v>
                </c:pt>
                <c:pt idx="2602">
                  <c:v>1.4648619528619527E-2</c:v>
                </c:pt>
                <c:pt idx="2603">
                  <c:v>1.4713484848484847E-2</c:v>
                </c:pt>
                <c:pt idx="2604">
                  <c:v>1.4618888888888888E-2</c:v>
                </c:pt>
                <c:pt idx="2605">
                  <c:v>1.475740740740741E-2</c:v>
                </c:pt>
                <c:pt idx="2606">
                  <c:v>1.4646565656565656E-2</c:v>
                </c:pt>
                <c:pt idx="2607">
                  <c:v>1.4658181818181818E-2</c:v>
                </c:pt>
                <c:pt idx="2608">
                  <c:v>1.4629629629629628E-2</c:v>
                </c:pt>
                <c:pt idx="2609">
                  <c:v>1.4536481481481482E-2</c:v>
                </c:pt>
                <c:pt idx="2610">
                  <c:v>1.432878787878788E-2</c:v>
                </c:pt>
                <c:pt idx="2611">
                  <c:v>1.4119629629629631E-2</c:v>
                </c:pt>
                <c:pt idx="2612">
                  <c:v>1.4052289562289565E-2</c:v>
                </c:pt>
                <c:pt idx="2613">
                  <c:v>1.4291683501683503E-2</c:v>
                </c:pt>
                <c:pt idx="2614">
                  <c:v>1.4256060606060605E-2</c:v>
                </c:pt>
                <c:pt idx="2615">
                  <c:v>1.412131313131313E-2</c:v>
                </c:pt>
                <c:pt idx="2616">
                  <c:v>1.3884646464646466E-2</c:v>
                </c:pt>
                <c:pt idx="2617">
                  <c:v>1.385175084175084E-2</c:v>
                </c:pt>
                <c:pt idx="2618">
                  <c:v>1.4499259259259257E-2</c:v>
                </c:pt>
                <c:pt idx="2619">
                  <c:v>1.5255808080808082E-2</c:v>
                </c:pt>
                <c:pt idx="2620">
                  <c:v>1.4874680134680136E-2</c:v>
                </c:pt>
                <c:pt idx="2621">
                  <c:v>1.4503265993265995E-2</c:v>
                </c:pt>
                <c:pt idx="2622">
                  <c:v>1.4440707070707073E-2</c:v>
                </c:pt>
                <c:pt idx="2623">
                  <c:v>1.3966010101010102E-2</c:v>
                </c:pt>
                <c:pt idx="2624">
                  <c:v>1.4040269360269357E-2</c:v>
                </c:pt>
                <c:pt idx="2625">
                  <c:v>1.4582037037037034E-2</c:v>
                </c:pt>
                <c:pt idx="2626">
                  <c:v>1.4929090909090909E-2</c:v>
                </c:pt>
                <c:pt idx="2627">
                  <c:v>1.4671666666666664E-2</c:v>
                </c:pt>
                <c:pt idx="2628">
                  <c:v>1.4938754208754209E-2</c:v>
                </c:pt>
                <c:pt idx="2629">
                  <c:v>1.4986952861952863E-2</c:v>
                </c:pt>
                <c:pt idx="2630">
                  <c:v>1.4934141414141414E-2</c:v>
                </c:pt>
                <c:pt idx="2631">
                  <c:v>1.4793872053872052E-2</c:v>
                </c:pt>
                <c:pt idx="2632">
                  <c:v>1.4821616161616161E-2</c:v>
                </c:pt>
                <c:pt idx="2633">
                  <c:v>1.4880538720538716E-2</c:v>
                </c:pt>
                <c:pt idx="2634">
                  <c:v>1.4849999999999999E-2</c:v>
                </c:pt>
                <c:pt idx="2635">
                  <c:v>1.4852245929253226E-2</c:v>
                </c:pt>
                <c:pt idx="2636">
                  <c:v>1.4624413250982595E-2</c:v>
                </c:pt>
                <c:pt idx="2637">
                  <c:v>1.4431285794497473E-2</c:v>
                </c:pt>
                <c:pt idx="2638">
                  <c:v>1.4413644020213364E-2</c:v>
                </c:pt>
                <c:pt idx="2639">
                  <c:v>1.422599663110612E-2</c:v>
                </c:pt>
                <c:pt idx="2640">
                  <c:v>1.4127832678270636E-2</c:v>
                </c:pt>
                <c:pt idx="2641">
                  <c:v>1.4078057271195958E-2</c:v>
                </c:pt>
                <c:pt idx="2642">
                  <c:v>1.3775075800112295E-2</c:v>
                </c:pt>
                <c:pt idx="2643">
                  <c:v>1.3537961819202695E-2</c:v>
                </c:pt>
                <c:pt idx="2644">
                  <c:v>1.3599635036496352E-2</c:v>
                </c:pt>
                <c:pt idx="2645">
                  <c:v>1.3650971364402022E-2</c:v>
                </c:pt>
                <c:pt idx="2646">
                  <c:v>1.3592930937675463E-2</c:v>
                </c:pt>
                <c:pt idx="2647">
                  <c:v>1.3450022459292532E-2</c:v>
                </c:pt>
                <c:pt idx="2648">
                  <c:v>1.3114272880404265E-2</c:v>
                </c:pt>
                <c:pt idx="2649">
                  <c:v>1.2795480067377876E-2</c:v>
                </c:pt>
                <c:pt idx="2650">
                  <c:v>1.282563166760247E-2</c:v>
                </c:pt>
                <c:pt idx="2651">
                  <c:v>1.2827804604154971E-2</c:v>
                </c:pt>
                <c:pt idx="2652">
                  <c:v>1.2834323413812465E-2</c:v>
                </c:pt>
                <c:pt idx="2653">
                  <c:v>1.2499416058394162E-2</c:v>
                </c:pt>
                <c:pt idx="2654">
                  <c:v>1.2768366086468275E-2</c:v>
                </c:pt>
                <c:pt idx="2655">
                  <c:v>1.249162829870859E-2</c:v>
                </c:pt>
                <c:pt idx="2656">
                  <c:v>1.2654154969118472E-2</c:v>
                </c:pt>
                <c:pt idx="2657">
                  <c:v>1.2985182481751824E-2</c:v>
                </c:pt>
                <c:pt idx="2658">
                  <c:v>1.2939387984278494E-2</c:v>
                </c:pt>
                <c:pt idx="2659">
                  <c:v>1.3159781021897809E-2</c:v>
                </c:pt>
                <c:pt idx="2660">
                  <c:v>1.3251263335204941E-2</c:v>
                </c:pt>
                <c:pt idx="2661">
                  <c:v>1.3332229084783829E-2</c:v>
                </c:pt>
                <c:pt idx="2662">
                  <c:v>1.3085637282425604E-2</c:v>
                </c:pt>
                <c:pt idx="2663">
                  <c:v>1.3876614261650759E-2</c:v>
                </c:pt>
                <c:pt idx="2664">
                  <c:v>1.3834570466030321E-2</c:v>
                </c:pt>
                <c:pt idx="2665">
                  <c:v>1.4096473891072431E-2</c:v>
                </c:pt>
                <c:pt idx="2666">
                  <c:v>1.4158085345311624E-2</c:v>
                </c:pt>
                <c:pt idx="2667">
                  <c:v>1.4281892195395844E-2</c:v>
                </c:pt>
                <c:pt idx="2668">
                  <c:v>1.5036114542391914E-2</c:v>
                </c:pt>
                <c:pt idx="2669">
                  <c:v>1.4788394160583942E-2</c:v>
                </c:pt>
                <c:pt idx="2670">
                  <c:v>1.4373509264458168E-2</c:v>
                </c:pt>
                <c:pt idx="2671">
                  <c:v>1.3614497473329591E-2</c:v>
                </c:pt>
                <c:pt idx="2672">
                  <c:v>1.3604418865805728E-2</c:v>
                </c:pt>
                <c:pt idx="2673">
                  <c:v>1.3389056709713642E-2</c:v>
                </c:pt>
                <c:pt idx="2674">
                  <c:v>1.3527507018528917E-2</c:v>
                </c:pt>
                <c:pt idx="2675">
                  <c:v>1.3304323413812467E-2</c:v>
                </c:pt>
                <c:pt idx="2676">
                  <c:v>1.3113380123526109E-2</c:v>
                </c:pt>
                <c:pt idx="2677">
                  <c:v>1.3720915216170691E-2</c:v>
                </c:pt>
                <c:pt idx="2678">
                  <c:v>1.3284705221785513E-2</c:v>
                </c:pt>
                <c:pt idx="2679">
                  <c:v>1.2816614261650755E-2</c:v>
                </c:pt>
                <c:pt idx="2680">
                  <c:v>1.3206833239752948E-2</c:v>
                </c:pt>
                <c:pt idx="2681">
                  <c:v>1.2663284671532847E-2</c:v>
                </c:pt>
                <c:pt idx="2682">
                  <c:v>1.2566822010106681E-2</c:v>
                </c:pt>
                <c:pt idx="2683">
                  <c:v>1.2503262212240317E-2</c:v>
                </c:pt>
                <c:pt idx="2684">
                  <c:v>1.2424761370016846E-2</c:v>
                </c:pt>
                <c:pt idx="2685">
                  <c:v>1.2161785513756317E-2</c:v>
                </c:pt>
                <c:pt idx="2686">
                  <c:v>1.2276019090398653E-2</c:v>
                </c:pt>
                <c:pt idx="2687">
                  <c:v>1.1789225154407636E-2</c:v>
                </c:pt>
                <c:pt idx="2688">
                  <c:v>1.1778736664795057E-2</c:v>
                </c:pt>
                <c:pt idx="2689">
                  <c:v>1.1498180797304887E-2</c:v>
                </c:pt>
                <c:pt idx="2690">
                  <c:v>1.150268388545761E-2</c:v>
                </c:pt>
                <c:pt idx="2691">
                  <c:v>1.1505828186412128E-2</c:v>
                </c:pt>
                <c:pt idx="2692">
                  <c:v>1.1203700168444694E-2</c:v>
                </c:pt>
                <c:pt idx="2693">
                  <c:v>1.1304795058955644E-2</c:v>
                </c:pt>
                <c:pt idx="2694">
                  <c:v>1.1141392476137001E-2</c:v>
                </c:pt>
                <c:pt idx="2695">
                  <c:v>1.095606962380685E-2</c:v>
                </c:pt>
                <c:pt idx="2696">
                  <c:v>1.0737007299270074E-2</c:v>
                </c:pt>
                <c:pt idx="2697">
                  <c:v>1.0536866928691746E-2</c:v>
                </c:pt>
                <c:pt idx="2698">
                  <c:v>1.1490291970802919E-2</c:v>
                </c:pt>
                <c:pt idx="2699">
                  <c:v>1.1447040988208873E-2</c:v>
                </c:pt>
                <c:pt idx="2700">
                  <c:v>1.1798444693992138E-2</c:v>
                </c:pt>
                <c:pt idx="2701">
                  <c:v>1.1859191465468837E-2</c:v>
                </c:pt>
                <c:pt idx="2702">
                  <c:v>1.1872453677709151E-2</c:v>
                </c:pt>
                <c:pt idx="2703">
                  <c:v>1.1936749017405952E-2</c:v>
                </c:pt>
                <c:pt idx="2704">
                  <c:v>1.1782992700729926E-2</c:v>
                </c:pt>
                <c:pt idx="2705">
                  <c:v>1.2454452554744526E-2</c:v>
                </c:pt>
                <c:pt idx="2706">
                  <c:v>1.2512807411566535E-2</c:v>
                </c:pt>
                <c:pt idx="2707">
                  <c:v>1.24E-2</c:v>
                </c:pt>
                <c:pt idx="2708">
                  <c:v>1.2500000000000001E-2</c:v>
                </c:pt>
                <c:pt idx="2709">
                  <c:v>1.24E-2</c:v>
                </c:pt>
                <c:pt idx="2710">
                  <c:v>1.24E-2</c:v>
                </c:pt>
                <c:pt idx="2711">
                  <c:v>1.24E-2</c:v>
                </c:pt>
                <c:pt idx="2712">
                  <c:v>1.23E-2</c:v>
                </c:pt>
                <c:pt idx="2713">
                  <c:v>1.21E-2</c:v>
                </c:pt>
                <c:pt idx="2714">
                  <c:v>1.2199999999999999E-2</c:v>
                </c:pt>
                <c:pt idx="2715">
                  <c:v>1.1899999999999999E-2</c:v>
                </c:pt>
                <c:pt idx="2716">
                  <c:v>1.21E-2</c:v>
                </c:pt>
                <c:pt idx="2717">
                  <c:v>1.21E-2</c:v>
                </c:pt>
                <c:pt idx="2718">
                  <c:v>1.21E-2</c:v>
                </c:pt>
                <c:pt idx="2719">
                  <c:v>1.2E-2</c:v>
                </c:pt>
                <c:pt idx="2720">
                  <c:v>1.18E-2</c:v>
                </c:pt>
                <c:pt idx="2721">
                  <c:v>1.2199999999999999E-2</c:v>
                </c:pt>
                <c:pt idx="2722">
                  <c:v>1.1980825379000561E-2</c:v>
                </c:pt>
                <c:pt idx="2723">
                  <c:v>1.1537574396406512E-2</c:v>
                </c:pt>
                <c:pt idx="2724">
                  <c:v>1.1531094890510948E-2</c:v>
                </c:pt>
                <c:pt idx="2725">
                  <c:v>1.1434935429533969E-2</c:v>
                </c:pt>
                <c:pt idx="2726">
                  <c:v>1.1516064008983718E-2</c:v>
                </c:pt>
                <c:pt idx="2727">
                  <c:v>1.1406962380685009E-2</c:v>
                </c:pt>
                <c:pt idx="2728">
                  <c:v>1.1412756878158339E-2</c:v>
                </c:pt>
                <c:pt idx="2729">
                  <c:v>1.129E-2</c:v>
                </c:pt>
                <c:pt idx="2730">
                  <c:v>1.1345699045480067E-2</c:v>
                </c:pt>
                <c:pt idx="2731">
                  <c:v>1.1346771476698483E-2</c:v>
                </c:pt>
                <c:pt idx="2732">
                  <c:v>1.1099191465468838E-2</c:v>
                </c:pt>
                <c:pt idx="2733">
                  <c:v>1.1045328467153283E-2</c:v>
                </c:pt>
                <c:pt idx="2734">
                  <c:v>1.0964390791690062E-2</c:v>
                </c:pt>
                <c:pt idx="2735">
                  <c:v>1.0764368332397529E-2</c:v>
                </c:pt>
                <c:pt idx="2736">
                  <c:v>1.0950028074115666E-2</c:v>
                </c:pt>
                <c:pt idx="2737">
                  <c:v>1.0590263896687253E-2</c:v>
                </c:pt>
                <c:pt idx="2738">
                  <c:v>1.0474671532846713E-2</c:v>
                </c:pt>
                <c:pt idx="2739">
                  <c:v>1.048469960696238E-2</c:v>
                </c:pt>
                <c:pt idx="2740">
                  <c:v>1.0326518809657494E-2</c:v>
                </c:pt>
                <c:pt idx="2741">
                  <c:v>1.0374351487928131E-2</c:v>
                </c:pt>
                <c:pt idx="2742">
                  <c:v>1.044978102189781E-2</c:v>
                </c:pt>
                <c:pt idx="2743">
                  <c:v>1.0106496350364964E-2</c:v>
                </c:pt>
                <c:pt idx="2744">
                  <c:v>1.0236788321167882E-2</c:v>
                </c:pt>
                <c:pt idx="2745">
                  <c:v>1.0214772599663111E-2</c:v>
                </c:pt>
                <c:pt idx="2746">
                  <c:v>1.0221218416619876E-2</c:v>
                </c:pt>
                <c:pt idx="2747">
                  <c:v>1.007561482313307E-2</c:v>
                </c:pt>
                <c:pt idx="2748">
                  <c:v>1.0055682201010668E-2</c:v>
                </c:pt>
                <c:pt idx="2749">
                  <c:v>1.0018220101066818E-2</c:v>
                </c:pt>
                <c:pt idx="2750">
                  <c:v>9.8125659741718149E-3</c:v>
                </c:pt>
                <c:pt idx="2751">
                  <c:v>9.6877540707467694E-3</c:v>
                </c:pt>
                <c:pt idx="2752">
                  <c:v>9.7670802919708026E-3</c:v>
                </c:pt>
                <c:pt idx="2753">
                  <c:v>9.9244469399213924E-3</c:v>
                </c:pt>
                <c:pt idx="2754">
                  <c:v>1.0450920830993825E-2</c:v>
                </c:pt>
                <c:pt idx="2755">
                  <c:v>1.0548759124087592E-2</c:v>
                </c:pt>
                <c:pt idx="2756">
                  <c:v>1.0592380685008422E-2</c:v>
                </c:pt>
                <c:pt idx="2757">
                  <c:v>1.0731403705783267E-2</c:v>
                </c:pt>
                <c:pt idx="2758">
                  <c:v>1.064305446378439E-2</c:v>
                </c:pt>
                <c:pt idx="2759">
                  <c:v>1.0536816395283548E-2</c:v>
                </c:pt>
                <c:pt idx="2760">
                  <c:v>1.05507130825379E-2</c:v>
                </c:pt>
                <c:pt idx="2761">
                  <c:v>1.0522616507580011E-2</c:v>
                </c:pt>
                <c:pt idx="2762">
                  <c:v>1.0239354295339696E-2</c:v>
                </c:pt>
                <c:pt idx="2763">
                  <c:v>1.0208495227400336E-2</c:v>
                </c:pt>
                <c:pt idx="2764">
                  <c:v>1.0329404828747895E-2</c:v>
                </c:pt>
                <c:pt idx="2765">
                  <c:v>1.0398214486243684E-2</c:v>
                </c:pt>
                <c:pt idx="2766">
                  <c:v>1.0302240314430096E-2</c:v>
                </c:pt>
                <c:pt idx="2767">
                  <c:v>1.03E-2</c:v>
                </c:pt>
                <c:pt idx="2768">
                  <c:v>1.03E-2</c:v>
                </c:pt>
                <c:pt idx="2769">
                  <c:v>1.03E-2</c:v>
                </c:pt>
                <c:pt idx="2770">
                  <c:v>1.01E-2</c:v>
                </c:pt>
                <c:pt idx="2771">
                  <c:v>1.01E-2</c:v>
                </c:pt>
                <c:pt idx="2772">
                  <c:v>0.01</c:v>
                </c:pt>
                <c:pt idx="2773">
                  <c:v>0.01</c:v>
                </c:pt>
                <c:pt idx="2774">
                  <c:v>0.01</c:v>
                </c:pt>
                <c:pt idx="2775">
                  <c:v>9.8999999999999991E-3</c:v>
                </c:pt>
                <c:pt idx="2776">
                  <c:v>9.5999999999999992E-3</c:v>
                </c:pt>
                <c:pt idx="2777">
                  <c:v>9.4999999999999998E-3</c:v>
                </c:pt>
                <c:pt idx="2778">
                  <c:v>9.3999999999999986E-3</c:v>
                </c:pt>
                <c:pt idx="2779">
                  <c:v>9.4999999999999998E-3</c:v>
                </c:pt>
                <c:pt idx="2780">
                  <c:v>9.300000000000001E-3</c:v>
                </c:pt>
                <c:pt idx="2781">
                  <c:v>9.3999999999999986E-3</c:v>
                </c:pt>
                <c:pt idx="2782">
                  <c:v>9.3800561482313312E-3</c:v>
                </c:pt>
                <c:pt idx="2783">
                  <c:v>9.5337619314991573E-3</c:v>
                </c:pt>
                <c:pt idx="2784">
                  <c:v>9.7473891072431228E-3</c:v>
                </c:pt>
                <c:pt idx="2785">
                  <c:v>9.8289219539584513E-3</c:v>
                </c:pt>
                <c:pt idx="2786">
                  <c:v>9.6307860752386301E-3</c:v>
                </c:pt>
                <c:pt idx="2787">
                  <c:v>9.5224985962942179E-3</c:v>
                </c:pt>
                <c:pt idx="2788">
                  <c:v>9.4424985962942177E-3</c:v>
                </c:pt>
                <c:pt idx="2789">
                  <c:v>9.4107018528916345E-3</c:v>
                </c:pt>
                <c:pt idx="2790">
                  <c:v>9.2761650758001121E-3</c:v>
                </c:pt>
                <c:pt idx="2791">
                  <c:v>9.2030656934306565E-3</c:v>
                </c:pt>
                <c:pt idx="2792">
                  <c:v>8.8999999999999999E-3</c:v>
                </c:pt>
                <c:pt idx="2793">
                  <c:v>8.6E-3</c:v>
                </c:pt>
                <c:pt idx="2794">
                  <c:v>8.6E-3</c:v>
                </c:pt>
                <c:pt idx="2795">
                  <c:v>8.8000000000000005E-3</c:v>
                </c:pt>
                <c:pt idx="2796">
                  <c:v>9.1999999999999998E-3</c:v>
                </c:pt>
                <c:pt idx="2797">
                  <c:v>9.0000000000000011E-3</c:v>
                </c:pt>
                <c:pt idx="2798">
                  <c:v>8.8000000000000005E-3</c:v>
                </c:pt>
                <c:pt idx="2799">
                  <c:v>8.8000000000000005E-3</c:v>
                </c:pt>
                <c:pt idx="2800">
                  <c:v>8.6E-3</c:v>
                </c:pt>
                <c:pt idx="2801">
                  <c:v>8.5000000000000006E-3</c:v>
                </c:pt>
                <c:pt idx="2802">
                  <c:v>8.3999999999999995E-3</c:v>
                </c:pt>
                <c:pt idx="2803">
                  <c:v>8.3999999999999995E-3</c:v>
                </c:pt>
                <c:pt idx="2804">
                  <c:v>8.5000000000000006E-3</c:v>
                </c:pt>
                <c:pt idx="2805">
                  <c:v>8.3999999999999995E-3</c:v>
                </c:pt>
                <c:pt idx="2806">
                  <c:v>8.3999999999999995E-3</c:v>
                </c:pt>
                <c:pt idx="2807">
                  <c:v>8.5000000000000006E-3</c:v>
                </c:pt>
                <c:pt idx="2808">
                  <c:v>8.3000000000000001E-3</c:v>
                </c:pt>
                <c:pt idx="2809">
                  <c:v>8.0000000000000002E-3</c:v>
                </c:pt>
                <c:pt idx="2810">
                  <c:v>7.8000000000000005E-3</c:v>
                </c:pt>
                <c:pt idx="2811">
                  <c:v>7.3000000000000001E-3</c:v>
                </c:pt>
                <c:pt idx="2812">
                  <c:v>6.8999999999999999E-3</c:v>
                </c:pt>
                <c:pt idx="2813">
                  <c:v>6.8999999999999999E-3</c:v>
                </c:pt>
                <c:pt idx="2814">
                  <c:v>6.8999999999999999E-3</c:v>
                </c:pt>
                <c:pt idx="2815">
                  <c:v>6.8745873104997203E-3</c:v>
                </c:pt>
                <c:pt idx="2816">
                  <c:v>6.9999999999999993E-3</c:v>
                </c:pt>
                <c:pt idx="2817">
                  <c:v>7.4999999999999997E-3</c:v>
                </c:pt>
                <c:pt idx="2818">
                  <c:v>7.9000000000000008E-3</c:v>
                </c:pt>
                <c:pt idx="2819">
                  <c:v>7.9000000000000008E-3</c:v>
                </c:pt>
                <c:pt idx="2820">
                  <c:v>7.8000000000000005E-3</c:v>
                </c:pt>
                <c:pt idx="2821">
                  <c:v>7.9000000000000008E-3</c:v>
                </c:pt>
                <c:pt idx="2822">
                  <c:v>8.3000000000000001E-3</c:v>
                </c:pt>
                <c:pt idx="2823">
                  <c:v>8.6E-3</c:v>
                </c:pt>
                <c:pt idx="2824">
                  <c:v>8.6999999999999994E-3</c:v>
                </c:pt>
                <c:pt idx="2825">
                  <c:v>8.6999999999999994E-3</c:v>
                </c:pt>
                <c:pt idx="2826">
                  <c:v>8.6999999999999994E-3</c:v>
                </c:pt>
                <c:pt idx="2827">
                  <c:v>8.6999999999999994E-3</c:v>
                </c:pt>
                <c:pt idx="2828">
                  <c:v>9.0000000000000011E-3</c:v>
                </c:pt>
                <c:pt idx="2829">
                  <c:v>9.300000000000001E-3</c:v>
                </c:pt>
                <c:pt idx="2830">
                  <c:v>9.300000000000001E-3</c:v>
                </c:pt>
                <c:pt idx="2831">
                  <c:v>9.3999999999999986E-3</c:v>
                </c:pt>
                <c:pt idx="2832">
                  <c:v>9.8999999999999991E-3</c:v>
                </c:pt>
                <c:pt idx="2833">
                  <c:v>9.3999999999999986E-3</c:v>
                </c:pt>
                <c:pt idx="2834">
                  <c:v>8.8999999999999999E-3</c:v>
                </c:pt>
                <c:pt idx="2835">
                  <c:v>9.1999999999999998E-3</c:v>
                </c:pt>
                <c:pt idx="2836">
                  <c:v>9.4999999999999998E-3</c:v>
                </c:pt>
                <c:pt idx="2837">
                  <c:v>9.4999999999999998E-3</c:v>
                </c:pt>
                <c:pt idx="2838">
                  <c:v>1.0200000000000001E-2</c:v>
                </c:pt>
                <c:pt idx="2839">
                  <c:v>1.0200000000000001E-2</c:v>
                </c:pt>
                <c:pt idx="2840">
                  <c:v>1.03E-2</c:v>
                </c:pt>
                <c:pt idx="2841">
                  <c:v>1.01E-2</c:v>
                </c:pt>
                <c:pt idx="2842">
                  <c:v>1.0200000000000001E-2</c:v>
                </c:pt>
                <c:pt idx="2843">
                  <c:v>1.04E-2</c:v>
                </c:pt>
                <c:pt idx="2844">
                  <c:v>1.04E-2</c:v>
                </c:pt>
                <c:pt idx="2845">
                  <c:v>1.0500000000000001E-2</c:v>
                </c:pt>
                <c:pt idx="2846">
                  <c:v>1.0500000000000001E-2</c:v>
                </c:pt>
                <c:pt idx="2847">
                  <c:v>1.0500000000000001E-2</c:v>
                </c:pt>
                <c:pt idx="2848">
                  <c:v>1.0700000000000001E-2</c:v>
                </c:pt>
                <c:pt idx="2849">
                  <c:v>1.0800000000000001E-2</c:v>
                </c:pt>
                <c:pt idx="2850">
                  <c:v>1.1399999999999999E-2</c:v>
                </c:pt>
                <c:pt idx="2851">
                  <c:v>1.15E-2</c:v>
                </c:pt>
                <c:pt idx="2852">
                  <c:v>1.1599999999999999E-2</c:v>
                </c:pt>
                <c:pt idx="2853">
                  <c:v>1.1699999999999999E-2</c:v>
                </c:pt>
                <c:pt idx="2854">
                  <c:v>1.2E-2</c:v>
                </c:pt>
                <c:pt idx="2855">
                  <c:v>1.1899999999999999E-2</c:v>
                </c:pt>
                <c:pt idx="2856">
                  <c:v>1.18E-2</c:v>
                </c:pt>
                <c:pt idx="2857">
                  <c:v>1.1899999999999999E-2</c:v>
                </c:pt>
                <c:pt idx="2858">
                  <c:v>1.2199999999999999E-2</c:v>
                </c:pt>
                <c:pt idx="2859">
                  <c:v>1.24E-2</c:v>
                </c:pt>
                <c:pt idx="2860">
                  <c:v>1.2699999999999999E-2</c:v>
                </c:pt>
                <c:pt idx="2861">
                  <c:v>1.3000000000000001E-2</c:v>
                </c:pt>
                <c:pt idx="2862">
                  <c:v>1.3300000000000001E-2</c:v>
                </c:pt>
                <c:pt idx="2863">
                  <c:v>1.3100000000000001E-2</c:v>
                </c:pt>
                <c:pt idx="2864">
                  <c:v>1.26E-2</c:v>
                </c:pt>
                <c:pt idx="2865">
                  <c:v>1.2800000000000001E-2</c:v>
                </c:pt>
                <c:pt idx="2866">
                  <c:v>1.3100000000000001E-2</c:v>
                </c:pt>
                <c:pt idx="2867">
                  <c:v>1.3000000000000001E-2</c:v>
                </c:pt>
                <c:pt idx="2868">
                  <c:v>1.29E-2</c:v>
                </c:pt>
                <c:pt idx="2869">
                  <c:v>1.26E-2</c:v>
                </c:pt>
                <c:pt idx="2870">
                  <c:v>1.26E-2</c:v>
                </c:pt>
                <c:pt idx="2871">
                  <c:v>1.3000000000000001E-2</c:v>
                </c:pt>
                <c:pt idx="2872">
                  <c:v>1.3300000000000001E-2</c:v>
                </c:pt>
                <c:pt idx="2873">
                  <c:v>1.3100000000000001E-2</c:v>
                </c:pt>
                <c:pt idx="2874">
                  <c:v>1.32E-2</c:v>
                </c:pt>
                <c:pt idx="2875">
                  <c:v>1.3000000000000001E-2</c:v>
                </c:pt>
                <c:pt idx="2876">
                  <c:v>1.29E-2</c:v>
                </c:pt>
                <c:pt idx="2877">
                  <c:v>1.2500000000000001E-2</c:v>
                </c:pt>
                <c:pt idx="2878">
                  <c:v>1.2500000000000001E-2</c:v>
                </c:pt>
                <c:pt idx="2879">
                  <c:v>1.2500000000000001E-2</c:v>
                </c:pt>
                <c:pt idx="2880">
                  <c:v>1.24E-2</c:v>
                </c:pt>
                <c:pt idx="2881">
                  <c:v>1.23E-2</c:v>
                </c:pt>
                <c:pt idx="2882">
                  <c:v>1.21E-2</c:v>
                </c:pt>
                <c:pt idx="2883">
                  <c:v>1.21E-2</c:v>
                </c:pt>
                <c:pt idx="2884">
                  <c:v>1.21E-2</c:v>
                </c:pt>
                <c:pt idx="2885">
                  <c:v>1.2199999999999999E-2</c:v>
                </c:pt>
                <c:pt idx="2886">
                  <c:v>1.2E-2</c:v>
                </c:pt>
                <c:pt idx="2887">
                  <c:v>1.1899999999999999E-2</c:v>
                </c:pt>
                <c:pt idx="2888">
                  <c:v>1.1399999999999999E-2</c:v>
                </c:pt>
                <c:pt idx="2889">
                  <c:v>1.1299999999999999E-2</c:v>
                </c:pt>
                <c:pt idx="2890">
                  <c:v>1.1000000000000001E-2</c:v>
                </c:pt>
                <c:pt idx="2891">
                  <c:v>1.04E-2</c:v>
                </c:pt>
                <c:pt idx="2892">
                  <c:v>1.01E-2</c:v>
                </c:pt>
                <c:pt idx="2893">
                  <c:v>1.01E-2</c:v>
                </c:pt>
                <c:pt idx="2894">
                  <c:v>9.8999999999999991E-3</c:v>
                </c:pt>
                <c:pt idx="2895">
                  <c:v>0.01</c:v>
                </c:pt>
                <c:pt idx="2896">
                  <c:v>1.0200000000000001E-2</c:v>
                </c:pt>
                <c:pt idx="2897">
                  <c:v>1.03E-2</c:v>
                </c:pt>
                <c:pt idx="2898">
                  <c:v>1.04E-2</c:v>
                </c:pt>
                <c:pt idx="2899">
                  <c:v>1.04E-2</c:v>
                </c:pt>
                <c:pt idx="2900">
                  <c:v>1.04E-2</c:v>
                </c:pt>
                <c:pt idx="2901">
                  <c:v>1.06E-2</c:v>
                </c:pt>
                <c:pt idx="2902">
                  <c:v>1.0700000000000001E-2</c:v>
                </c:pt>
                <c:pt idx="2903">
                  <c:v>1.0800000000000001E-2</c:v>
                </c:pt>
                <c:pt idx="2904">
                  <c:v>1.0700000000000001E-2</c:v>
                </c:pt>
                <c:pt idx="2905">
                  <c:v>1.0800000000000001E-2</c:v>
                </c:pt>
                <c:pt idx="2906">
                  <c:v>1.1299999999999999E-2</c:v>
                </c:pt>
                <c:pt idx="2907">
                  <c:v>1.1399999999999999E-2</c:v>
                </c:pt>
                <c:pt idx="2908">
                  <c:v>1.1599999999999999E-2</c:v>
                </c:pt>
                <c:pt idx="2909">
                  <c:v>1.1599999999999999E-2</c:v>
                </c:pt>
                <c:pt idx="2910">
                  <c:v>1.1699999999999999E-2</c:v>
                </c:pt>
                <c:pt idx="2911">
                  <c:v>1.15E-2</c:v>
                </c:pt>
                <c:pt idx="2912">
                  <c:v>1.1299999999999999E-2</c:v>
                </c:pt>
                <c:pt idx="2913">
                  <c:v>1.1299999999999999E-2</c:v>
                </c:pt>
                <c:pt idx="2914">
                  <c:v>1.1299999999999999E-2</c:v>
                </c:pt>
                <c:pt idx="2915">
                  <c:v>1.1299999999999999E-2</c:v>
                </c:pt>
                <c:pt idx="2916">
                  <c:v>1.09E-2</c:v>
                </c:pt>
                <c:pt idx="2917">
                  <c:v>1.0800000000000001E-2</c:v>
                </c:pt>
                <c:pt idx="2918">
                  <c:v>1.0700000000000001E-2</c:v>
                </c:pt>
                <c:pt idx="2919">
                  <c:v>1.09E-2</c:v>
                </c:pt>
                <c:pt idx="2920">
                  <c:v>1.09E-2</c:v>
                </c:pt>
                <c:pt idx="2921">
                  <c:v>1.0800000000000001E-2</c:v>
                </c:pt>
                <c:pt idx="2922">
                  <c:v>1.0800000000000001E-2</c:v>
                </c:pt>
                <c:pt idx="2923">
                  <c:v>1.1000000000000001E-2</c:v>
                </c:pt>
                <c:pt idx="2924">
                  <c:v>1.1299999999999999E-2</c:v>
                </c:pt>
                <c:pt idx="2925">
                  <c:v>1.1200000000000002E-2</c:v>
                </c:pt>
                <c:pt idx="2926">
                  <c:v>1.15E-2</c:v>
                </c:pt>
                <c:pt idx="2927">
                  <c:v>1.15E-2</c:v>
                </c:pt>
                <c:pt idx="2928">
                  <c:v>1.1399999999999999E-2</c:v>
                </c:pt>
                <c:pt idx="2929">
                  <c:v>1.1399999999999999E-2</c:v>
                </c:pt>
                <c:pt idx="2930">
                  <c:v>1.1399999999999999E-2</c:v>
                </c:pt>
                <c:pt idx="2931">
                  <c:v>1.1399999999999999E-2</c:v>
                </c:pt>
                <c:pt idx="2932">
                  <c:v>1.15E-2</c:v>
                </c:pt>
                <c:pt idx="2933">
                  <c:v>1.15E-2</c:v>
                </c:pt>
                <c:pt idx="2934">
                  <c:v>1.1699999999999999E-2</c:v>
                </c:pt>
                <c:pt idx="2935">
                  <c:v>1.1899999999999999E-2</c:v>
                </c:pt>
                <c:pt idx="2936">
                  <c:v>1.18E-2</c:v>
                </c:pt>
                <c:pt idx="2937">
                  <c:v>1.18E-2</c:v>
                </c:pt>
                <c:pt idx="2938">
                  <c:v>1.2E-2</c:v>
                </c:pt>
                <c:pt idx="2939">
                  <c:v>1.1899999999999999E-2</c:v>
                </c:pt>
                <c:pt idx="2940">
                  <c:v>1.23E-2</c:v>
                </c:pt>
                <c:pt idx="2941">
                  <c:v>1.24E-2</c:v>
                </c:pt>
                <c:pt idx="2942">
                  <c:v>1.21E-2</c:v>
                </c:pt>
                <c:pt idx="2943">
                  <c:v>1.24E-2</c:v>
                </c:pt>
                <c:pt idx="2944">
                  <c:v>1.24E-2</c:v>
                </c:pt>
                <c:pt idx="2945">
                  <c:v>1.2199999999999999E-2</c:v>
                </c:pt>
                <c:pt idx="2946">
                  <c:v>1.18E-2</c:v>
                </c:pt>
                <c:pt idx="2947">
                  <c:v>1.1599999999999999E-2</c:v>
                </c:pt>
                <c:pt idx="2948">
                  <c:v>1.1470354906054279E-2</c:v>
                </c:pt>
                <c:pt idx="2949">
                  <c:v>1.1279227557411273E-2</c:v>
                </c:pt>
                <c:pt idx="2950">
                  <c:v>1.1190208768267224E-2</c:v>
                </c:pt>
                <c:pt idx="2951">
                  <c:v>1.0899749478079333E-2</c:v>
                </c:pt>
                <c:pt idx="2952">
                  <c:v>1.0898837856645789E-2</c:v>
                </c:pt>
                <c:pt idx="2953">
                  <c:v>1.09E-2</c:v>
                </c:pt>
                <c:pt idx="2954">
                  <c:v>1.0500000000000001E-2</c:v>
                </c:pt>
                <c:pt idx="2955">
                  <c:v>1.04E-2</c:v>
                </c:pt>
                <c:pt idx="2956">
                  <c:v>1.0200000000000001E-2</c:v>
                </c:pt>
                <c:pt idx="2957">
                  <c:v>1.0056471816283925E-2</c:v>
                </c:pt>
                <c:pt idx="2958">
                  <c:v>9.8027348643006246E-3</c:v>
                </c:pt>
                <c:pt idx="2959">
                  <c:v>9.6869311064718151E-3</c:v>
                </c:pt>
                <c:pt idx="2960">
                  <c:v>9.7153096729297138E-3</c:v>
                </c:pt>
                <c:pt idx="2961">
                  <c:v>9.740459290187891E-3</c:v>
                </c:pt>
                <c:pt idx="2962">
                  <c:v>9.7293945720250512E-3</c:v>
                </c:pt>
                <c:pt idx="2963">
                  <c:v>9.71902574808629E-3</c:v>
                </c:pt>
                <c:pt idx="2964">
                  <c:v>9.6805149617258165E-3</c:v>
                </c:pt>
                <c:pt idx="2965">
                  <c:v>9.6498956158663877E-3</c:v>
                </c:pt>
                <c:pt idx="2966">
                  <c:v>9.555692414752957E-3</c:v>
                </c:pt>
                <c:pt idx="2967">
                  <c:v>9.5742101600556715E-3</c:v>
                </c:pt>
                <c:pt idx="2968">
                  <c:v>9.4999999999999998E-3</c:v>
                </c:pt>
                <c:pt idx="2969">
                  <c:v>9.4999999999999998E-3</c:v>
                </c:pt>
                <c:pt idx="2970">
                  <c:v>9.3999999999999986E-3</c:v>
                </c:pt>
                <c:pt idx="2971">
                  <c:v>9.4999999999999998E-3</c:v>
                </c:pt>
                <c:pt idx="2972">
                  <c:v>9.5999999999999992E-3</c:v>
                </c:pt>
                <c:pt idx="2973">
                  <c:v>9.5999999999999992E-3</c:v>
                </c:pt>
                <c:pt idx="2974">
                  <c:v>9.5999999999999992E-3</c:v>
                </c:pt>
                <c:pt idx="2975">
                  <c:v>9.4999999999999998E-3</c:v>
                </c:pt>
                <c:pt idx="2976">
                  <c:v>9.4999999999999998E-3</c:v>
                </c:pt>
                <c:pt idx="2977">
                  <c:v>9.8999999999999991E-3</c:v>
                </c:pt>
                <c:pt idx="2978">
                  <c:v>9.8999999999999991E-3</c:v>
                </c:pt>
                <c:pt idx="2979">
                  <c:v>1.01E-2</c:v>
                </c:pt>
                <c:pt idx="2980">
                  <c:v>1.01E-2</c:v>
                </c:pt>
                <c:pt idx="2981">
                  <c:v>1.01E-2</c:v>
                </c:pt>
                <c:pt idx="2982">
                  <c:v>9.8999999999999991E-3</c:v>
                </c:pt>
                <c:pt idx="2983">
                  <c:v>0.01</c:v>
                </c:pt>
                <c:pt idx="2984">
                  <c:v>9.8999999999999991E-3</c:v>
                </c:pt>
                <c:pt idx="2985">
                  <c:v>9.7999999999999997E-3</c:v>
                </c:pt>
                <c:pt idx="2986">
                  <c:v>9.5999999999999992E-3</c:v>
                </c:pt>
                <c:pt idx="2987">
                  <c:v>9.300000000000001E-3</c:v>
                </c:pt>
                <c:pt idx="2988">
                  <c:v>9.3999999999999986E-3</c:v>
                </c:pt>
                <c:pt idx="2989">
                  <c:v>9.1999999999999998E-3</c:v>
                </c:pt>
                <c:pt idx="2990">
                  <c:v>9.1999999999999998E-3</c:v>
                </c:pt>
                <c:pt idx="2991">
                  <c:v>9.4999999999999998E-3</c:v>
                </c:pt>
                <c:pt idx="2992">
                  <c:v>9.4999999999999998E-3</c:v>
                </c:pt>
                <c:pt idx="2993">
                  <c:v>9.4999999999999998E-3</c:v>
                </c:pt>
                <c:pt idx="2994">
                  <c:v>9.7000000000000003E-3</c:v>
                </c:pt>
                <c:pt idx="2995">
                  <c:v>9.7999999999999997E-3</c:v>
                </c:pt>
                <c:pt idx="2996">
                  <c:v>9.8999999999999991E-3</c:v>
                </c:pt>
                <c:pt idx="2997">
                  <c:v>1.2800000000000001E-2</c:v>
                </c:pt>
                <c:pt idx="2998">
                  <c:v>0.01</c:v>
                </c:pt>
                <c:pt idx="2999">
                  <c:v>1.0200000000000001E-2</c:v>
                </c:pt>
                <c:pt idx="3000">
                  <c:v>0.01</c:v>
                </c:pt>
                <c:pt idx="3001">
                  <c:v>9.8999999999999991E-3</c:v>
                </c:pt>
                <c:pt idx="3002">
                  <c:v>0.01</c:v>
                </c:pt>
                <c:pt idx="3003">
                  <c:v>0.01</c:v>
                </c:pt>
                <c:pt idx="3004">
                  <c:v>1.01E-2</c:v>
                </c:pt>
                <c:pt idx="3005">
                  <c:v>1.01E-2</c:v>
                </c:pt>
                <c:pt idx="3006">
                  <c:v>1.03E-2</c:v>
                </c:pt>
                <c:pt idx="3007">
                  <c:v>1.0500000000000001E-2</c:v>
                </c:pt>
                <c:pt idx="3008">
                  <c:v>1.06E-2</c:v>
                </c:pt>
                <c:pt idx="3009">
                  <c:v>1.0500000000000001E-2</c:v>
                </c:pt>
                <c:pt idx="3010">
                  <c:v>1.0500000000000001E-2</c:v>
                </c:pt>
                <c:pt idx="3011">
                  <c:v>1.0700000000000001E-2</c:v>
                </c:pt>
                <c:pt idx="3012">
                  <c:v>1.0713618649965206E-2</c:v>
                </c:pt>
                <c:pt idx="3013">
                  <c:v>1.0831356993736951E-2</c:v>
                </c:pt>
                <c:pt idx="3014">
                  <c:v>1.0815768963117606E-2</c:v>
                </c:pt>
                <c:pt idx="3015">
                  <c:v>1.0893458594293668E-2</c:v>
                </c:pt>
                <c:pt idx="3016">
                  <c:v>1.08819624217119E-2</c:v>
                </c:pt>
                <c:pt idx="3017">
                  <c:v>1.11E-2</c:v>
                </c:pt>
                <c:pt idx="3018">
                  <c:v>1.1399999999999999E-2</c:v>
                </c:pt>
                <c:pt idx="3019">
                  <c:v>1.1399999999999999E-2</c:v>
                </c:pt>
                <c:pt idx="3020">
                  <c:v>1.1299999999999999E-2</c:v>
                </c:pt>
                <c:pt idx="3021">
                  <c:v>1.11E-2</c:v>
                </c:pt>
                <c:pt idx="3022">
                  <c:v>1.1200000000000002E-2</c:v>
                </c:pt>
                <c:pt idx="3023">
                  <c:v>1.1000000000000001E-2</c:v>
                </c:pt>
                <c:pt idx="3024">
                  <c:v>1.1200000000000002E-2</c:v>
                </c:pt>
                <c:pt idx="3025">
                  <c:v>1.1599999999999999E-2</c:v>
                </c:pt>
                <c:pt idx="3026">
                  <c:v>1.18E-2</c:v>
                </c:pt>
                <c:pt idx="3027">
                  <c:v>1.18E-2</c:v>
                </c:pt>
                <c:pt idx="3028">
                  <c:v>1.1899999999999999E-2</c:v>
                </c:pt>
                <c:pt idx="3029">
                  <c:v>1.21E-2</c:v>
                </c:pt>
                <c:pt idx="3030">
                  <c:v>1.2E-2</c:v>
                </c:pt>
                <c:pt idx="3031">
                  <c:v>1.2E-2</c:v>
                </c:pt>
                <c:pt idx="3032">
                  <c:v>1.2E-2</c:v>
                </c:pt>
                <c:pt idx="3033">
                  <c:v>1.2E-2</c:v>
                </c:pt>
                <c:pt idx="3034">
                  <c:v>1.18E-2</c:v>
                </c:pt>
                <c:pt idx="3035">
                  <c:v>1.1899999999999999E-2</c:v>
                </c:pt>
                <c:pt idx="3036">
                  <c:v>1.2E-2</c:v>
                </c:pt>
                <c:pt idx="3037">
                  <c:v>1.2138580375782882E-2</c:v>
                </c:pt>
                <c:pt idx="3038">
                  <c:v>1.199016701461378E-2</c:v>
                </c:pt>
                <c:pt idx="3039">
                  <c:v>1.1934300626304802E-2</c:v>
                </c:pt>
                <c:pt idx="3040">
                  <c:v>1.1978559498956159E-2</c:v>
                </c:pt>
                <c:pt idx="3041">
                  <c:v>1.1871725817675713E-2</c:v>
                </c:pt>
                <c:pt idx="3042">
                  <c:v>1.1899999999999999E-2</c:v>
                </c:pt>
                <c:pt idx="3043">
                  <c:v>1.18E-2</c:v>
                </c:pt>
                <c:pt idx="3044">
                  <c:v>1.1899999999999999E-2</c:v>
                </c:pt>
                <c:pt idx="3045">
                  <c:v>1.2E-2</c:v>
                </c:pt>
                <c:pt idx="3046">
                  <c:v>1.21E-2</c:v>
                </c:pt>
                <c:pt idx="3047">
                  <c:v>1.2E-2</c:v>
                </c:pt>
                <c:pt idx="3048">
                  <c:v>1.1899999999999999E-2</c:v>
                </c:pt>
                <c:pt idx="3049">
                  <c:v>1.1899999999999999E-2</c:v>
                </c:pt>
                <c:pt idx="3050">
                  <c:v>1.1899999999999999E-2</c:v>
                </c:pt>
                <c:pt idx="3051">
                  <c:v>1.18E-2</c:v>
                </c:pt>
                <c:pt idx="3052">
                  <c:v>1.1699999999999999E-2</c:v>
                </c:pt>
                <c:pt idx="3053">
                  <c:v>1.1699999999999999E-2</c:v>
                </c:pt>
                <c:pt idx="3054">
                  <c:v>1.1699999999999999E-2</c:v>
                </c:pt>
                <c:pt idx="3055">
                  <c:v>1.1699999999999999E-2</c:v>
                </c:pt>
                <c:pt idx="3056">
                  <c:v>1.1599999999999999E-2</c:v>
                </c:pt>
                <c:pt idx="3057">
                  <c:v>1.1699999999999999E-2</c:v>
                </c:pt>
                <c:pt idx="3058">
                  <c:v>1.1699999999999999E-2</c:v>
                </c:pt>
                <c:pt idx="3059">
                  <c:v>1.18E-2</c:v>
                </c:pt>
                <c:pt idx="3060">
                  <c:v>1.18E-2</c:v>
                </c:pt>
                <c:pt idx="3061">
                  <c:v>1.1699999999999999E-2</c:v>
                </c:pt>
                <c:pt idx="3062">
                  <c:v>1.18E-2</c:v>
                </c:pt>
                <c:pt idx="3063">
                  <c:v>1.18E-2</c:v>
                </c:pt>
                <c:pt idx="3064">
                  <c:v>1.1699999999999999E-2</c:v>
                </c:pt>
                <c:pt idx="3065">
                  <c:v>1.1599999999999999E-2</c:v>
                </c:pt>
                <c:pt idx="3066">
                  <c:v>1.15E-2</c:v>
                </c:pt>
                <c:pt idx="3067">
                  <c:v>1.1599999999999999E-2</c:v>
                </c:pt>
                <c:pt idx="3068">
                  <c:v>1.1399999999999999E-2</c:v>
                </c:pt>
                <c:pt idx="3069">
                  <c:v>1.15E-2</c:v>
                </c:pt>
                <c:pt idx="3070">
                  <c:v>1.1299999999999999E-2</c:v>
                </c:pt>
                <c:pt idx="3071">
                  <c:v>1.15E-2</c:v>
                </c:pt>
                <c:pt idx="3072">
                  <c:v>1.1532449547668754E-2</c:v>
                </c:pt>
                <c:pt idx="3073">
                  <c:v>1.1398615170494087E-2</c:v>
                </c:pt>
                <c:pt idx="3074">
                  <c:v>1.1610897703549061E-2</c:v>
                </c:pt>
                <c:pt idx="3075">
                  <c:v>1.155973556019485E-2</c:v>
                </c:pt>
                <c:pt idx="3076">
                  <c:v>1.1157487821851077E-2</c:v>
                </c:pt>
                <c:pt idx="3077">
                  <c:v>1.1299999999999999E-2</c:v>
                </c:pt>
                <c:pt idx="3078">
                  <c:v>1.1200000000000002E-2</c:v>
                </c:pt>
                <c:pt idx="3079">
                  <c:v>1.11E-2</c:v>
                </c:pt>
                <c:pt idx="3080">
                  <c:v>1.09E-2</c:v>
                </c:pt>
                <c:pt idx="3081">
                  <c:v>1.1000000000000001E-2</c:v>
                </c:pt>
                <c:pt idx="3082">
                  <c:v>1.1000000000000001E-2</c:v>
                </c:pt>
                <c:pt idx="3083">
                  <c:v>1.0800000000000001E-2</c:v>
                </c:pt>
                <c:pt idx="3084">
                  <c:v>1.0800000000000001E-2</c:v>
                </c:pt>
                <c:pt idx="3085">
                  <c:v>1.0800000000000001E-2</c:v>
                </c:pt>
                <c:pt idx="3086">
                  <c:v>1.03E-2</c:v>
                </c:pt>
                <c:pt idx="3087">
                  <c:v>1.0200000000000001E-2</c:v>
                </c:pt>
                <c:pt idx="3088">
                  <c:v>1.06E-2</c:v>
                </c:pt>
                <c:pt idx="3089">
                  <c:v>1.1299999999999999E-2</c:v>
                </c:pt>
                <c:pt idx="3090">
                  <c:v>1.1200000000000002E-2</c:v>
                </c:pt>
                <c:pt idx="3091">
                  <c:v>1.09E-2</c:v>
                </c:pt>
                <c:pt idx="3092">
                  <c:v>1.0500000000000001E-2</c:v>
                </c:pt>
                <c:pt idx="3093">
                  <c:v>1.03E-2</c:v>
                </c:pt>
                <c:pt idx="3094">
                  <c:v>1.0800000000000001E-2</c:v>
                </c:pt>
                <c:pt idx="3095">
                  <c:v>1.06E-2</c:v>
                </c:pt>
                <c:pt idx="3096">
                  <c:v>1.0700000000000001E-2</c:v>
                </c:pt>
                <c:pt idx="3097">
                  <c:v>1.0800000000000001E-2</c:v>
                </c:pt>
                <c:pt idx="3098">
                  <c:v>1.09E-2</c:v>
                </c:pt>
                <c:pt idx="3099">
                  <c:v>1.09E-2</c:v>
                </c:pt>
                <c:pt idx="3100">
                  <c:v>1.0800000000000001E-2</c:v>
                </c:pt>
                <c:pt idx="3101">
                  <c:v>1.09E-2</c:v>
                </c:pt>
                <c:pt idx="3102">
                  <c:v>1.06E-2</c:v>
                </c:pt>
                <c:pt idx="3103">
                  <c:v>1.0700000000000001E-2</c:v>
                </c:pt>
                <c:pt idx="3104">
                  <c:v>1.0800000000000001E-2</c:v>
                </c:pt>
                <c:pt idx="3105">
                  <c:v>1.0700000000000001E-2</c:v>
                </c:pt>
                <c:pt idx="3106">
                  <c:v>1.0700000000000001E-2</c:v>
                </c:pt>
                <c:pt idx="3107">
                  <c:v>1.03E-2</c:v>
                </c:pt>
                <c:pt idx="3108">
                  <c:v>1.03E-2</c:v>
                </c:pt>
                <c:pt idx="3109">
                  <c:v>1.03E-2</c:v>
                </c:pt>
                <c:pt idx="3110">
                  <c:v>1.03E-2</c:v>
                </c:pt>
                <c:pt idx="3111">
                  <c:v>1.0200000000000001E-2</c:v>
                </c:pt>
                <c:pt idx="3112">
                  <c:v>0.01</c:v>
                </c:pt>
                <c:pt idx="3113">
                  <c:v>9.8999999999999991E-3</c:v>
                </c:pt>
                <c:pt idx="3114">
                  <c:v>0.01</c:v>
                </c:pt>
                <c:pt idx="3115">
                  <c:v>0.01</c:v>
                </c:pt>
                <c:pt idx="3116">
                  <c:v>0.01</c:v>
                </c:pt>
                <c:pt idx="3117">
                  <c:v>9.7999999999999997E-3</c:v>
                </c:pt>
                <c:pt idx="3118">
                  <c:v>9.7000000000000003E-3</c:v>
                </c:pt>
                <c:pt idx="3119">
                  <c:v>9.7000000000000003E-3</c:v>
                </c:pt>
                <c:pt idx="3120">
                  <c:v>9.5999999999999992E-3</c:v>
                </c:pt>
                <c:pt idx="3121">
                  <c:v>9.4999999999999998E-3</c:v>
                </c:pt>
                <c:pt idx="3122">
                  <c:v>9.5999999999999992E-3</c:v>
                </c:pt>
                <c:pt idx="3123">
                  <c:v>9.3999999999999986E-3</c:v>
                </c:pt>
                <c:pt idx="3124">
                  <c:v>9.300000000000001E-3</c:v>
                </c:pt>
                <c:pt idx="3125">
                  <c:v>9.1999999999999998E-3</c:v>
                </c:pt>
                <c:pt idx="3126">
                  <c:v>9.4999999999999998E-3</c:v>
                </c:pt>
                <c:pt idx="3127">
                  <c:v>9.5999999999999992E-3</c:v>
                </c:pt>
                <c:pt idx="3128">
                  <c:v>9.7000000000000003E-3</c:v>
                </c:pt>
                <c:pt idx="3129">
                  <c:v>9.4999999999999998E-3</c:v>
                </c:pt>
                <c:pt idx="3130">
                  <c:v>9.3999999999999986E-3</c:v>
                </c:pt>
                <c:pt idx="3131">
                  <c:v>8.6999999999999994E-3</c:v>
                </c:pt>
                <c:pt idx="3132">
                  <c:v>8.0000000000000002E-3</c:v>
                </c:pt>
                <c:pt idx="3133">
                  <c:v>7.8000000000000005E-3</c:v>
                </c:pt>
                <c:pt idx="3134">
                  <c:v>7.8000000000000005E-3</c:v>
                </c:pt>
                <c:pt idx="3135">
                  <c:v>7.9000000000000008E-3</c:v>
                </c:pt>
                <c:pt idx="3136">
                  <c:v>7.9000000000000008E-3</c:v>
                </c:pt>
                <c:pt idx="3137">
                  <c:v>7.9000000000000008E-3</c:v>
                </c:pt>
                <c:pt idx="3138">
                  <c:v>7.9000000000000008E-3</c:v>
                </c:pt>
                <c:pt idx="3139">
                  <c:v>8.0000000000000002E-3</c:v>
                </c:pt>
                <c:pt idx="3140">
                  <c:v>8.3000000000000001E-3</c:v>
                </c:pt>
                <c:pt idx="3141">
                  <c:v>8.3999999999999995E-3</c:v>
                </c:pt>
                <c:pt idx="3142">
                  <c:v>8.0000000000000002E-3</c:v>
                </c:pt>
                <c:pt idx="3143">
                  <c:v>7.7000000000000002E-3</c:v>
                </c:pt>
                <c:pt idx="3144">
                  <c:v>7.7999999999999996E-3</c:v>
                </c:pt>
              </c:numCache>
            </c:numRef>
          </c:val>
          <c:smooth val="0"/>
          <c:extLst xmlns:c16r2="http://schemas.microsoft.com/office/drawing/2015/06/chart">
            <c:ext xmlns:c16="http://schemas.microsoft.com/office/drawing/2014/chart" uri="{C3380CC4-5D6E-409C-BE32-E72D297353CC}">
              <c16:uniqueId val="{00000001-6E63-4F37-A69F-B0AC64F9DFB4}"/>
            </c:ext>
          </c:extLst>
        </c:ser>
        <c:ser>
          <c:idx val="1"/>
          <c:order val="1"/>
          <c:tx>
            <c:strRef>
              <c:f>Sheet1!$C$1</c:f>
              <c:strCache>
                <c:ptCount val="1"/>
                <c:pt idx="0">
                  <c:v>NEM 10 let</c:v>
                </c:pt>
              </c:strCache>
            </c:strRef>
          </c:tx>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Sheet1!$C$2:$C$3146</c:f>
              <c:numCache>
                <c:formatCode>0.000%</c:formatCode>
                <c:ptCount val="3145"/>
                <c:pt idx="0">
                  <c:v>3.943E-2</c:v>
                </c:pt>
                <c:pt idx="1">
                  <c:v>3.9539999999999999E-2</c:v>
                </c:pt>
                <c:pt idx="2">
                  <c:v>3.9329999999999997E-2</c:v>
                </c:pt>
                <c:pt idx="3">
                  <c:v>3.9820000000000001E-2</c:v>
                </c:pt>
                <c:pt idx="4">
                  <c:v>3.9730000000000001E-2</c:v>
                </c:pt>
                <c:pt idx="5">
                  <c:v>4.0039999999999992E-2</c:v>
                </c:pt>
                <c:pt idx="6">
                  <c:v>4.0209999999999996E-2</c:v>
                </c:pt>
                <c:pt idx="7">
                  <c:v>4.0140000000000002E-2</c:v>
                </c:pt>
                <c:pt idx="8">
                  <c:v>4.0629999999999999E-2</c:v>
                </c:pt>
                <c:pt idx="9">
                  <c:v>4.054E-2</c:v>
                </c:pt>
                <c:pt idx="10">
                  <c:v>4.0399999999999998E-2</c:v>
                </c:pt>
                <c:pt idx="11">
                  <c:v>4.0399999999999998E-2</c:v>
                </c:pt>
                <c:pt idx="12">
                  <c:v>4.0620000000000003E-2</c:v>
                </c:pt>
                <c:pt idx="13">
                  <c:v>4.0500000000000001E-2</c:v>
                </c:pt>
                <c:pt idx="14">
                  <c:v>4.0209999999999996E-2</c:v>
                </c:pt>
                <c:pt idx="15">
                  <c:v>4.0199999999999993E-2</c:v>
                </c:pt>
                <c:pt idx="16">
                  <c:v>4.0399999999999998E-2</c:v>
                </c:pt>
                <c:pt idx="17">
                  <c:v>4.079E-2</c:v>
                </c:pt>
                <c:pt idx="18">
                  <c:v>4.0919999999999998E-2</c:v>
                </c:pt>
                <c:pt idx="19">
                  <c:v>4.1189999999999997E-2</c:v>
                </c:pt>
                <c:pt idx="20">
                  <c:v>4.1100000000000005E-2</c:v>
                </c:pt>
                <c:pt idx="21">
                  <c:v>4.0999999999999995E-2</c:v>
                </c:pt>
                <c:pt idx="22">
                  <c:v>4.0910000000000002E-2</c:v>
                </c:pt>
                <c:pt idx="23">
                  <c:v>4.061E-2</c:v>
                </c:pt>
                <c:pt idx="24">
                  <c:v>4.0309999999999999E-2</c:v>
                </c:pt>
                <c:pt idx="25">
                  <c:v>4.0300000000000002E-2</c:v>
                </c:pt>
                <c:pt idx="26">
                  <c:v>4.0300000000000002E-2</c:v>
                </c:pt>
                <c:pt idx="27">
                  <c:v>4.0469999999999999E-2</c:v>
                </c:pt>
                <c:pt idx="28">
                  <c:v>4.0910000000000002E-2</c:v>
                </c:pt>
                <c:pt idx="29">
                  <c:v>4.1079999999999998E-2</c:v>
                </c:pt>
                <c:pt idx="30">
                  <c:v>4.1250000000000002E-2</c:v>
                </c:pt>
                <c:pt idx="31">
                  <c:v>4.0989999999999999E-2</c:v>
                </c:pt>
                <c:pt idx="32">
                  <c:v>4.0439999999999997E-2</c:v>
                </c:pt>
                <c:pt idx="33">
                  <c:v>4.0500000000000001E-2</c:v>
                </c:pt>
                <c:pt idx="34">
                  <c:v>4.0660000000000002E-2</c:v>
                </c:pt>
                <c:pt idx="35">
                  <c:v>4.0629999999999999E-2</c:v>
                </c:pt>
                <c:pt idx="36">
                  <c:v>4.0529999999999997E-2</c:v>
                </c:pt>
                <c:pt idx="37">
                  <c:v>4.086E-2</c:v>
                </c:pt>
                <c:pt idx="38">
                  <c:v>4.0469999999999999E-2</c:v>
                </c:pt>
                <c:pt idx="39">
                  <c:v>3.9949999999999999E-2</c:v>
                </c:pt>
                <c:pt idx="40">
                  <c:v>3.9649999999999998E-2</c:v>
                </c:pt>
                <c:pt idx="41">
                  <c:v>3.9570000000000001E-2</c:v>
                </c:pt>
                <c:pt idx="42">
                  <c:v>3.9469999999999998E-2</c:v>
                </c:pt>
                <c:pt idx="43">
                  <c:v>3.9379999999999998E-2</c:v>
                </c:pt>
                <c:pt idx="44">
                  <c:v>3.9149999999999997E-2</c:v>
                </c:pt>
                <c:pt idx="45">
                  <c:v>3.918E-2</c:v>
                </c:pt>
                <c:pt idx="46">
                  <c:v>3.9199999999999999E-2</c:v>
                </c:pt>
                <c:pt idx="47">
                  <c:v>3.9289999999999999E-2</c:v>
                </c:pt>
                <c:pt idx="48">
                  <c:v>3.959E-2</c:v>
                </c:pt>
                <c:pt idx="49">
                  <c:v>3.9320000000000001E-2</c:v>
                </c:pt>
                <c:pt idx="50">
                  <c:v>3.9050000000000001E-2</c:v>
                </c:pt>
                <c:pt idx="51">
                  <c:v>3.882E-2</c:v>
                </c:pt>
                <c:pt idx="52">
                  <c:v>3.9070000000000001E-2</c:v>
                </c:pt>
                <c:pt idx="53">
                  <c:v>3.9050000000000001E-2</c:v>
                </c:pt>
                <c:pt idx="54">
                  <c:v>3.9260000000000003E-2</c:v>
                </c:pt>
                <c:pt idx="55">
                  <c:v>3.909E-2</c:v>
                </c:pt>
                <c:pt idx="56">
                  <c:v>3.9269999999999999E-2</c:v>
                </c:pt>
                <c:pt idx="57">
                  <c:v>3.9489999999999997E-2</c:v>
                </c:pt>
                <c:pt idx="58">
                  <c:v>4.0010000000000004E-2</c:v>
                </c:pt>
                <c:pt idx="59">
                  <c:v>4.0010000000000004E-2</c:v>
                </c:pt>
                <c:pt idx="60">
                  <c:v>4.0220000000000006E-2</c:v>
                </c:pt>
                <c:pt idx="61">
                  <c:v>4.0309999999999999E-2</c:v>
                </c:pt>
                <c:pt idx="62">
                  <c:v>4.0529999999999997E-2</c:v>
                </c:pt>
                <c:pt idx="63">
                  <c:v>4.0570000000000002E-2</c:v>
                </c:pt>
                <c:pt idx="64">
                  <c:v>4.0719999999999999E-2</c:v>
                </c:pt>
                <c:pt idx="65">
                  <c:v>4.0970000000000006E-2</c:v>
                </c:pt>
                <c:pt idx="66">
                  <c:v>4.0709999999999996E-2</c:v>
                </c:pt>
                <c:pt idx="67">
                  <c:v>4.095E-2</c:v>
                </c:pt>
                <c:pt idx="68">
                  <c:v>4.1280000000000004E-2</c:v>
                </c:pt>
                <c:pt idx="69">
                  <c:v>4.1429999999999995E-2</c:v>
                </c:pt>
                <c:pt idx="70">
                  <c:v>4.1820000000000003E-2</c:v>
                </c:pt>
                <c:pt idx="71">
                  <c:v>4.231E-2</c:v>
                </c:pt>
                <c:pt idx="72">
                  <c:v>4.2069999999999996E-2</c:v>
                </c:pt>
                <c:pt idx="73">
                  <c:v>4.1820000000000003E-2</c:v>
                </c:pt>
                <c:pt idx="74">
                  <c:v>4.1540000000000001E-2</c:v>
                </c:pt>
                <c:pt idx="75">
                  <c:v>4.197E-2</c:v>
                </c:pt>
                <c:pt idx="76">
                  <c:v>4.2030000000000005E-2</c:v>
                </c:pt>
                <c:pt idx="77">
                  <c:v>4.1799999999999997E-2</c:v>
                </c:pt>
                <c:pt idx="78">
                  <c:v>4.163E-2</c:v>
                </c:pt>
                <c:pt idx="79">
                  <c:v>4.1880000000000001E-2</c:v>
                </c:pt>
                <c:pt idx="80">
                  <c:v>4.2199999999999994E-2</c:v>
                </c:pt>
                <c:pt idx="81">
                  <c:v>4.2199999999999994E-2</c:v>
                </c:pt>
                <c:pt idx="82">
                  <c:v>4.1540000000000001E-2</c:v>
                </c:pt>
                <c:pt idx="83">
                  <c:v>4.2099999999999999E-2</c:v>
                </c:pt>
                <c:pt idx="84">
                  <c:v>4.2300000000000004E-2</c:v>
                </c:pt>
                <c:pt idx="85">
                  <c:v>4.1950000000000001E-2</c:v>
                </c:pt>
                <c:pt idx="86">
                  <c:v>4.2119999999999998E-2</c:v>
                </c:pt>
                <c:pt idx="87">
                  <c:v>4.1950000000000001E-2</c:v>
                </c:pt>
                <c:pt idx="88">
                  <c:v>4.2079999999999999E-2</c:v>
                </c:pt>
                <c:pt idx="89">
                  <c:v>4.2140000000000004E-2</c:v>
                </c:pt>
                <c:pt idx="90">
                  <c:v>4.2169999999999999E-2</c:v>
                </c:pt>
                <c:pt idx="91">
                  <c:v>4.2689999999999999E-2</c:v>
                </c:pt>
                <c:pt idx="92">
                  <c:v>4.299E-2</c:v>
                </c:pt>
                <c:pt idx="93">
                  <c:v>4.3029999999999999E-2</c:v>
                </c:pt>
                <c:pt idx="94">
                  <c:v>4.3120000000000006E-2</c:v>
                </c:pt>
                <c:pt idx="95">
                  <c:v>4.3110000000000002E-2</c:v>
                </c:pt>
                <c:pt idx="96">
                  <c:v>4.3220000000000001E-2</c:v>
                </c:pt>
                <c:pt idx="97">
                  <c:v>4.3380000000000002E-2</c:v>
                </c:pt>
                <c:pt idx="98">
                  <c:v>4.3810000000000002E-2</c:v>
                </c:pt>
                <c:pt idx="99">
                  <c:v>4.369E-2</c:v>
                </c:pt>
                <c:pt idx="100">
                  <c:v>4.3869999999999992E-2</c:v>
                </c:pt>
                <c:pt idx="101">
                  <c:v>4.3920000000000001E-2</c:v>
                </c:pt>
                <c:pt idx="102">
                  <c:v>4.4020000000000004E-2</c:v>
                </c:pt>
                <c:pt idx="103">
                  <c:v>4.3990000000000001E-2</c:v>
                </c:pt>
                <c:pt idx="104">
                  <c:v>4.4219999999999995E-2</c:v>
                </c:pt>
                <c:pt idx="105">
                  <c:v>4.4610000000000004E-2</c:v>
                </c:pt>
                <c:pt idx="106">
                  <c:v>4.4560000000000002E-2</c:v>
                </c:pt>
                <c:pt idx="107">
                  <c:v>4.4960000000000007E-2</c:v>
                </c:pt>
                <c:pt idx="108">
                  <c:v>4.4610000000000004E-2</c:v>
                </c:pt>
                <c:pt idx="109">
                  <c:v>4.5449999999999997E-2</c:v>
                </c:pt>
                <c:pt idx="110">
                  <c:v>4.5720000000000004E-2</c:v>
                </c:pt>
                <c:pt idx="111">
                  <c:v>4.5650000000000003E-2</c:v>
                </c:pt>
                <c:pt idx="112">
                  <c:v>4.6109999999999998E-2</c:v>
                </c:pt>
                <c:pt idx="113">
                  <c:v>4.6440000000000002E-2</c:v>
                </c:pt>
                <c:pt idx="114">
                  <c:v>4.6440000000000002E-2</c:v>
                </c:pt>
                <c:pt idx="115">
                  <c:v>4.657E-2</c:v>
                </c:pt>
                <c:pt idx="116">
                  <c:v>4.6630000000000005E-2</c:v>
                </c:pt>
                <c:pt idx="117">
                  <c:v>4.6199999999999998E-2</c:v>
                </c:pt>
                <c:pt idx="118">
                  <c:v>4.6399999999999997E-2</c:v>
                </c:pt>
                <c:pt idx="119">
                  <c:v>4.6460000000000001E-2</c:v>
                </c:pt>
                <c:pt idx="120">
                  <c:v>4.6529999999999995E-2</c:v>
                </c:pt>
                <c:pt idx="121">
                  <c:v>4.6219999999999997E-2</c:v>
                </c:pt>
                <c:pt idx="122">
                  <c:v>4.6020000000000005E-2</c:v>
                </c:pt>
                <c:pt idx="123">
                  <c:v>4.5469999999999997E-2</c:v>
                </c:pt>
                <c:pt idx="124">
                  <c:v>4.5659999999999999E-2</c:v>
                </c:pt>
                <c:pt idx="125">
                  <c:v>4.5739999999999996E-2</c:v>
                </c:pt>
                <c:pt idx="126">
                  <c:v>4.5110000000000004E-2</c:v>
                </c:pt>
                <c:pt idx="127">
                  <c:v>4.5620000000000001E-2</c:v>
                </c:pt>
                <c:pt idx="128">
                  <c:v>4.6039999999999998E-2</c:v>
                </c:pt>
                <c:pt idx="129">
                  <c:v>4.6470000000000004E-2</c:v>
                </c:pt>
                <c:pt idx="130">
                  <c:v>4.6769999999999999E-2</c:v>
                </c:pt>
                <c:pt idx="131">
                  <c:v>4.6689999999999995E-2</c:v>
                </c:pt>
                <c:pt idx="132">
                  <c:v>4.5890000000000007E-2</c:v>
                </c:pt>
                <c:pt idx="133">
                  <c:v>4.5769999999999998E-2</c:v>
                </c:pt>
                <c:pt idx="134">
                  <c:v>4.6199999999999998E-2</c:v>
                </c:pt>
                <c:pt idx="135">
                  <c:v>4.6180000000000006E-2</c:v>
                </c:pt>
                <c:pt idx="136">
                  <c:v>4.5789999999999997E-2</c:v>
                </c:pt>
                <c:pt idx="137">
                  <c:v>4.5960000000000001E-2</c:v>
                </c:pt>
                <c:pt idx="138">
                  <c:v>4.5439999999999994E-2</c:v>
                </c:pt>
                <c:pt idx="139">
                  <c:v>4.5499999999999999E-2</c:v>
                </c:pt>
                <c:pt idx="140">
                  <c:v>4.4379999999999996E-2</c:v>
                </c:pt>
                <c:pt idx="141">
                  <c:v>4.4400000000000002E-2</c:v>
                </c:pt>
                <c:pt idx="142">
                  <c:v>4.4310000000000002E-2</c:v>
                </c:pt>
                <c:pt idx="143">
                  <c:v>4.4039999999999996E-2</c:v>
                </c:pt>
                <c:pt idx="144">
                  <c:v>4.3310000000000001E-2</c:v>
                </c:pt>
                <c:pt idx="145">
                  <c:v>4.3230000000000005E-2</c:v>
                </c:pt>
                <c:pt idx="146">
                  <c:v>4.3040000000000002E-2</c:v>
                </c:pt>
                <c:pt idx="147">
                  <c:v>4.3470000000000002E-2</c:v>
                </c:pt>
                <c:pt idx="148">
                  <c:v>4.3479999999999998E-2</c:v>
                </c:pt>
                <c:pt idx="149">
                  <c:v>4.3739999999999994E-2</c:v>
                </c:pt>
                <c:pt idx="150">
                  <c:v>4.317E-2</c:v>
                </c:pt>
                <c:pt idx="151">
                  <c:v>4.3230000000000005E-2</c:v>
                </c:pt>
                <c:pt idx="152">
                  <c:v>4.3449999999999996E-2</c:v>
                </c:pt>
                <c:pt idx="153">
                  <c:v>4.4249999999999998E-2</c:v>
                </c:pt>
                <c:pt idx="154">
                  <c:v>4.3880000000000002E-2</c:v>
                </c:pt>
                <c:pt idx="155">
                  <c:v>4.3540000000000002E-2</c:v>
                </c:pt>
                <c:pt idx="156">
                  <c:v>4.3710000000000006E-2</c:v>
                </c:pt>
                <c:pt idx="157">
                  <c:v>4.36E-2</c:v>
                </c:pt>
                <c:pt idx="158">
                  <c:v>4.335E-2</c:v>
                </c:pt>
                <c:pt idx="159">
                  <c:v>4.2460000000000005E-2</c:v>
                </c:pt>
                <c:pt idx="160">
                  <c:v>4.2869999999999998E-2</c:v>
                </c:pt>
                <c:pt idx="161">
                  <c:v>4.2729999999999997E-2</c:v>
                </c:pt>
                <c:pt idx="162">
                  <c:v>4.2300000000000004E-2</c:v>
                </c:pt>
                <c:pt idx="163">
                  <c:v>4.2950000000000002E-2</c:v>
                </c:pt>
                <c:pt idx="164">
                  <c:v>4.2679999999999996E-2</c:v>
                </c:pt>
                <c:pt idx="165">
                  <c:v>4.2619999999999998E-2</c:v>
                </c:pt>
                <c:pt idx="166">
                  <c:v>4.2519999999999995E-2</c:v>
                </c:pt>
                <c:pt idx="167">
                  <c:v>4.2279999999999998E-2</c:v>
                </c:pt>
                <c:pt idx="168">
                  <c:v>4.2249999999999996E-2</c:v>
                </c:pt>
                <c:pt idx="169">
                  <c:v>4.2320000000000003E-2</c:v>
                </c:pt>
                <c:pt idx="170">
                  <c:v>4.2419999999999999E-2</c:v>
                </c:pt>
                <c:pt idx="171">
                  <c:v>4.2630000000000001E-2</c:v>
                </c:pt>
                <c:pt idx="172">
                  <c:v>4.2750000000000003E-2</c:v>
                </c:pt>
                <c:pt idx="173">
                  <c:v>4.2099999999999999E-2</c:v>
                </c:pt>
                <c:pt idx="174">
                  <c:v>4.2060000000000007E-2</c:v>
                </c:pt>
                <c:pt idx="175">
                  <c:v>4.122E-2</c:v>
                </c:pt>
                <c:pt idx="176">
                  <c:v>4.0719999999999999E-2</c:v>
                </c:pt>
                <c:pt idx="177">
                  <c:v>4.0940000000000004E-2</c:v>
                </c:pt>
                <c:pt idx="178">
                  <c:v>4.1250000000000002E-2</c:v>
                </c:pt>
                <c:pt idx="179">
                  <c:v>4.1700000000000001E-2</c:v>
                </c:pt>
                <c:pt idx="180">
                  <c:v>4.1660000000000003E-2</c:v>
                </c:pt>
                <c:pt idx="181">
                  <c:v>4.1540000000000001E-2</c:v>
                </c:pt>
                <c:pt idx="182">
                  <c:v>4.2190000000000005E-2</c:v>
                </c:pt>
                <c:pt idx="183">
                  <c:v>4.2839999999999996E-2</c:v>
                </c:pt>
                <c:pt idx="184">
                  <c:v>4.3419999999999993E-2</c:v>
                </c:pt>
                <c:pt idx="185">
                  <c:v>4.3579999999999994E-2</c:v>
                </c:pt>
                <c:pt idx="186">
                  <c:v>4.3650000000000001E-2</c:v>
                </c:pt>
                <c:pt idx="187">
                  <c:v>4.3270000000000003E-2</c:v>
                </c:pt>
                <c:pt idx="188">
                  <c:v>4.385E-2</c:v>
                </c:pt>
                <c:pt idx="189">
                  <c:v>4.3789999999999996E-2</c:v>
                </c:pt>
                <c:pt idx="190">
                  <c:v>4.3289999999999995E-2</c:v>
                </c:pt>
                <c:pt idx="191">
                  <c:v>4.3230000000000005E-2</c:v>
                </c:pt>
                <c:pt idx="192">
                  <c:v>4.317E-2</c:v>
                </c:pt>
                <c:pt idx="193">
                  <c:v>4.3339999999999997E-2</c:v>
                </c:pt>
                <c:pt idx="194">
                  <c:v>4.2889999999999998E-2</c:v>
                </c:pt>
                <c:pt idx="195">
                  <c:v>4.3499999999999997E-2</c:v>
                </c:pt>
                <c:pt idx="196">
                  <c:v>4.3529999999999999E-2</c:v>
                </c:pt>
                <c:pt idx="197">
                  <c:v>4.3189999999999999E-2</c:v>
                </c:pt>
                <c:pt idx="198">
                  <c:v>4.3520000000000003E-2</c:v>
                </c:pt>
                <c:pt idx="199">
                  <c:v>4.394E-2</c:v>
                </c:pt>
                <c:pt idx="200">
                  <c:v>4.4209999999999999E-2</c:v>
                </c:pt>
                <c:pt idx="201">
                  <c:v>4.4290000000000003E-2</c:v>
                </c:pt>
                <c:pt idx="202">
                  <c:v>4.4359999999999997E-2</c:v>
                </c:pt>
                <c:pt idx="203">
                  <c:v>4.394E-2</c:v>
                </c:pt>
                <c:pt idx="204">
                  <c:v>4.3240000000000001E-2</c:v>
                </c:pt>
                <c:pt idx="205">
                  <c:v>4.2249999999999996E-2</c:v>
                </c:pt>
                <c:pt idx="206">
                  <c:v>4.1909999999999996E-2</c:v>
                </c:pt>
                <c:pt idx="207">
                  <c:v>4.199E-2</c:v>
                </c:pt>
                <c:pt idx="208">
                  <c:v>4.1500000000000002E-2</c:v>
                </c:pt>
                <c:pt idx="209">
                  <c:v>4.1599999999999998E-2</c:v>
                </c:pt>
                <c:pt idx="210">
                  <c:v>4.1730000000000003E-2</c:v>
                </c:pt>
                <c:pt idx="211">
                  <c:v>4.1710000000000004E-2</c:v>
                </c:pt>
                <c:pt idx="212">
                  <c:v>4.1870000000000004E-2</c:v>
                </c:pt>
                <c:pt idx="213">
                  <c:v>4.2389999999999997E-2</c:v>
                </c:pt>
                <c:pt idx="214">
                  <c:v>4.2060000000000007E-2</c:v>
                </c:pt>
                <c:pt idx="215">
                  <c:v>4.1769999999999995E-2</c:v>
                </c:pt>
                <c:pt idx="216">
                  <c:v>4.1669999999999999E-2</c:v>
                </c:pt>
                <c:pt idx="217">
                  <c:v>4.1829999999999999E-2</c:v>
                </c:pt>
                <c:pt idx="218">
                  <c:v>4.1520000000000001E-2</c:v>
                </c:pt>
                <c:pt idx="219">
                  <c:v>4.1260000000000005E-2</c:v>
                </c:pt>
                <c:pt idx="220">
                  <c:v>4.0869999999999997E-2</c:v>
                </c:pt>
                <c:pt idx="221">
                  <c:v>4.0999999999999995E-2</c:v>
                </c:pt>
                <c:pt idx="222">
                  <c:v>4.1270000000000001E-2</c:v>
                </c:pt>
                <c:pt idx="223">
                  <c:v>4.1459999999999997E-2</c:v>
                </c:pt>
                <c:pt idx="224">
                  <c:v>4.1169999999999998E-2</c:v>
                </c:pt>
                <c:pt idx="225">
                  <c:v>4.0999999999999995E-2</c:v>
                </c:pt>
                <c:pt idx="226">
                  <c:v>4.0510000000000004E-2</c:v>
                </c:pt>
                <c:pt idx="227">
                  <c:v>4.0559999999999999E-2</c:v>
                </c:pt>
                <c:pt idx="228">
                  <c:v>4.0129999999999999E-2</c:v>
                </c:pt>
                <c:pt idx="229">
                  <c:v>4.0060000000000005E-2</c:v>
                </c:pt>
                <c:pt idx="230">
                  <c:v>4.0220000000000006E-2</c:v>
                </c:pt>
                <c:pt idx="231">
                  <c:v>4.0209999999999996E-2</c:v>
                </c:pt>
                <c:pt idx="232">
                  <c:v>4.0369999999999996E-2</c:v>
                </c:pt>
                <c:pt idx="233">
                  <c:v>4.1110000000000001E-2</c:v>
                </c:pt>
                <c:pt idx="234">
                  <c:v>4.0660000000000002E-2</c:v>
                </c:pt>
                <c:pt idx="235">
                  <c:v>4.1260000000000005E-2</c:v>
                </c:pt>
                <c:pt idx="236">
                  <c:v>4.0670000000000005E-2</c:v>
                </c:pt>
                <c:pt idx="237">
                  <c:v>4.0259999999999997E-2</c:v>
                </c:pt>
                <c:pt idx="238">
                  <c:v>4.0330000000000005E-2</c:v>
                </c:pt>
                <c:pt idx="239">
                  <c:v>4.0830000000000005E-2</c:v>
                </c:pt>
                <c:pt idx="240">
                  <c:v>4.199E-2</c:v>
                </c:pt>
                <c:pt idx="241">
                  <c:v>4.2679999999999996E-2</c:v>
                </c:pt>
                <c:pt idx="242">
                  <c:v>4.24E-2</c:v>
                </c:pt>
                <c:pt idx="243">
                  <c:v>4.3060000000000001E-2</c:v>
                </c:pt>
                <c:pt idx="244">
                  <c:v>4.2819999999999997E-2</c:v>
                </c:pt>
                <c:pt idx="245">
                  <c:v>4.3049999999999998E-2</c:v>
                </c:pt>
                <c:pt idx="246">
                  <c:v>4.2889999999999998E-2</c:v>
                </c:pt>
                <c:pt idx="247">
                  <c:v>4.2849999999999999E-2</c:v>
                </c:pt>
                <c:pt idx="248">
                  <c:v>4.2839999999999996E-2</c:v>
                </c:pt>
                <c:pt idx="249">
                  <c:v>4.2500000000000003E-2</c:v>
                </c:pt>
                <c:pt idx="250">
                  <c:v>4.3040000000000002E-2</c:v>
                </c:pt>
                <c:pt idx="251">
                  <c:v>4.3060000000000001E-2</c:v>
                </c:pt>
                <c:pt idx="252">
                  <c:v>4.3459999999999999E-2</c:v>
                </c:pt>
                <c:pt idx="253">
                  <c:v>4.3129999999999995E-2</c:v>
                </c:pt>
                <c:pt idx="254">
                  <c:v>4.3070000000000004E-2</c:v>
                </c:pt>
                <c:pt idx="255">
                  <c:v>4.2099999999999999E-2</c:v>
                </c:pt>
                <c:pt idx="256">
                  <c:v>4.1929999999999995E-2</c:v>
                </c:pt>
                <c:pt idx="257">
                  <c:v>4.1349999999999998E-2</c:v>
                </c:pt>
                <c:pt idx="258">
                  <c:v>4.1250000000000002E-2</c:v>
                </c:pt>
                <c:pt idx="259">
                  <c:v>4.1529999999999997E-2</c:v>
                </c:pt>
                <c:pt idx="260">
                  <c:v>4.0890000000000003E-2</c:v>
                </c:pt>
                <c:pt idx="261">
                  <c:v>4.0890000000000003E-2</c:v>
                </c:pt>
                <c:pt idx="262">
                  <c:v>4.0869999999999997E-2</c:v>
                </c:pt>
                <c:pt idx="263">
                  <c:v>4.054E-2</c:v>
                </c:pt>
                <c:pt idx="264">
                  <c:v>4.0239999999999998E-2</c:v>
                </c:pt>
                <c:pt idx="265">
                  <c:v>3.9780000000000003E-2</c:v>
                </c:pt>
                <c:pt idx="266">
                  <c:v>3.9750000000000001E-2</c:v>
                </c:pt>
                <c:pt idx="267">
                  <c:v>3.9740000000000004E-2</c:v>
                </c:pt>
                <c:pt idx="268">
                  <c:v>3.9120000000000002E-2</c:v>
                </c:pt>
                <c:pt idx="269">
                  <c:v>3.9919999999999997E-2</c:v>
                </c:pt>
                <c:pt idx="270">
                  <c:v>3.8890000000000001E-2</c:v>
                </c:pt>
                <c:pt idx="271">
                  <c:v>3.9980000000000002E-2</c:v>
                </c:pt>
                <c:pt idx="272">
                  <c:v>3.977E-2</c:v>
                </c:pt>
                <c:pt idx="273">
                  <c:v>3.9480000000000001E-2</c:v>
                </c:pt>
                <c:pt idx="274">
                  <c:v>3.9940000000000003E-2</c:v>
                </c:pt>
                <c:pt idx="275">
                  <c:v>4.018E-2</c:v>
                </c:pt>
                <c:pt idx="276">
                  <c:v>3.9300000000000002E-2</c:v>
                </c:pt>
                <c:pt idx="277">
                  <c:v>3.9190000000000003E-2</c:v>
                </c:pt>
                <c:pt idx="278">
                  <c:v>3.9320000000000001E-2</c:v>
                </c:pt>
                <c:pt idx="279">
                  <c:v>3.8460000000000001E-2</c:v>
                </c:pt>
                <c:pt idx="280">
                  <c:v>3.8949999999999999E-2</c:v>
                </c:pt>
                <c:pt idx="281">
                  <c:v>3.8769999999999999E-2</c:v>
                </c:pt>
                <c:pt idx="282">
                  <c:v>3.8640000000000001E-2</c:v>
                </c:pt>
                <c:pt idx="283">
                  <c:v>3.8589999999999999E-2</c:v>
                </c:pt>
                <c:pt idx="284">
                  <c:v>3.9449999999999999E-2</c:v>
                </c:pt>
                <c:pt idx="285">
                  <c:v>3.9559999999999998E-2</c:v>
                </c:pt>
                <c:pt idx="286">
                  <c:v>4.0050000000000002E-2</c:v>
                </c:pt>
                <c:pt idx="287">
                  <c:v>3.9550000000000002E-2</c:v>
                </c:pt>
                <c:pt idx="288">
                  <c:v>4.0149999999999998E-2</c:v>
                </c:pt>
                <c:pt idx="289">
                  <c:v>3.9940000000000003E-2</c:v>
                </c:pt>
                <c:pt idx="290">
                  <c:v>4.0250000000000001E-2</c:v>
                </c:pt>
                <c:pt idx="291">
                  <c:v>4.0149999999999998E-2</c:v>
                </c:pt>
                <c:pt idx="292">
                  <c:v>4.0030000000000003E-2</c:v>
                </c:pt>
                <c:pt idx="293">
                  <c:v>4.0359999999999993E-2</c:v>
                </c:pt>
                <c:pt idx="294">
                  <c:v>4.0739999999999998E-2</c:v>
                </c:pt>
                <c:pt idx="295">
                  <c:v>4.088E-2</c:v>
                </c:pt>
                <c:pt idx="296">
                  <c:v>4.0010000000000004E-2</c:v>
                </c:pt>
                <c:pt idx="297">
                  <c:v>3.891E-2</c:v>
                </c:pt>
                <c:pt idx="298">
                  <c:v>3.8599999999999995E-2</c:v>
                </c:pt>
                <c:pt idx="299">
                  <c:v>3.8060000000000004E-2</c:v>
                </c:pt>
                <c:pt idx="300">
                  <c:v>3.8610000000000005E-2</c:v>
                </c:pt>
                <c:pt idx="301">
                  <c:v>3.8089999999999999E-2</c:v>
                </c:pt>
                <c:pt idx="302">
                  <c:v>3.7879999999999997E-2</c:v>
                </c:pt>
                <c:pt idx="303">
                  <c:v>3.7309999999999996E-2</c:v>
                </c:pt>
                <c:pt idx="304">
                  <c:v>3.789E-2</c:v>
                </c:pt>
                <c:pt idx="305">
                  <c:v>3.771E-2</c:v>
                </c:pt>
                <c:pt idx="306">
                  <c:v>3.7599999999999995E-2</c:v>
                </c:pt>
                <c:pt idx="307">
                  <c:v>3.7319999999999999E-2</c:v>
                </c:pt>
                <c:pt idx="308">
                  <c:v>3.6880000000000003E-2</c:v>
                </c:pt>
                <c:pt idx="309">
                  <c:v>3.7610000000000005E-2</c:v>
                </c:pt>
                <c:pt idx="310">
                  <c:v>3.7610000000000005E-2</c:v>
                </c:pt>
                <c:pt idx="311">
                  <c:v>3.7519999999999998E-2</c:v>
                </c:pt>
                <c:pt idx="312">
                  <c:v>3.8830000000000003E-2</c:v>
                </c:pt>
                <c:pt idx="313">
                  <c:v>3.8759999999999996E-2</c:v>
                </c:pt>
                <c:pt idx="314">
                  <c:v>3.9239999999999997E-2</c:v>
                </c:pt>
                <c:pt idx="315">
                  <c:v>3.9379999999999998E-2</c:v>
                </c:pt>
                <c:pt idx="316">
                  <c:v>3.8989999999999997E-2</c:v>
                </c:pt>
                <c:pt idx="317">
                  <c:v>3.9740000000000004E-2</c:v>
                </c:pt>
                <c:pt idx="318">
                  <c:v>3.993E-2</c:v>
                </c:pt>
                <c:pt idx="319">
                  <c:v>3.9820000000000001E-2</c:v>
                </c:pt>
                <c:pt idx="320">
                  <c:v>3.9460000000000002E-2</c:v>
                </c:pt>
                <c:pt idx="321">
                  <c:v>4.0129999999999999E-2</c:v>
                </c:pt>
                <c:pt idx="322">
                  <c:v>4.0209999999999996E-2</c:v>
                </c:pt>
                <c:pt idx="323">
                  <c:v>4.0050000000000002E-2</c:v>
                </c:pt>
                <c:pt idx="324">
                  <c:v>3.9820000000000001E-2</c:v>
                </c:pt>
                <c:pt idx="325">
                  <c:v>3.9100000000000003E-2</c:v>
                </c:pt>
                <c:pt idx="326">
                  <c:v>3.9079999999999997E-2</c:v>
                </c:pt>
                <c:pt idx="327">
                  <c:v>3.9640000000000002E-2</c:v>
                </c:pt>
                <c:pt idx="328">
                  <c:v>4.0369999999999996E-2</c:v>
                </c:pt>
                <c:pt idx="329">
                  <c:v>4.0759999999999998E-2</c:v>
                </c:pt>
                <c:pt idx="330">
                  <c:v>4.1329999999999999E-2</c:v>
                </c:pt>
                <c:pt idx="331">
                  <c:v>4.1149999999999999E-2</c:v>
                </c:pt>
                <c:pt idx="332">
                  <c:v>4.1479999999999996E-2</c:v>
                </c:pt>
                <c:pt idx="333">
                  <c:v>4.1459999999999997E-2</c:v>
                </c:pt>
                <c:pt idx="334">
                  <c:v>4.1820000000000003E-2</c:v>
                </c:pt>
                <c:pt idx="335">
                  <c:v>4.1779999999999998E-2</c:v>
                </c:pt>
                <c:pt idx="336">
                  <c:v>4.2009999999999999E-2</c:v>
                </c:pt>
                <c:pt idx="337">
                  <c:v>4.138E-2</c:v>
                </c:pt>
                <c:pt idx="338">
                  <c:v>4.1230000000000003E-2</c:v>
                </c:pt>
                <c:pt idx="339">
                  <c:v>4.1980000000000003E-2</c:v>
                </c:pt>
                <c:pt idx="340">
                  <c:v>4.1580000000000006E-2</c:v>
                </c:pt>
                <c:pt idx="341">
                  <c:v>4.1329999999999999E-2</c:v>
                </c:pt>
                <c:pt idx="342">
                  <c:v>4.1759999999999999E-2</c:v>
                </c:pt>
                <c:pt idx="343">
                  <c:v>4.0640000000000003E-2</c:v>
                </c:pt>
                <c:pt idx="344">
                  <c:v>3.9949999999999999E-2</c:v>
                </c:pt>
                <c:pt idx="345">
                  <c:v>4.011E-2</c:v>
                </c:pt>
                <c:pt idx="346">
                  <c:v>4.0940000000000004E-2</c:v>
                </c:pt>
                <c:pt idx="347">
                  <c:v>4.1639999999999996E-2</c:v>
                </c:pt>
                <c:pt idx="348">
                  <c:v>4.2099999999999999E-2</c:v>
                </c:pt>
                <c:pt idx="349">
                  <c:v>4.1769999999999995E-2</c:v>
                </c:pt>
                <c:pt idx="350">
                  <c:v>4.2199999999999994E-2</c:v>
                </c:pt>
                <c:pt idx="351">
                  <c:v>4.1900000000000007E-2</c:v>
                </c:pt>
                <c:pt idx="352">
                  <c:v>4.2640000000000004E-2</c:v>
                </c:pt>
                <c:pt idx="353">
                  <c:v>4.2979999999999997E-2</c:v>
                </c:pt>
                <c:pt idx="354">
                  <c:v>4.2660000000000003E-2</c:v>
                </c:pt>
                <c:pt idx="355">
                  <c:v>4.2839999999999996E-2</c:v>
                </c:pt>
                <c:pt idx="356">
                  <c:v>4.3060000000000001E-2</c:v>
                </c:pt>
                <c:pt idx="357">
                  <c:v>4.3470000000000002E-2</c:v>
                </c:pt>
                <c:pt idx="358">
                  <c:v>4.4299999999999999E-2</c:v>
                </c:pt>
                <c:pt idx="359">
                  <c:v>4.4050000000000006E-2</c:v>
                </c:pt>
                <c:pt idx="360">
                  <c:v>4.3470000000000002E-2</c:v>
                </c:pt>
                <c:pt idx="361">
                  <c:v>4.4269999999999997E-2</c:v>
                </c:pt>
                <c:pt idx="362">
                  <c:v>4.3840000000000004E-2</c:v>
                </c:pt>
                <c:pt idx="363">
                  <c:v>4.4690000000000001E-2</c:v>
                </c:pt>
                <c:pt idx="364">
                  <c:v>4.4209999999999999E-2</c:v>
                </c:pt>
                <c:pt idx="365">
                  <c:v>4.4909999999999999E-2</c:v>
                </c:pt>
                <c:pt idx="366">
                  <c:v>4.5199999999999997E-2</c:v>
                </c:pt>
                <c:pt idx="367">
                  <c:v>4.5530000000000001E-2</c:v>
                </c:pt>
                <c:pt idx="368">
                  <c:v>4.5970000000000004E-2</c:v>
                </c:pt>
                <c:pt idx="369">
                  <c:v>4.641E-2</c:v>
                </c:pt>
                <c:pt idx="370">
                  <c:v>4.6300000000000001E-2</c:v>
                </c:pt>
                <c:pt idx="371">
                  <c:v>4.6089999999999999E-2</c:v>
                </c:pt>
                <c:pt idx="372">
                  <c:v>4.6130000000000004E-2</c:v>
                </c:pt>
                <c:pt idx="373">
                  <c:v>4.6809999999999997E-2</c:v>
                </c:pt>
                <c:pt idx="374">
                  <c:v>4.6280000000000002E-2</c:v>
                </c:pt>
                <c:pt idx="375">
                  <c:v>4.5990000000000003E-2</c:v>
                </c:pt>
                <c:pt idx="376">
                  <c:v>4.6020000000000005E-2</c:v>
                </c:pt>
                <c:pt idx="377">
                  <c:v>4.6130000000000004E-2</c:v>
                </c:pt>
                <c:pt idx="378">
                  <c:v>4.5159999999999999E-2</c:v>
                </c:pt>
                <c:pt idx="379">
                  <c:v>4.5229999999999999E-2</c:v>
                </c:pt>
                <c:pt idx="380">
                  <c:v>4.6210000000000001E-2</c:v>
                </c:pt>
                <c:pt idx="381">
                  <c:v>4.607E-2</c:v>
                </c:pt>
                <c:pt idx="382">
                  <c:v>4.6529999999999995E-2</c:v>
                </c:pt>
                <c:pt idx="383">
                  <c:v>4.5560000000000003E-2</c:v>
                </c:pt>
                <c:pt idx="384">
                  <c:v>4.4950000000000004E-2</c:v>
                </c:pt>
                <c:pt idx="385">
                  <c:v>4.4269999999999997E-2</c:v>
                </c:pt>
                <c:pt idx="386">
                  <c:v>4.4130000000000003E-2</c:v>
                </c:pt>
                <c:pt idx="387">
                  <c:v>4.4130000000000003E-2</c:v>
                </c:pt>
                <c:pt idx="388">
                  <c:v>4.4000000000000004E-2</c:v>
                </c:pt>
                <c:pt idx="389">
                  <c:v>4.4269999999999997E-2</c:v>
                </c:pt>
                <c:pt idx="390">
                  <c:v>4.3979999999999998E-2</c:v>
                </c:pt>
                <c:pt idx="391">
                  <c:v>4.385E-2</c:v>
                </c:pt>
                <c:pt idx="392">
                  <c:v>4.3920000000000001E-2</c:v>
                </c:pt>
                <c:pt idx="393">
                  <c:v>4.4429999999999997E-2</c:v>
                </c:pt>
                <c:pt idx="394">
                  <c:v>4.5710000000000001E-2</c:v>
                </c:pt>
                <c:pt idx="395">
                  <c:v>4.6349999999999995E-2</c:v>
                </c:pt>
                <c:pt idx="396">
                  <c:v>4.641E-2</c:v>
                </c:pt>
                <c:pt idx="397">
                  <c:v>4.6620000000000002E-2</c:v>
                </c:pt>
                <c:pt idx="398">
                  <c:v>4.5659999999999999E-2</c:v>
                </c:pt>
                <c:pt idx="399">
                  <c:v>4.6039999999999998E-2</c:v>
                </c:pt>
                <c:pt idx="400">
                  <c:v>4.5250000000000005E-2</c:v>
                </c:pt>
                <c:pt idx="401">
                  <c:v>4.4770000000000004E-2</c:v>
                </c:pt>
                <c:pt idx="402">
                  <c:v>4.4160000000000005E-2</c:v>
                </c:pt>
                <c:pt idx="403">
                  <c:v>4.3550000000000005E-2</c:v>
                </c:pt>
                <c:pt idx="404">
                  <c:v>4.3490000000000001E-2</c:v>
                </c:pt>
                <c:pt idx="405">
                  <c:v>4.3339999999999997E-2</c:v>
                </c:pt>
                <c:pt idx="406">
                  <c:v>4.3099999999999999E-2</c:v>
                </c:pt>
                <c:pt idx="407">
                  <c:v>4.3410000000000004E-2</c:v>
                </c:pt>
                <c:pt idx="408">
                  <c:v>4.2619999999999998E-2</c:v>
                </c:pt>
                <c:pt idx="409">
                  <c:v>4.2610000000000002E-2</c:v>
                </c:pt>
                <c:pt idx="410">
                  <c:v>4.2729999999999997E-2</c:v>
                </c:pt>
                <c:pt idx="411">
                  <c:v>4.2300000000000004E-2</c:v>
                </c:pt>
                <c:pt idx="412">
                  <c:v>4.2060000000000007E-2</c:v>
                </c:pt>
                <c:pt idx="413">
                  <c:v>4.2030000000000005E-2</c:v>
                </c:pt>
                <c:pt idx="414">
                  <c:v>4.165E-2</c:v>
                </c:pt>
                <c:pt idx="415">
                  <c:v>4.1429999999999995E-2</c:v>
                </c:pt>
                <c:pt idx="416">
                  <c:v>4.165E-2</c:v>
                </c:pt>
                <c:pt idx="417">
                  <c:v>4.1230000000000003E-2</c:v>
                </c:pt>
                <c:pt idx="418">
                  <c:v>4.1749999999999995E-2</c:v>
                </c:pt>
                <c:pt idx="419">
                  <c:v>4.2190000000000005E-2</c:v>
                </c:pt>
                <c:pt idx="420">
                  <c:v>4.1210000000000004E-2</c:v>
                </c:pt>
                <c:pt idx="421">
                  <c:v>4.1139999999999996E-2</c:v>
                </c:pt>
                <c:pt idx="422">
                  <c:v>4.1740000000000006E-2</c:v>
                </c:pt>
                <c:pt idx="423">
                  <c:v>4.1790000000000001E-2</c:v>
                </c:pt>
                <c:pt idx="424">
                  <c:v>4.1759999999999999E-2</c:v>
                </c:pt>
                <c:pt idx="425">
                  <c:v>4.1260000000000005E-2</c:v>
                </c:pt>
                <c:pt idx="426">
                  <c:v>4.1410000000000002E-2</c:v>
                </c:pt>
                <c:pt idx="427">
                  <c:v>4.1399999999999999E-2</c:v>
                </c:pt>
                <c:pt idx="428">
                  <c:v>4.07E-2</c:v>
                </c:pt>
                <c:pt idx="429">
                  <c:v>4.0010000000000004E-2</c:v>
                </c:pt>
                <c:pt idx="430">
                  <c:v>4.0640000000000003E-2</c:v>
                </c:pt>
                <c:pt idx="431">
                  <c:v>4.0430000000000001E-2</c:v>
                </c:pt>
                <c:pt idx="432">
                  <c:v>4.0660000000000002E-2</c:v>
                </c:pt>
                <c:pt idx="433">
                  <c:v>4.0810000000000006E-2</c:v>
                </c:pt>
                <c:pt idx="434">
                  <c:v>4.1849999999999998E-2</c:v>
                </c:pt>
                <c:pt idx="435">
                  <c:v>4.0510000000000004E-2</c:v>
                </c:pt>
                <c:pt idx="436">
                  <c:v>3.9960000000000002E-2</c:v>
                </c:pt>
                <c:pt idx="437">
                  <c:v>4.0160000000000001E-2</c:v>
                </c:pt>
                <c:pt idx="438">
                  <c:v>4.0359999999999993E-2</c:v>
                </c:pt>
                <c:pt idx="439">
                  <c:v>4.2079999999999999E-2</c:v>
                </c:pt>
                <c:pt idx="440">
                  <c:v>4.2569999999999997E-2</c:v>
                </c:pt>
                <c:pt idx="441">
                  <c:v>4.2409999999999996E-2</c:v>
                </c:pt>
                <c:pt idx="442">
                  <c:v>4.1639999999999996E-2</c:v>
                </c:pt>
                <c:pt idx="443">
                  <c:v>4.2300000000000004E-2</c:v>
                </c:pt>
                <c:pt idx="444">
                  <c:v>4.1639999999999996E-2</c:v>
                </c:pt>
                <c:pt idx="445">
                  <c:v>3.9719999999999998E-2</c:v>
                </c:pt>
                <c:pt idx="446">
                  <c:v>4.0149999999999998E-2</c:v>
                </c:pt>
                <c:pt idx="447">
                  <c:v>3.9949999999999999E-2</c:v>
                </c:pt>
                <c:pt idx="448">
                  <c:v>3.9309999999999998E-2</c:v>
                </c:pt>
                <c:pt idx="449">
                  <c:v>3.9239999999999997E-2</c:v>
                </c:pt>
                <c:pt idx="450">
                  <c:v>3.7530000000000001E-2</c:v>
                </c:pt>
                <c:pt idx="451">
                  <c:v>3.7519999999999998E-2</c:v>
                </c:pt>
                <c:pt idx="452">
                  <c:v>3.8030000000000001E-2</c:v>
                </c:pt>
                <c:pt idx="453">
                  <c:v>3.8769999999999999E-2</c:v>
                </c:pt>
                <c:pt idx="454">
                  <c:v>3.9960000000000002E-2</c:v>
                </c:pt>
                <c:pt idx="455">
                  <c:v>4.0739999999999998E-2</c:v>
                </c:pt>
                <c:pt idx="456">
                  <c:v>4.1159999999999995E-2</c:v>
                </c:pt>
                <c:pt idx="457">
                  <c:v>4.1230000000000003E-2</c:v>
                </c:pt>
                <c:pt idx="458">
                  <c:v>4.0689999999999997E-2</c:v>
                </c:pt>
                <c:pt idx="459">
                  <c:v>4.0140000000000002E-2</c:v>
                </c:pt>
                <c:pt idx="460">
                  <c:v>4.011E-2</c:v>
                </c:pt>
                <c:pt idx="461">
                  <c:v>3.9399999999999998E-2</c:v>
                </c:pt>
                <c:pt idx="462">
                  <c:v>3.807E-2</c:v>
                </c:pt>
                <c:pt idx="463">
                  <c:v>3.7789999999999997E-2</c:v>
                </c:pt>
                <c:pt idx="464">
                  <c:v>3.7510000000000002E-2</c:v>
                </c:pt>
                <c:pt idx="465">
                  <c:v>3.7599999999999995E-2</c:v>
                </c:pt>
                <c:pt idx="466">
                  <c:v>3.7519999999999998E-2</c:v>
                </c:pt>
                <c:pt idx="467">
                  <c:v>3.7870000000000001E-2</c:v>
                </c:pt>
                <c:pt idx="468">
                  <c:v>3.771E-2</c:v>
                </c:pt>
                <c:pt idx="469">
                  <c:v>3.9E-2</c:v>
                </c:pt>
                <c:pt idx="470">
                  <c:v>3.8309999999999997E-2</c:v>
                </c:pt>
                <c:pt idx="471">
                  <c:v>3.8039999999999997E-2</c:v>
                </c:pt>
                <c:pt idx="472">
                  <c:v>3.7670000000000002E-2</c:v>
                </c:pt>
                <c:pt idx="473">
                  <c:v>3.7040000000000003E-2</c:v>
                </c:pt>
                <c:pt idx="474">
                  <c:v>3.6810000000000002E-2</c:v>
                </c:pt>
                <c:pt idx="475">
                  <c:v>3.6830000000000002E-2</c:v>
                </c:pt>
                <c:pt idx="476">
                  <c:v>3.671E-2</c:v>
                </c:pt>
                <c:pt idx="477">
                  <c:v>3.6309999999999995E-2</c:v>
                </c:pt>
                <c:pt idx="478">
                  <c:v>3.6400000000000002E-2</c:v>
                </c:pt>
                <c:pt idx="479">
                  <c:v>3.6729999999999999E-2</c:v>
                </c:pt>
                <c:pt idx="480">
                  <c:v>3.6610000000000004E-2</c:v>
                </c:pt>
                <c:pt idx="481">
                  <c:v>3.6459999999999999E-2</c:v>
                </c:pt>
                <c:pt idx="482">
                  <c:v>3.542E-2</c:v>
                </c:pt>
                <c:pt idx="483">
                  <c:v>3.4009999999999999E-2</c:v>
                </c:pt>
                <c:pt idx="484">
                  <c:v>3.39E-2</c:v>
                </c:pt>
                <c:pt idx="485">
                  <c:v>3.4259999999999999E-2</c:v>
                </c:pt>
                <c:pt idx="486">
                  <c:v>3.3500000000000002E-2</c:v>
                </c:pt>
                <c:pt idx="487">
                  <c:v>3.2840000000000001E-2</c:v>
                </c:pt>
                <c:pt idx="488">
                  <c:v>3.2939999999999997E-2</c:v>
                </c:pt>
                <c:pt idx="489">
                  <c:v>3.2579999999999998E-2</c:v>
                </c:pt>
                <c:pt idx="490">
                  <c:v>3.1640000000000001E-2</c:v>
                </c:pt>
                <c:pt idx="491">
                  <c:v>3.048E-2</c:v>
                </c:pt>
                <c:pt idx="492">
                  <c:v>3.0360000000000002E-2</c:v>
                </c:pt>
                <c:pt idx="493">
                  <c:v>3.0960000000000001E-2</c:v>
                </c:pt>
                <c:pt idx="494">
                  <c:v>3.0289999999999997E-2</c:v>
                </c:pt>
                <c:pt idx="495">
                  <c:v>3.1549999999999995E-2</c:v>
                </c:pt>
                <c:pt idx="496">
                  <c:v>3.2329999999999998E-2</c:v>
                </c:pt>
                <c:pt idx="497">
                  <c:v>3.2080000000000004E-2</c:v>
                </c:pt>
                <c:pt idx="498">
                  <c:v>3.2149999999999998E-2</c:v>
                </c:pt>
                <c:pt idx="499">
                  <c:v>3.2969999999999999E-2</c:v>
                </c:pt>
                <c:pt idx="500">
                  <c:v>3.1969999999999998E-2</c:v>
                </c:pt>
                <c:pt idx="501">
                  <c:v>3.1349999999999996E-2</c:v>
                </c:pt>
                <c:pt idx="502">
                  <c:v>2.9870000000000001E-2</c:v>
                </c:pt>
                <c:pt idx="503">
                  <c:v>2.9740000000000003E-2</c:v>
                </c:pt>
                <c:pt idx="504">
                  <c:v>3.0019999999999998E-2</c:v>
                </c:pt>
                <c:pt idx="505">
                  <c:v>2.9369999999999997E-2</c:v>
                </c:pt>
                <c:pt idx="506">
                  <c:v>2.9449999999999997E-2</c:v>
                </c:pt>
                <c:pt idx="507">
                  <c:v>2.9420000000000002E-2</c:v>
                </c:pt>
                <c:pt idx="508">
                  <c:v>2.9089999999999998E-2</c:v>
                </c:pt>
                <c:pt idx="509">
                  <c:v>2.9489999999999999E-2</c:v>
                </c:pt>
                <c:pt idx="510">
                  <c:v>2.9510000000000002E-2</c:v>
                </c:pt>
                <c:pt idx="511">
                  <c:v>2.9569999999999999E-2</c:v>
                </c:pt>
                <c:pt idx="512">
                  <c:v>3.0130000000000001E-2</c:v>
                </c:pt>
                <c:pt idx="513">
                  <c:v>3.1530000000000002E-2</c:v>
                </c:pt>
                <c:pt idx="514">
                  <c:v>3.1980000000000001E-2</c:v>
                </c:pt>
                <c:pt idx="515">
                  <c:v>3.1269999999999999E-2</c:v>
                </c:pt>
                <c:pt idx="516">
                  <c:v>3.0169999999999999E-2</c:v>
                </c:pt>
                <c:pt idx="517">
                  <c:v>2.9860000000000001E-2</c:v>
                </c:pt>
                <c:pt idx="518">
                  <c:v>2.9910000000000003E-2</c:v>
                </c:pt>
                <c:pt idx="519">
                  <c:v>2.9340000000000001E-2</c:v>
                </c:pt>
                <c:pt idx="520">
                  <c:v>2.8900000000000002E-2</c:v>
                </c:pt>
                <c:pt idx="521">
                  <c:v>2.9300000000000003E-2</c:v>
                </c:pt>
                <c:pt idx="522">
                  <c:v>2.9960000000000001E-2</c:v>
                </c:pt>
                <c:pt idx="523">
                  <c:v>3.0190000000000002E-2</c:v>
                </c:pt>
                <c:pt idx="524">
                  <c:v>2.9990000000000003E-2</c:v>
                </c:pt>
                <c:pt idx="525">
                  <c:v>3.108E-2</c:v>
                </c:pt>
                <c:pt idx="526">
                  <c:v>3.2370000000000003E-2</c:v>
                </c:pt>
                <c:pt idx="527">
                  <c:v>3.3270000000000001E-2</c:v>
                </c:pt>
                <c:pt idx="528">
                  <c:v>3.2599999999999997E-2</c:v>
                </c:pt>
                <c:pt idx="529">
                  <c:v>3.2329999999999998E-2</c:v>
                </c:pt>
                <c:pt idx="530">
                  <c:v>3.2590000000000001E-2</c:v>
                </c:pt>
                <c:pt idx="531">
                  <c:v>3.2959999999999996E-2</c:v>
                </c:pt>
                <c:pt idx="532">
                  <c:v>3.2840000000000001E-2</c:v>
                </c:pt>
                <c:pt idx="533">
                  <c:v>3.3349999999999998E-2</c:v>
                </c:pt>
                <c:pt idx="534">
                  <c:v>3.363E-2</c:v>
                </c:pt>
                <c:pt idx="535">
                  <c:v>3.3390000000000003E-2</c:v>
                </c:pt>
                <c:pt idx="536">
                  <c:v>3.3709999999999997E-2</c:v>
                </c:pt>
                <c:pt idx="537">
                  <c:v>3.4029999999999998E-2</c:v>
                </c:pt>
                <c:pt idx="538">
                  <c:v>3.3430000000000001E-2</c:v>
                </c:pt>
                <c:pt idx="539">
                  <c:v>3.1890000000000002E-2</c:v>
                </c:pt>
                <c:pt idx="540">
                  <c:v>3.0830000000000003E-2</c:v>
                </c:pt>
                <c:pt idx="541">
                  <c:v>3.107E-2</c:v>
                </c:pt>
                <c:pt idx="542">
                  <c:v>3.0369999999999998E-2</c:v>
                </c:pt>
                <c:pt idx="543">
                  <c:v>2.9750000000000002E-2</c:v>
                </c:pt>
                <c:pt idx="544">
                  <c:v>2.9940000000000001E-2</c:v>
                </c:pt>
                <c:pt idx="545">
                  <c:v>3.0800000000000001E-2</c:v>
                </c:pt>
                <c:pt idx="546">
                  <c:v>3.0139999999999997E-2</c:v>
                </c:pt>
                <c:pt idx="547">
                  <c:v>3.0139999999999997E-2</c:v>
                </c:pt>
                <c:pt idx="548">
                  <c:v>2.988E-2</c:v>
                </c:pt>
                <c:pt idx="549">
                  <c:v>2.9929999999999998E-2</c:v>
                </c:pt>
                <c:pt idx="550">
                  <c:v>3.1280000000000002E-2</c:v>
                </c:pt>
                <c:pt idx="551">
                  <c:v>3.1120000000000002E-2</c:v>
                </c:pt>
                <c:pt idx="552">
                  <c:v>3.0299999999999997E-2</c:v>
                </c:pt>
                <c:pt idx="553">
                  <c:v>3.048E-2</c:v>
                </c:pt>
                <c:pt idx="554">
                  <c:v>3.1359999999999999E-2</c:v>
                </c:pt>
                <c:pt idx="555">
                  <c:v>3.0169999999999999E-2</c:v>
                </c:pt>
                <c:pt idx="556">
                  <c:v>2.9249999999999998E-2</c:v>
                </c:pt>
                <c:pt idx="557">
                  <c:v>2.9360000000000001E-2</c:v>
                </c:pt>
                <c:pt idx="558">
                  <c:v>0.03</c:v>
                </c:pt>
                <c:pt idx="559">
                  <c:v>3.0699999999999998E-2</c:v>
                </c:pt>
                <c:pt idx="560">
                  <c:v>3.007E-2</c:v>
                </c:pt>
                <c:pt idx="561">
                  <c:v>3.0590000000000003E-2</c:v>
                </c:pt>
                <c:pt idx="562">
                  <c:v>3.1449999999999999E-2</c:v>
                </c:pt>
                <c:pt idx="563">
                  <c:v>3.1910000000000001E-2</c:v>
                </c:pt>
                <c:pt idx="564">
                  <c:v>3.2210000000000003E-2</c:v>
                </c:pt>
                <c:pt idx="565">
                  <c:v>3.0449999999999998E-2</c:v>
                </c:pt>
                <c:pt idx="566">
                  <c:v>2.9740000000000003E-2</c:v>
                </c:pt>
                <c:pt idx="567">
                  <c:v>3.0190000000000002E-2</c:v>
                </c:pt>
                <c:pt idx="568">
                  <c:v>3.1489999999999997E-2</c:v>
                </c:pt>
                <c:pt idx="569">
                  <c:v>3.1460000000000002E-2</c:v>
                </c:pt>
                <c:pt idx="570">
                  <c:v>3.1300000000000001E-2</c:v>
                </c:pt>
                <c:pt idx="571">
                  <c:v>3.0859999999999999E-2</c:v>
                </c:pt>
                <c:pt idx="572">
                  <c:v>3.0259999999999999E-2</c:v>
                </c:pt>
                <c:pt idx="573">
                  <c:v>2.9940000000000001E-2</c:v>
                </c:pt>
                <c:pt idx="574">
                  <c:v>2.9940000000000001E-2</c:v>
                </c:pt>
                <c:pt idx="575">
                  <c:v>3.1600000000000003E-2</c:v>
                </c:pt>
                <c:pt idx="576">
                  <c:v>3.2210000000000003E-2</c:v>
                </c:pt>
                <c:pt idx="577">
                  <c:v>3.218E-2</c:v>
                </c:pt>
                <c:pt idx="578">
                  <c:v>3.2170000000000004E-2</c:v>
                </c:pt>
                <c:pt idx="579">
                  <c:v>3.2140000000000002E-2</c:v>
                </c:pt>
                <c:pt idx="580">
                  <c:v>3.2570000000000002E-2</c:v>
                </c:pt>
                <c:pt idx="581">
                  <c:v>3.1989999999999998E-2</c:v>
                </c:pt>
                <c:pt idx="582">
                  <c:v>3.1419999999999997E-2</c:v>
                </c:pt>
                <c:pt idx="583">
                  <c:v>3.1760000000000004E-2</c:v>
                </c:pt>
                <c:pt idx="584">
                  <c:v>3.27E-2</c:v>
                </c:pt>
                <c:pt idx="585">
                  <c:v>3.1489999999999997E-2</c:v>
                </c:pt>
                <c:pt idx="586">
                  <c:v>3.1400000000000004E-2</c:v>
                </c:pt>
                <c:pt idx="587">
                  <c:v>3.209E-2</c:v>
                </c:pt>
                <c:pt idx="588">
                  <c:v>3.2219999999999999E-2</c:v>
                </c:pt>
                <c:pt idx="589">
                  <c:v>3.1910000000000001E-2</c:v>
                </c:pt>
                <c:pt idx="590">
                  <c:v>3.1609999999999999E-2</c:v>
                </c:pt>
                <c:pt idx="591">
                  <c:v>3.141E-2</c:v>
                </c:pt>
                <c:pt idx="592">
                  <c:v>3.1309999999999998E-2</c:v>
                </c:pt>
                <c:pt idx="593">
                  <c:v>3.1780000000000003E-2</c:v>
                </c:pt>
                <c:pt idx="594">
                  <c:v>3.243E-2</c:v>
                </c:pt>
                <c:pt idx="595">
                  <c:v>3.211E-2</c:v>
                </c:pt>
                <c:pt idx="596">
                  <c:v>3.2400000000000005E-2</c:v>
                </c:pt>
                <c:pt idx="597">
                  <c:v>3.3799999999999997E-2</c:v>
                </c:pt>
                <c:pt idx="598">
                  <c:v>3.4470000000000001E-2</c:v>
                </c:pt>
                <c:pt idx="599">
                  <c:v>3.388E-2</c:v>
                </c:pt>
                <c:pt idx="600">
                  <c:v>3.4070000000000003E-2</c:v>
                </c:pt>
                <c:pt idx="601">
                  <c:v>3.3430000000000001E-2</c:v>
                </c:pt>
                <c:pt idx="602">
                  <c:v>3.3050000000000003E-2</c:v>
                </c:pt>
                <c:pt idx="603">
                  <c:v>3.3649999999999999E-2</c:v>
                </c:pt>
                <c:pt idx="604">
                  <c:v>3.3579999999999999E-2</c:v>
                </c:pt>
                <c:pt idx="605">
                  <c:v>3.4380000000000001E-2</c:v>
                </c:pt>
                <c:pt idx="606">
                  <c:v>3.4329999999999999E-2</c:v>
                </c:pt>
                <c:pt idx="607">
                  <c:v>3.3700000000000001E-2</c:v>
                </c:pt>
                <c:pt idx="608">
                  <c:v>3.5470000000000002E-2</c:v>
                </c:pt>
                <c:pt idx="609">
                  <c:v>3.6040000000000003E-2</c:v>
                </c:pt>
                <c:pt idx="610">
                  <c:v>3.6209999999999999E-2</c:v>
                </c:pt>
                <c:pt idx="611">
                  <c:v>3.6260000000000001E-2</c:v>
                </c:pt>
                <c:pt idx="612">
                  <c:v>3.6600000000000001E-2</c:v>
                </c:pt>
                <c:pt idx="613">
                  <c:v>3.5889999999999998E-2</c:v>
                </c:pt>
                <c:pt idx="614">
                  <c:v>3.669E-2</c:v>
                </c:pt>
                <c:pt idx="615">
                  <c:v>3.6589999999999998E-2</c:v>
                </c:pt>
                <c:pt idx="616">
                  <c:v>3.5729999999999998E-2</c:v>
                </c:pt>
                <c:pt idx="617">
                  <c:v>3.6379999999999996E-2</c:v>
                </c:pt>
                <c:pt idx="618">
                  <c:v>3.7220000000000003E-2</c:v>
                </c:pt>
                <c:pt idx="619">
                  <c:v>3.6760000000000001E-2</c:v>
                </c:pt>
                <c:pt idx="620">
                  <c:v>3.6360000000000003E-2</c:v>
                </c:pt>
                <c:pt idx="621">
                  <c:v>3.6880000000000003E-2</c:v>
                </c:pt>
                <c:pt idx="622">
                  <c:v>3.6979999999999999E-2</c:v>
                </c:pt>
                <c:pt idx="623">
                  <c:v>3.6339999999999997E-2</c:v>
                </c:pt>
                <c:pt idx="624">
                  <c:v>3.5220000000000001E-2</c:v>
                </c:pt>
                <c:pt idx="625">
                  <c:v>3.5249999999999997E-2</c:v>
                </c:pt>
                <c:pt idx="626">
                  <c:v>3.4810000000000001E-2</c:v>
                </c:pt>
                <c:pt idx="627">
                  <c:v>3.5470000000000002E-2</c:v>
                </c:pt>
                <c:pt idx="628">
                  <c:v>3.5019999999999996E-2</c:v>
                </c:pt>
                <c:pt idx="629">
                  <c:v>3.4500000000000003E-2</c:v>
                </c:pt>
                <c:pt idx="630">
                  <c:v>3.4630000000000001E-2</c:v>
                </c:pt>
                <c:pt idx="631">
                  <c:v>3.4500000000000003E-2</c:v>
                </c:pt>
                <c:pt idx="632">
                  <c:v>3.4259999999999999E-2</c:v>
                </c:pt>
                <c:pt idx="633">
                  <c:v>3.3910000000000003E-2</c:v>
                </c:pt>
                <c:pt idx="634">
                  <c:v>3.3690000000000005E-2</c:v>
                </c:pt>
                <c:pt idx="635">
                  <c:v>3.3860000000000001E-2</c:v>
                </c:pt>
                <c:pt idx="636">
                  <c:v>3.4140000000000004E-2</c:v>
                </c:pt>
                <c:pt idx="637">
                  <c:v>3.3279999999999997E-2</c:v>
                </c:pt>
                <c:pt idx="638">
                  <c:v>3.3399999999999999E-2</c:v>
                </c:pt>
                <c:pt idx="639">
                  <c:v>3.3000000000000002E-2</c:v>
                </c:pt>
                <c:pt idx="640">
                  <c:v>3.3180000000000001E-2</c:v>
                </c:pt>
                <c:pt idx="641">
                  <c:v>3.2770000000000001E-2</c:v>
                </c:pt>
                <c:pt idx="642">
                  <c:v>3.2989999999999998E-2</c:v>
                </c:pt>
                <c:pt idx="643">
                  <c:v>3.2590000000000001E-2</c:v>
                </c:pt>
                <c:pt idx="644">
                  <c:v>3.2660000000000002E-2</c:v>
                </c:pt>
                <c:pt idx="645">
                  <c:v>3.304E-2</c:v>
                </c:pt>
                <c:pt idx="646">
                  <c:v>3.3669999999999999E-2</c:v>
                </c:pt>
                <c:pt idx="647">
                  <c:v>3.3370000000000004E-2</c:v>
                </c:pt>
                <c:pt idx="648">
                  <c:v>3.4000000000000002E-2</c:v>
                </c:pt>
                <c:pt idx="649">
                  <c:v>3.4169999999999999E-2</c:v>
                </c:pt>
                <c:pt idx="650">
                  <c:v>3.3690000000000005E-2</c:v>
                </c:pt>
                <c:pt idx="651">
                  <c:v>3.3799999999999997E-2</c:v>
                </c:pt>
                <c:pt idx="652">
                  <c:v>3.4590000000000003E-2</c:v>
                </c:pt>
                <c:pt idx="653">
                  <c:v>3.4769999999999995E-2</c:v>
                </c:pt>
                <c:pt idx="654">
                  <c:v>3.4869999999999998E-2</c:v>
                </c:pt>
                <c:pt idx="655">
                  <c:v>3.4270000000000002E-2</c:v>
                </c:pt>
                <c:pt idx="656">
                  <c:v>3.424E-2</c:v>
                </c:pt>
                <c:pt idx="657">
                  <c:v>3.4300000000000004E-2</c:v>
                </c:pt>
                <c:pt idx="658">
                  <c:v>3.3000000000000002E-2</c:v>
                </c:pt>
                <c:pt idx="659">
                  <c:v>3.3439999999999998E-2</c:v>
                </c:pt>
                <c:pt idx="660">
                  <c:v>3.3460000000000004E-2</c:v>
                </c:pt>
                <c:pt idx="661">
                  <c:v>3.3390000000000003E-2</c:v>
                </c:pt>
                <c:pt idx="662">
                  <c:v>3.3739999999999999E-2</c:v>
                </c:pt>
                <c:pt idx="663">
                  <c:v>3.5099999999999999E-2</c:v>
                </c:pt>
                <c:pt idx="664">
                  <c:v>3.483E-2</c:v>
                </c:pt>
                <c:pt idx="665">
                  <c:v>3.4729999999999997E-2</c:v>
                </c:pt>
                <c:pt idx="666">
                  <c:v>3.456E-2</c:v>
                </c:pt>
                <c:pt idx="667">
                  <c:v>3.424E-2</c:v>
                </c:pt>
                <c:pt idx="668">
                  <c:v>3.3170000000000005E-2</c:v>
                </c:pt>
                <c:pt idx="669">
                  <c:v>3.2840000000000001E-2</c:v>
                </c:pt>
                <c:pt idx="670">
                  <c:v>3.295E-2</c:v>
                </c:pt>
                <c:pt idx="671">
                  <c:v>3.2489999999999998E-2</c:v>
                </c:pt>
                <c:pt idx="672">
                  <c:v>3.2549999999999996E-2</c:v>
                </c:pt>
                <c:pt idx="673">
                  <c:v>3.3119999999999997E-2</c:v>
                </c:pt>
                <c:pt idx="674">
                  <c:v>3.3050000000000003E-2</c:v>
                </c:pt>
                <c:pt idx="675">
                  <c:v>3.2690000000000004E-2</c:v>
                </c:pt>
                <c:pt idx="676">
                  <c:v>3.2349999999999997E-2</c:v>
                </c:pt>
                <c:pt idx="677">
                  <c:v>3.245E-2</c:v>
                </c:pt>
                <c:pt idx="678">
                  <c:v>3.2500000000000001E-2</c:v>
                </c:pt>
                <c:pt idx="679">
                  <c:v>3.2570000000000002E-2</c:v>
                </c:pt>
                <c:pt idx="680">
                  <c:v>3.2410000000000001E-2</c:v>
                </c:pt>
                <c:pt idx="681">
                  <c:v>3.2309999999999998E-2</c:v>
                </c:pt>
                <c:pt idx="682">
                  <c:v>3.243E-2</c:v>
                </c:pt>
                <c:pt idx="683">
                  <c:v>3.2419999999999997E-2</c:v>
                </c:pt>
                <c:pt idx="684">
                  <c:v>3.2320000000000002E-2</c:v>
                </c:pt>
                <c:pt idx="685">
                  <c:v>3.2739999999999998E-2</c:v>
                </c:pt>
                <c:pt idx="686">
                  <c:v>3.3620000000000004E-2</c:v>
                </c:pt>
                <c:pt idx="687">
                  <c:v>3.304E-2</c:v>
                </c:pt>
                <c:pt idx="688">
                  <c:v>3.236E-2</c:v>
                </c:pt>
                <c:pt idx="689">
                  <c:v>3.2570000000000002E-2</c:v>
                </c:pt>
                <c:pt idx="690">
                  <c:v>3.2919999999999998E-2</c:v>
                </c:pt>
                <c:pt idx="691">
                  <c:v>3.3370000000000004E-2</c:v>
                </c:pt>
                <c:pt idx="692">
                  <c:v>3.3660000000000002E-2</c:v>
                </c:pt>
                <c:pt idx="693">
                  <c:v>3.3759999999999998E-2</c:v>
                </c:pt>
                <c:pt idx="694">
                  <c:v>3.3790000000000001E-2</c:v>
                </c:pt>
                <c:pt idx="695">
                  <c:v>3.3950000000000001E-2</c:v>
                </c:pt>
                <c:pt idx="696">
                  <c:v>3.3730000000000003E-2</c:v>
                </c:pt>
                <c:pt idx="697">
                  <c:v>3.3050000000000003E-2</c:v>
                </c:pt>
                <c:pt idx="698">
                  <c:v>3.2559999999999999E-2</c:v>
                </c:pt>
                <c:pt idx="699">
                  <c:v>3.2539999999999999E-2</c:v>
                </c:pt>
                <c:pt idx="700">
                  <c:v>3.2289999999999999E-2</c:v>
                </c:pt>
                <c:pt idx="701">
                  <c:v>3.2199999999999999E-2</c:v>
                </c:pt>
                <c:pt idx="702">
                  <c:v>3.1570000000000001E-2</c:v>
                </c:pt>
                <c:pt idx="703">
                  <c:v>3.1219999999999998E-2</c:v>
                </c:pt>
                <c:pt idx="704">
                  <c:v>3.124E-2</c:v>
                </c:pt>
                <c:pt idx="705">
                  <c:v>3.1579999999999997E-2</c:v>
                </c:pt>
                <c:pt idx="706">
                  <c:v>3.1230000000000001E-2</c:v>
                </c:pt>
                <c:pt idx="707">
                  <c:v>3.1150000000000001E-2</c:v>
                </c:pt>
                <c:pt idx="708">
                  <c:v>3.2039999999999999E-2</c:v>
                </c:pt>
                <c:pt idx="709">
                  <c:v>3.1820000000000001E-2</c:v>
                </c:pt>
                <c:pt idx="710">
                  <c:v>3.1640000000000001E-2</c:v>
                </c:pt>
                <c:pt idx="711">
                  <c:v>3.227E-2</c:v>
                </c:pt>
                <c:pt idx="712">
                  <c:v>3.2969999999999999E-2</c:v>
                </c:pt>
                <c:pt idx="713">
                  <c:v>3.286E-2</c:v>
                </c:pt>
                <c:pt idx="714">
                  <c:v>3.3010000000000005E-2</c:v>
                </c:pt>
                <c:pt idx="715">
                  <c:v>3.2349999999999997E-2</c:v>
                </c:pt>
                <c:pt idx="716">
                  <c:v>3.3189999999999997E-2</c:v>
                </c:pt>
                <c:pt idx="717">
                  <c:v>3.3050000000000003E-2</c:v>
                </c:pt>
                <c:pt idx="718">
                  <c:v>3.3479999999999996E-2</c:v>
                </c:pt>
                <c:pt idx="719">
                  <c:v>3.354E-2</c:v>
                </c:pt>
                <c:pt idx="720">
                  <c:v>3.2690000000000004E-2</c:v>
                </c:pt>
                <c:pt idx="721">
                  <c:v>3.2579999999999998E-2</c:v>
                </c:pt>
                <c:pt idx="722">
                  <c:v>3.3239999999999999E-2</c:v>
                </c:pt>
                <c:pt idx="723">
                  <c:v>3.2309999999999998E-2</c:v>
                </c:pt>
                <c:pt idx="724">
                  <c:v>3.2370000000000003E-2</c:v>
                </c:pt>
                <c:pt idx="725">
                  <c:v>3.2629999999999999E-2</c:v>
                </c:pt>
                <c:pt idx="726">
                  <c:v>3.3180000000000001E-2</c:v>
                </c:pt>
                <c:pt idx="727">
                  <c:v>3.347E-2</c:v>
                </c:pt>
                <c:pt idx="728">
                  <c:v>3.3639999999999996E-2</c:v>
                </c:pt>
                <c:pt idx="729">
                  <c:v>3.3180000000000001E-2</c:v>
                </c:pt>
                <c:pt idx="730">
                  <c:v>3.2799999999999996E-2</c:v>
                </c:pt>
                <c:pt idx="731">
                  <c:v>3.3430000000000001E-2</c:v>
                </c:pt>
                <c:pt idx="732">
                  <c:v>3.3620000000000004E-2</c:v>
                </c:pt>
                <c:pt idx="733">
                  <c:v>3.381E-2</c:v>
                </c:pt>
                <c:pt idx="734">
                  <c:v>3.3230000000000003E-2</c:v>
                </c:pt>
                <c:pt idx="735">
                  <c:v>3.2829999999999998E-2</c:v>
                </c:pt>
                <c:pt idx="736">
                  <c:v>3.2890000000000003E-2</c:v>
                </c:pt>
                <c:pt idx="737">
                  <c:v>3.2709999999999996E-2</c:v>
                </c:pt>
                <c:pt idx="738">
                  <c:v>3.2539999999999999E-2</c:v>
                </c:pt>
                <c:pt idx="739">
                  <c:v>3.2739999999999998E-2</c:v>
                </c:pt>
                <c:pt idx="740">
                  <c:v>3.2539999999999999E-2</c:v>
                </c:pt>
                <c:pt idx="741">
                  <c:v>3.2649999999999998E-2</c:v>
                </c:pt>
                <c:pt idx="742">
                  <c:v>3.1660000000000001E-2</c:v>
                </c:pt>
                <c:pt idx="743">
                  <c:v>3.168E-2</c:v>
                </c:pt>
                <c:pt idx="744">
                  <c:v>3.159E-2</c:v>
                </c:pt>
                <c:pt idx="745">
                  <c:v>3.1519999999999999E-2</c:v>
                </c:pt>
                <c:pt idx="746">
                  <c:v>3.1609999999999999E-2</c:v>
                </c:pt>
                <c:pt idx="747">
                  <c:v>3.177E-2</c:v>
                </c:pt>
                <c:pt idx="748">
                  <c:v>3.2379999999999999E-2</c:v>
                </c:pt>
                <c:pt idx="749">
                  <c:v>3.1850000000000003E-2</c:v>
                </c:pt>
                <c:pt idx="750">
                  <c:v>3.1400000000000004E-2</c:v>
                </c:pt>
                <c:pt idx="751">
                  <c:v>3.1370000000000002E-2</c:v>
                </c:pt>
                <c:pt idx="752">
                  <c:v>3.1780000000000003E-2</c:v>
                </c:pt>
                <c:pt idx="753">
                  <c:v>3.209E-2</c:v>
                </c:pt>
                <c:pt idx="754">
                  <c:v>3.1850000000000003E-2</c:v>
                </c:pt>
                <c:pt idx="755">
                  <c:v>3.236E-2</c:v>
                </c:pt>
                <c:pt idx="756">
                  <c:v>3.1980000000000001E-2</c:v>
                </c:pt>
                <c:pt idx="757">
                  <c:v>3.1419999999999997E-2</c:v>
                </c:pt>
                <c:pt idx="758">
                  <c:v>3.1370000000000002E-2</c:v>
                </c:pt>
                <c:pt idx="759">
                  <c:v>3.1939999999999996E-2</c:v>
                </c:pt>
                <c:pt idx="760">
                  <c:v>3.2639999999999995E-2</c:v>
                </c:pt>
                <c:pt idx="761">
                  <c:v>3.3170000000000005E-2</c:v>
                </c:pt>
                <c:pt idx="762">
                  <c:v>3.322E-2</c:v>
                </c:pt>
                <c:pt idx="763">
                  <c:v>3.3520000000000001E-2</c:v>
                </c:pt>
                <c:pt idx="764">
                  <c:v>3.3680000000000002E-2</c:v>
                </c:pt>
                <c:pt idx="765">
                  <c:v>3.3869999999999997E-2</c:v>
                </c:pt>
                <c:pt idx="766">
                  <c:v>3.3869999999999997E-2</c:v>
                </c:pt>
                <c:pt idx="767">
                  <c:v>3.3910000000000003E-2</c:v>
                </c:pt>
                <c:pt idx="768">
                  <c:v>3.3730000000000003E-2</c:v>
                </c:pt>
                <c:pt idx="769">
                  <c:v>3.381E-2</c:v>
                </c:pt>
                <c:pt idx="770">
                  <c:v>3.3700000000000001E-2</c:v>
                </c:pt>
                <c:pt idx="771">
                  <c:v>3.3849999999999998E-2</c:v>
                </c:pt>
                <c:pt idx="772">
                  <c:v>3.347E-2</c:v>
                </c:pt>
                <c:pt idx="773">
                  <c:v>3.313E-2</c:v>
                </c:pt>
                <c:pt idx="774">
                  <c:v>3.3029999999999997E-2</c:v>
                </c:pt>
                <c:pt idx="775">
                  <c:v>3.2980000000000002E-2</c:v>
                </c:pt>
                <c:pt idx="776">
                  <c:v>3.2620000000000003E-2</c:v>
                </c:pt>
                <c:pt idx="777">
                  <c:v>3.2480000000000002E-2</c:v>
                </c:pt>
                <c:pt idx="778">
                  <c:v>3.2770000000000001E-2</c:v>
                </c:pt>
                <c:pt idx="779">
                  <c:v>3.2230000000000002E-2</c:v>
                </c:pt>
                <c:pt idx="780">
                  <c:v>3.2070000000000001E-2</c:v>
                </c:pt>
                <c:pt idx="781">
                  <c:v>3.2149999999999998E-2</c:v>
                </c:pt>
                <c:pt idx="782">
                  <c:v>3.2170000000000004E-2</c:v>
                </c:pt>
                <c:pt idx="783">
                  <c:v>3.2070000000000001E-2</c:v>
                </c:pt>
                <c:pt idx="784">
                  <c:v>3.2000000000000001E-2</c:v>
                </c:pt>
                <c:pt idx="785">
                  <c:v>3.2010000000000004E-2</c:v>
                </c:pt>
                <c:pt idx="786">
                  <c:v>3.1960000000000002E-2</c:v>
                </c:pt>
                <c:pt idx="787">
                  <c:v>3.1859999999999999E-2</c:v>
                </c:pt>
                <c:pt idx="788">
                  <c:v>3.1949999999999999E-2</c:v>
                </c:pt>
                <c:pt idx="789">
                  <c:v>3.2230000000000002E-2</c:v>
                </c:pt>
                <c:pt idx="790">
                  <c:v>3.1629999999999998E-2</c:v>
                </c:pt>
                <c:pt idx="791">
                  <c:v>3.1200000000000002E-2</c:v>
                </c:pt>
                <c:pt idx="792">
                  <c:v>3.1449999999999999E-2</c:v>
                </c:pt>
                <c:pt idx="793">
                  <c:v>3.1519999999999999E-2</c:v>
                </c:pt>
                <c:pt idx="794">
                  <c:v>3.1980000000000001E-2</c:v>
                </c:pt>
                <c:pt idx="795">
                  <c:v>3.2340000000000001E-2</c:v>
                </c:pt>
                <c:pt idx="796">
                  <c:v>3.1920000000000004E-2</c:v>
                </c:pt>
                <c:pt idx="797">
                  <c:v>3.2039999999999999E-2</c:v>
                </c:pt>
                <c:pt idx="798">
                  <c:v>3.2050000000000002E-2</c:v>
                </c:pt>
                <c:pt idx="799">
                  <c:v>3.1939999999999996E-2</c:v>
                </c:pt>
                <c:pt idx="800">
                  <c:v>3.2509999999999997E-2</c:v>
                </c:pt>
                <c:pt idx="801">
                  <c:v>3.2850000000000004E-2</c:v>
                </c:pt>
                <c:pt idx="802">
                  <c:v>3.27E-2</c:v>
                </c:pt>
                <c:pt idx="803">
                  <c:v>3.1669999999999997E-2</c:v>
                </c:pt>
                <c:pt idx="804">
                  <c:v>3.1349999999999996E-2</c:v>
                </c:pt>
                <c:pt idx="805">
                  <c:v>3.1099999999999999E-2</c:v>
                </c:pt>
                <c:pt idx="806">
                  <c:v>3.1009999999999999E-2</c:v>
                </c:pt>
                <c:pt idx="807">
                  <c:v>3.108E-2</c:v>
                </c:pt>
                <c:pt idx="808">
                  <c:v>3.116E-2</c:v>
                </c:pt>
                <c:pt idx="809">
                  <c:v>3.1379999999999998E-2</c:v>
                </c:pt>
                <c:pt idx="810">
                  <c:v>3.1230000000000001E-2</c:v>
                </c:pt>
                <c:pt idx="811">
                  <c:v>3.1560000000000005E-2</c:v>
                </c:pt>
                <c:pt idx="812">
                  <c:v>3.1649999999999998E-2</c:v>
                </c:pt>
                <c:pt idx="813">
                  <c:v>3.1320000000000001E-2</c:v>
                </c:pt>
                <c:pt idx="814">
                  <c:v>3.1530000000000002E-2</c:v>
                </c:pt>
                <c:pt idx="815">
                  <c:v>3.1789999999999999E-2</c:v>
                </c:pt>
                <c:pt idx="816">
                  <c:v>3.1669999999999997E-2</c:v>
                </c:pt>
                <c:pt idx="817">
                  <c:v>3.1549999999999995E-2</c:v>
                </c:pt>
                <c:pt idx="818">
                  <c:v>3.1390000000000001E-2</c:v>
                </c:pt>
                <c:pt idx="819">
                  <c:v>3.1110000000000002E-2</c:v>
                </c:pt>
                <c:pt idx="820">
                  <c:v>3.1269999999999999E-2</c:v>
                </c:pt>
                <c:pt idx="821">
                  <c:v>3.109E-2</c:v>
                </c:pt>
                <c:pt idx="822">
                  <c:v>3.0699999999999998E-2</c:v>
                </c:pt>
                <c:pt idx="823">
                  <c:v>3.056E-2</c:v>
                </c:pt>
                <c:pt idx="824">
                  <c:v>3.0790000000000001E-2</c:v>
                </c:pt>
                <c:pt idx="825">
                  <c:v>3.1519999999999999E-2</c:v>
                </c:pt>
                <c:pt idx="826">
                  <c:v>3.15E-2</c:v>
                </c:pt>
                <c:pt idx="827">
                  <c:v>3.1320000000000001E-2</c:v>
                </c:pt>
                <c:pt idx="828">
                  <c:v>3.1099999999999999E-2</c:v>
                </c:pt>
                <c:pt idx="829">
                  <c:v>3.092E-2</c:v>
                </c:pt>
                <c:pt idx="830">
                  <c:v>3.0880000000000001E-2</c:v>
                </c:pt>
                <c:pt idx="831">
                  <c:v>3.143E-2</c:v>
                </c:pt>
                <c:pt idx="832">
                  <c:v>3.1190000000000002E-2</c:v>
                </c:pt>
                <c:pt idx="833">
                  <c:v>3.0960000000000001E-2</c:v>
                </c:pt>
                <c:pt idx="834">
                  <c:v>3.1660000000000001E-2</c:v>
                </c:pt>
                <c:pt idx="835">
                  <c:v>3.177E-2</c:v>
                </c:pt>
                <c:pt idx="836">
                  <c:v>3.1460000000000002E-2</c:v>
                </c:pt>
                <c:pt idx="837">
                  <c:v>3.1379999999999998E-2</c:v>
                </c:pt>
                <c:pt idx="838">
                  <c:v>3.1320000000000001E-2</c:v>
                </c:pt>
                <c:pt idx="839">
                  <c:v>3.0839999999999999E-2</c:v>
                </c:pt>
                <c:pt idx="840">
                  <c:v>3.0779999999999998E-2</c:v>
                </c:pt>
                <c:pt idx="841">
                  <c:v>3.0979999999999997E-2</c:v>
                </c:pt>
                <c:pt idx="842">
                  <c:v>3.0790000000000001E-2</c:v>
                </c:pt>
                <c:pt idx="843">
                  <c:v>3.0520000000000002E-2</c:v>
                </c:pt>
                <c:pt idx="844">
                  <c:v>3.0609999999999998E-2</c:v>
                </c:pt>
                <c:pt idx="845">
                  <c:v>3.0459999999999997E-2</c:v>
                </c:pt>
                <c:pt idx="846">
                  <c:v>2.9389999999999999E-2</c:v>
                </c:pt>
                <c:pt idx="847">
                  <c:v>3.0369999999999998E-2</c:v>
                </c:pt>
                <c:pt idx="848">
                  <c:v>3.0619999999999998E-2</c:v>
                </c:pt>
                <c:pt idx="849">
                  <c:v>3.0169999999999999E-2</c:v>
                </c:pt>
                <c:pt idx="850">
                  <c:v>3.065E-2</c:v>
                </c:pt>
                <c:pt idx="851">
                  <c:v>2.9489999999999999E-2</c:v>
                </c:pt>
                <c:pt idx="852">
                  <c:v>2.8610000000000003E-2</c:v>
                </c:pt>
                <c:pt idx="853">
                  <c:v>2.793E-2</c:v>
                </c:pt>
                <c:pt idx="854">
                  <c:v>2.7970000000000002E-2</c:v>
                </c:pt>
                <c:pt idx="855">
                  <c:v>2.955E-2</c:v>
                </c:pt>
                <c:pt idx="856">
                  <c:v>2.9369999999999997E-2</c:v>
                </c:pt>
                <c:pt idx="857">
                  <c:v>2.9420000000000002E-2</c:v>
                </c:pt>
                <c:pt idx="858">
                  <c:v>2.9399999999999999E-2</c:v>
                </c:pt>
                <c:pt idx="859">
                  <c:v>2.86E-2</c:v>
                </c:pt>
                <c:pt idx="860">
                  <c:v>2.8629999999999999E-2</c:v>
                </c:pt>
                <c:pt idx="861">
                  <c:v>2.8309999999999998E-2</c:v>
                </c:pt>
                <c:pt idx="862">
                  <c:v>2.7660000000000001E-2</c:v>
                </c:pt>
                <c:pt idx="863">
                  <c:v>2.6849999999999999E-2</c:v>
                </c:pt>
                <c:pt idx="864">
                  <c:v>2.666E-2</c:v>
                </c:pt>
                <c:pt idx="865">
                  <c:v>2.6549999999999997E-2</c:v>
                </c:pt>
                <c:pt idx="866">
                  <c:v>2.5779999999999997E-2</c:v>
                </c:pt>
                <c:pt idx="867">
                  <c:v>2.6450000000000001E-2</c:v>
                </c:pt>
                <c:pt idx="868">
                  <c:v>2.7040000000000002E-2</c:v>
                </c:pt>
                <c:pt idx="869">
                  <c:v>2.682E-2</c:v>
                </c:pt>
                <c:pt idx="870">
                  <c:v>2.6600000000000002E-2</c:v>
                </c:pt>
                <c:pt idx="871">
                  <c:v>2.6749999999999999E-2</c:v>
                </c:pt>
                <c:pt idx="872">
                  <c:v>2.6549999999999997E-2</c:v>
                </c:pt>
                <c:pt idx="873">
                  <c:v>2.6760000000000003E-2</c:v>
                </c:pt>
                <c:pt idx="874">
                  <c:v>2.5840000000000002E-2</c:v>
                </c:pt>
                <c:pt idx="875">
                  <c:v>2.563E-2</c:v>
                </c:pt>
                <c:pt idx="876">
                  <c:v>2.512E-2</c:v>
                </c:pt>
                <c:pt idx="877">
                  <c:v>2.5670000000000002E-2</c:v>
                </c:pt>
                <c:pt idx="878">
                  <c:v>2.6099999999999998E-2</c:v>
                </c:pt>
                <c:pt idx="879">
                  <c:v>2.5659999999999999E-2</c:v>
                </c:pt>
                <c:pt idx="880">
                  <c:v>2.6380000000000001E-2</c:v>
                </c:pt>
                <c:pt idx="881">
                  <c:v>2.674E-2</c:v>
                </c:pt>
                <c:pt idx="882">
                  <c:v>2.6709999999999998E-2</c:v>
                </c:pt>
                <c:pt idx="883">
                  <c:v>2.6629999999999997E-2</c:v>
                </c:pt>
                <c:pt idx="884">
                  <c:v>2.7290000000000002E-2</c:v>
                </c:pt>
                <c:pt idx="885">
                  <c:v>2.7660000000000001E-2</c:v>
                </c:pt>
                <c:pt idx="886">
                  <c:v>2.6920000000000003E-2</c:v>
                </c:pt>
                <c:pt idx="887">
                  <c:v>2.6469999999999997E-2</c:v>
                </c:pt>
                <c:pt idx="888">
                  <c:v>2.6019999999999998E-2</c:v>
                </c:pt>
                <c:pt idx="889">
                  <c:v>2.6110000000000001E-2</c:v>
                </c:pt>
                <c:pt idx="890">
                  <c:v>2.5849999999999998E-2</c:v>
                </c:pt>
                <c:pt idx="891">
                  <c:v>2.5590000000000002E-2</c:v>
                </c:pt>
                <c:pt idx="892">
                  <c:v>2.5770000000000001E-2</c:v>
                </c:pt>
                <c:pt idx="893">
                  <c:v>2.5659999999999999E-2</c:v>
                </c:pt>
                <c:pt idx="894">
                  <c:v>2.5830000000000002E-2</c:v>
                </c:pt>
                <c:pt idx="895">
                  <c:v>2.5430000000000001E-2</c:v>
                </c:pt>
                <c:pt idx="896">
                  <c:v>2.589E-2</c:v>
                </c:pt>
                <c:pt idx="897">
                  <c:v>2.598E-2</c:v>
                </c:pt>
                <c:pt idx="898">
                  <c:v>2.632E-2</c:v>
                </c:pt>
                <c:pt idx="899">
                  <c:v>2.6339999999999999E-2</c:v>
                </c:pt>
                <c:pt idx="900">
                  <c:v>2.589E-2</c:v>
                </c:pt>
                <c:pt idx="901">
                  <c:v>2.6409999999999999E-2</c:v>
                </c:pt>
                <c:pt idx="902">
                  <c:v>2.6549999999999997E-2</c:v>
                </c:pt>
                <c:pt idx="903">
                  <c:v>2.6530000000000001E-2</c:v>
                </c:pt>
                <c:pt idx="904">
                  <c:v>2.606E-2</c:v>
                </c:pt>
                <c:pt idx="905">
                  <c:v>2.6499999999999999E-2</c:v>
                </c:pt>
                <c:pt idx="906">
                  <c:v>2.6360000000000001E-2</c:v>
                </c:pt>
                <c:pt idx="907">
                  <c:v>2.6380000000000001E-2</c:v>
                </c:pt>
                <c:pt idx="908">
                  <c:v>2.665E-2</c:v>
                </c:pt>
                <c:pt idx="909">
                  <c:v>2.7060000000000001E-2</c:v>
                </c:pt>
                <c:pt idx="910">
                  <c:v>2.7610000000000003E-2</c:v>
                </c:pt>
                <c:pt idx="911">
                  <c:v>2.7699999999999999E-2</c:v>
                </c:pt>
                <c:pt idx="912">
                  <c:v>2.7490000000000001E-2</c:v>
                </c:pt>
                <c:pt idx="913">
                  <c:v>2.717E-2</c:v>
                </c:pt>
                <c:pt idx="914">
                  <c:v>2.6690000000000002E-2</c:v>
                </c:pt>
                <c:pt idx="915">
                  <c:v>2.6980000000000001E-2</c:v>
                </c:pt>
                <c:pt idx="916">
                  <c:v>2.6070000000000003E-2</c:v>
                </c:pt>
                <c:pt idx="917">
                  <c:v>2.6040000000000001E-2</c:v>
                </c:pt>
                <c:pt idx="918">
                  <c:v>2.5619999999999997E-2</c:v>
                </c:pt>
                <c:pt idx="919">
                  <c:v>2.5190000000000001E-2</c:v>
                </c:pt>
                <c:pt idx="920">
                  <c:v>2.5249999999999998E-2</c:v>
                </c:pt>
                <c:pt idx="921">
                  <c:v>2.537E-2</c:v>
                </c:pt>
                <c:pt idx="922">
                  <c:v>2.4279999999999999E-2</c:v>
                </c:pt>
                <c:pt idx="923">
                  <c:v>2.4209999999999999E-2</c:v>
                </c:pt>
                <c:pt idx="924">
                  <c:v>2.3929999999999996E-2</c:v>
                </c:pt>
                <c:pt idx="925">
                  <c:v>2.3300000000000001E-2</c:v>
                </c:pt>
                <c:pt idx="926">
                  <c:v>2.3629999999999998E-2</c:v>
                </c:pt>
                <c:pt idx="927">
                  <c:v>2.3470000000000001E-2</c:v>
                </c:pt>
                <c:pt idx="928">
                  <c:v>2.3119999999999998E-2</c:v>
                </c:pt>
                <c:pt idx="929">
                  <c:v>2.2709999999999998E-2</c:v>
                </c:pt>
                <c:pt idx="930">
                  <c:v>2.2860000000000002E-2</c:v>
                </c:pt>
                <c:pt idx="931">
                  <c:v>2.18E-2</c:v>
                </c:pt>
                <c:pt idx="932">
                  <c:v>2.146E-2</c:v>
                </c:pt>
                <c:pt idx="933">
                  <c:v>2.1569999999999999E-2</c:v>
                </c:pt>
                <c:pt idx="934">
                  <c:v>2.2000000000000002E-2</c:v>
                </c:pt>
                <c:pt idx="935">
                  <c:v>2.1349999999999997E-2</c:v>
                </c:pt>
                <c:pt idx="936">
                  <c:v>2.1160000000000002E-2</c:v>
                </c:pt>
                <c:pt idx="937">
                  <c:v>2.2240000000000003E-2</c:v>
                </c:pt>
                <c:pt idx="938">
                  <c:v>2.283E-2</c:v>
                </c:pt>
                <c:pt idx="939">
                  <c:v>2.3540000000000002E-2</c:v>
                </c:pt>
                <c:pt idx="940">
                  <c:v>2.3359999999999999E-2</c:v>
                </c:pt>
                <c:pt idx="941">
                  <c:v>2.2550000000000001E-2</c:v>
                </c:pt>
                <c:pt idx="942">
                  <c:v>2.2970000000000001E-2</c:v>
                </c:pt>
                <c:pt idx="943">
                  <c:v>2.3359999999999999E-2</c:v>
                </c:pt>
                <c:pt idx="944">
                  <c:v>2.4E-2</c:v>
                </c:pt>
                <c:pt idx="945">
                  <c:v>2.427E-2</c:v>
                </c:pt>
                <c:pt idx="946">
                  <c:v>2.3709999999999998E-2</c:v>
                </c:pt>
                <c:pt idx="947">
                  <c:v>2.4039999999999999E-2</c:v>
                </c:pt>
                <c:pt idx="948">
                  <c:v>2.4780000000000003E-2</c:v>
                </c:pt>
                <c:pt idx="949">
                  <c:v>2.427E-2</c:v>
                </c:pt>
                <c:pt idx="950">
                  <c:v>2.4670000000000001E-2</c:v>
                </c:pt>
                <c:pt idx="951">
                  <c:v>2.453E-2</c:v>
                </c:pt>
                <c:pt idx="952">
                  <c:v>2.349E-2</c:v>
                </c:pt>
                <c:pt idx="953">
                  <c:v>2.2850000000000002E-2</c:v>
                </c:pt>
                <c:pt idx="954">
                  <c:v>2.342E-2</c:v>
                </c:pt>
                <c:pt idx="955">
                  <c:v>2.2690000000000002E-2</c:v>
                </c:pt>
                <c:pt idx="956">
                  <c:v>2.2460000000000001E-2</c:v>
                </c:pt>
                <c:pt idx="957">
                  <c:v>2.2400000000000003E-2</c:v>
                </c:pt>
                <c:pt idx="958">
                  <c:v>2.2780000000000002E-2</c:v>
                </c:pt>
                <c:pt idx="959">
                  <c:v>2.2860000000000002E-2</c:v>
                </c:pt>
                <c:pt idx="960">
                  <c:v>2.2519999999999998E-2</c:v>
                </c:pt>
                <c:pt idx="961">
                  <c:v>2.2789999999999998E-2</c:v>
                </c:pt>
                <c:pt idx="962">
                  <c:v>2.2240000000000003E-2</c:v>
                </c:pt>
                <c:pt idx="963">
                  <c:v>2.2620000000000001E-2</c:v>
                </c:pt>
                <c:pt idx="964">
                  <c:v>2.2540000000000001E-2</c:v>
                </c:pt>
                <c:pt idx="965">
                  <c:v>2.2719999999999997E-2</c:v>
                </c:pt>
                <c:pt idx="966">
                  <c:v>2.2429999999999999E-2</c:v>
                </c:pt>
                <c:pt idx="967">
                  <c:v>2.282E-2</c:v>
                </c:pt>
                <c:pt idx="968">
                  <c:v>2.2949999999999998E-2</c:v>
                </c:pt>
                <c:pt idx="969">
                  <c:v>2.3709999999999998E-2</c:v>
                </c:pt>
                <c:pt idx="970">
                  <c:v>2.3849999999999996E-2</c:v>
                </c:pt>
                <c:pt idx="971">
                  <c:v>2.4140000000000002E-2</c:v>
                </c:pt>
                <c:pt idx="972">
                  <c:v>2.4399999999999998E-2</c:v>
                </c:pt>
                <c:pt idx="973">
                  <c:v>2.4840000000000001E-2</c:v>
                </c:pt>
                <c:pt idx="974">
                  <c:v>2.4740000000000002E-2</c:v>
                </c:pt>
                <c:pt idx="975">
                  <c:v>2.4500000000000001E-2</c:v>
                </c:pt>
                <c:pt idx="976">
                  <c:v>2.5070000000000002E-2</c:v>
                </c:pt>
                <c:pt idx="977">
                  <c:v>2.5649999999999999E-2</c:v>
                </c:pt>
                <c:pt idx="978">
                  <c:v>2.564E-2</c:v>
                </c:pt>
                <c:pt idx="979">
                  <c:v>2.5179999999999998E-2</c:v>
                </c:pt>
                <c:pt idx="980">
                  <c:v>2.4809999999999999E-2</c:v>
                </c:pt>
                <c:pt idx="981">
                  <c:v>2.4700000000000003E-2</c:v>
                </c:pt>
                <c:pt idx="982">
                  <c:v>2.418E-2</c:v>
                </c:pt>
                <c:pt idx="983">
                  <c:v>2.3959999999999999E-2</c:v>
                </c:pt>
                <c:pt idx="984">
                  <c:v>2.4169999999999997E-2</c:v>
                </c:pt>
                <c:pt idx="985">
                  <c:v>2.3900000000000001E-2</c:v>
                </c:pt>
                <c:pt idx="986">
                  <c:v>2.4070000000000001E-2</c:v>
                </c:pt>
                <c:pt idx="987">
                  <c:v>2.4409999999999998E-2</c:v>
                </c:pt>
                <c:pt idx="988">
                  <c:v>2.435E-2</c:v>
                </c:pt>
                <c:pt idx="989">
                  <c:v>2.512E-2</c:v>
                </c:pt>
                <c:pt idx="990">
                  <c:v>2.563E-2</c:v>
                </c:pt>
                <c:pt idx="991">
                  <c:v>2.622E-2</c:v>
                </c:pt>
                <c:pt idx="992">
                  <c:v>2.6009999999999998E-2</c:v>
                </c:pt>
                <c:pt idx="993">
                  <c:v>2.7040000000000002E-2</c:v>
                </c:pt>
                <c:pt idx="994">
                  <c:v>2.7029999999999998E-2</c:v>
                </c:pt>
                <c:pt idx="995">
                  <c:v>2.6499999999999999E-2</c:v>
                </c:pt>
                <c:pt idx="996">
                  <c:v>2.5520000000000001E-2</c:v>
                </c:pt>
                <c:pt idx="997">
                  <c:v>2.7109999999999999E-2</c:v>
                </c:pt>
                <c:pt idx="998">
                  <c:v>2.7120000000000002E-2</c:v>
                </c:pt>
                <c:pt idx="999">
                  <c:v>2.734E-2</c:v>
                </c:pt>
                <c:pt idx="1000">
                  <c:v>2.7570000000000001E-2</c:v>
                </c:pt>
                <c:pt idx="1001">
                  <c:v>2.6699999999999998E-2</c:v>
                </c:pt>
                <c:pt idx="1002">
                  <c:v>2.7799999999999998E-2</c:v>
                </c:pt>
                <c:pt idx="1003">
                  <c:v>2.819E-2</c:v>
                </c:pt>
                <c:pt idx="1004">
                  <c:v>2.8570000000000002E-2</c:v>
                </c:pt>
                <c:pt idx="1005">
                  <c:v>2.8530000000000003E-2</c:v>
                </c:pt>
                <c:pt idx="1006">
                  <c:v>2.9479999999999999E-2</c:v>
                </c:pt>
                <c:pt idx="1007">
                  <c:v>3.0139999999999997E-2</c:v>
                </c:pt>
                <c:pt idx="1008">
                  <c:v>2.947E-2</c:v>
                </c:pt>
                <c:pt idx="1009">
                  <c:v>2.954E-2</c:v>
                </c:pt>
                <c:pt idx="1010">
                  <c:v>2.9759999999999998E-2</c:v>
                </c:pt>
                <c:pt idx="1011">
                  <c:v>3.0259999999999999E-2</c:v>
                </c:pt>
                <c:pt idx="1012">
                  <c:v>3.0299999999999997E-2</c:v>
                </c:pt>
                <c:pt idx="1013">
                  <c:v>3.065E-2</c:v>
                </c:pt>
                <c:pt idx="1014">
                  <c:v>3.0289999999999997E-2</c:v>
                </c:pt>
                <c:pt idx="1015">
                  <c:v>2.9670000000000002E-2</c:v>
                </c:pt>
                <c:pt idx="1016">
                  <c:v>2.9860000000000001E-2</c:v>
                </c:pt>
                <c:pt idx="1017">
                  <c:v>2.9520000000000001E-2</c:v>
                </c:pt>
                <c:pt idx="1018">
                  <c:v>2.9769999999999998E-2</c:v>
                </c:pt>
                <c:pt idx="1019">
                  <c:v>2.9820000000000003E-2</c:v>
                </c:pt>
                <c:pt idx="1020">
                  <c:v>3.031E-2</c:v>
                </c:pt>
                <c:pt idx="1021">
                  <c:v>2.9759999999999998E-2</c:v>
                </c:pt>
                <c:pt idx="1022">
                  <c:v>3.0179999999999998E-2</c:v>
                </c:pt>
                <c:pt idx="1023">
                  <c:v>2.9590000000000002E-2</c:v>
                </c:pt>
                <c:pt idx="1024">
                  <c:v>2.963E-2</c:v>
                </c:pt>
                <c:pt idx="1025">
                  <c:v>2.9220000000000003E-2</c:v>
                </c:pt>
                <c:pt idx="1026">
                  <c:v>2.8910000000000002E-2</c:v>
                </c:pt>
                <c:pt idx="1027">
                  <c:v>2.9380000000000003E-2</c:v>
                </c:pt>
                <c:pt idx="1028">
                  <c:v>2.913E-2</c:v>
                </c:pt>
                <c:pt idx="1029">
                  <c:v>2.8690000000000004E-2</c:v>
                </c:pt>
                <c:pt idx="1030">
                  <c:v>2.87E-2</c:v>
                </c:pt>
                <c:pt idx="1031">
                  <c:v>2.9249999999999998E-2</c:v>
                </c:pt>
                <c:pt idx="1032">
                  <c:v>3.0520000000000002E-2</c:v>
                </c:pt>
                <c:pt idx="1033">
                  <c:v>3.0440000000000002E-2</c:v>
                </c:pt>
                <c:pt idx="1034">
                  <c:v>3.0280000000000001E-2</c:v>
                </c:pt>
                <c:pt idx="1035">
                  <c:v>3.0379999999999997E-2</c:v>
                </c:pt>
                <c:pt idx="1036">
                  <c:v>3.1150000000000001E-2</c:v>
                </c:pt>
                <c:pt idx="1037">
                  <c:v>3.1050000000000001E-2</c:v>
                </c:pt>
                <c:pt idx="1038">
                  <c:v>3.1629999999999998E-2</c:v>
                </c:pt>
                <c:pt idx="1039">
                  <c:v>3.1760000000000004E-2</c:v>
                </c:pt>
                <c:pt idx="1040">
                  <c:v>3.15E-2</c:v>
                </c:pt>
                <c:pt idx="1041">
                  <c:v>3.1440000000000003E-2</c:v>
                </c:pt>
                <c:pt idx="1042">
                  <c:v>3.1829999999999997E-2</c:v>
                </c:pt>
                <c:pt idx="1043">
                  <c:v>3.2059999999999998E-2</c:v>
                </c:pt>
                <c:pt idx="1044">
                  <c:v>3.1480000000000001E-2</c:v>
                </c:pt>
                <c:pt idx="1045">
                  <c:v>3.1549999999999995E-2</c:v>
                </c:pt>
                <c:pt idx="1046">
                  <c:v>3.2210000000000003E-2</c:v>
                </c:pt>
                <c:pt idx="1047">
                  <c:v>3.2590000000000001E-2</c:v>
                </c:pt>
                <c:pt idx="1048">
                  <c:v>3.2160000000000001E-2</c:v>
                </c:pt>
                <c:pt idx="1049">
                  <c:v>3.261E-2</c:v>
                </c:pt>
                <c:pt idx="1050">
                  <c:v>3.2530000000000003E-2</c:v>
                </c:pt>
                <c:pt idx="1051">
                  <c:v>3.2549999999999996E-2</c:v>
                </c:pt>
                <c:pt idx="1052">
                  <c:v>3.3059999999999999E-2</c:v>
                </c:pt>
                <c:pt idx="1053">
                  <c:v>3.3010000000000005E-2</c:v>
                </c:pt>
                <c:pt idx="1054">
                  <c:v>3.2939999999999997E-2</c:v>
                </c:pt>
                <c:pt idx="1055">
                  <c:v>3.2959999999999996E-2</c:v>
                </c:pt>
                <c:pt idx="1056">
                  <c:v>3.2820000000000002E-2</c:v>
                </c:pt>
                <c:pt idx="1057">
                  <c:v>3.2370000000000003E-2</c:v>
                </c:pt>
                <c:pt idx="1058">
                  <c:v>3.1829999999999997E-2</c:v>
                </c:pt>
                <c:pt idx="1059">
                  <c:v>3.2539999999999999E-2</c:v>
                </c:pt>
                <c:pt idx="1060">
                  <c:v>3.184E-2</c:v>
                </c:pt>
                <c:pt idx="1061">
                  <c:v>3.1460000000000002E-2</c:v>
                </c:pt>
                <c:pt idx="1062">
                  <c:v>3.1400000000000004E-2</c:v>
                </c:pt>
                <c:pt idx="1063">
                  <c:v>3.1309999999999998E-2</c:v>
                </c:pt>
                <c:pt idx="1064">
                  <c:v>3.1519999999999999E-2</c:v>
                </c:pt>
                <c:pt idx="1065">
                  <c:v>3.1699999999999999E-2</c:v>
                </c:pt>
                <c:pt idx="1066">
                  <c:v>3.1789999999999999E-2</c:v>
                </c:pt>
                <c:pt idx="1067">
                  <c:v>3.1969999999999998E-2</c:v>
                </c:pt>
                <c:pt idx="1068">
                  <c:v>3.3259999999999998E-2</c:v>
                </c:pt>
                <c:pt idx="1069">
                  <c:v>3.2730000000000002E-2</c:v>
                </c:pt>
                <c:pt idx="1070">
                  <c:v>3.2730000000000002E-2</c:v>
                </c:pt>
                <c:pt idx="1071">
                  <c:v>3.3050000000000003E-2</c:v>
                </c:pt>
                <c:pt idx="1072">
                  <c:v>3.2899999999999999E-2</c:v>
                </c:pt>
                <c:pt idx="1073">
                  <c:v>3.2500000000000001E-2</c:v>
                </c:pt>
                <c:pt idx="1074">
                  <c:v>3.2140000000000002E-2</c:v>
                </c:pt>
                <c:pt idx="1075">
                  <c:v>3.227E-2</c:v>
                </c:pt>
                <c:pt idx="1076">
                  <c:v>3.1370000000000002E-2</c:v>
                </c:pt>
                <c:pt idx="1077">
                  <c:v>3.0899999999999997E-2</c:v>
                </c:pt>
                <c:pt idx="1078">
                  <c:v>3.1690000000000003E-2</c:v>
                </c:pt>
                <c:pt idx="1079">
                  <c:v>3.1879999999999999E-2</c:v>
                </c:pt>
                <c:pt idx="1080">
                  <c:v>3.2329999999999998E-2</c:v>
                </c:pt>
                <c:pt idx="1081">
                  <c:v>3.2570000000000002E-2</c:v>
                </c:pt>
                <c:pt idx="1082">
                  <c:v>3.236E-2</c:v>
                </c:pt>
                <c:pt idx="1083">
                  <c:v>3.245E-2</c:v>
                </c:pt>
                <c:pt idx="1084">
                  <c:v>3.2799999999999996E-2</c:v>
                </c:pt>
                <c:pt idx="1085">
                  <c:v>3.2910000000000002E-2</c:v>
                </c:pt>
                <c:pt idx="1086">
                  <c:v>3.3319999999999995E-2</c:v>
                </c:pt>
                <c:pt idx="1087">
                  <c:v>3.3390000000000003E-2</c:v>
                </c:pt>
                <c:pt idx="1088">
                  <c:v>3.354E-2</c:v>
                </c:pt>
                <c:pt idx="1089">
                  <c:v>3.372E-2</c:v>
                </c:pt>
                <c:pt idx="1090">
                  <c:v>3.3690000000000005E-2</c:v>
                </c:pt>
                <c:pt idx="1091">
                  <c:v>3.3919999999999999E-2</c:v>
                </c:pt>
                <c:pt idx="1092">
                  <c:v>3.431E-2</c:v>
                </c:pt>
                <c:pt idx="1093">
                  <c:v>3.422E-2</c:v>
                </c:pt>
                <c:pt idx="1094">
                  <c:v>3.4810000000000001E-2</c:v>
                </c:pt>
                <c:pt idx="1095">
                  <c:v>3.4910000000000004E-2</c:v>
                </c:pt>
                <c:pt idx="1096">
                  <c:v>3.4409999999999996E-2</c:v>
                </c:pt>
                <c:pt idx="1097">
                  <c:v>3.4349999999999999E-2</c:v>
                </c:pt>
                <c:pt idx="1098">
                  <c:v>3.4279999999999998E-2</c:v>
                </c:pt>
                <c:pt idx="1099">
                  <c:v>3.3780000000000004E-2</c:v>
                </c:pt>
                <c:pt idx="1100">
                  <c:v>3.2480000000000002E-2</c:v>
                </c:pt>
                <c:pt idx="1101">
                  <c:v>3.2750000000000001E-2</c:v>
                </c:pt>
                <c:pt idx="1102">
                  <c:v>3.3050000000000003E-2</c:v>
                </c:pt>
                <c:pt idx="1103">
                  <c:v>3.2599999999999997E-2</c:v>
                </c:pt>
                <c:pt idx="1104">
                  <c:v>3.2480000000000002E-2</c:v>
                </c:pt>
                <c:pt idx="1105">
                  <c:v>3.2919999999999998E-2</c:v>
                </c:pt>
                <c:pt idx="1106">
                  <c:v>3.2620000000000003E-2</c:v>
                </c:pt>
                <c:pt idx="1107">
                  <c:v>3.2390000000000002E-2</c:v>
                </c:pt>
                <c:pt idx="1108">
                  <c:v>3.2460000000000003E-2</c:v>
                </c:pt>
                <c:pt idx="1109">
                  <c:v>3.279E-2</c:v>
                </c:pt>
                <c:pt idx="1110">
                  <c:v>3.2959999999999996E-2</c:v>
                </c:pt>
                <c:pt idx="1111">
                  <c:v>3.2149999999999998E-2</c:v>
                </c:pt>
                <c:pt idx="1112">
                  <c:v>3.1699999999999999E-2</c:v>
                </c:pt>
                <c:pt idx="1113">
                  <c:v>3.1030000000000002E-2</c:v>
                </c:pt>
                <c:pt idx="1114">
                  <c:v>3.1219999999999998E-2</c:v>
                </c:pt>
                <c:pt idx="1115">
                  <c:v>3.1280000000000002E-2</c:v>
                </c:pt>
                <c:pt idx="1116">
                  <c:v>3.109E-2</c:v>
                </c:pt>
                <c:pt idx="1117">
                  <c:v>3.0769999999999999E-2</c:v>
                </c:pt>
                <c:pt idx="1118">
                  <c:v>3.116E-2</c:v>
                </c:pt>
                <c:pt idx="1119">
                  <c:v>3.0929999999999999E-2</c:v>
                </c:pt>
                <c:pt idx="1120">
                  <c:v>3.1200000000000002E-2</c:v>
                </c:pt>
                <c:pt idx="1121">
                  <c:v>3.1139999999999998E-2</c:v>
                </c:pt>
                <c:pt idx="1122">
                  <c:v>3.057E-2</c:v>
                </c:pt>
                <c:pt idx="1123">
                  <c:v>3.0139999999999997E-2</c:v>
                </c:pt>
                <c:pt idx="1124">
                  <c:v>3.0689999999999999E-2</c:v>
                </c:pt>
                <c:pt idx="1125">
                  <c:v>3.048E-2</c:v>
                </c:pt>
                <c:pt idx="1126">
                  <c:v>2.997E-2</c:v>
                </c:pt>
                <c:pt idx="1127">
                  <c:v>2.9849999999999998E-2</c:v>
                </c:pt>
                <c:pt idx="1128">
                  <c:v>2.9759999999999998E-2</c:v>
                </c:pt>
                <c:pt idx="1129">
                  <c:v>3.0200000000000001E-2</c:v>
                </c:pt>
                <c:pt idx="1130">
                  <c:v>2.9870000000000001E-2</c:v>
                </c:pt>
                <c:pt idx="1131">
                  <c:v>2.9900000000000003E-2</c:v>
                </c:pt>
                <c:pt idx="1132">
                  <c:v>3.058E-2</c:v>
                </c:pt>
                <c:pt idx="1133">
                  <c:v>3.0249999999999999E-2</c:v>
                </c:pt>
                <c:pt idx="1134">
                  <c:v>3.0939999999999999E-2</c:v>
                </c:pt>
                <c:pt idx="1135">
                  <c:v>3.0539999999999998E-2</c:v>
                </c:pt>
                <c:pt idx="1136">
                  <c:v>3.0299999999999997E-2</c:v>
                </c:pt>
                <c:pt idx="1137">
                  <c:v>2.9609999999999997E-2</c:v>
                </c:pt>
                <c:pt idx="1138">
                  <c:v>2.9580000000000002E-2</c:v>
                </c:pt>
                <c:pt idx="1139">
                  <c:v>3.0139999999999997E-2</c:v>
                </c:pt>
                <c:pt idx="1140">
                  <c:v>2.9529999999999997E-2</c:v>
                </c:pt>
                <c:pt idx="1141">
                  <c:v>2.9159999999999998E-2</c:v>
                </c:pt>
                <c:pt idx="1142">
                  <c:v>2.9590000000000002E-2</c:v>
                </c:pt>
                <c:pt idx="1143">
                  <c:v>2.9649999999999999E-2</c:v>
                </c:pt>
                <c:pt idx="1144">
                  <c:v>2.9790000000000001E-2</c:v>
                </c:pt>
                <c:pt idx="1145">
                  <c:v>2.9420000000000002E-2</c:v>
                </c:pt>
                <c:pt idx="1146">
                  <c:v>2.8660000000000001E-2</c:v>
                </c:pt>
                <c:pt idx="1147">
                  <c:v>2.8340000000000001E-2</c:v>
                </c:pt>
                <c:pt idx="1148">
                  <c:v>2.8910000000000002E-2</c:v>
                </c:pt>
                <c:pt idx="1149">
                  <c:v>2.9329999999999998E-2</c:v>
                </c:pt>
                <c:pt idx="1150">
                  <c:v>2.9839999999999998E-2</c:v>
                </c:pt>
                <c:pt idx="1151">
                  <c:v>3.0249999999999999E-2</c:v>
                </c:pt>
                <c:pt idx="1152">
                  <c:v>3.0339999999999999E-2</c:v>
                </c:pt>
                <c:pt idx="1153">
                  <c:v>3.0200000000000001E-2</c:v>
                </c:pt>
                <c:pt idx="1154">
                  <c:v>3.0079999999999999E-2</c:v>
                </c:pt>
                <c:pt idx="1155">
                  <c:v>2.9329999999999998E-2</c:v>
                </c:pt>
                <c:pt idx="1156">
                  <c:v>2.9670000000000002E-2</c:v>
                </c:pt>
                <c:pt idx="1157">
                  <c:v>2.8290000000000003E-2</c:v>
                </c:pt>
                <c:pt idx="1158">
                  <c:v>2.6720000000000001E-2</c:v>
                </c:pt>
                <c:pt idx="1159">
                  <c:v>2.7109999999999999E-2</c:v>
                </c:pt>
                <c:pt idx="1160">
                  <c:v>2.7480000000000001E-2</c:v>
                </c:pt>
                <c:pt idx="1161">
                  <c:v>2.7380000000000002E-2</c:v>
                </c:pt>
                <c:pt idx="1162">
                  <c:v>2.6949999999999998E-2</c:v>
                </c:pt>
                <c:pt idx="1163">
                  <c:v>2.648E-2</c:v>
                </c:pt>
                <c:pt idx="1164">
                  <c:v>2.6779999999999998E-2</c:v>
                </c:pt>
                <c:pt idx="1165">
                  <c:v>2.767E-2</c:v>
                </c:pt>
                <c:pt idx="1166">
                  <c:v>2.8769999999999997E-2</c:v>
                </c:pt>
                <c:pt idx="1167">
                  <c:v>2.828E-2</c:v>
                </c:pt>
                <c:pt idx="1168">
                  <c:v>2.7629999999999998E-2</c:v>
                </c:pt>
                <c:pt idx="1169">
                  <c:v>2.7400000000000001E-2</c:v>
                </c:pt>
                <c:pt idx="1170">
                  <c:v>2.6509999999999999E-2</c:v>
                </c:pt>
                <c:pt idx="1171">
                  <c:v>2.6329999999999999E-2</c:v>
                </c:pt>
                <c:pt idx="1172">
                  <c:v>2.538E-2</c:v>
                </c:pt>
                <c:pt idx="1173">
                  <c:v>2.453E-2</c:v>
                </c:pt>
                <c:pt idx="1174">
                  <c:v>2.4160000000000001E-2</c:v>
                </c:pt>
                <c:pt idx="1175">
                  <c:v>2.4029999999999999E-2</c:v>
                </c:pt>
                <c:pt idx="1176">
                  <c:v>2.3E-2</c:v>
                </c:pt>
                <c:pt idx="1177">
                  <c:v>2.3460000000000002E-2</c:v>
                </c:pt>
                <c:pt idx="1178">
                  <c:v>2.2620000000000001E-2</c:v>
                </c:pt>
                <c:pt idx="1179">
                  <c:v>2.3650000000000001E-2</c:v>
                </c:pt>
                <c:pt idx="1180">
                  <c:v>2.1920000000000002E-2</c:v>
                </c:pt>
                <c:pt idx="1181">
                  <c:v>2.316E-2</c:v>
                </c:pt>
                <c:pt idx="1182">
                  <c:v>2.3330000000000004E-2</c:v>
                </c:pt>
                <c:pt idx="1183">
                  <c:v>2.3250000000000003E-2</c:v>
                </c:pt>
                <c:pt idx="1184">
                  <c:v>2.3239999999999997E-2</c:v>
                </c:pt>
                <c:pt idx="1185">
                  <c:v>2.2029999999999998E-2</c:v>
                </c:pt>
                <c:pt idx="1186">
                  <c:v>2.0870000000000003E-2</c:v>
                </c:pt>
                <c:pt idx="1187">
                  <c:v>2.1049999999999999E-2</c:v>
                </c:pt>
                <c:pt idx="1188">
                  <c:v>2.1019999999999997E-2</c:v>
                </c:pt>
                <c:pt idx="1189">
                  <c:v>2.128E-2</c:v>
                </c:pt>
                <c:pt idx="1190">
                  <c:v>2.2080000000000002E-2</c:v>
                </c:pt>
                <c:pt idx="1191">
                  <c:v>2.1860000000000001E-2</c:v>
                </c:pt>
                <c:pt idx="1192">
                  <c:v>2.1569999999999999E-2</c:v>
                </c:pt>
                <c:pt idx="1193">
                  <c:v>2.2269999999999998E-2</c:v>
                </c:pt>
                <c:pt idx="1194">
                  <c:v>2.1530000000000001E-2</c:v>
                </c:pt>
                <c:pt idx="1195">
                  <c:v>2.2189999999999998E-2</c:v>
                </c:pt>
                <c:pt idx="1196">
                  <c:v>2.145E-2</c:v>
                </c:pt>
                <c:pt idx="1197">
                  <c:v>2.0080000000000001E-2</c:v>
                </c:pt>
                <c:pt idx="1198">
                  <c:v>1.847E-2</c:v>
                </c:pt>
                <c:pt idx="1199">
                  <c:v>1.848E-2</c:v>
                </c:pt>
                <c:pt idx="1200">
                  <c:v>1.907E-2</c:v>
                </c:pt>
                <c:pt idx="1201">
                  <c:v>1.8700000000000001E-2</c:v>
                </c:pt>
                <c:pt idx="1202">
                  <c:v>1.772E-2</c:v>
                </c:pt>
                <c:pt idx="1203">
                  <c:v>1.7430000000000001E-2</c:v>
                </c:pt>
                <c:pt idx="1204">
                  <c:v>1.7940000000000001E-2</c:v>
                </c:pt>
                <c:pt idx="1205">
                  <c:v>1.8779999999999998E-2</c:v>
                </c:pt>
                <c:pt idx="1206">
                  <c:v>1.9290000000000002E-2</c:v>
                </c:pt>
                <c:pt idx="1207">
                  <c:v>1.8630000000000001E-2</c:v>
                </c:pt>
                <c:pt idx="1208">
                  <c:v>1.8000000000000002E-2</c:v>
                </c:pt>
                <c:pt idx="1209">
                  <c:v>1.7909999999999999E-2</c:v>
                </c:pt>
                <c:pt idx="1210">
                  <c:v>1.772E-2</c:v>
                </c:pt>
                <c:pt idx="1211">
                  <c:v>1.6739999999999998E-2</c:v>
                </c:pt>
                <c:pt idx="1212">
                  <c:v>1.7469999999999999E-2</c:v>
                </c:pt>
                <c:pt idx="1213">
                  <c:v>1.8290000000000001E-2</c:v>
                </c:pt>
                <c:pt idx="1214">
                  <c:v>1.9619999999999999E-2</c:v>
                </c:pt>
                <c:pt idx="1215">
                  <c:v>2.0110000000000003E-2</c:v>
                </c:pt>
                <c:pt idx="1216">
                  <c:v>2.0070000000000001E-2</c:v>
                </c:pt>
                <c:pt idx="1217">
                  <c:v>1.8870000000000001E-2</c:v>
                </c:pt>
                <c:pt idx="1218">
                  <c:v>1.8149999999999999E-2</c:v>
                </c:pt>
                <c:pt idx="1219">
                  <c:v>1.7260000000000001E-2</c:v>
                </c:pt>
                <c:pt idx="1220">
                  <c:v>1.839E-2</c:v>
                </c:pt>
                <c:pt idx="1221">
                  <c:v>1.942E-2</c:v>
                </c:pt>
                <c:pt idx="1222">
                  <c:v>2.0019999999999996E-2</c:v>
                </c:pt>
                <c:pt idx="1223">
                  <c:v>2.0830000000000001E-2</c:v>
                </c:pt>
                <c:pt idx="1224">
                  <c:v>2.0889999999999999E-2</c:v>
                </c:pt>
                <c:pt idx="1225">
                  <c:v>2.189E-2</c:v>
                </c:pt>
                <c:pt idx="1226">
                  <c:v>2.1049999999999999E-2</c:v>
                </c:pt>
                <c:pt idx="1227">
                  <c:v>2.1989999999999999E-2</c:v>
                </c:pt>
                <c:pt idx="1228">
                  <c:v>2.0979999999999999E-2</c:v>
                </c:pt>
                <c:pt idx="1229">
                  <c:v>2.0129999999999999E-2</c:v>
                </c:pt>
                <c:pt idx="1230">
                  <c:v>2.0590000000000001E-2</c:v>
                </c:pt>
                <c:pt idx="1231">
                  <c:v>1.9980000000000001E-2</c:v>
                </c:pt>
                <c:pt idx="1232">
                  <c:v>2.1059999999999999E-2</c:v>
                </c:pt>
                <c:pt idx="1233">
                  <c:v>2.121E-2</c:v>
                </c:pt>
                <c:pt idx="1234">
                  <c:v>2.0590000000000001E-2</c:v>
                </c:pt>
                <c:pt idx="1235">
                  <c:v>2.0369999999999999E-2</c:v>
                </c:pt>
                <c:pt idx="1236">
                  <c:v>2.206E-2</c:v>
                </c:pt>
                <c:pt idx="1237">
                  <c:v>2.1770000000000001E-2</c:v>
                </c:pt>
                <c:pt idx="1238">
                  <c:v>2.0250000000000001E-2</c:v>
                </c:pt>
                <c:pt idx="1239">
                  <c:v>1.7680000000000001E-2</c:v>
                </c:pt>
                <c:pt idx="1240">
                  <c:v>1.8269999999999998E-2</c:v>
                </c:pt>
                <c:pt idx="1241">
                  <c:v>1.9130000000000001E-2</c:v>
                </c:pt>
                <c:pt idx="1242">
                  <c:v>1.823E-2</c:v>
                </c:pt>
                <c:pt idx="1243">
                  <c:v>1.78E-2</c:v>
                </c:pt>
                <c:pt idx="1244">
                  <c:v>1.8009999999999998E-2</c:v>
                </c:pt>
                <c:pt idx="1245">
                  <c:v>1.721E-2</c:v>
                </c:pt>
                <c:pt idx="1246">
                  <c:v>1.7780000000000001E-2</c:v>
                </c:pt>
                <c:pt idx="1247">
                  <c:v>1.8879999999999997E-2</c:v>
                </c:pt>
                <c:pt idx="1248">
                  <c:v>1.7809999999999999E-2</c:v>
                </c:pt>
                <c:pt idx="1249">
                  <c:v>1.7819999999999999E-2</c:v>
                </c:pt>
                <c:pt idx="1250">
                  <c:v>1.8149999999999999E-2</c:v>
                </c:pt>
                <c:pt idx="1251">
                  <c:v>1.8919999999999999E-2</c:v>
                </c:pt>
                <c:pt idx="1252">
                  <c:v>1.967E-2</c:v>
                </c:pt>
                <c:pt idx="1253">
                  <c:v>1.915E-2</c:v>
                </c:pt>
                <c:pt idx="1254">
                  <c:v>1.9189999999999999E-2</c:v>
                </c:pt>
                <c:pt idx="1255">
                  <c:v>2.1480000000000003E-2</c:v>
                </c:pt>
                <c:pt idx="1256">
                  <c:v>2.1940000000000001E-2</c:v>
                </c:pt>
                <c:pt idx="1257">
                  <c:v>2.2629999999999997E-2</c:v>
                </c:pt>
                <c:pt idx="1258">
                  <c:v>2.3E-2</c:v>
                </c:pt>
                <c:pt idx="1259">
                  <c:v>2.3310000000000001E-2</c:v>
                </c:pt>
                <c:pt idx="1260">
                  <c:v>2.2799999999999997E-2</c:v>
                </c:pt>
                <c:pt idx="1261">
                  <c:v>2.1780000000000001E-2</c:v>
                </c:pt>
                <c:pt idx="1262">
                  <c:v>2.1349999999999997E-2</c:v>
                </c:pt>
                <c:pt idx="1263">
                  <c:v>2.2040000000000001E-2</c:v>
                </c:pt>
                <c:pt idx="1264">
                  <c:v>2.188E-2</c:v>
                </c:pt>
                <c:pt idx="1265">
                  <c:v>2.104E-2</c:v>
                </c:pt>
                <c:pt idx="1266">
                  <c:v>2.0160000000000001E-2</c:v>
                </c:pt>
                <c:pt idx="1267">
                  <c:v>2.1489999999999999E-2</c:v>
                </c:pt>
                <c:pt idx="1268">
                  <c:v>2.0209999999999999E-2</c:v>
                </c:pt>
                <c:pt idx="1269">
                  <c:v>2.0279999999999999E-2</c:v>
                </c:pt>
                <c:pt idx="1270">
                  <c:v>1.9210000000000001E-2</c:v>
                </c:pt>
                <c:pt idx="1271">
                  <c:v>1.9450000000000002E-2</c:v>
                </c:pt>
                <c:pt idx="1272">
                  <c:v>1.8520000000000002E-2</c:v>
                </c:pt>
                <c:pt idx="1273">
                  <c:v>1.882E-2</c:v>
                </c:pt>
                <c:pt idx="1274">
                  <c:v>1.9550000000000001E-2</c:v>
                </c:pt>
                <c:pt idx="1275">
                  <c:v>1.934E-2</c:v>
                </c:pt>
                <c:pt idx="1276">
                  <c:v>1.9439999999999999E-2</c:v>
                </c:pt>
                <c:pt idx="1277">
                  <c:v>1.9599999999999999E-2</c:v>
                </c:pt>
                <c:pt idx="1278">
                  <c:v>1.9210000000000001E-2</c:v>
                </c:pt>
                <c:pt idx="1279">
                  <c:v>1.8939999999999999E-2</c:v>
                </c:pt>
                <c:pt idx="1280">
                  <c:v>1.8420000000000002E-2</c:v>
                </c:pt>
                <c:pt idx="1281">
                  <c:v>1.8290000000000001E-2</c:v>
                </c:pt>
                <c:pt idx="1282">
                  <c:v>1.9050000000000001E-2</c:v>
                </c:pt>
                <c:pt idx="1283">
                  <c:v>1.899E-2</c:v>
                </c:pt>
                <c:pt idx="1284">
                  <c:v>1.924E-2</c:v>
                </c:pt>
                <c:pt idx="1285">
                  <c:v>1.8630000000000001E-2</c:v>
                </c:pt>
                <c:pt idx="1286">
                  <c:v>1.8540000000000001E-2</c:v>
                </c:pt>
                <c:pt idx="1287">
                  <c:v>1.8450000000000001E-2</c:v>
                </c:pt>
                <c:pt idx="1288">
                  <c:v>1.8839999999999999E-2</c:v>
                </c:pt>
                <c:pt idx="1289">
                  <c:v>1.814E-2</c:v>
                </c:pt>
                <c:pt idx="1290">
                  <c:v>1.8349999999999998E-2</c:v>
                </c:pt>
                <c:pt idx="1291">
                  <c:v>1.7649999999999999E-2</c:v>
                </c:pt>
                <c:pt idx="1292">
                  <c:v>1.7689999999999997E-2</c:v>
                </c:pt>
                <c:pt idx="1293">
                  <c:v>1.7920000000000002E-2</c:v>
                </c:pt>
                <c:pt idx="1294">
                  <c:v>1.7849999999999998E-2</c:v>
                </c:pt>
                <c:pt idx="1295">
                  <c:v>1.8600000000000002E-2</c:v>
                </c:pt>
                <c:pt idx="1296">
                  <c:v>1.9290000000000002E-2</c:v>
                </c:pt>
                <c:pt idx="1297">
                  <c:v>1.9710000000000002E-2</c:v>
                </c:pt>
                <c:pt idx="1298">
                  <c:v>1.993E-2</c:v>
                </c:pt>
                <c:pt idx="1299">
                  <c:v>1.9450000000000002E-2</c:v>
                </c:pt>
                <c:pt idx="1300">
                  <c:v>1.8710000000000001E-2</c:v>
                </c:pt>
                <c:pt idx="1301">
                  <c:v>1.8579999999999999E-2</c:v>
                </c:pt>
                <c:pt idx="1302">
                  <c:v>1.7929999999999998E-2</c:v>
                </c:pt>
                <c:pt idx="1303">
                  <c:v>1.787E-2</c:v>
                </c:pt>
                <c:pt idx="1304">
                  <c:v>1.8520000000000002E-2</c:v>
                </c:pt>
                <c:pt idx="1305">
                  <c:v>1.8520000000000002E-2</c:v>
                </c:pt>
                <c:pt idx="1306">
                  <c:v>1.933E-2</c:v>
                </c:pt>
                <c:pt idx="1307">
                  <c:v>1.8870000000000001E-2</c:v>
                </c:pt>
                <c:pt idx="1308">
                  <c:v>1.9630000000000002E-2</c:v>
                </c:pt>
                <c:pt idx="1309">
                  <c:v>1.983E-2</c:v>
                </c:pt>
                <c:pt idx="1310">
                  <c:v>2.0160000000000001E-2</c:v>
                </c:pt>
                <c:pt idx="1311">
                  <c:v>1.907E-2</c:v>
                </c:pt>
                <c:pt idx="1312">
                  <c:v>1.9310000000000001E-2</c:v>
                </c:pt>
                <c:pt idx="1313">
                  <c:v>1.9019999999999999E-2</c:v>
                </c:pt>
                <c:pt idx="1314">
                  <c:v>1.8610000000000002E-2</c:v>
                </c:pt>
                <c:pt idx="1315">
                  <c:v>1.8959999999999998E-2</c:v>
                </c:pt>
                <c:pt idx="1316">
                  <c:v>1.925E-2</c:v>
                </c:pt>
                <c:pt idx="1317">
                  <c:v>1.9610000000000002E-2</c:v>
                </c:pt>
                <c:pt idx="1318">
                  <c:v>1.9820000000000001E-2</c:v>
                </c:pt>
                <c:pt idx="1319">
                  <c:v>1.8919999999999999E-2</c:v>
                </c:pt>
                <c:pt idx="1320">
                  <c:v>1.883E-2</c:v>
                </c:pt>
                <c:pt idx="1321">
                  <c:v>1.8839999999999999E-2</c:v>
                </c:pt>
                <c:pt idx="1322">
                  <c:v>1.8290000000000001E-2</c:v>
                </c:pt>
                <c:pt idx="1323">
                  <c:v>1.8009999999999998E-2</c:v>
                </c:pt>
                <c:pt idx="1324">
                  <c:v>1.8180000000000002E-2</c:v>
                </c:pt>
                <c:pt idx="1325">
                  <c:v>1.865E-2</c:v>
                </c:pt>
                <c:pt idx="1326">
                  <c:v>1.8000000000000002E-2</c:v>
                </c:pt>
                <c:pt idx="1327">
                  <c:v>1.8260000000000002E-2</c:v>
                </c:pt>
                <c:pt idx="1328">
                  <c:v>1.7769999999999998E-2</c:v>
                </c:pt>
                <c:pt idx="1329">
                  <c:v>1.772E-2</c:v>
                </c:pt>
                <c:pt idx="1330">
                  <c:v>1.7979999999999999E-2</c:v>
                </c:pt>
                <c:pt idx="1331">
                  <c:v>1.7940000000000001E-2</c:v>
                </c:pt>
                <c:pt idx="1332">
                  <c:v>1.7569999999999999E-2</c:v>
                </c:pt>
                <c:pt idx="1333">
                  <c:v>1.821E-2</c:v>
                </c:pt>
                <c:pt idx="1334">
                  <c:v>1.9539999999999998E-2</c:v>
                </c:pt>
                <c:pt idx="1335">
                  <c:v>1.968E-2</c:v>
                </c:pt>
                <c:pt idx="1336">
                  <c:v>2.0499999999999997E-2</c:v>
                </c:pt>
                <c:pt idx="1337">
                  <c:v>2.0560000000000002E-2</c:v>
                </c:pt>
                <c:pt idx="1338">
                  <c:v>2.0409999999999998E-2</c:v>
                </c:pt>
                <c:pt idx="1339">
                  <c:v>1.9790000000000002E-2</c:v>
                </c:pt>
                <c:pt idx="1340">
                  <c:v>1.9119999999999998E-2</c:v>
                </c:pt>
                <c:pt idx="1341">
                  <c:v>1.865E-2</c:v>
                </c:pt>
                <c:pt idx="1342">
                  <c:v>1.9539999999999998E-2</c:v>
                </c:pt>
                <c:pt idx="1343">
                  <c:v>1.8890000000000001E-2</c:v>
                </c:pt>
                <c:pt idx="1344">
                  <c:v>1.8319999999999999E-2</c:v>
                </c:pt>
                <c:pt idx="1345">
                  <c:v>1.8079999999999999E-2</c:v>
                </c:pt>
                <c:pt idx="1346">
                  <c:v>1.7940000000000001E-2</c:v>
                </c:pt>
                <c:pt idx="1347">
                  <c:v>1.804E-2</c:v>
                </c:pt>
                <c:pt idx="1348">
                  <c:v>1.804E-2</c:v>
                </c:pt>
                <c:pt idx="1349">
                  <c:v>1.788E-2</c:v>
                </c:pt>
                <c:pt idx="1350">
                  <c:v>1.7350000000000001E-2</c:v>
                </c:pt>
                <c:pt idx="1351">
                  <c:v>1.643E-2</c:v>
                </c:pt>
                <c:pt idx="1352">
                  <c:v>1.7809999999999999E-2</c:v>
                </c:pt>
                <c:pt idx="1353">
                  <c:v>1.788E-2</c:v>
                </c:pt>
                <c:pt idx="1354">
                  <c:v>1.7350000000000001E-2</c:v>
                </c:pt>
                <c:pt idx="1355">
                  <c:v>1.7170000000000001E-2</c:v>
                </c:pt>
                <c:pt idx="1356">
                  <c:v>1.7500000000000002E-2</c:v>
                </c:pt>
                <c:pt idx="1357">
                  <c:v>1.72E-2</c:v>
                </c:pt>
                <c:pt idx="1358">
                  <c:v>1.6920000000000001E-2</c:v>
                </c:pt>
                <c:pt idx="1359">
                  <c:v>1.7090000000000001E-2</c:v>
                </c:pt>
                <c:pt idx="1360">
                  <c:v>1.644E-2</c:v>
                </c:pt>
                <c:pt idx="1361">
                  <c:v>1.6979999999999999E-2</c:v>
                </c:pt>
                <c:pt idx="1362">
                  <c:v>1.7410000000000002E-2</c:v>
                </c:pt>
                <c:pt idx="1363">
                  <c:v>1.6830000000000001E-2</c:v>
                </c:pt>
                <c:pt idx="1364">
                  <c:v>1.6990000000000002E-2</c:v>
                </c:pt>
                <c:pt idx="1365">
                  <c:v>1.6629999999999999E-2</c:v>
                </c:pt>
                <c:pt idx="1366">
                  <c:v>1.609E-2</c:v>
                </c:pt>
                <c:pt idx="1367">
                  <c:v>1.6120000000000002E-2</c:v>
                </c:pt>
                <c:pt idx="1368">
                  <c:v>1.584E-2</c:v>
                </c:pt>
                <c:pt idx="1369">
                  <c:v>1.6049999999999998E-2</c:v>
                </c:pt>
                <c:pt idx="1370">
                  <c:v>1.542E-2</c:v>
                </c:pt>
                <c:pt idx="1371">
                  <c:v>1.5180000000000001E-2</c:v>
                </c:pt>
                <c:pt idx="1372">
                  <c:v>1.5389999999999999E-2</c:v>
                </c:pt>
                <c:pt idx="1373">
                  <c:v>1.516E-2</c:v>
                </c:pt>
                <c:pt idx="1374">
                  <c:v>1.4570000000000001E-2</c:v>
                </c:pt>
                <c:pt idx="1375">
                  <c:v>1.47E-2</c:v>
                </c:pt>
                <c:pt idx="1376">
                  <c:v>1.47E-2</c:v>
                </c:pt>
                <c:pt idx="1377">
                  <c:v>1.413E-2</c:v>
                </c:pt>
                <c:pt idx="1378">
                  <c:v>1.426E-2</c:v>
                </c:pt>
                <c:pt idx="1379">
                  <c:v>1.431E-2</c:v>
                </c:pt>
                <c:pt idx="1380">
                  <c:v>1.468E-2</c:v>
                </c:pt>
                <c:pt idx="1381">
                  <c:v>1.3839999999999998E-2</c:v>
                </c:pt>
                <c:pt idx="1382">
                  <c:v>1.391E-2</c:v>
                </c:pt>
                <c:pt idx="1383">
                  <c:v>1.37E-2</c:v>
                </c:pt>
                <c:pt idx="1384">
                  <c:v>1.3640000000000001E-2</c:v>
                </c:pt>
                <c:pt idx="1385">
                  <c:v>1.359E-2</c:v>
                </c:pt>
                <c:pt idx="1386">
                  <c:v>1.269E-2</c:v>
                </c:pt>
                <c:pt idx="1387">
                  <c:v>1.2E-2</c:v>
                </c:pt>
                <c:pt idx="1388">
                  <c:v>1.172E-2</c:v>
                </c:pt>
                <c:pt idx="1389">
                  <c:v>1.208E-2</c:v>
                </c:pt>
                <c:pt idx="1390">
                  <c:v>1.208E-2</c:v>
                </c:pt>
                <c:pt idx="1391">
                  <c:v>1.3349999999999999E-2</c:v>
                </c:pt>
                <c:pt idx="1392">
                  <c:v>1.375E-2</c:v>
                </c:pt>
                <c:pt idx="1393">
                  <c:v>1.329E-2</c:v>
                </c:pt>
                <c:pt idx="1394">
                  <c:v>1.3049999999999999E-2</c:v>
                </c:pt>
                <c:pt idx="1395">
                  <c:v>1.4239999999999999E-2</c:v>
                </c:pt>
                <c:pt idx="1396">
                  <c:v>1.4879999999999999E-2</c:v>
                </c:pt>
                <c:pt idx="1397">
                  <c:v>1.4870000000000001E-2</c:v>
                </c:pt>
                <c:pt idx="1398">
                  <c:v>1.4370000000000001E-2</c:v>
                </c:pt>
                <c:pt idx="1399">
                  <c:v>1.4119999999999999E-2</c:v>
                </c:pt>
                <c:pt idx="1400">
                  <c:v>1.5309999999999999E-2</c:v>
                </c:pt>
                <c:pt idx="1401">
                  <c:v>1.6150000000000001E-2</c:v>
                </c:pt>
                <c:pt idx="1402">
                  <c:v>1.5339999999999999E-2</c:v>
                </c:pt>
                <c:pt idx="1403">
                  <c:v>1.5810000000000001E-2</c:v>
                </c:pt>
                <c:pt idx="1404">
                  <c:v>1.4630000000000001E-2</c:v>
                </c:pt>
                <c:pt idx="1405">
                  <c:v>1.5049999999999999E-2</c:v>
                </c:pt>
                <c:pt idx="1406">
                  <c:v>1.567E-2</c:v>
                </c:pt>
                <c:pt idx="1407">
                  <c:v>1.5129999999999999E-2</c:v>
                </c:pt>
                <c:pt idx="1408">
                  <c:v>1.583E-2</c:v>
                </c:pt>
                <c:pt idx="1409">
                  <c:v>1.5189999999999999E-2</c:v>
                </c:pt>
                <c:pt idx="1410">
                  <c:v>1.533E-2</c:v>
                </c:pt>
                <c:pt idx="1411">
                  <c:v>1.4539999999999999E-2</c:v>
                </c:pt>
                <c:pt idx="1412">
                  <c:v>1.3819999999999999E-2</c:v>
                </c:pt>
                <c:pt idx="1413">
                  <c:v>1.3269999999999999E-2</c:v>
                </c:pt>
                <c:pt idx="1414">
                  <c:v>1.321E-2</c:v>
                </c:pt>
                <c:pt idx="1415">
                  <c:v>1.321E-2</c:v>
                </c:pt>
                <c:pt idx="1416">
                  <c:v>1.2709999999999999E-2</c:v>
                </c:pt>
                <c:pt idx="1417">
                  <c:v>1.2490000000000001E-2</c:v>
                </c:pt>
                <c:pt idx="1418">
                  <c:v>1.26E-2</c:v>
                </c:pt>
                <c:pt idx="1419">
                  <c:v>1.2319999999999999E-2</c:v>
                </c:pt>
                <c:pt idx="1420">
                  <c:v>1.2319999999999999E-2</c:v>
                </c:pt>
                <c:pt idx="1421">
                  <c:v>1.1990000000000001E-2</c:v>
                </c:pt>
                <c:pt idx="1422">
                  <c:v>1.217E-2</c:v>
                </c:pt>
                <c:pt idx="1423">
                  <c:v>1.167E-2</c:v>
                </c:pt>
                <c:pt idx="1424">
                  <c:v>1.175E-2</c:v>
                </c:pt>
                <c:pt idx="1425">
                  <c:v>1.2359999999999999E-2</c:v>
                </c:pt>
                <c:pt idx="1426">
                  <c:v>1.2619999999999999E-2</c:v>
                </c:pt>
                <c:pt idx="1427">
                  <c:v>1.321E-2</c:v>
                </c:pt>
                <c:pt idx="1428">
                  <c:v>1.3979999999999999E-2</c:v>
                </c:pt>
                <c:pt idx="1429">
                  <c:v>1.375E-2</c:v>
                </c:pt>
                <c:pt idx="1430">
                  <c:v>1.2849999999999999E-2</c:v>
                </c:pt>
                <c:pt idx="1431">
                  <c:v>1.3680000000000001E-2</c:v>
                </c:pt>
                <c:pt idx="1432">
                  <c:v>1.2270000000000001E-2</c:v>
                </c:pt>
                <c:pt idx="1433">
                  <c:v>1.4239999999999999E-2</c:v>
                </c:pt>
                <c:pt idx="1434">
                  <c:v>1.3959999999999998E-2</c:v>
                </c:pt>
                <c:pt idx="1435">
                  <c:v>1.485E-2</c:v>
                </c:pt>
                <c:pt idx="1436">
                  <c:v>1.421E-2</c:v>
                </c:pt>
                <c:pt idx="1437">
                  <c:v>1.4339999999999999E-2</c:v>
                </c:pt>
                <c:pt idx="1438">
                  <c:v>1.3849999999999999E-2</c:v>
                </c:pt>
                <c:pt idx="1439">
                  <c:v>1.4019999999999999E-2</c:v>
                </c:pt>
                <c:pt idx="1440">
                  <c:v>1.468E-2</c:v>
                </c:pt>
                <c:pt idx="1441">
                  <c:v>1.5629999999999998E-2</c:v>
                </c:pt>
                <c:pt idx="1442">
                  <c:v>1.5260000000000001E-2</c:v>
                </c:pt>
                <c:pt idx="1443">
                  <c:v>1.4959999999999999E-2</c:v>
                </c:pt>
                <c:pt idx="1444">
                  <c:v>1.5089999999999999E-2</c:v>
                </c:pt>
                <c:pt idx="1445">
                  <c:v>1.5569999999999999E-2</c:v>
                </c:pt>
                <c:pt idx="1446">
                  <c:v>1.4610000000000001E-2</c:v>
                </c:pt>
                <c:pt idx="1447">
                  <c:v>1.3769999999999999E-2</c:v>
                </c:pt>
                <c:pt idx="1448">
                  <c:v>1.355E-2</c:v>
                </c:pt>
                <c:pt idx="1449">
                  <c:v>1.3520000000000001E-2</c:v>
                </c:pt>
                <c:pt idx="1450">
                  <c:v>1.341E-2</c:v>
                </c:pt>
                <c:pt idx="1451">
                  <c:v>1.38E-2</c:v>
                </c:pt>
                <c:pt idx="1452">
                  <c:v>1.3220000000000001E-2</c:v>
                </c:pt>
                <c:pt idx="1453">
                  <c:v>1.3340000000000001E-2</c:v>
                </c:pt>
                <c:pt idx="1454">
                  <c:v>1.3779999999999999E-2</c:v>
                </c:pt>
                <c:pt idx="1455">
                  <c:v>1.391E-2</c:v>
                </c:pt>
                <c:pt idx="1456">
                  <c:v>1.4790000000000001E-2</c:v>
                </c:pt>
                <c:pt idx="1457">
                  <c:v>1.559E-2</c:v>
                </c:pt>
                <c:pt idx="1458">
                  <c:v>1.5189999999999999E-2</c:v>
                </c:pt>
                <c:pt idx="1459">
                  <c:v>1.5469999999999999E-2</c:v>
                </c:pt>
                <c:pt idx="1460">
                  <c:v>1.5429999999999999E-2</c:v>
                </c:pt>
                <c:pt idx="1461">
                  <c:v>1.617E-2</c:v>
                </c:pt>
                <c:pt idx="1462">
                  <c:v>1.554E-2</c:v>
                </c:pt>
                <c:pt idx="1463">
                  <c:v>1.7059999999999999E-2</c:v>
                </c:pt>
                <c:pt idx="1464">
                  <c:v>1.6719999999999999E-2</c:v>
                </c:pt>
                <c:pt idx="1465">
                  <c:v>1.6369999999999999E-2</c:v>
                </c:pt>
                <c:pt idx="1466">
                  <c:v>1.6220000000000002E-2</c:v>
                </c:pt>
                <c:pt idx="1467">
                  <c:v>1.5740000000000001E-2</c:v>
                </c:pt>
                <c:pt idx="1468">
                  <c:v>1.5960000000000002E-2</c:v>
                </c:pt>
                <c:pt idx="1469">
                  <c:v>1.559E-2</c:v>
                </c:pt>
                <c:pt idx="1470">
                  <c:v>1.584E-2</c:v>
                </c:pt>
                <c:pt idx="1471">
                  <c:v>1.456E-2</c:v>
                </c:pt>
                <c:pt idx="1472">
                  <c:v>1.4570000000000001E-2</c:v>
                </c:pt>
                <c:pt idx="1473">
                  <c:v>1.4419999999999999E-2</c:v>
                </c:pt>
                <c:pt idx="1474">
                  <c:v>1.4499999999999999E-2</c:v>
                </c:pt>
                <c:pt idx="1475">
                  <c:v>1.456E-2</c:v>
                </c:pt>
                <c:pt idx="1476">
                  <c:v>1.4459999999999999E-2</c:v>
                </c:pt>
                <c:pt idx="1477">
                  <c:v>1.4459999999999999E-2</c:v>
                </c:pt>
                <c:pt idx="1478">
                  <c:v>1.52E-2</c:v>
                </c:pt>
                <c:pt idx="1479">
                  <c:v>1.4750000000000001E-2</c:v>
                </c:pt>
                <c:pt idx="1480">
                  <c:v>1.474E-2</c:v>
                </c:pt>
                <c:pt idx="1481">
                  <c:v>1.489E-2</c:v>
                </c:pt>
                <c:pt idx="1482">
                  <c:v>1.502E-2</c:v>
                </c:pt>
                <c:pt idx="1483">
                  <c:v>1.4450000000000001E-2</c:v>
                </c:pt>
                <c:pt idx="1484">
                  <c:v>1.472E-2</c:v>
                </c:pt>
                <c:pt idx="1485">
                  <c:v>1.5429999999999999E-2</c:v>
                </c:pt>
                <c:pt idx="1486">
                  <c:v>1.634E-2</c:v>
                </c:pt>
                <c:pt idx="1487">
                  <c:v>1.6330000000000001E-2</c:v>
                </c:pt>
                <c:pt idx="1488">
                  <c:v>1.5939999999999999E-2</c:v>
                </c:pt>
                <c:pt idx="1489">
                  <c:v>1.618E-2</c:v>
                </c:pt>
                <c:pt idx="1490">
                  <c:v>1.5720000000000001E-2</c:v>
                </c:pt>
                <c:pt idx="1491">
                  <c:v>1.5560000000000001E-2</c:v>
                </c:pt>
                <c:pt idx="1492">
                  <c:v>1.583E-2</c:v>
                </c:pt>
                <c:pt idx="1493">
                  <c:v>1.537E-2</c:v>
                </c:pt>
                <c:pt idx="1494">
                  <c:v>1.4579999999999999E-2</c:v>
                </c:pt>
                <c:pt idx="1495">
                  <c:v>1.478E-2</c:v>
                </c:pt>
                <c:pt idx="1496">
                  <c:v>1.4619999999999999E-2</c:v>
                </c:pt>
                <c:pt idx="1497">
                  <c:v>1.455E-2</c:v>
                </c:pt>
                <c:pt idx="1498">
                  <c:v>1.4499999999999999E-2</c:v>
                </c:pt>
                <c:pt idx="1499">
                  <c:v>1.4279999999999999E-2</c:v>
                </c:pt>
                <c:pt idx="1500">
                  <c:v>1.439E-2</c:v>
                </c:pt>
                <c:pt idx="1501">
                  <c:v>1.38E-2</c:v>
                </c:pt>
                <c:pt idx="1502">
                  <c:v>1.3640000000000001E-2</c:v>
                </c:pt>
                <c:pt idx="1503">
                  <c:v>1.3480000000000001E-2</c:v>
                </c:pt>
                <c:pt idx="1504">
                  <c:v>1.3440000000000001E-2</c:v>
                </c:pt>
                <c:pt idx="1505">
                  <c:v>1.3380000000000001E-2</c:v>
                </c:pt>
                <c:pt idx="1506">
                  <c:v>1.341E-2</c:v>
                </c:pt>
                <c:pt idx="1507">
                  <c:v>1.3380000000000001E-2</c:v>
                </c:pt>
                <c:pt idx="1508">
                  <c:v>1.3309999999999999E-2</c:v>
                </c:pt>
                <c:pt idx="1509">
                  <c:v>1.355E-2</c:v>
                </c:pt>
                <c:pt idx="1510">
                  <c:v>1.417E-2</c:v>
                </c:pt>
                <c:pt idx="1511">
                  <c:v>1.431E-2</c:v>
                </c:pt>
                <c:pt idx="1512">
                  <c:v>1.431E-2</c:v>
                </c:pt>
                <c:pt idx="1513">
                  <c:v>1.436E-2</c:v>
                </c:pt>
                <c:pt idx="1514">
                  <c:v>1.414E-2</c:v>
                </c:pt>
                <c:pt idx="1515">
                  <c:v>1.44E-2</c:v>
                </c:pt>
                <c:pt idx="1516">
                  <c:v>1.3680000000000001E-2</c:v>
                </c:pt>
                <c:pt idx="1517">
                  <c:v>1.366E-2</c:v>
                </c:pt>
                <c:pt idx="1518">
                  <c:v>1.3859999999999999E-2</c:v>
                </c:pt>
                <c:pt idx="1519">
                  <c:v>1.409E-2</c:v>
                </c:pt>
                <c:pt idx="1520">
                  <c:v>1.3939999999999999E-2</c:v>
                </c:pt>
                <c:pt idx="1521">
                  <c:v>1.3480000000000001E-2</c:v>
                </c:pt>
                <c:pt idx="1522">
                  <c:v>1.2960000000000001E-2</c:v>
                </c:pt>
                <c:pt idx="1523">
                  <c:v>1.295E-2</c:v>
                </c:pt>
                <c:pt idx="1524">
                  <c:v>1.306E-2</c:v>
                </c:pt>
                <c:pt idx="1525">
                  <c:v>1.319E-2</c:v>
                </c:pt>
                <c:pt idx="1526">
                  <c:v>1.3349999999999999E-2</c:v>
                </c:pt>
                <c:pt idx="1527">
                  <c:v>1.353E-2</c:v>
                </c:pt>
                <c:pt idx="1528">
                  <c:v>1.3480000000000001E-2</c:v>
                </c:pt>
                <c:pt idx="1529">
                  <c:v>1.3720000000000001E-2</c:v>
                </c:pt>
                <c:pt idx="1530">
                  <c:v>1.41E-2</c:v>
                </c:pt>
                <c:pt idx="1531">
                  <c:v>1.43E-2</c:v>
                </c:pt>
                <c:pt idx="1532">
                  <c:v>1.4159999999999999E-2</c:v>
                </c:pt>
                <c:pt idx="1533">
                  <c:v>1.376E-2</c:v>
                </c:pt>
                <c:pt idx="1534">
                  <c:v>1.376E-2</c:v>
                </c:pt>
                <c:pt idx="1535">
                  <c:v>1.315E-2</c:v>
                </c:pt>
                <c:pt idx="1536">
                  <c:v>1.3100000000000001E-2</c:v>
                </c:pt>
                <c:pt idx="1537">
                  <c:v>1.316E-2</c:v>
                </c:pt>
                <c:pt idx="1538">
                  <c:v>1.316E-2</c:v>
                </c:pt>
                <c:pt idx="1539">
                  <c:v>1.4419999999999999E-2</c:v>
                </c:pt>
                <c:pt idx="1540">
                  <c:v>1.4790000000000001E-2</c:v>
                </c:pt>
                <c:pt idx="1541">
                  <c:v>1.536E-2</c:v>
                </c:pt>
                <c:pt idx="1542">
                  <c:v>1.5149999999999999E-2</c:v>
                </c:pt>
                <c:pt idx="1543">
                  <c:v>1.4910000000000001E-2</c:v>
                </c:pt>
                <c:pt idx="1544">
                  <c:v>1.477E-2</c:v>
                </c:pt>
                <c:pt idx="1545">
                  <c:v>1.5600000000000001E-2</c:v>
                </c:pt>
                <c:pt idx="1546">
                  <c:v>1.583E-2</c:v>
                </c:pt>
                <c:pt idx="1547">
                  <c:v>1.5509999999999999E-2</c:v>
                </c:pt>
                <c:pt idx="1548">
                  <c:v>1.5769999999999999E-2</c:v>
                </c:pt>
                <c:pt idx="1549">
                  <c:v>1.5650000000000001E-2</c:v>
                </c:pt>
                <c:pt idx="1550">
                  <c:v>1.6070000000000001E-2</c:v>
                </c:pt>
                <c:pt idx="1551">
                  <c:v>1.555E-2</c:v>
                </c:pt>
                <c:pt idx="1552">
                  <c:v>1.593E-2</c:v>
                </c:pt>
                <c:pt idx="1553">
                  <c:v>1.5720000000000001E-2</c:v>
                </c:pt>
                <c:pt idx="1554">
                  <c:v>1.5440000000000001E-2</c:v>
                </c:pt>
                <c:pt idx="1555">
                  <c:v>1.5720000000000001E-2</c:v>
                </c:pt>
                <c:pt idx="1556">
                  <c:v>1.636E-2</c:v>
                </c:pt>
                <c:pt idx="1557">
                  <c:v>1.6930000000000001E-2</c:v>
                </c:pt>
                <c:pt idx="1558">
                  <c:v>1.6899999999999998E-2</c:v>
                </c:pt>
                <c:pt idx="1559">
                  <c:v>1.711E-2</c:v>
                </c:pt>
                <c:pt idx="1560">
                  <c:v>1.6799999999999999E-2</c:v>
                </c:pt>
                <c:pt idx="1561">
                  <c:v>1.6719999999999999E-2</c:v>
                </c:pt>
                <c:pt idx="1562">
                  <c:v>1.6109999999999999E-2</c:v>
                </c:pt>
                <c:pt idx="1563">
                  <c:v>1.651E-2</c:v>
                </c:pt>
                <c:pt idx="1564">
                  <c:v>1.6299999999999999E-2</c:v>
                </c:pt>
                <c:pt idx="1565">
                  <c:v>1.6040000000000002E-2</c:v>
                </c:pt>
                <c:pt idx="1566">
                  <c:v>1.609E-2</c:v>
                </c:pt>
                <c:pt idx="1567">
                  <c:v>1.609E-2</c:v>
                </c:pt>
                <c:pt idx="1568">
                  <c:v>1.6289999999999999E-2</c:v>
                </c:pt>
                <c:pt idx="1569">
                  <c:v>1.6709999999999999E-2</c:v>
                </c:pt>
                <c:pt idx="1570">
                  <c:v>1.643E-2</c:v>
                </c:pt>
                <c:pt idx="1571">
                  <c:v>1.652E-2</c:v>
                </c:pt>
                <c:pt idx="1572">
                  <c:v>1.6289999999999999E-2</c:v>
                </c:pt>
                <c:pt idx="1573">
                  <c:v>1.6220000000000002E-2</c:v>
                </c:pt>
                <c:pt idx="1574">
                  <c:v>1.6539999999999999E-2</c:v>
                </c:pt>
                <c:pt idx="1575">
                  <c:v>1.5730000000000001E-2</c:v>
                </c:pt>
                <c:pt idx="1576">
                  <c:v>1.5679999999999999E-2</c:v>
                </c:pt>
                <c:pt idx="1577">
                  <c:v>1.5560000000000001E-2</c:v>
                </c:pt>
                <c:pt idx="1578">
                  <c:v>1.4530000000000001E-2</c:v>
                </c:pt>
                <c:pt idx="1579">
                  <c:v>1.451E-2</c:v>
                </c:pt>
                <c:pt idx="1580">
                  <c:v>1.4539999999999999E-2</c:v>
                </c:pt>
                <c:pt idx="1581">
                  <c:v>1.41E-2</c:v>
                </c:pt>
                <c:pt idx="1582">
                  <c:v>1.418E-2</c:v>
                </c:pt>
                <c:pt idx="1583">
                  <c:v>1.4499999999999999E-2</c:v>
                </c:pt>
                <c:pt idx="1584">
                  <c:v>1.4570000000000001E-2</c:v>
                </c:pt>
                <c:pt idx="1585">
                  <c:v>1.4919999999999999E-2</c:v>
                </c:pt>
                <c:pt idx="1586">
                  <c:v>1.525E-2</c:v>
                </c:pt>
                <c:pt idx="1587">
                  <c:v>1.516E-2</c:v>
                </c:pt>
                <c:pt idx="1588">
                  <c:v>1.481E-2</c:v>
                </c:pt>
                <c:pt idx="1589">
                  <c:v>1.481E-2</c:v>
                </c:pt>
                <c:pt idx="1590">
                  <c:v>1.473E-2</c:v>
                </c:pt>
                <c:pt idx="1591">
                  <c:v>1.455E-2</c:v>
                </c:pt>
                <c:pt idx="1592">
                  <c:v>1.4070000000000001E-2</c:v>
                </c:pt>
                <c:pt idx="1593">
                  <c:v>1.3460000000000001E-2</c:v>
                </c:pt>
                <c:pt idx="1594">
                  <c:v>1.387E-2</c:v>
                </c:pt>
                <c:pt idx="1595">
                  <c:v>1.3650000000000001E-2</c:v>
                </c:pt>
                <c:pt idx="1596">
                  <c:v>1.379E-2</c:v>
                </c:pt>
                <c:pt idx="1597">
                  <c:v>1.3269999999999999E-2</c:v>
                </c:pt>
                <c:pt idx="1598">
                  <c:v>1.345E-2</c:v>
                </c:pt>
                <c:pt idx="1599">
                  <c:v>1.2699999999999999E-2</c:v>
                </c:pt>
                <c:pt idx="1600">
                  <c:v>1.2889999999999999E-2</c:v>
                </c:pt>
                <c:pt idx="1601">
                  <c:v>1.2889999999999999E-2</c:v>
                </c:pt>
                <c:pt idx="1602">
                  <c:v>1.2889999999999999E-2</c:v>
                </c:pt>
                <c:pt idx="1603">
                  <c:v>1.307E-2</c:v>
                </c:pt>
                <c:pt idx="1604">
                  <c:v>1.2880000000000001E-2</c:v>
                </c:pt>
                <c:pt idx="1605">
                  <c:v>1.2390000000000002E-2</c:v>
                </c:pt>
                <c:pt idx="1606">
                  <c:v>1.2119999999999999E-2</c:v>
                </c:pt>
                <c:pt idx="1607">
                  <c:v>1.2370000000000001E-2</c:v>
                </c:pt>
                <c:pt idx="1608">
                  <c:v>1.26E-2</c:v>
                </c:pt>
                <c:pt idx="1609">
                  <c:v>1.3040000000000001E-2</c:v>
                </c:pt>
                <c:pt idx="1610">
                  <c:v>1.3009999999999999E-2</c:v>
                </c:pt>
                <c:pt idx="1611">
                  <c:v>1.26E-2</c:v>
                </c:pt>
                <c:pt idx="1612">
                  <c:v>1.2450000000000001E-2</c:v>
                </c:pt>
                <c:pt idx="1613">
                  <c:v>1.2769999999999998E-2</c:v>
                </c:pt>
                <c:pt idx="1614">
                  <c:v>1.2279999999999999E-2</c:v>
                </c:pt>
                <c:pt idx="1615">
                  <c:v>1.226E-2</c:v>
                </c:pt>
                <c:pt idx="1616">
                  <c:v>1.2509999999999999E-2</c:v>
                </c:pt>
                <c:pt idx="1617">
                  <c:v>1.2319999999999999E-2</c:v>
                </c:pt>
                <c:pt idx="1618">
                  <c:v>1.26E-2</c:v>
                </c:pt>
                <c:pt idx="1619">
                  <c:v>1.238E-2</c:v>
                </c:pt>
                <c:pt idx="1620">
                  <c:v>1.238E-2</c:v>
                </c:pt>
                <c:pt idx="1621">
                  <c:v>1.206E-2</c:v>
                </c:pt>
                <c:pt idx="1622">
                  <c:v>1.204E-2</c:v>
                </c:pt>
                <c:pt idx="1623">
                  <c:v>1.2159999999999999E-2</c:v>
                </c:pt>
                <c:pt idx="1624">
                  <c:v>1.208E-2</c:v>
                </c:pt>
                <c:pt idx="1625">
                  <c:v>1.1650000000000001E-2</c:v>
                </c:pt>
                <c:pt idx="1626">
                  <c:v>1.24E-2</c:v>
                </c:pt>
                <c:pt idx="1627">
                  <c:v>1.2430000000000002E-2</c:v>
                </c:pt>
                <c:pt idx="1628">
                  <c:v>1.298E-2</c:v>
                </c:pt>
                <c:pt idx="1629">
                  <c:v>1.269E-2</c:v>
                </c:pt>
                <c:pt idx="1630">
                  <c:v>1.2699999999999999E-2</c:v>
                </c:pt>
                <c:pt idx="1631">
                  <c:v>1.38E-2</c:v>
                </c:pt>
                <c:pt idx="1632">
                  <c:v>1.3560000000000001E-2</c:v>
                </c:pt>
                <c:pt idx="1633">
                  <c:v>1.374E-2</c:v>
                </c:pt>
                <c:pt idx="1634">
                  <c:v>1.3819999999999999E-2</c:v>
                </c:pt>
                <c:pt idx="1635">
                  <c:v>1.3309999999999999E-2</c:v>
                </c:pt>
                <c:pt idx="1636">
                  <c:v>1.3260000000000001E-2</c:v>
                </c:pt>
                <c:pt idx="1637">
                  <c:v>1.376E-2</c:v>
                </c:pt>
                <c:pt idx="1638">
                  <c:v>1.391E-2</c:v>
                </c:pt>
                <c:pt idx="1639">
                  <c:v>1.427E-2</c:v>
                </c:pt>
                <c:pt idx="1640">
                  <c:v>1.444E-2</c:v>
                </c:pt>
                <c:pt idx="1641">
                  <c:v>1.431E-2</c:v>
                </c:pt>
                <c:pt idx="1642">
                  <c:v>1.4570000000000001E-2</c:v>
                </c:pt>
                <c:pt idx="1643">
                  <c:v>1.498E-2</c:v>
                </c:pt>
                <c:pt idx="1644">
                  <c:v>1.533E-2</c:v>
                </c:pt>
                <c:pt idx="1645">
                  <c:v>1.5169999999999999E-2</c:v>
                </c:pt>
                <c:pt idx="1646">
                  <c:v>1.5049999999999999E-2</c:v>
                </c:pt>
                <c:pt idx="1647">
                  <c:v>1.5220000000000001E-2</c:v>
                </c:pt>
                <c:pt idx="1648">
                  <c:v>1.5429999999999999E-2</c:v>
                </c:pt>
                <c:pt idx="1649">
                  <c:v>1.5109999999999998E-2</c:v>
                </c:pt>
                <c:pt idx="1650">
                  <c:v>1.521E-2</c:v>
                </c:pt>
                <c:pt idx="1651">
                  <c:v>1.546E-2</c:v>
                </c:pt>
                <c:pt idx="1652">
                  <c:v>1.601E-2</c:v>
                </c:pt>
                <c:pt idx="1653">
                  <c:v>1.6E-2</c:v>
                </c:pt>
                <c:pt idx="1654">
                  <c:v>1.585E-2</c:v>
                </c:pt>
                <c:pt idx="1655">
                  <c:v>1.5609999999999999E-2</c:v>
                </c:pt>
                <c:pt idx="1656">
                  <c:v>1.5140000000000001E-2</c:v>
                </c:pt>
                <c:pt idx="1657">
                  <c:v>1.521E-2</c:v>
                </c:pt>
                <c:pt idx="1658">
                  <c:v>1.5700000000000002E-2</c:v>
                </c:pt>
                <c:pt idx="1659">
                  <c:v>1.558E-2</c:v>
                </c:pt>
                <c:pt idx="1660">
                  <c:v>1.6650000000000002E-2</c:v>
                </c:pt>
                <c:pt idx="1661">
                  <c:v>1.7250000000000001E-2</c:v>
                </c:pt>
                <c:pt idx="1662">
                  <c:v>1.8110000000000001E-2</c:v>
                </c:pt>
                <c:pt idx="1663">
                  <c:v>1.804E-2</c:v>
                </c:pt>
                <c:pt idx="1664">
                  <c:v>1.7669999999999998E-2</c:v>
                </c:pt>
                <c:pt idx="1665">
                  <c:v>1.7250000000000001E-2</c:v>
                </c:pt>
                <c:pt idx="1666">
                  <c:v>1.728E-2</c:v>
                </c:pt>
                <c:pt idx="1667">
                  <c:v>1.72E-2</c:v>
                </c:pt>
                <c:pt idx="1668">
                  <c:v>1.704E-2</c:v>
                </c:pt>
                <c:pt idx="1669">
                  <c:v>1.66E-2</c:v>
                </c:pt>
                <c:pt idx="1670">
                  <c:v>1.6479999999999998E-2</c:v>
                </c:pt>
                <c:pt idx="1671">
                  <c:v>1.719E-2</c:v>
                </c:pt>
                <c:pt idx="1672">
                  <c:v>1.6979999999999999E-2</c:v>
                </c:pt>
                <c:pt idx="1673">
                  <c:v>1.653E-2</c:v>
                </c:pt>
                <c:pt idx="1674">
                  <c:v>1.6579999999999998E-2</c:v>
                </c:pt>
                <c:pt idx="1675">
                  <c:v>1.6230000000000001E-2</c:v>
                </c:pt>
                <c:pt idx="1676">
                  <c:v>1.5600000000000001E-2</c:v>
                </c:pt>
                <c:pt idx="1677">
                  <c:v>1.5780000000000002E-2</c:v>
                </c:pt>
                <c:pt idx="1678">
                  <c:v>1.55E-2</c:v>
                </c:pt>
                <c:pt idx="1679">
                  <c:v>1.542E-2</c:v>
                </c:pt>
                <c:pt idx="1680">
                  <c:v>1.5189999999999999E-2</c:v>
                </c:pt>
                <c:pt idx="1681">
                  <c:v>1.5189999999999999E-2</c:v>
                </c:pt>
                <c:pt idx="1682">
                  <c:v>1.5149999999999999E-2</c:v>
                </c:pt>
                <c:pt idx="1683">
                  <c:v>1.5509999999999999E-2</c:v>
                </c:pt>
                <c:pt idx="1684">
                  <c:v>1.6459999999999999E-2</c:v>
                </c:pt>
                <c:pt idx="1685">
                  <c:v>1.6709999999999999E-2</c:v>
                </c:pt>
                <c:pt idx="1686">
                  <c:v>1.6650000000000002E-2</c:v>
                </c:pt>
                <c:pt idx="1687">
                  <c:v>1.6639999999999999E-2</c:v>
                </c:pt>
                <c:pt idx="1688">
                  <c:v>1.668E-2</c:v>
                </c:pt>
                <c:pt idx="1689">
                  <c:v>1.67E-2</c:v>
                </c:pt>
                <c:pt idx="1690">
                  <c:v>1.6670000000000001E-2</c:v>
                </c:pt>
                <c:pt idx="1691">
                  <c:v>1.651E-2</c:v>
                </c:pt>
                <c:pt idx="1692">
                  <c:v>1.687E-2</c:v>
                </c:pt>
                <c:pt idx="1693">
                  <c:v>1.702E-2</c:v>
                </c:pt>
                <c:pt idx="1694">
                  <c:v>1.687E-2</c:v>
                </c:pt>
                <c:pt idx="1695">
                  <c:v>1.686E-2</c:v>
                </c:pt>
                <c:pt idx="1696">
                  <c:v>1.6799999999999999E-2</c:v>
                </c:pt>
                <c:pt idx="1697">
                  <c:v>1.702E-2</c:v>
                </c:pt>
                <c:pt idx="1698">
                  <c:v>1.8079999999999999E-2</c:v>
                </c:pt>
                <c:pt idx="1699">
                  <c:v>1.822E-2</c:v>
                </c:pt>
                <c:pt idx="1700">
                  <c:v>1.883E-2</c:v>
                </c:pt>
                <c:pt idx="1701">
                  <c:v>1.881E-2</c:v>
                </c:pt>
                <c:pt idx="1702">
                  <c:v>1.8970000000000001E-2</c:v>
                </c:pt>
                <c:pt idx="1703">
                  <c:v>1.8409999999999999E-2</c:v>
                </c:pt>
                <c:pt idx="1704">
                  <c:v>1.8710000000000001E-2</c:v>
                </c:pt>
                <c:pt idx="1705">
                  <c:v>1.9199999999999998E-2</c:v>
                </c:pt>
                <c:pt idx="1706">
                  <c:v>1.9349999999999999E-2</c:v>
                </c:pt>
                <c:pt idx="1707">
                  <c:v>1.8939999999999999E-2</c:v>
                </c:pt>
                <c:pt idx="1708">
                  <c:v>1.847E-2</c:v>
                </c:pt>
                <c:pt idx="1709">
                  <c:v>1.8759999999999999E-2</c:v>
                </c:pt>
                <c:pt idx="1710">
                  <c:v>1.8550000000000001E-2</c:v>
                </c:pt>
                <c:pt idx="1711">
                  <c:v>1.856E-2</c:v>
                </c:pt>
                <c:pt idx="1712">
                  <c:v>1.9039999999999998E-2</c:v>
                </c:pt>
                <c:pt idx="1713">
                  <c:v>1.941E-2</c:v>
                </c:pt>
                <c:pt idx="1714">
                  <c:v>1.941E-2</c:v>
                </c:pt>
                <c:pt idx="1715">
                  <c:v>2.0419999999999997E-2</c:v>
                </c:pt>
                <c:pt idx="1716">
                  <c:v>1.95E-2</c:v>
                </c:pt>
                <c:pt idx="1717">
                  <c:v>1.9599999999999999E-2</c:v>
                </c:pt>
                <c:pt idx="1718">
                  <c:v>2.027E-2</c:v>
                </c:pt>
                <c:pt idx="1719">
                  <c:v>2.0449999999999999E-2</c:v>
                </c:pt>
                <c:pt idx="1720">
                  <c:v>0.02</c:v>
                </c:pt>
                <c:pt idx="1721">
                  <c:v>1.976E-2</c:v>
                </c:pt>
                <c:pt idx="1722">
                  <c:v>1.9370000000000002E-2</c:v>
                </c:pt>
                <c:pt idx="1723">
                  <c:v>1.9630000000000002E-2</c:v>
                </c:pt>
                <c:pt idx="1724">
                  <c:v>0.02</c:v>
                </c:pt>
                <c:pt idx="1725">
                  <c:v>1.9210000000000001E-2</c:v>
                </c:pt>
                <c:pt idx="1726">
                  <c:v>1.9429999999999999E-2</c:v>
                </c:pt>
                <c:pt idx="1727">
                  <c:v>1.917E-2</c:v>
                </c:pt>
                <c:pt idx="1728">
                  <c:v>1.8450000000000001E-2</c:v>
                </c:pt>
                <c:pt idx="1729">
                  <c:v>1.822E-2</c:v>
                </c:pt>
                <c:pt idx="1730">
                  <c:v>1.83E-2</c:v>
                </c:pt>
                <c:pt idx="1731">
                  <c:v>1.7780000000000001E-2</c:v>
                </c:pt>
                <c:pt idx="1732">
                  <c:v>1.779E-2</c:v>
                </c:pt>
                <c:pt idx="1733">
                  <c:v>1.804E-2</c:v>
                </c:pt>
                <c:pt idx="1734">
                  <c:v>1.8110000000000001E-2</c:v>
                </c:pt>
                <c:pt idx="1735">
                  <c:v>1.7929999999999998E-2</c:v>
                </c:pt>
                <c:pt idx="1736">
                  <c:v>1.8409999999999999E-2</c:v>
                </c:pt>
                <c:pt idx="1737">
                  <c:v>1.8030000000000001E-2</c:v>
                </c:pt>
                <c:pt idx="1738">
                  <c:v>1.8110000000000001E-2</c:v>
                </c:pt>
                <c:pt idx="1739">
                  <c:v>1.8120000000000001E-2</c:v>
                </c:pt>
                <c:pt idx="1740">
                  <c:v>1.8689999999999998E-2</c:v>
                </c:pt>
                <c:pt idx="1741">
                  <c:v>1.864E-2</c:v>
                </c:pt>
                <c:pt idx="1742">
                  <c:v>1.8589999999999999E-2</c:v>
                </c:pt>
                <c:pt idx="1743">
                  <c:v>1.9140000000000001E-2</c:v>
                </c:pt>
                <c:pt idx="1744">
                  <c:v>1.9290000000000002E-2</c:v>
                </c:pt>
                <c:pt idx="1745">
                  <c:v>1.8669999999999999E-2</c:v>
                </c:pt>
                <c:pt idx="1746">
                  <c:v>1.831E-2</c:v>
                </c:pt>
                <c:pt idx="1747">
                  <c:v>1.848E-2</c:v>
                </c:pt>
                <c:pt idx="1748">
                  <c:v>1.796E-2</c:v>
                </c:pt>
                <c:pt idx="1749">
                  <c:v>1.7659999999999999E-2</c:v>
                </c:pt>
                <c:pt idx="1750">
                  <c:v>1.7649999999999999E-2</c:v>
                </c:pt>
                <c:pt idx="1751">
                  <c:v>1.755E-2</c:v>
                </c:pt>
                <c:pt idx="1752">
                  <c:v>1.7490000000000002E-2</c:v>
                </c:pt>
                <c:pt idx="1753">
                  <c:v>1.7410000000000002E-2</c:v>
                </c:pt>
                <c:pt idx="1754">
                  <c:v>1.6879999999999999E-2</c:v>
                </c:pt>
                <c:pt idx="1755">
                  <c:v>1.6739999999999998E-2</c:v>
                </c:pt>
                <c:pt idx="1756">
                  <c:v>1.6910000000000001E-2</c:v>
                </c:pt>
                <c:pt idx="1757">
                  <c:v>1.677E-2</c:v>
                </c:pt>
                <c:pt idx="1758">
                  <c:v>1.7430000000000001E-2</c:v>
                </c:pt>
                <c:pt idx="1759">
                  <c:v>1.7410000000000002E-2</c:v>
                </c:pt>
                <c:pt idx="1760">
                  <c:v>1.6840000000000001E-2</c:v>
                </c:pt>
                <c:pt idx="1761">
                  <c:v>1.7569999999999999E-2</c:v>
                </c:pt>
                <c:pt idx="1762">
                  <c:v>1.754E-2</c:v>
                </c:pt>
                <c:pt idx="1763">
                  <c:v>1.789E-2</c:v>
                </c:pt>
                <c:pt idx="1764">
                  <c:v>1.7350000000000001E-2</c:v>
                </c:pt>
                <c:pt idx="1765">
                  <c:v>1.7010000000000001E-2</c:v>
                </c:pt>
                <c:pt idx="1766">
                  <c:v>1.7059999999999999E-2</c:v>
                </c:pt>
                <c:pt idx="1767">
                  <c:v>1.6810000000000002E-2</c:v>
                </c:pt>
                <c:pt idx="1768">
                  <c:v>1.719E-2</c:v>
                </c:pt>
                <c:pt idx="1769">
                  <c:v>1.7139999999999999E-2</c:v>
                </c:pt>
                <c:pt idx="1770">
                  <c:v>1.7410000000000002E-2</c:v>
                </c:pt>
                <c:pt idx="1771">
                  <c:v>1.746E-2</c:v>
                </c:pt>
                <c:pt idx="1772">
                  <c:v>1.7219999999999999E-2</c:v>
                </c:pt>
                <c:pt idx="1773">
                  <c:v>1.687E-2</c:v>
                </c:pt>
                <c:pt idx="1774">
                  <c:v>1.7170000000000001E-2</c:v>
                </c:pt>
                <c:pt idx="1775">
                  <c:v>1.695E-2</c:v>
                </c:pt>
                <c:pt idx="1776">
                  <c:v>1.6930000000000001E-2</c:v>
                </c:pt>
                <c:pt idx="1777">
                  <c:v>1.7440000000000001E-2</c:v>
                </c:pt>
                <c:pt idx="1778">
                  <c:v>1.7250000000000001E-2</c:v>
                </c:pt>
                <c:pt idx="1779">
                  <c:v>1.814E-2</c:v>
                </c:pt>
                <c:pt idx="1780">
                  <c:v>1.8610000000000002E-2</c:v>
                </c:pt>
                <c:pt idx="1781">
                  <c:v>1.8420000000000002E-2</c:v>
                </c:pt>
                <c:pt idx="1782">
                  <c:v>1.839E-2</c:v>
                </c:pt>
                <c:pt idx="1783">
                  <c:v>1.8349999999999998E-2</c:v>
                </c:pt>
                <c:pt idx="1784">
                  <c:v>1.814E-2</c:v>
                </c:pt>
                <c:pt idx="1785">
                  <c:v>1.839E-2</c:v>
                </c:pt>
                <c:pt idx="1786">
                  <c:v>1.8280000000000001E-2</c:v>
                </c:pt>
                <c:pt idx="1787">
                  <c:v>1.8349999999999998E-2</c:v>
                </c:pt>
                <c:pt idx="1788">
                  <c:v>1.8269999999999998E-2</c:v>
                </c:pt>
                <c:pt idx="1789">
                  <c:v>1.847E-2</c:v>
                </c:pt>
                <c:pt idx="1790">
                  <c:v>1.8710000000000001E-2</c:v>
                </c:pt>
                <c:pt idx="1791">
                  <c:v>1.8700000000000001E-2</c:v>
                </c:pt>
                <c:pt idx="1792">
                  <c:v>1.882E-2</c:v>
                </c:pt>
                <c:pt idx="1793">
                  <c:v>1.8919999999999999E-2</c:v>
                </c:pt>
                <c:pt idx="1794">
                  <c:v>1.8919999999999999E-2</c:v>
                </c:pt>
                <c:pt idx="1795">
                  <c:v>1.8919999999999999E-2</c:v>
                </c:pt>
                <c:pt idx="1796">
                  <c:v>1.9560000000000001E-2</c:v>
                </c:pt>
                <c:pt idx="1797">
                  <c:v>1.9299999999999998E-2</c:v>
                </c:pt>
                <c:pt idx="1798">
                  <c:v>1.9290000000000002E-2</c:v>
                </c:pt>
                <c:pt idx="1799">
                  <c:v>1.9290000000000002E-2</c:v>
                </c:pt>
                <c:pt idx="1800">
                  <c:v>1.941E-2</c:v>
                </c:pt>
                <c:pt idx="1801">
                  <c:v>1.9439999999999999E-2</c:v>
                </c:pt>
                <c:pt idx="1802">
                  <c:v>1.907E-2</c:v>
                </c:pt>
                <c:pt idx="1803">
                  <c:v>1.8859999999999998E-2</c:v>
                </c:pt>
                <c:pt idx="1804">
                  <c:v>1.9039999999999998E-2</c:v>
                </c:pt>
                <c:pt idx="1805">
                  <c:v>1.915E-2</c:v>
                </c:pt>
                <c:pt idx="1806">
                  <c:v>1.8429999999999998E-2</c:v>
                </c:pt>
                <c:pt idx="1807">
                  <c:v>1.8169999999999999E-2</c:v>
                </c:pt>
                <c:pt idx="1808">
                  <c:v>1.814E-2</c:v>
                </c:pt>
                <c:pt idx="1809">
                  <c:v>1.8249999999999999E-2</c:v>
                </c:pt>
                <c:pt idx="1810">
                  <c:v>1.779E-2</c:v>
                </c:pt>
                <c:pt idx="1811">
                  <c:v>1.753E-2</c:v>
                </c:pt>
                <c:pt idx="1812">
                  <c:v>1.7410000000000002E-2</c:v>
                </c:pt>
                <c:pt idx="1813">
                  <c:v>1.738E-2</c:v>
                </c:pt>
                <c:pt idx="1814">
                  <c:v>1.7569999999999999E-2</c:v>
                </c:pt>
                <c:pt idx="1815">
                  <c:v>1.7090000000000001E-2</c:v>
                </c:pt>
                <c:pt idx="1816">
                  <c:v>1.6579999999999998E-2</c:v>
                </c:pt>
                <c:pt idx="1817">
                  <c:v>1.6650000000000002E-2</c:v>
                </c:pt>
                <c:pt idx="1818">
                  <c:v>1.677E-2</c:v>
                </c:pt>
                <c:pt idx="1819">
                  <c:v>1.7420000000000001E-2</c:v>
                </c:pt>
                <c:pt idx="1820">
                  <c:v>1.7150000000000002E-2</c:v>
                </c:pt>
                <c:pt idx="1821">
                  <c:v>1.6590000000000001E-2</c:v>
                </c:pt>
                <c:pt idx="1822">
                  <c:v>1.644E-2</c:v>
                </c:pt>
                <c:pt idx="1823">
                  <c:v>1.6500000000000001E-2</c:v>
                </c:pt>
                <c:pt idx="1824">
                  <c:v>1.636E-2</c:v>
                </c:pt>
                <c:pt idx="1825">
                  <c:v>1.6959999999999999E-2</c:v>
                </c:pt>
                <c:pt idx="1826">
                  <c:v>1.661E-2</c:v>
                </c:pt>
                <c:pt idx="1827">
                  <c:v>1.6799999999999999E-2</c:v>
                </c:pt>
                <c:pt idx="1828">
                  <c:v>1.686E-2</c:v>
                </c:pt>
                <c:pt idx="1829">
                  <c:v>1.7150000000000002E-2</c:v>
                </c:pt>
                <c:pt idx="1830">
                  <c:v>1.6670000000000001E-2</c:v>
                </c:pt>
                <c:pt idx="1831">
                  <c:v>1.6789999999999999E-2</c:v>
                </c:pt>
                <c:pt idx="1832">
                  <c:v>1.6840000000000001E-2</c:v>
                </c:pt>
                <c:pt idx="1833">
                  <c:v>1.6670000000000001E-2</c:v>
                </c:pt>
                <c:pt idx="1834">
                  <c:v>1.661E-2</c:v>
                </c:pt>
                <c:pt idx="1835">
                  <c:v>1.6899999999999998E-2</c:v>
                </c:pt>
                <c:pt idx="1836">
                  <c:v>1.6619999999999999E-2</c:v>
                </c:pt>
                <c:pt idx="1837">
                  <c:v>1.6799999999999999E-2</c:v>
                </c:pt>
                <c:pt idx="1838">
                  <c:v>1.6459999999999999E-2</c:v>
                </c:pt>
                <c:pt idx="1839">
                  <c:v>1.617E-2</c:v>
                </c:pt>
                <c:pt idx="1840">
                  <c:v>1.562E-2</c:v>
                </c:pt>
                <c:pt idx="1841">
                  <c:v>1.6240000000000001E-2</c:v>
                </c:pt>
                <c:pt idx="1842">
                  <c:v>1.5509999999999999E-2</c:v>
                </c:pt>
                <c:pt idx="1843">
                  <c:v>1.5980000000000001E-2</c:v>
                </c:pt>
                <c:pt idx="1844">
                  <c:v>1.6049999999999998E-2</c:v>
                </c:pt>
                <c:pt idx="1845">
                  <c:v>1.6469999999999999E-2</c:v>
                </c:pt>
                <c:pt idx="1846">
                  <c:v>1.653E-2</c:v>
                </c:pt>
                <c:pt idx="1847">
                  <c:v>1.6250000000000001E-2</c:v>
                </c:pt>
                <c:pt idx="1848">
                  <c:v>1.6379999999999999E-2</c:v>
                </c:pt>
                <c:pt idx="1849">
                  <c:v>1.5960000000000002E-2</c:v>
                </c:pt>
                <c:pt idx="1850">
                  <c:v>1.541E-2</c:v>
                </c:pt>
                <c:pt idx="1851">
                  <c:v>1.546E-2</c:v>
                </c:pt>
                <c:pt idx="1852">
                  <c:v>1.567E-2</c:v>
                </c:pt>
                <c:pt idx="1853">
                  <c:v>1.567E-2</c:v>
                </c:pt>
                <c:pt idx="1854">
                  <c:v>1.5990000000000001E-2</c:v>
                </c:pt>
                <c:pt idx="1855">
                  <c:v>1.6459999999999999E-2</c:v>
                </c:pt>
                <c:pt idx="1856">
                  <c:v>1.6310000000000002E-2</c:v>
                </c:pt>
                <c:pt idx="1857">
                  <c:v>1.5780000000000002E-2</c:v>
                </c:pt>
                <c:pt idx="1858">
                  <c:v>1.5769999999999999E-2</c:v>
                </c:pt>
                <c:pt idx="1859">
                  <c:v>1.5679999999999999E-2</c:v>
                </c:pt>
                <c:pt idx="1860">
                  <c:v>1.536E-2</c:v>
                </c:pt>
                <c:pt idx="1861">
                  <c:v>1.5480000000000001E-2</c:v>
                </c:pt>
                <c:pt idx="1862">
                  <c:v>1.566E-2</c:v>
                </c:pt>
                <c:pt idx="1863">
                  <c:v>1.5730000000000001E-2</c:v>
                </c:pt>
                <c:pt idx="1864">
                  <c:v>1.6160000000000001E-2</c:v>
                </c:pt>
                <c:pt idx="1865">
                  <c:v>1.6029999999999999E-2</c:v>
                </c:pt>
                <c:pt idx="1866">
                  <c:v>1.5529999999999999E-2</c:v>
                </c:pt>
                <c:pt idx="1867">
                  <c:v>1.5389999999999999E-2</c:v>
                </c:pt>
                <c:pt idx="1868">
                  <c:v>1.5569999999999999E-2</c:v>
                </c:pt>
                <c:pt idx="1869">
                  <c:v>1.575E-2</c:v>
                </c:pt>
                <c:pt idx="1870">
                  <c:v>1.52E-2</c:v>
                </c:pt>
                <c:pt idx="1871">
                  <c:v>1.504E-2</c:v>
                </c:pt>
                <c:pt idx="1872">
                  <c:v>1.5260000000000001E-2</c:v>
                </c:pt>
                <c:pt idx="1873">
                  <c:v>1.472E-2</c:v>
                </c:pt>
                <c:pt idx="1874">
                  <c:v>1.485E-2</c:v>
                </c:pt>
                <c:pt idx="1875">
                  <c:v>1.5149999999999999E-2</c:v>
                </c:pt>
                <c:pt idx="1876">
                  <c:v>1.5149999999999999E-2</c:v>
                </c:pt>
                <c:pt idx="1877">
                  <c:v>1.5149999999999999E-2</c:v>
                </c:pt>
                <c:pt idx="1878">
                  <c:v>1.5339999999999999E-2</c:v>
                </c:pt>
                <c:pt idx="1879">
                  <c:v>1.5220000000000001E-2</c:v>
                </c:pt>
                <c:pt idx="1880">
                  <c:v>1.529E-2</c:v>
                </c:pt>
                <c:pt idx="1881">
                  <c:v>1.4839999999999999E-2</c:v>
                </c:pt>
                <c:pt idx="1882">
                  <c:v>1.4970000000000001E-2</c:v>
                </c:pt>
                <c:pt idx="1883">
                  <c:v>1.4990000000000002E-2</c:v>
                </c:pt>
                <c:pt idx="1884">
                  <c:v>1.4690000000000002E-2</c:v>
                </c:pt>
                <c:pt idx="1885">
                  <c:v>1.4690000000000002E-2</c:v>
                </c:pt>
                <c:pt idx="1886">
                  <c:v>1.4490000000000001E-2</c:v>
                </c:pt>
                <c:pt idx="1887">
                  <c:v>1.4579999999999999E-2</c:v>
                </c:pt>
                <c:pt idx="1888">
                  <c:v>1.46E-2</c:v>
                </c:pt>
                <c:pt idx="1889">
                  <c:v>1.473E-2</c:v>
                </c:pt>
                <c:pt idx="1890">
                  <c:v>1.4459999999999999E-2</c:v>
                </c:pt>
                <c:pt idx="1891">
                  <c:v>1.455E-2</c:v>
                </c:pt>
                <c:pt idx="1892">
                  <c:v>1.464E-2</c:v>
                </c:pt>
                <c:pt idx="1893">
                  <c:v>1.421E-2</c:v>
                </c:pt>
                <c:pt idx="1894">
                  <c:v>1.3690000000000001E-2</c:v>
                </c:pt>
                <c:pt idx="1895">
                  <c:v>1.306E-2</c:v>
                </c:pt>
                <c:pt idx="1896">
                  <c:v>1.3300000000000001E-2</c:v>
                </c:pt>
                <c:pt idx="1897">
                  <c:v>1.3429999999999999E-2</c:v>
                </c:pt>
                <c:pt idx="1898">
                  <c:v>1.3509999999999999E-2</c:v>
                </c:pt>
                <c:pt idx="1899">
                  <c:v>1.4239999999999999E-2</c:v>
                </c:pt>
                <c:pt idx="1900">
                  <c:v>1.4079999999999999E-2</c:v>
                </c:pt>
                <c:pt idx="1901">
                  <c:v>1.413E-2</c:v>
                </c:pt>
                <c:pt idx="1902">
                  <c:v>1.417E-2</c:v>
                </c:pt>
                <c:pt idx="1903">
                  <c:v>1.389E-2</c:v>
                </c:pt>
                <c:pt idx="1904">
                  <c:v>1.3380000000000001E-2</c:v>
                </c:pt>
                <c:pt idx="1905">
                  <c:v>1.3540000000000002E-2</c:v>
                </c:pt>
                <c:pt idx="1906">
                  <c:v>1.3580000000000002E-2</c:v>
                </c:pt>
                <c:pt idx="1907">
                  <c:v>1.3690000000000001E-2</c:v>
                </c:pt>
                <c:pt idx="1908">
                  <c:v>1.4079999999999999E-2</c:v>
                </c:pt>
                <c:pt idx="1909">
                  <c:v>1.4330000000000001E-2</c:v>
                </c:pt>
                <c:pt idx="1910">
                  <c:v>1.405E-2</c:v>
                </c:pt>
                <c:pt idx="1911">
                  <c:v>1.353E-2</c:v>
                </c:pt>
                <c:pt idx="1912">
                  <c:v>1.379E-2</c:v>
                </c:pt>
                <c:pt idx="1913">
                  <c:v>1.4039999999999999E-2</c:v>
                </c:pt>
                <c:pt idx="1914">
                  <c:v>1.397E-2</c:v>
                </c:pt>
                <c:pt idx="1915">
                  <c:v>1.387E-2</c:v>
                </c:pt>
                <c:pt idx="1916">
                  <c:v>1.363E-2</c:v>
                </c:pt>
                <c:pt idx="1917">
                  <c:v>1.3540000000000002E-2</c:v>
                </c:pt>
                <c:pt idx="1918">
                  <c:v>1.3999999999999999E-2</c:v>
                </c:pt>
                <c:pt idx="1919">
                  <c:v>1.375E-2</c:v>
                </c:pt>
                <c:pt idx="1920">
                  <c:v>1.321E-2</c:v>
                </c:pt>
                <c:pt idx="1921">
                  <c:v>1.3429999999999999E-2</c:v>
                </c:pt>
                <c:pt idx="1922">
                  <c:v>1.3220000000000001E-2</c:v>
                </c:pt>
                <c:pt idx="1923">
                  <c:v>1.32E-2</c:v>
                </c:pt>
                <c:pt idx="1924">
                  <c:v>1.261E-2</c:v>
                </c:pt>
                <c:pt idx="1925">
                  <c:v>1.2450000000000001E-2</c:v>
                </c:pt>
                <c:pt idx="1926">
                  <c:v>1.2619999999999999E-2</c:v>
                </c:pt>
                <c:pt idx="1927">
                  <c:v>1.2450000000000001E-2</c:v>
                </c:pt>
                <c:pt idx="1928">
                  <c:v>1.2470000000000002E-2</c:v>
                </c:pt>
                <c:pt idx="1929">
                  <c:v>1.2869999999999999E-2</c:v>
                </c:pt>
                <c:pt idx="1930">
                  <c:v>1.2889999999999999E-2</c:v>
                </c:pt>
                <c:pt idx="1931">
                  <c:v>1.265E-2</c:v>
                </c:pt>
                <c:pt idx="1932">
                  <c:v>1.256E-2</c:v>
                </c:pt>
                <c:pt idx="1933">
                  <c:v>1.2190000000000001E-2</c:v>
                </c:pt>
                <c:pt idx="1934">
                  <c:v>1.2279999999999999E-2</c:v>
                </c:pt>
                <c:pt idx="1935">
                  <c:v>1.1979999999999999E-2</c:v>
                </c:pt>
                <c:pt idx="1936">
                  <c:v>1.2030000000000001E-2</c:v>
                </c:pt>
                <c:pt idx="1937">
                  <c:v>1.209E-2</c:v>
                </c:pt>
                <c:pt idx="1938">
                  <c:v>1.204E-2</c:v>
                </c:pt>
                <c:pt idx="1939">
                  <c:v>1.191E-2</c:v>
                </c:pt>
                <c:pt idx="1940">
                  <c:v>1.149E-2</c:v>
                </c:pt>
                <c:pt idx="1941">
                  <c:v>1.155E-2</c:v>
                </c:pt>
                <c:pt idx="1942">
                  <c:v>1.1479999999999999E-2</c:v>
                </c:pt>
                <c:pt idx="1943">
                  <c:v>1.1659999999999998E-2</c:v>
                </c:pt>
                <c:pt idx="1944">
                  <c:v>1.146E-2</c:v>
                </c:pt>
                <c:pt idx="1945">
                  <c:v>1.1770000000000001E-2</c:v>
                </c:pt>
                <c:pt idx="1946">
                  <c:v>1.1470000000000001E-2</c:v>
                </c:pt>
                <c:pt idx="1947">
                  <c:v>1.1479999999999999E-2</c:v>
                </c:pt>
                <c:pt idx="1948">
                  <c:v>1.1200000000000002E-2</c:v>
                </c:pt>
                <c:pt idx="1949">
                  <c:v>1.1699999999999999E-2</c:v>
                </c:pt>
                <c:pt idx="1950">
                  <c:v>1.155E-2</c:v>
                </c:pt>
                <c:pt idx="1951">
                  <c:v>1.1310000000000001E-2</c:v>
                </c:pt>
                <c:pt idx="1952">
                  <c:v>1.1350000000000001E-2</c:v>
                </c:pt>
                <c:pt idx="1953">
                  <c:v>1.167E-2</c:v>
                </c:pt>
                <c:pt idx="1954">
                  <c:v>1.1009999999999999E-2</c:v>
                </c:pt>
                <c:pt idx="1955">
                  <c:v>1.0620000000000001E-2</c:v>
                </c:pt>
                <c:pt idx="1956">
                  <c:v>1.0529999999999999E-2</c:v>
                </c:pt>
                <c:pt idx="1957">
                  <c:v>1.0589999999999999E-2</c:v>
                </c:pt>
                <c:pt idx="1958">
                  <c:v>1.0589999999999999E-2</c:v>
                </c:pt>
                <c:pt idx="1959">
                  <c:v>1.027E-2</c:v>
                </c:pt>
                <c:pt idx="1960">
                  <c:v>1.0169999999999998E-2</c:v>
                </c:pt>
                <c:pt idx="1961">
                  <c:v>9.5300000000000003E-3</c:v>
                </c:pt>
                <c:pt idx="1962">
                  <c:v>1.014E-2</c:v>
                </c:pt>
                <c:pt idx="1963">
                  <c:v>1.0009999999999998E-2</c:v>
                </c:pt>
                <c:pt idx="1964">
                  <c:v>9.8999999999999991E-3</c:v>
                </c:pt>
                <c:pt idx="1965">
                  <c:v>9.9299999999999996E-3</c:v>
                </c:pt>
                <c:pt idx="1966">
                  <c:v>9.8200000000000006E-3</c:v>
                </c:pt>
                <c:pt idx="1967">
                  <c:v>9.4799999999999988E-3</c:v>
                </c:pt>
                <c:pt idx="1968">
                  <c:v>9.389999999999999E-3</c:v>
                </c:pt>
                <c:pt idx="1969">
                  <c:v>9.1000000000000004E-3</c:v>
                </c:pt>
                <c:pt idx="1970">
                  <c:v>8.8299999999999993E-3</c:v>
                </c:pt>
                <c:pt idx="1971">
                  <c:v>8.8999999999999999E-3</c:v>
                </c:pt>
                <c:pt idx="1972">
                  <c:v>8.8199999999999997E-3</c:v>
                </c:pt>
                <c:pt idx="1973">
                  <c:v>9.3100000000000006E-3</c:v>
                </c:pt>
                <c:pt idx="1974">
                  <c:v>9.5499999999999995E-3</c:v>
                </c:pt>
                <c:pt idx="1975">
                  <c:v>9.7000000000000003E-3</c:v>
                </c:pt>
                <c:pt idx="1976">
                  <c:v>9.2800000000000001E-3</c:v>
                </c:pt>
                <c:pt idx="1977">
                  <c:v>9.5300000000000003E-3</c:v>
                </c:pt>
                <c:pt idx="1978">
                  <c:v>9.9600000000000001E-3</c:v>
                </c:pt>
                <c:pt idx="1979">
                  <c:v>1.047E-2</c:v>
                </c:pt>
                <c:pt idx="1980">
                  <c:v>1.0409999999999999E-2</c:v>
                </c:pt>
                <c:pt idx="1981">
                  <c:v>1.0820000000000001E-2</c:v>
                </c:pt>
                <c:pt idx="1982">
                  <c:v>1.0669999999999999E-2</c:v>
                </c:pt>
                <c:pt idx="1983">
                  <c:v>1.061E-2</c:v>
                </c:pt>
                <c:pt idx="1984">
                  <c:v>1.0500000000000001E-2</c:v>
                </c:pt>
                <c:pt idx="1985">
                  <c:v>1.081E-2</c:v>
                </c:pt>
                <c:pt idx="1986">
                  <c:v>1.043E-2</c:v>
                </c:pt>
                <c:pt idx="1987">
                  <c:v>1.01E-2</c:v>
                </c:pt>
                <c:pt idx="1988">
                  <c:v>1.0129999999999998E-2</c:v>
                </c:pt>
                <c:pt idx="1989">
                  <c:v>1.004E-2</c:v>
                </c:pt>
                <c:pt idx="1990">
                  <c:v>9.7299999999999991E-3</c:v>
                </c:pt>
                <c:pt idx="1991">
                  <c:v>9.7199999999999995E-3</c:v>
                </c:pt>
                <c:pt idx="1992">
                  <c:v>9.6399999999999993E-3</c:v>
                </c:pt>
                <c:pt idx="1993">
                  <c:v>9.4699999999999993E-3</c:v>
                </c:pt>
                <c:pt idx="1994">
                  <c:v>9.0100000000000006E-3</c:v>
                </c:pt>
                <c:pt idx="1995">
                  <c:v>9.0200000000000002E-3</c:v>
                </c:pt>
                <c:pt idx="1996">
                  <c:v>9.2500000000000013E-3</c:v>
                </c:pt>
                <c:pt idx="1997">
                  <c:v>9.0600000000000003E-3</c:v>
                </c:pt>
                <c:pt idx="1998">
                  <c:v>9.0600000000000003E-3</c:v>
                </c:pt>
                <c:pt idx="1999">
                  <c:v>9.0699999999999999E-3</c:v>
                </c:pt>
                <c:pt idx="2000">
                  <c:v>9.0600000000000003E-3</c:v>
                </c:pt>
                <c:pt idx="2001">
                  <c:v>8.8699999999999994E-3</c:v>
                </c:pt>
                <c:pt idx="2002">
                  <c:v>8.9499999999999996E-3</c:v>
                </c:pt>
                <c:pt idx="2003">
                  <c:v>8.3800000000000003E-3</c:v>
                </c:pt>
                <c:pt idx="2004">
                  <c:v>7.5599999999999999E-3</c:v>
                </c:pt>
                <c:pt idx="2005">
                  <c:v>8.199999999999999E-3</c:v>
                </c:pt>
                <c:pt idx="2006">
                  <c:v>8.5900000000000004E-3</c:v>
                </c:pt>
                <c:pt idx="2007">
                  <c:v>8.4899999999999993E-3</c:v>
                </c:pt>
                <c:pt idx="2008">
                  <c:v>8.7100000000000007E-3</c:v>
                </c:pt>
                <c:pt idx="2009">
                  <c:v>8.7100000000000007E-3</c:v>
                </c:pt>
                <c:pt idx="2010">
                  <c:v>9.0200000000000002E-3</c:v>
                </c:pt>
                <c:pt idx="2011">
                  <c:v>8.9200000000000008E-3</c:v>
                </c:pt>
                <c:pt idx="2012">
                  <c:v>8.6800000000000002E-3</c:v>
                </c:pt>
                <c:pt idx="2013">
                  <c:v>8.77E-3</c:v>
                </c:pt>
                <c:pt idx="2014">
                  <c:v>8.9800000000000001E-3</c:v>
                </c:pt>
                <c:pt idx="2015">
                  <c:v>8.4499999999999992E-3</c:v>
                </c:pt>
                <c:pt idx="2016">
                  <c:v>8.4099999999999991E-3</c:v>
                </c:pt>
                <c:pt idx="2017">
                  <c:v>8.5299999999999994E-3</c:v>
                </c:pt>
                <c:pt idx="2018">
                  <c:v>8.0700000000000008E-3</c:v>
                </c:pt>
                <c:pt idx="2019">
                  <c:v>8.2699999999999996E-3</c:v>
                </c:pt>
                <c:pt idx="2020">
                  <c:v>8.2799999999999992E-3</c:v>
                </c:pt>
                <c:pt idx="2021">
                  <c:v>8.1700000000000002E-3</c:v>
                </c:pt>
                <c:pt idx="2022">
                  <c:v>8.3400000000000002E-3</c:v>
                </c:pt>
                <c:pt idx="2023">
                  <c:v>8.26E-3</c:v>
                </c:pt>
                <c:pt idx="2024">
                  <c:v>8.1000000000000013E-3</c:v>
                </c:pt>
                <c:pt idx="2025">
                  <c:v>7.9900000000000006E-3</c:v>
                </c:pt>
                <c:pt idx="2026">
                  <c:v>7.8500000000000011E-3</c:v>
                </c:pt>
                <c:pt idx="2027">
                  <c:v>8.0200000000000011E-3</c:v>
                </c:pt>
                <c:pt idx="2028">
                  <c:v>7.9699999999999997E-3</c:v>
                </c:pt>
                <c:pt idx="2029">
                  <c:v>8.4799999999999997E-3</c:v>
                </c:pt>
                <c:pt idx="2030">
                  <c:v>7.9900000000000006E-3</c:v>
                </c:pt>
                <c:pt idx="2031">
                  <c:v>7.7000000000000002E-3</c:v>
                </c:pt>
                <c:pt idx="2032">
                  <c:v>7.8100000000000001E-3</c:v>
                </c:pt>
                <c:pt idx="2033">
                  <c:v>7.4799999999999997E-3</c:v>
                </c:pt>
                <c:pt idx="2034">
                  <c:v>7.3499999999999998E-3</c:v>
                </c:pt>
                <c:pt idx="2035">
                  <c:v>6.9999999999999993E-3</c:v>
                </c:pt>
                <c:pt idx="2036">
                  <c:v>6.9999999999999993E-3</c:v>
                </c:pt>
                <c:pt idx="2037">
                  <c:v>7.28E-3</c:v>
                </c:pt>
                <c:pt idx="2038">
                  <c:v>7.4099999999999999E-3</c:v>
                </c:pt>
                <c:pt idx="2039">
                  <c:v>7.4799999999999997E-3</c:v>
                </c:pt>
                <c:pt idx="2040">
                  <c:v>7.7299999999999999E-3</c:v>
                </c:pt>
                <c:pt idx="2041">
                  <c:v>7.8000000000000005E-3</c:v>
                </c:pt>
                <c:pt idx="2042">
                  <c:v>7.1300000000000001E-3</c:v>
                </c:pt>
                <c:pt idx="2043">
                  <c:v>6.8500000000000002E-3</c:v>
                </c:pt>
                <c:pt idx="2044">
                  <c:v>6.8100000000000001E-3</c:v>
                </c:pt>
                <c:pt idx="2045">
                  <c:v>6.7700000000000008E-3</c:v>
                </c:pt>
                <c:pt idx="2046">
                  <c:v>6.2399999999999999E-3</c:v>
                </c:pt>
                <c:pt idx="2047">
                  <c:v>6.2300000000000003E-3</c:v>
                </c:pt>
                <c:pt idx="2048">
                  <c:v>5.96E-3</c:v>
                </c:pt>
                <c:pt idx="2049">
                  <c:v>5.9199999999999999E-3</c:v>
                </c:pt>
                <c:pt idx="2050">
                  <c:v>6.1700000000000001E-3</c:v>
                </c:pt>
                <c:pt idx="2051">
                  <c:v>5.9199999999999999E-3</c:v>
                </c:pt>
                <c:pt idx="2052">
                  <c:v>6.0099999999999997E-3</c:v>
                </c:pt>
                <c:pt idx="2053">
                  <c:v>5.9199999999999999E-3</c:v>
                </c:pt>
                <c:pt idx="2054">
                  <c:v>5.8899999999999994E-3</c:v>
                </c:pt>
                <c:pt idx="2055">
                  <c:v>5.8899999999999994E-3</c:v>
                </c:pt>
                <c:pt idx="2056">
                  <c:v>5.8899999999999994E-3</c:v>
                </c:pt>
                <c:pt idx="2057">
                  <c:v>5.4400000000000004E-3</c:v>
                </c:pt>
                <c:pt idx="2058">
                  <c:v>5.4000000000000003E-3</c:v>
                </c:pt>
                <c:pt idx="2059">
                  <c:v>5.4100000000000007E-3</c:v>
                </c:pt>
                <c:pt idx="2060">
                  <c:v>5.4100000000000007E-3</c:v>
                </c:pt>
                <c:pt idx="2061">
                  <c:v>4.9800000000000001E-3</c:v>
                </c:pt>
                <c:pt idx="2062">
                  <c:v>5.1700000000000001E-3</c:v>
                </c:pt>
                <c:pt idx="2063">
                  <c:v>4.4600000000000004E-3</c:v>
                </c:pt>
                <c:pt idx="2064">
                  <c:v>4.8399999999999997E-3</c:v>
                </c:pt>
                <c:pt idx="2065">
                  <c:v>5.1000000000000004E-3</c:v>
                </c:pt>
                <c:pt idx="2066">
                  <c:v>4.9199999999999999E-3</c:v>
                </c:pt>
                <c:pt idx="2067">
                  <c:v>4.7799999999999995E-3</c:v>
                </c:pt>
                <c:pt idx="2068">
                  <c:v>4.7699999999999999E-3</c:v>
                </c:pt>
                <c:pt idx="2069">
                  <c:v>4.2399999999999998E-3</c:v>
                </c:pt>
                <c:pt idx="2070">
                  <c:v>4.7399999999999994E-3</c:v>
                </c:pt>
                <c:pt idx="2071">
                  <c:v>4.5399999999999998E-3</c:v>
                </c:pt>
                <c:pt idx="2072">
                  <c:v>4.3899999999999998E-3</c:v>
                </c:pt>
                <c:pt idx="2073">
                  <c:v>4.4900000000000001E-3</c:v>
                </c:pt>
                <c:pt idx="2074">
                  <c:v>5.2399999999999999E-3</c:v>
                </c:pt>
                <c:pt idx="2075">
                  <c:v>4.47E-3</c:v>
                </c:pt>
                <c:pt idx="2076">
                  <c:v>3.62E-3</c:v>
                </c:pt>
                <c:pt idx="2077">
                  <c:v>3.9500000000000004E-3</c:v>
                </c:pt>
                <c:pt idx="2078">
                  <c:v>3.8300000000000001E-3</c:v>
                </c:pt>
                <c:pt idx="2079">
                  <c:v>3.5299999999999997E-3</c:v>
                </c:pt>
                <c:pt idx="2080">
                  <c:v>3.5899999999999999E-3</c:v>
                </c:pt>
                <c:pt idx="2081">
                  <c:v>3.0200000000000001E-3</c:v>
                </c:pt>
                <c:pt idx="2082">
                  <c:v>3.13E-3</c:v>
                </c:pt>
                <c:pt idx="2083">
                  <c:v>3.4599999999999995E-3</c:v>
                </c:pt>
                <c:pt idx="2084">
                  <c:v>3.6700000000000001E-3</c:v>
                </c:pt>
                <c:pt idx="2085">
                  <c:v>3.6600000000000001E-3</c:v>
                </c:pt>
                <c:pt idx="2086">
                  <c:v>3.7499999999999999E-3</c:v>
                </c:pt>
                <c:pt idx="2087">
                  <c:v>3.5499999999999998E-3</c:v>
                </c:pt>
                <c:pt idx="2088">
                  <c:v>3.7000000000000002E-3</c:v>
                </c:pt>
                <c:pt idx="2089">
                  <c:v>3.5499999999999998E-3</c:v>
                </c:pt>
                <c:pt idx="2090">
                  <c:v>3.1900000000000001E-3</c:v>
                </c:pt>
                <c:pt idx="2091">
                  <c:v>3.4200000000000003E-3</c:v>
                </c:pt>
                <c:pt idx="2092">
                  <c:v>3.3400000000000001E-3</c:v>
                </c:pt>
                <c:pt idx="2093">
                  <c:v>3.7199999999999998E-3</c:v>
                </c:pt>
                <c:pt idx="2094">
                  <c:v>3.81E-3</c:v>
                </c:pt>
                <c:pt idx="2095">
                  <c:v>3.8E-3</c:v>
                </c:pt>
                <c:pt idx="2096">
                  <c:v>3.6700000000000001E-3</c:v>
                </c:pt>
                <c:pt idx="2097">
                  <c:v>3.65E-3</c:v>
                </c:pt>
                <c:pt idx="2098">
                  <c:v>3.7499999999999999E-3</c:v>
                </c:pt>
                <c:pt idx="2099">
                  <c:v>3.2500000000000003E-3</c:v>
                </c:pt>
                <c:pt idx="2100">
                  <c:v>2.98E-3</c:v>
                </c:pt>
                <c:pt idx="2101">
                  <c:v>3.2799999999999999E-3</c:v>
                </c:pt>
                <c:pt idx="2102">
                  <c:v>3.5599999999999998E-3</c:v>
                </c:pt>
                <c:pt idx="2103">
                  <c:v>3.62E-3</c:v>
                </c:pt>
                <c:pt idx="2104">
                  <c:v>3.8300000000000001E-3</c:v>
                </c:pt>
                <c:pt idx="2105">
                  <c:v>3.4799999999999996E-3</c:v>
                </c:pt>
                <c:pt idx="2106">
                  <c:v>3.9300000000000003E-3</c:v>
                </c:pt>
                <c:pt idx="2107">
                  <c:v>3.1199999999999999E-3</c:v>
                </c:pt>
                <c:pt idx="2108">
                  <c:v>2.3400000000000001E-3</c:v>
                </c:pt>
                <c:pt idx="2109">
                  <c:v>2.0899999999999998E-3</c:v>
                </c:pt>
                <c:pt idx="2110">
                  <c:v>2.48E-3</c:v>
                </c:pt>
                <c:pt idx="2111">
                  <c:v>2.5700000000000002E-3</c:v>
                </c:pt>
                <c:pt idx="2112">
                  <c:v>2.7900000000000004E-3</c:v>
                </c:pt>
                <c:pt idx="2113">
                  <c:v>2.8199999999999996E-3</c:v>
                </c:pt>
                <c:pt idx="2114">
                  <c:v>1.97E-3</c:v>
                </c:pt>
                <c:pt idx="2115">
                  <c:v>1.8699999999999999E-3</c:v>
                </c:pt>
                <c:pt idx="2116">
                  <c:v>1.8400000000000001E-3</c:v>
                </c:pt>
                <c:pt idx="2117">
                  <c:v>2.2400000000000002E-3</c:v>
                </c:pt>
                <c:pt idx="2118">
                  <c:v>2.3499999999999997E-3</c:v>
                </c:pt>
                <c:pt idx="2119">
                  <c:v>2.2000000000000001E-3</c:v>
                </c:pt>
                <c:pt idx="2120">
                  <c:v>2.15E-3</c:v>
                </c:pt>
                <c:pt idx="2121">
                  <c:v>2.0699999999999998E-3</c:v>
                </c:pt>
                <c:pt idx="2122">
                  <c:v>2.0599999999999998E-3</c:v>
                </c:pt>
                <c:pt idx="2123">
                  <c:v>1.8E-3</c:v>
                </c:pt>
                <c:pt idx="2124">
                  <c:v>1.67E-3</c:v>
                </c:pt>
                <c:pt idx="2125">
                  <c:v>1.9400000000000001E-3</c:v>
                </c:pt>
                <c:pt idx="2126">
                  <c:v>1.9400000000000001E-3</c:v>
                </c:pt>
                <c:pt idx="2127">
                  <c:v>1.9400000000000001E-3</c:v>
                </c:pt>
                <c:pt idx="2128">
                  <c:v>1.8599999999999999E-3</c:v>
                </c:pt>
                <c:pt idx="2129">
                  <c:v>1.6300000000000002E-3</c:v>
                </c:pt>
                <c:pt idx="2130">
                  <c:v>1.6000000000000001E-3</c:v>
                </c:pt>
                <c:pt idx="2131">
                  <c:v>1.5499999999999999E-3</c:v>
                </c:pt>
                <c:pt idx="2132">
                  <c:v>1.57E-3</c:v>
                </c:pt>
                <c:pt idx="2133">
                  <c:v>1.3800000000000002E-3</c:v>
                </c:pt>
                <c:pt idx="2134">
                  <c:v>1.07E-3</c:v>
                </c:pt>
                <c:pt idx="2135">
                  <c:v>8.5000000000000006E-4</c:v>
                </c:pt>
                <c:pt idx="2136">
                  <c:v>7.7999999999999999E-4</c:v>
                </c:pt>
                <c:pt idx="2137">
                  <c:v>7.5000000000000002E-4</c:v>
                </c:pt>
                <c:pt idx="2138">
                  <c:v>1.01E-3</c:v>
                </c:pt>
                <c:pt idx="2139">
                  <c:v>1.65E-3</c:v>
                </c:pt>
                <c:pt idx="2140">
                  <c:v>1.65E-3</c:v>
                </c:pt>
                <c:pt idx="2141">
                  <c:v>1.5499999999999999E-3</c:v>
                </c:pt>
                <c:pt idx="2142">
                  <c:v>1.6200000000000001E-3</c:v>
                </c:pt>
                <c:pt idx="2143">
                  <c:v>1.6300000000000002E-3</c:v>
                </c:pt>
                <c:pt idx="2144">
                  <c:v>2.8499999999999997E-3</c:v>
                </c:pt>
                <c:pt idx="2145">
                  <c:v>3.6600000000000001E-3</c:v>
                </c:pt>
                <c:pt idx="2146">
                  <c:v>3.7299999999999998E-3</c:v>
                </c:pt>
                <c:pt idx="2147">
                  <c:v>4.5300000000000002E-3</c:v>
                </c:pt>
                <c:pt idx="2148">
                  <c:v>5.1600000000000005E-3</c:v>
                </c:pt>
                <c:pt idx="2149">
                  <c:v>5.8599999999999998E-3</c:v>
                </c:pt>
                <c:pt idx="2150">
                  <c:v>5.8999999999999999E-3</c:v>
                </c:pt>
                <c:pt idx="2151">
                  <c:v>5.47E-3</c:v>
                </c:pt>
                <c:pt idx="2152">
                  <c:v>6.0999999999999995E-3</c:v>
                </c:pt>
                <c:pt idx="2153">
                  <c:v>6.7500000000000008E-3</c:v>
                </c:pt>
                <c:pt idx="2154">
                  <c:v>7.2399999999999999E-3</c:v>
                </c:pt>
                <c:pt idx="2155">
                  <c:v>7.0199999999999993E-3</c:v>
                </c:pt>
                <c:pt idx="2156">
                  <c:v>6.2399999999999999E-3</c:v>
                </c:pt>
                <c:pt idx="2157">
                  <c:v>6.4900000000000001E-3</c:v>
                </c:pt>
                <c:pt idx="2158">
                  <c:v>5.9499999999999996E-3</c:v>
                </c:pt>
                <c:pt idx="2159">
                  <c:v>6.3200000000000001E-3</c:v>
                </c:pt>
                <c:pt idx="2160">
                  <c:v>6.4000000000000003E-3</c:v>
                </c:pt>
                <c:pt idx="2161">
                  <c:v>6.0400000000000002E-3</c:v>
                </c:pt>
                <c:pt idx="2162">
                  <c:v>6.0599999999999994E-3</c:v>
                </c:pt>
                <c:pt idx="2163">
                  <c:v>5.47E-3</c:v>
                </c:pt>
                <c:pt idx="2164">
                  <c:v>5.5400000000000007E-3</c:v>
                </c:pt>
                <c:pt idx="2165">
                  <c:v>5.3E-3</c:v>
                </c:pt>
                <c:pt idx="2166">
                  <c:v>4.8700000000000002E-3</c:v>
                </c:pt>
                <c:pt idx="2167">
                  <c:v>5.4100000000000007E-3</c:v>
                </c:pt>
                <c:pt idx="2168">
                  <c:v>7.1399999999999996E-3</c:v>
                </c:pt>
                <c:pt idx="2169">
                  <c:v>8.8199999999999997E-3</c:v>
                </c:pt>
                <c:pt idx="2170">
                  <c:v>8.3800000000000003E-3</c:v>
                </c:pt>
                <c:pt idx="2171">
                  <c:v>8.4399999999999996E-3</c:v>
                </c:pt>
                <c:pt idx="2172">
                  <c:v>8.7899999999999992E-3</c:v>
                </c:pt>
                <c:pt idx="2173">
                  <c:v>9.4999999999999998E-3</c:v>
                </c:pt>
                <c:pt idx="2174">
                  <c:v>9.8099999999999993E-3</c:v>
                </c:pt>
                <c:pt idx="2175">
                  <c:v>8.8400000000000006E-3</c:v>
                </c:pt>
                <c:pt idx="2176">
                  <c:v>8.3400000000000002E-3</c:v>
                </c:pt>
                <c:pt idx="2177">
                  <c:v>8.2500000000000004E-3</c:v>
                </c:pt>
                <c:pt idx="2178">
                  <c:v>7.980000000000001E-3</c:v>
                </c:pt>
                <c:pt idx="2179">
                  <c:v>8.0800000000000004E-3</c:v>
                </c:pt>
                <c:pt idx="2180">
                  <c:v>8.0800000000000004E-3</c:v>
                </c:pt>
                <c:pt idx="2181">
                  <c:v>7.5199999999999998E-3</c:v>
                </c:pt>
                <c:pt idx="2182">
                  <c:v>8.8400000000000006E-3</c:v>
                </c:pt>
                <c:pt idx="2183">
                  <c:v>8.7200000000000003E-3</c:v>
                </c:pt>
                <c:pt idx="2184">
                  <c:v>8.4399999999999996E-3</c:v>
                </c:pt>
                <c:pt idx="2185">
                  <c:v>8.6199999999999992E-3</c:v>
                </c:pt>
                <c:pt idx="2186">
                  <c:v>9.2200000000000008E-3</c:v>
                </c:pt>
                <c:pt idx="2187">
                  <c:v>7.9600000000000001E-3</c:v>
                </c:pt>
                <c:pt idx="2188">
                  <c:v>7.6400000000000001E-3</c:v>
                </c:pt>
                <c:pt idx="2189">
                  <c:v>8.1300000000000001E-3</c:v>
                </c:pt>
                <c:pt idx="2190">
                  <c:v>8.4499999999999992E-3</c:v>
                </c:pt>
                <c:pt idx="2191">
                  <c:v>7.9100000000000004E-3</c:v>
                </c:pt>
                <c:pt idx="2192">
                  <c:v>7.6400000000000001E-3</c:v>
                </c:pt>
                <c:pt idx="2193">
                  <c:v>6.43E-3</c:v>
                </c:pt>
                <c:pt idx="2194">
                  <c:v>6.7100000000000007E-3</c:v>
                </c:pt>
                <c:pt idx="2195">
                  <c:v>7.1899999999999993E-3</c:v>
                </c:pt>
                <c:pt idx="2196">
                  <c:v>8.9800000000000001E-3</c:v>
                </c:pt>
                <c:pt idx="2197">
                  <c:v>8.5500000000000003E-3</c:v>
                </c:pt>
                <c:pt idx="2198">
                  <c:v>8.369999999999999E-3</c:v>
                </c:pt>
                <c:pt idx="2199">
                  <c:v>8.2799999999999992E-3</c:v>
                </c:pt>
                <c:pt idx="2200">
                  <c:v>8.3299999999999989E-3</c:v>
                </c:pt>
                <c:pt idx="2201">
                  <c:v>7.8799999999999999E-3</c:v>
                </c:pt>
                <c:pt idx="2202">
                  <c:v>7.62E-3</c:v>
                </c:pt>
                <c:pt idx="2203">
                  <c:v>7.8100000000000001E-3</c:v>
                </c:pt>
                <c:pt idx="2204">
                  <c:v>7.4700000000000001E-3</c:v>
                </c:pt>
                <c:pt idx="2205">
                  <c:v>7.4199999999999995E-3</c:v>
                </c:pt>
                <c:pt idx="2206">
                  <c:v>6.9099999999999995E-3</c:v>
                </c:pt>
                <c:pt idx="2207">
                  <c:v>6.9099999999999995E-3</c:v>
                </c:pt>
                <c:pt idx="2208">
                  <c:v>6.8899999999999994E-3</c:v>
                </c:pt>
                <c:pt idx="2209">
                  <c:v>7.1699999999999993E-3</c:v>
                </c:pt>
                <c:pt idx="2210">
                  <c:v>6.5000000000000006E-3</c:v>
                </c:pt>
                <c:pt idx="2211">
                  <c:v>6.4400000000000004E-3</c:v>
                </c:pt>
                <c:pt idx="2212">
                  <c:v>6.28E-3</c:v>
                </c:pt>
                <c:pt idx="2213">
                  <c:v>6.3800000000000003E-3</c:v>
                </c:pt>
                <c:pt idx="2214">
                  <c:v>7.5399999999999998E-3</c:v>
                </c:pt>
                <c:pt idx="2215">
                  <c:v>7.0899999999999999E-3</c:v>
                </c:pt>
                <c:pt idx="2216">
                  <c:v>6.6100000000000004E-3</c:v>
                </c:pt>
                <c:pt idx="2217">
                  <c:v>6.9799999999999992E-3</c:v>
                </c:pt>
                <c:pt idx="2218">
                  <c:v>6.3200000000000001E-3</c:v>
                </c:pt>
                <c:pt idx="2219">
                  <c:v>6.0499999999999998E-3</c:v>
                </c:pt>
                <c:pt idx="2220">
                  <c:v>6.3E-3</c:v>
                </c:pt>
                <c:pt idx="2221">
                  <c:v>6.6E-3</c:v>
                </c:pt>
                <c:pt idx="2222">
                  <c:v>6.2700000000000004E-3</c:v>
                </c:pt>
                <c:pt idx="2223">
                  <c:v>6.4200000000000004E-3</c:v>
                </c:pt>
                <c:pt idx="2224">
                  <c:v>6.1900000000000002E-3</c:v>
                </c:pt>
                <c:pt idx="2225">
                  <c:v>5.8199999999999997E-3</c:v>
                </c:pt>
                <c:pt idx="2226">
                  <c:v>5.6399999999999992E-3</c:v>
                </c:pt>
                <c:pt idx="2227">
                  <c:v>5.9199999999999999E-3</c:v>
                </c:pt>
                <c:pt idx="2228">
                  <c:v>7.3000000000000001E-3</c:v>
                </c:pt>
                <c:pt idx="2229">
                  <c:v>7.0399999999999994E-3</c:v>
                </c:pt>
                <c:pt idx="2230">
                  <c:v>7.4199999999999995E-3</c:v>
                </c:pt>
                <c:pt idx="2231">
                  <c:v>7.4199999999999995E-3</c:v>
                </c:pt>
                <c:pt idx="2232">
                  <c:v>7.980000000000001E-3</c:v>
                </c:pt>
                <c:pt idx="2233">
                  <c:v>7.9699999999999997E-3</c:v>
                </c:pt>
                <c:pt idx="2234">
                  <c:v>7.8200000000000006E-3</c:v>
                </c:pt>
                <c:pt idx="2235">
                  <c:v>7.2399999999999999E-3</c:v>
                </c:pt>
                <c:pt idx="2236">
                  <c:v>6.6800000000000002E-3</c:v>
                </c:pt>
                <c:pt idx="2237">
                  <c:v>6.7500000000000008E-3</c:v>
                </c:pt>
                <c:pt idx="2238">
                  <c:v>6.7600000000000004E-3</c:v>
                </c:pt>
                <c:pt idx="2239">
                  <c:v>6.9799999999999992E-3</c:v>
                </c:pt>
                <c:pt idx="2240">
                  <c:v>6.9499999999999996E-3</c:v>
                </c:pt>
                <c:pt idx="2241">
                  <c:v>6.5300000000000002E-3</c:v>
                </c:pt>
                <c:pt idx="2242">
                  <c:v>6.5500000000000003E-3</c:v>
                </c:pt>
                <c:pt idx="2243">
                  <c:v>7.43E-3</c:v>
                </c:pt>
                <c:pt idx="2244">
                  <c:v>7.7400000000000004E-3</c:v>
                </c:pt>
                <c:pt idx="2245">
                  <c:v>7.8100000000000001E-3</c:v>
                </c:pt>
                <c:pt idx="2246">
                  <c:v>6.6300000000000005E-3</c:v>
                </c:pt>
                <c:pt idx="2247">
                  <c:v>6.8400000000000006E-3</c:v>
                </c:pt>
                <c:pt idx="2248">
                  <c:v>5.8999999999999999E-3</c:v>
                </c:pt>
                <c:pt idx="2249">
                  <c:v>5.9699999999999996E-3</c:v>
                </c:pt>
                <c:pt idx="2250">
                  <c:v>6.0299999999999998E-3</c:v>
                </c:pt>
                <c:pt idx="2251">
                  <c:v>6.4900000000000001E-3</c:v>
                </c:pt>
                <c:pt idx="2252">
                  <c:v>5.8699999999999994E-3</c:v>
                </c:pt>
                <c:pt idx="2253">
                  <c:v>5.8299999999999992E-3</c:v>
                </c:pt>
                <c:pt idx="2254">
                  <c:v>5.8699999999999994E-3</c:v>
                </c:pt>
                <c:pt idx="2255">
                  <c:v>5.3600000000000002E-3</c:v>
                </c:pt>
                <c:pt idx="2256">
                  <c:v>5.1000000000000004E-3</c:v>
                </c:pt>
                <c:pt idx="2257">
                  <c:v>5.6599999999999992E-3</c:v>
                </c:pt>
                <c:pt idx="2258">
                  <c:v>5.96E-3</c:v>
                </c:pt>
                <c:pt idx="2259">
                  <c:v>5.9299999999999995E-3</c:v>
                </c:pt>
                <c:pt idx="2260">
                  <c:v>5.8599999999999998E-3</c:v>
                </c:pt>
                <c:pt idx="2261">
                  <c:v>6.1500000000000001E-3</c:v>
                </c:pt>
                <c:pt idx="2262">
                  <c:v>5.7799999999999995E-3</c:v>
                </c:pt>
                <c:pt idx="2263">
                  <c:v>5.8699999999999994E-3</c:v>
                </c:pt>
                <c:pt idx="2264">
                  <c:v>5.4100000000000007E-3</c:v>
                </c:pt>
                <c:pt idx="2265">
                  <c:v>5.5000000000000005E-3</c:v>
                </c:pt>
                <c:pt idx="2266">
                  <c:v>5.4800000000000005E-3</c:v>
                </c:pt>
                <c:pt idx="2267">
                  <c:v>5.6499999999999996E-3</c:v>
                </c:pt>
                <c:pt idx="2268">
                  <c:v>6.2599999999999999E-3</c:v>
                </c:pt>
                <c:pt idx="2269">
                  <c:v>5.6799999999999993E-3</c:v>
                </c:pt>
                <c:pt idx="2270">
                  <c:v>4.96E-3</c:v>
                </c:pt>
                <c:pt idx="2271">
                  <c:v>5.1200000000000004E-3</c:v>
                </c:pt>
                <c:pt idx="2272">
                  <c:v>5.0000000000000001E-3</c:v>
                </c:pt>
                <c:pt idx="2273">
                  <c:v>4.4299999999999999E-3</c:v>
                </c:pt>
                <c:pt idx="2274">
                  <c:v>4.3800000000000002E-3</c:v>
                </c:pt>
                <c:pt idx="2275">
                  <c:v>5.3E-3</c:v>
                </c:pt>
                <c:pt idx="2276">
                  <c:v>5.1700000000000001E-3</c:v>
                </c:pt>
                <c:pt idx="2277">
                  <c:v>5.5700000000000003E-3</c:v>
                </c:pt>
                <c:pt idx="2278">
                  <c:v>5.7299999999999999E-3</c:v>
                </c:pt>
                <c:pt idx="2279">
                  <c:v>5.9800000000000001E-3</c:v>
                </c:pt>
                <c:pt idx="2280">
                  <c:v>6.0699999999999999E-3</c:v>
                </c:pt>
                <c:pt idx="2281">
                  <c:v>6.9299999999999995E-3</c:v>
                </c:pt>
                <c:pt idx="2282">
                  <c:v>6.6100000000000004E-3</c:v>
                </c:pt>
                <c:pt idx="2283">
                  <c:v>6.2100000000000002E-3</c:v>
                </c:pt>
                <c:pt idx="2284">
                  <c:v>6.0999999999999995E-3</c:v>
                </c:pt>
                <c:pt idx="2285">
                  <c:v>6.0799999999999995E-3</c:v>
                </c:pt>
                <c:pt idx="2286">
                  <c:v>5.5800000000000008E-3</c:v>
                </c:pt>
                <c:pt idx="2287">
                  <c:v>5.3E-3</c:v>
                </c:pt>
                <c:pt idx="2288">
                  <c:v>5.2399999999999999E-3</c:v>
                </c:pt>
                <c:pt idx="2289">
                  <c:v>5.0600000000000003E-3</c:v>
                </c:pt>
                <c:pt idx="2290">
                  <c:v>4.79E-3</c:v>
                </c:pt>
                <c:pt idx="2291">
                  <c:v>4.79E-3</c:v>
                </c:pt>
                <c:pt idx="2292">
                  <c:v>5.3E-3</c:v>
                </c:pt>
                <c:pt idx="2293">
                  <c:v>5.1700000000000001E-3</c:v>
                </c:pt>
                <c:pt idx="2294">
                  <c:v>4.7099999999999998E-3</c:v>
                </c:pt>
                <c:pt idx="2295">
                  <c:v>4.6999999999999993E-3</c:v>
                </c:pt>
                <c:pt idx="2296">
                  <c:v>4.5999999999999999E-3</c:v>
                </c:pt>
                <c:pt idx="2297">
                  <c:v>4.7299999999999998E-3</c:v>
                </c:pt>
                <c:pt idx="2298">
                  <c:v>4.6800000000000001E-3</c:v>
                </c:pt>
                <c:pt idx="2299">
                  <c:v>4.6999999999999993E-3</c:v>
                </c:pt>
                <c:pt idx="2300">
                  <c:v>6.6600000000000001E-3</c:v>
                </c:pt>
                <c:pt idx="2301">
                  <c:v>6.7800000000000004E-3</c:v>
                </c:pt>
                <c:pt idx="2302">
                  <c:v>5.8099999999999992E-3</c:v>
                </c:pt>
                <c:pt idx="2303">
                  <c:v>5.7099999999999998E-3</c:v>
                </c:pt>
                <c:pt idx="2304">
                  <c:v>6.0000000000000001E-3</c:v>
                </c:pt>
                <c:pt idx="2305">
                  <c:v>5.6799999999999993E-3</c:v>
                </c:pt>
                <c:pt idx="2306">
                  <c:v>5.4000000000000003E-3</c:v>
                </c:pt>
                <c:pt idx="2307">
                  <c:v>5.7399999999999994E-3</c:v>
                </c:pt>
                <c:pt idx="2308">
                  <c:v>6.4099999999999999E-3</c:v>
                </c:pt>
                <c:pt idx="2309">
                  <c:v>6.7800000000000004E-3</c:v>
                </c:pt>
                <c:pt idx="2310">
                  <c:v>5.9899999999999997E-3</c:v>
                </c:pt>
                <c:pt idx="2311">
                  <c:v>5.4800000000000005E-3</c:v>
                </c:pt>
                <c:pt idx="2312">
                  <c:v>5.5100000000000001E-3</c:v>
                </c:pt>
                <c:pt idx="2313">
                  <c:v>6.0200000000000002E-3</c:v>
                </c:pt>
                <c:pt idx="2314">
                  <c:v>6.2900000000000005E-3</c:v>
                </c:pt>
                <c:pt idx="2315">
                  <c:v>6.4099999999999999E-3</c:v>
                </c:pt>
                <c:pt idx="2316">
                  <c:v>6.4099999999999999E-3</c:v>
                </c:pt>
                <c:pt idx="2317">
                  <c:v>5.6399999999999992E-3</c:v>
                </c:pt>
                <c:pt idx="2318">
                  <c:v>6.2900000000000005E-3</c:v>
                </c:pt>
                <c:pt idx="2319">
                  <c:v>6.2900000000000005E-3</c:v>
                </c:pt>
                <c:pt idx="2320">
                  <c:v>6.2900000000000005E-3</c:v>
                </c:pt>
                <c:pt idx="2321">
                  <c:v>6.2900000000000005E-3</c:v>
                </c:pt>
                <c:pt idx="2322">
                  <c:v>5.6599999999999992E-3</c:v>
                </c:pt>
                <c:pt idx="2323">
                  <c:v>5.4000000000000003E-3</c:v>
                </c:pt>
                <c:pt idx="2324">
                  <c:v>5.0299999999999997E-3</c:v>
                </c:pt>
                <c:pt idx="2325">
                  <c:v>5.3900000000000007E-3</c:v>
                </c:pt>
                <c:pt idx="2326">
                  <c:v>5.1400000000000005E-3</c:v>
                </c:pt>
                <c:pt idx="2327">
                  <c:v>5.4100000000000007E-3</c:v>
                </c:pt>
                <c:pt idx="2328">
                  <c:v>5.3300000000000005E-3</c:v>
                </c:pt>
                <c:pt idx="2329">
                  <c:v>5.6699999999999997E-3</c:v>
                </c:pt>
                <c:pt idx="2330">
                  <c:v>5.7399999999999994E-3</c:v>
                </c:pt>
                <c:pt idx="2331">
                  <c:v>5.4000000000000003E-3</c:v>
                </c:pt>
                <c:pt idx="2332">
                  <c:v>5.3700000000000006E-3</c:v>
                </c:pt>
                <c:pt idx="2333">
                  <c:v>5.4900000000000001E-3</c:v>
                </c:pt>
                <c:pt idx="2334">
                  <c:v>4.8199999999999996E-3</c:v>
                </c:pt>
                <c:pt idx="2335">
                  <c:v>4.5100000000000001E-3</c:v>
                </c:pt>
                <c:pt idx="2336">
                  <c:v>4.8399999999999997E-3</c:v>
                </c:pt>
                <c:pt idx="2337">
                  <c:v>4.7099999999999998E-3</c:v>
                </c:pt>
                <c:pt idx="2338">
                  <c:v>4.4600000000000004E-3</c:v>
                </c:pt>
                <c:pt idx="2339">
                  <c:v>4.4299999999999999E-3</c:v>
                </c:pt>
                <c:pt idx="2340">
                  <c:v>4.0400000000000002E-3</c:v>
                </c:pt>
                <c:pt idx="2341">
                  <c:v>3.2500000000000003E-3</c:v>
                </c:pt>
                <c:pt idx="2342">
                  <c:v>3.5099999999999997E-3</c:v>
                </c:pt>
                <c:pt idx="2343">
                  <c:v>3.0699999999999998E-3</c:v>
                </c:pt>
                <c:pt idx="2344">
                  <c:v>2.7500000000000003E-3</c:v>
                </c:pt>
                <c:pt idx="2345">
                  <c:v>3.0299999999999997E-3</c:v>
                </c:pt>
                <c:pt idx="2346">
                  <c:v>2.96E-3</c:v>
                </c:pt>
                <c:pt idx="2347">
                  <c:v>2.1800000000000001E-3</c:v>
                </c:pt>
                <c:pt idx="2348">
                  <c:v>2.33E-3</c:v>
                </c:pt>
                <c:pt idx="2349">
                  <c:v>2.4199999999999998E-3</c:v>
                </c:pt>
                <c:pt idx="2350">
                  <c:v>1.8799999999999999E-3</c:v>
                </c:pt>
                <c:pt idx="2351">
                  <c:v>2.6099999999999999E-3</c:v>
                </c:pt>
                <c:pt idx="2352">
                  <c:v>2.3699999999999997E-3</c:v>
                </c:pt>
                <c:pt idx="2353">
                  <c:v>2.66E-3</c:v>
                </c:pt>
                <c:pt idx="2354">
                  <c:v>2.6900000000000001E-3</c:v>
                </c:pt>
                <c:pt idx="2355">
                  <c:v>2.1800000000000001E-3</c:v>
                </c:pt>
                <c:pt idx="2356">
                  <c:v>2.0200000000000001E-3</c:v>
                </c:pt>
                <c:pt idx="2357">
                  <c:v>1.7599999999999998E-3</c:v>
                </c:pt>
                <c:pt idx="2358">
                  <c:v>1.83E-3</c:v>
                </c:pt>
                <c:pt idx="2359">
                  <c:v>1.5399999999999999E-3</c:v>
                </c:pt>
                <c:pt idx="2360">
                  <c:v>1.3800000000000002E-3</c:v>
                </c:pt>
                <c:pt idx="2361">
                  <c:v>1.47E-3</c:v>
                </c:pt>
                <c:pt idx="2362">
                  <c:v>1.07E-3</c:v>
                </c:pt>
                <c:pt idx="2363">
                  <c:v>1.4599999999999999E-3</c:v>
                </c:pt>
                <c:pt idx="2364">
                  <c:v>2.0599999999999998E-3</c:v>
                </c:pt>
                <c:pt idx="2365">
                  <c:v>2.2400000000000002E-3</c:v>
                </c:pt>
                <c:pt idx="2366">
                  <c:v>1.82E-3</c:v>
                </c:pt>
                <c:pt idx="2367">
                  <c:v>2.3999999999999998E-3</c:v>
                </c:pt>
                <c:pt idx="2368">
                  <c:v>3.0599999999999998E-3</c:v>
                </c:pt>
                <c:pt idx="2369">
                  <c:v>2.7100000000000002E-3</c:v>
                </c:pt>
                <c:pt idx="2370">
                  <c:v>2.7900000000000004E-3</c:v>
                </c:pt>
                <c:pt idx="2371">
                  <c:v>3.16E-3</c:v>
                </c:pt>
                <c:pt idx="2372">
                  <c:v>3.1099999999999999E-3</c:v>
                </c:pt>
                <c:pt idx="2373">
                  <c:v>2.3E-3</c:v>
                </c:pt>
                <c:pt idx="2374">
                  <c:v>2.1199999999999999E-3</c:v>
                </c:pt>
                <c:pt idx="2375">
                  <c:v>2.3E-3</c:v>
                </c:pt>
                <c:pt idx="2376">
                  <c:v>2.1099999999999999E-3</c:v>
                </c:pt>
                <c:pt idx="2377">
                  <c:v>1.9400000000000001E-3</c:v>
                </c:pt>
                <c:pt idx="2378">
                  <c:v>1.8E-3</c:v>
                </c:pt>
                <c:pt idx="2379">
                  <c:v>1.8E-3</c:v>
                </c:pt>
                <c:pt idx="2380">
                  <c:v>1.3700000000000001E-3</c:v>
                </c:pt>
                <c:pt idx="2381">
                  <c:v>1.56E-3</c:v>
                </c:pt>
                <c:pt idx="2382">
                  <c:v>1.5299999999999999E-3</c:v>
                </c:pt>
                <c:pt idx="2383">
                  <c:v>1.34E-3</c:v>
                </c:pt>
                <c:pt idx="2384">
                  <c:v>1.31E-3</c:v>
                </c:pt>
                <c:pt idx="2385">
                  <c:v>9.7999999999999997E-4</c:v>
                </c:pt>
                <c:pt idx="2386">
                  <c:v>1.1899999999999999E-3</c:v>
                </c:pt>
                <c:pt idx="2387">
                  <c:v>8.8999999999999995E-4</c:v>
                </c:pt>
                <c:pt idx="2388">
                  <c:v>9.5E-4</c:v>
                </c:pt>
                <c:pt idx="2389">
                  <c:v>1.1100000000000001E-3</c:v>
                </c:pt>
                <c:pt idx="2390">
                  <c:v>1.65E-3</c:v>
                </c:pt>
                <c:pt idx="2391">
                  <c:v>1.2800000000000001E-3</c:v>
                </c:pt>
                <c:pt idx="2392">
                  <c:v>1.67E-3</c:v>
                </c:pt>
                <c:pt idx="2393">
                  <c:v>1.2700000000000001E-3</c:v>
                </c:pt>
                <c:pt idx="2394">
                  <c:v>1.6100000000000001E-3</c:v>
                </c:pt>
                <c:pt idx="2395">
                  <c:v>1.6900000000000001E-3</c:v>
                </c:pt>
                <c:pt idx="2396">
                  <c:v>1.5299999999999999E-3</c:v>
                </c:pt>
                <c:pt idx="2397">
                  <c:v>2.3899999999999998E-3</c:v>
                </c:pt>
                <c:pt idx="2398">
                  <c:v>2.31E-3</c:v>
                </c:pt>
                <c:pt idx="2399">
                  <c:v>2.64E-3</c:v>
                </c:pt>
                <c:pt idx="2400">
                  <c:v>2.99E-3</c:v>
                </c:pt>
                <c:pt idx="2401">
                  <c:v>2.8599999999999997E-3</c:v>
                </c:pt>
                <c:pt idx="2402">
                  <c:v>2.5700000000000002E-3</c:v>
                </c:pt>
                <c:pt idx="2403">
                  <c:v>2.7100000000000002E-3</c:v>
                </c:pt>
                <c:pt idx="2404">
                  <c:v>2E-3</c:v>
                </c:pt>
                <c:pt idx="2405">
                  <c:v>2.0399999999999997E-3</c:v>
                </c:pt>
                <c:pt idx="2406">
                  <c:v>1.6100000000000001E-3</c:v>
                </c:pt>
                <c:pt idx="2407">
                  <c:v>1.4399999999999999E-3</c:v>
                </c:pt>
                <c:pt idx="2408">
                  <c:v>1.2600000000000001E-3</c:v>
                </c:pt>
                <c:pt idx="2409">
                  <c:v>1.24E-3</c:v>
                </c:pt>
                <c:pt idx="2410">
                  <c:v>1.2600000000000001E-3</c:v>
                </c:pt>
                <c:pt idx="2411">
                  <c:v>1.5399999999999999E-3</c:v>
                </c:pt>
                <c:pt idx="2412">
                  <c:v>1.24E-3</c:v>
                </c:pt>
                <c:pt idx="2413">
                  <c:v>1.4299999999999998E-3</c:v>
                </c:pt>
                <c:pt idx="2414">
                  <c:v>1.32E-3</c:v>
                </c:pt>
                <c:pt idx="2415">
                  <c:v>1.6800000000000001E-3</c:v>
                </c:pt>
                <c:pt idx="2416">
                  <c:v>1.7000000000000001E-3</c:v>
                </c:pt>
                <c:pt idx="2417">
                  <c:v>1.65E-3</c:v>
                </c:pt>
                <c:pt idx="2418">
                  <c:v>1.7599999999999998E-3</c:v>
                </c:pt>
                <c:pt idx="2419">
                  <c:v>1.7699999999999999E-3</c:v>
                </c:pt>
                <c:pt idx="2420">
                  <c:v>1.5199999999999999E-3</c:v>
                </c:pt>
                <c:pt idx="2421">
                  <c:v>1.4599999999999999E-3</c:v>
                </c:pt>
                <c:pt idx="2422">
                  <c:v>1.3800000000000002E-3</c:v>
                </c:pt>
                <c:pt idx="2423">
                  <c:v>1.67E-3</c:v>
                </c:pt>
                <c:pt idx="2424">
                  <c:v>1.3900000000000002E-3</c:v>
                </c:pt>
                <c:pt idx="2425">
                  <c:v>1.3600000000000001E-3</c:v>
                </c:pt>
                <c:pt idx="2426">
                  <c:v>1.14E-3</c:v>
                </c:pt>
                <c:pt idx="2427">
                  <c:v>6.8000000000000005E-4</c:v>
                </c:pt>
                <c:pt idx="2428">
                  <c:v>8.5999999999999998E-4</c:v>
                </c:pt>
                <c:pt idx="2429">
                  <c:v>5.0000000000000001E-4</c:v>
                </c:pt>
                <c:pt idx="2430">
                  <c:v>5.5000000000000003E-4</c:v>
                </c:pt>
                <c:pt idx="2431">
                  <c:v>3.3E-4</c:v>
                </c:pt>
                <c:pt idx="2432">
                  <c:v>2.0000000000000001E-4</c:v>
                </c:pt>
                <c:pt idx="2433">
                  <c:v>2.4000000000000001E-4</c:v>
                </c:pt>
                <c:pt idx="2434">
                  <c:v>-4.0000000000000003E-5</c:v>
                </c:pt>
                <c:pt idx="2435">
                  <c:v>-1E-4</c:v>
                </c:pt>
                <c:pt idx="2436">
                  <c:v>-2.4000000000000001E-4</c:v>
                </c:pt>
                <c:pt idx="2437">
                  <c:v>1.8999999999999998E-4</c:v>
                </c:pt>
                <c:pt idx="2438">
                  <c:v>5.0999999999999993E-4</c:v>
                </c:pt>
                <c:pt idx="2439">
                  <c:v>5.0000000000000001E-4</c:v>
                </c:pt>
                <c:pt idx="2440">
                  <c:v>6.0999999999999997E-4</c:v>
                </c:pt>
                <c:pt idx="2441">
                  <c:v>9.2999999999999995E-4</c:v>
                </c:pt>
                <c:pt idx="2442">
                  <c:v>-4.6999999999999999E-4</c:v>
                </c:pt>
                <c:pt idx="2443">
                  <c:v>-1.16E-3</c:v>
                </c:pt>
                <c:pt idx="2444">
                  <c:v>-1.1200000000000001E-3</c:v>
                </c:pt>
                <c:pt idx="2445">
                  <c:v>-1.2600000000000001E-3</c:v>
                </c:pt>
                <c:pt idx="2446">
                  <c:v>-1.2999999999999999E-3</c:v>
                </c:pt>
                <c:pt idx="2447">
                  <c:v>-1.2600000000000001E-3</c:v>
                </c:pt>
                <c:pt idx="2448">
                  <c:v>-1.4099999999999998E-3</c:v>
                </c:pt>
                <c:pt idx="2449">
                  <c:v>-1.8500000000000001E-3</c:v>
                </c:pt>
                <c:pt idx="2450">
                  <c:v>-1.7599999999999998E-3</c:v>
                </c:pt>
                <c:pt idx="2451">
                  <c:v>-1.7000000000000001E-3</c:v>
                </c:pt>
                <c:pt idx="2452">
                  <c:v>-1.89E-3</c:v>
                </c:pt>
                <c:pt idx="2453">
                  <c:v>-1.6800000000000001E-3</c:v>
                </c:pt>
                <c:pt idx="2454">
                  <c:v>-9.1E-4</c:v>
                </c:pt>
                <c:pt idx="2455">
                  <c:v>-6.2E-4</c:v>
                </c:pt>
                <c:pt idx="2456">
                  <c:v>-4.0000000000000002E-4</c:v>
                </c:pt>
                <c:pt idx="2457">
                  <c:v>6.0000000000000002E-5</c:v>
                </c:pt>
                <c:pt idx="2458">
                  <c:v>-1.6000000000000001E-4</c:v>
                </c:pt>
                <c:pt idx="2459">
                  <c:v>-2.9999999999999997E-4</c:v>
                </c:pt>
                <c:pt idx="2460">
                  <c:v>-1.0999999999999999E-4</c:v>
                </c:pt>
                <c:pt idx="2461">
                  <c:v>-1.7000000000000001E-4</c:v>
                </c:pt>
                <c:pt idx="2462">
                  <c:v>-2.9999999999999997E-4</c:v>
                </c:pt>
                <c:pt idx="2463">
                  <c:v>-4.0999999999999999E-4</c:v>
                </c:pt>
                <c:pt idx="2464">
                  <c:v>-2.7E-4</c:v>
                </c:pt>
                <c:pt idx="2465">
                  <c:v>-7.9000000000000001E-4</c:v>
                </c:pt>
                <c:pt idx="2466">
                  <c:v>-8.9999999999999998E-4</c:v>
                </c:pt>
                <c:pt idx="2467">
                  <c:v>-1.1899999999999999E-3</c:v>
                </c:pt>
                <c:pt idx="2468">
                  <c:v>-9.7999999999999997E-4</c:v>
                </c:pt>
                <c:pt idx="2469">
                  <c:v>-3.5999999999999997E-4</c:v>
                </c:pt>
                <c:pt idx="2470">
                  <c:v>-3.7999999999999997E-4</c:v>
                </c:pt>
                <c:pt idx="2471">
                  <c:v>-9.5E-4</c:v>
                </c:pt>
                <c:pt idx="2472">
                  <c:v>-6.7000000000000002E-4</c:v>
                </c:pt>
                <c:pt idx="2473">
                  <c:v>-6.4999999999999997E-4</c:v>
                </c:pt>
                <c:pt idx="2474">
                  <c:v>-7.5999999999999993E-4</c:v>
                </c:pt>
                <c:pt idx="2475">
                  <c:v>-1.09E-3</c:v>
                </c:pt>
                <c:pt idx="2476">
                  <c:v>-9.2999999999999995E-4</c:v>
                </c:pt>
                <c:pt idx="2477">
                  <c:v>-1.08E-3</c:v>
                </c:pt>
                <c:pt idx="2478">
                  <c:v>-7.3999999999999999E-4</c:v>
                </c:pt>
                <c:pt idx="2479">
                  <c:v>-2.9999999999999997E-4</c:v>
                </c:pt>
                <c:pt idx="2480">
                  <c:v>-5.0000000000000001E-4</c:v>
                </c:pt>
                <c:pt idx="2481">
                  <c:v>-8.1999999999999998E-4</c:v>
                </c:pt>
                <c:pt idx="2482">
                  <c:v>-3.2000000000000003E-4</c:v>
                </c:pt>
                <c:pt idx="2483">
                  <c:v>-8.9999999999999998E-4</c:v>
                </c:pt>
                <c:pt idx="2484">
                  <c:v>-9.5E-4</c:v>
                </c:pt>
                <c:pt idx="2485">
                  <c:v>-8.8999999999999995E-4</c:v>
                </c:pt>
                <c:pt idx="2486">
                  <c:v>-7.000000000000001E-4</c:v>
                </c:pt>
                <c:pt idx="2487">
                  <c:v>-7.1999999999999994E-4</c:v>
                </c:pt>
                <c:pt idx="2488">
                  <c:v>-8.3000000000000001E-4</c:v>
                </c:pt>
                <c:pt idx="2489">
                  <c:v>-9.1E-4</c:v>
                </c:pt>
                <c:pt idx="2490">
                  <c:v>-6.4999999999999997E-4</c:v>
                </c:pt>
                <c:pt idx="2491">
                  <c:v>-6.6E-4</c:v>
                </c:pt>
                <c:pt idx="2492">
                  <c:v>-4.2999999999999999E-4</c:v>
                </c:pt>
                <c:pt idx="2493">
                  <c:v>-4.8000000000000001E-4</c:v>
                </c:pt>
                <c:pt idx="2494">
                  <c:v>-1.1100000000000001E-3</c:v>
                </c:pt>
                <c:pt idx="2495">
                  <c:v>-1.17E-3</c:v>
                </c:pt>
                <c:pt idx="2496">
                  <c:v>-6.2E-4</c:v>
                </c:pt>
                <c:pt idx="2497">
                  <c:v>1.0999999999999999E-4</c:v>
                </c:pt>
                <c:pt idx="2498">
                  <c:v>3.7999999999999997E-4</c:v>
                </c:pt>
                <c:pt idx="2499">
                  <c:v>7.0999999999999991E-4</c:v>
                </c:pt>
                <c:pt idx="2500">
                  <c:v>2.1000000000000001E-4</c:v>
                </c:pt>
                <c:pt idx="2501">
                  <c:v>3.2000000000000003E-4</c:v>
                </c:pt>
                <c:pt idx="2502">
                  <c:v>7.0000000000000007E-5</c:v>
                </c:pt>
                <c:pt idx="2503">
                  <c:v>1.6000000000000001E-4</c:v>
                </c:pt>
                <c:pt idx="2504">
                  <c:v>-1.7999999999999998E-4</c:v>
                </c:pt>
                <c:pt idx="2505">
                  <c:v>2.0000000000000002E-5</c:v>
                </c:pt>
                <c:pt idx="2506">
                  <c:v>-9.6000000000000002E-4</c:v>
                </c:pt>
                <c:pt idx="2507">
                  <c:v>-8.1999999999999998E-4</c:v>
                </c:pt>
                <c:pt idx="2508">
                  <c:v>-1.16E-3</c:v>
                </c:pt>
                <c:pt idx="2509">
                  <c:v>-1.39E-3</c:v>
                </c:pt>
                <c:pt idx="2510">
                  <c:v>-1.4499999999999999E-3</c:v>
                </c:pt>
                <c:pt idx="2511">
                  <c:v>-1.17E-3</c:v>
                </c:pt>
                <c:pt idx="2512">
                  <c:v>-1.1899999999999999E-3</c:v>
                </c:pt>
                <c:pt idx="2513">
                  <c:v>-9.2999999999999995E-4</c:v>
                </c:pt>
                <c:pt idx="2514">
                  <c:v>-5.4000000000000001E-4</c:v>
                </c:pt>
                <c:pt idx="2515">
                  <c:v>-5.0000000000000002E-5</c:v>
                </c:pt>
                <c:pt idx="2516">
                  <c:v>-1.7999999999999998E-4</c:v>
                </c:pt>
                <c:pt idx="2517">
                  <c:v>2.0000000000000001E-4</c:v>
                </c:pt>
                <c:pt idx="2518">
                  <c:v>5.6000000000000006E-4</c:v>
                </c:pt>
                <c:pt idx="2519">
                  <c:v>2.5000000000000001E-4</c:v>
                </c:pt>
                <c:pt idx="2520">
                  <c:v>6.7000000000000002E-4</c:v>
                </c:pt>
                <c:pt idx="2521">
                  <c:v>3.7999999999999997E-4</c:v>
                </c:pt>
                <c:pt idx="2522">
                  <c:v>5.8E-4</c:v>
                </c:pt>
                <c:pt idx="2523">
                  <c:v>5.5000000000000003E-4</c:v>
                </c:pt>
                <c:pt idx="2524">
                  <c:v>3.5000000000000005E-4</c:v>
                </c:pt>
                <c:pt idx="2525">
                  <c:v>2.9999999999999997E-4</c:v>
                </c:pt>
                <c:pt idx="2526">
                  <c:v>3.0000000000000001E-5</c:v>
                </c:pt>
                <c:pt idx="2527">
                  <c:v>6.0000000000000002E-5</c:v>
                </c:pt>
                <c:pt idx="2528">
                  <c:v>2.3000000000000001E-4</c:v>
                </c:pt>
                <c:pt idx="2529">
                  <c:v>2.9999999999999997E-4</c:v>
                </c:pt>
                <c:pt idx="2530">
                  <c:v>8.5000000000000006E-4</c:v>
                </c:pt>
                <c:pt idx="2531">
                  <c:v>1.7000000000000001E-3</c:v>
                </c:pt>
                <c:pt idx="2532">
                  <c:v>1.67E-3</c:v>
                </c:pt>
                <c:pt idx="2533">
                  <c:v>1.6300000000000002E-3</c:v>
                </c:pt>
                <c:pt idx="2534">
                  <c:v>1.7899999999999999E-3</c:v>
                </c:pt>
                <c:pt idx="2535">
                  <c:v>1.31E-3</c:v>
                </c:pt>
                <c:pt idx="2536">
                  <c:v>1.58E-3</c:v>
                </c:pt>
                <c:pt idx="2537">
                  <c:v>1.3500000000000001E-3</c:v>
                </c:pt>
                <c:pt idx="2538">
                  <c:v>1.5399999999999999E-3</c:v>
                </c:pt>
                <c:pt idx="2539">
                  <c:v>1.8799999999999999E-3</c:v>
                </c:pt>
                <c:pt idx="2540">
                  <c:v>2.0300000000000001E-3</c:v>
                </c:pt>
                <c:pt idx="2541">
                  <c:v>2.7400000000000002E-3</c:v>
                </c:pt>
                <c:pt idx="2542">
                  <c:v>3.0799999999999998E-3</c:v>
                </c:pt>
                <c:pt idx="2543">
                  <c:v>3.1900000000000001E-3</c:v>
                </c:pt>
                <c:pt idx="2544">
                  <c:v>3.0799999999999998E-3</c:v>
                </c:pt>
                <c:pt idx="2545">
                  <c:v>2.97E-3</c:v>
                </c:pt>
                <c:pt idx="2546">
                  <c:v>2.7900000000000004E-3</c:v>
                </c:pt>
                <c:pt idx="2547">
                  <c:v>2.7200000000000002E-3</c:v>
                </c:pt>
                <c:pt idx="2548">
                  <c:v>2.7400000000000002E-3</c:v>
                </c:pt>
                <c:pt idx="2549">
                  <c:v>2.2100000000000002E-3</c:v>
                </c:pt>
                <c:pt idx="2550">
                  <c:v>2.6199999999999999E-3</c:v>
                </c:pt>
                <c:pt idx="2551">
                  <c:v>2.5900000000000003E-3</c:v>
                </c:pt>
                <c:pt idx="2552">
                  <c:v>2.3999999999999998E-3</c:v>
                </c:pt>
                <c:pt idx="2553">
                  <c:v>2.0499999999999997E-3</c:v>
                </c:pt>
                <c:pt idx="2554">
                  <c:v>2.2100000000000002E-3</c:v>
                </c:pt>
                <c:pt idx="2555">
                  <c:v>2.7500000000000003E-3</c:v>
                </c:pt>
                <c:pt idx="2556">
                  <c:v>3.6900000000000001E-3</c:v>
                </c:pt>
                <c:pt idx="2557">
                  <c:v>2.8100000000000004E-3</c:v>
                </c:pt>
                <c:pt idx="2558">
                  <c:v>3.3300000000000001E-3</c:v>
                </c:pt>
                <c:pt idx="2559">
                  <c:v>3.7299999999999998E-3</c:v>
                </c:pt>
                <c:pt idx="2560">
                  <c:v>3.4699999999999996E-3</c:v>
                </c:pt>
                <c:pt idx="2561">
                  <c:v>3.82E-3</c:v>
                </c:pt>
                <c:pt idx="2562">
                  <c:v>3.65E-3</c:v>
                </c:pt>
                <c:pt idx="2563">
                  <c:v>3.9900000000000005E-3</c:v>
                </c:pt>
                <c:pt idx="2564">
                  <c:v>3.5999999999999999E-3</c:v>
                </c:pt>
                <c:pt idx="2565">
                  <c:v>3.0100000000000001E-3</c:v>
                </c:pt>
                <c:pt idx="2566">
                  <c:v>3.65E-3</c:v>
                </c:pt>
                <c:pt idx="2567">
                  <c:v>3.14E-3</c:v>
                </c:pt>
                <c:pt idx="2568">
                  <c:v>2.47E-3</c:v>
                </c:pt>
                <c:pt idx="2569">
                  <c:v>2.6900000000000001E-3</c:v>
                </c:pt>
                <c:pt idx="2570">
                  <c:v>2.47E-3</c:v>
                </c:pt>
                <c:pt idx="2571">
                  <c:v>2.5999999999999999E-3</c:v>
                </c:pt>
                <c:pt idx="2572">
                  <c:v>2.2100000000000002E-3</c:v>
                </c:pt>
                <c:pt idx="2573">
                  <c:v>2.0699999999999998E-3</c:v>
                </c:pt>
                <c:pt idx="2574">
                  <c:v>1.9500000000000001E-3</c:v>
                </c:pt>
                <c:pt idx="2575">
                  <c:v>1.7499999999999998E-3</c:v>
                </c:pt>
                <c:pt idx="2576">
                  <c:v>2.0799999999999998E-3</c:v>
                </c:pt>
                <c:pt idx="2577">
                  <c:v>1.89E-3</c:v>
                </c:pt>
                <c:pt idx="2578">
                  <c:v>2.64E-3</c:v>
                </c:pt>
                <c:pt idx="2579">
                  <c:v>2.7600000000000003E-3</c:v>
                </c:pt>
                <c:pt idx="2580">
                  <c:v>2.4299999999999999E-3</c:v>
                </c:pt>
                <c:pt idx="2581">
                  <c:v>2.98E-3</c:v>
                </c:pt>
                <c:pt idx="2582">
                  <c:v>2.7800000000000004E-3</c:v>
                </c:pt>
                <c:pt idx="2583">
                  <c:v>2.8499999999999997E-3</c:v>
                </c:pt>
                <c:pt idx="2584">
                  <c:v>3.2799999999999999E-3</c:v>
                </c:pt>
                <c:pt idx="2585">
                  <c:v>3.16E-3</c:v>
                </c:pt>
                <c:pt idx="2586">
                  <c:v>3.3800000000000002E-3</c:v>
                </c:pt>
                <c:pt idx="2587">
                  <c:v>3.2300000000000002E-3</c:v>
                </c:pt>
                <c:pt idx="2588">
                  <c:v>3.2100000000000002E-3</c:v>
                </c:pt>
                <c:pt idx="2589">
                  <c:v>3.5499999999999998E-3</c:v>
                </c:pt>
                <c:pt idx="2590">
                  <c:v>3.79E-3</c:v>
                </c:pt>
                <c:pt idx="2591">
                  <c:v>4.2100000000000002E-3</c:v>
                </c:pt>
                <c:pt idx="2592">
                  <c:v>3.63E-3</c:v>
                </c:pt>
                <c:pt idx="2593">
                  <c:v>4.0799999999999994E-3</c:v>
                </c:pt>
                <c:pt idx="2594">
                  <c:v>4.64E-3</c:v>
                </c:pt>
                <c:pt idx="2595">
                  <c:v>4.8399999999999997E-3</c:v>
                </c:pt>
                <c:pt idx="2596">
                  <c:v>4.62E-3</c:v>
                </c:pt>
                <c:pt idx="2597">
                  <c:v>4.4900000000000001E-3</c:v>
                </c:pt>
                <c:pt idx="2598">
                  <c:v>4.3600000000000002E-3</c:v>
                </c:pt>
                <c:pt idx="2599">
                  <c:v>4.6800000000000001E-3</c:v>
                </c:pt>
                <c:pt idx="2600">
                  <c:v>4.2699999999999995E-3</c:v>
                </c:pt>
                <c:pt idx="2601">
                  <c:v>4.1199999999999995E-3</c:v>
                </c:pt>
                <c:pt idx="2602">
                  <c:v>3.7000000000000002E-3</c:v>
                </c:pt>
                <c:pt idx="2603">
                  <c:v>3.4999999999999996E-3</c:v>
                </c:pt>
                <c:pt idx="2604">
                  <c:v>2.96E-3</c:v>
                </c:pt>
                <c:pt idx="2605">
                  <c:v>3.1199999999999999E-3</c:v>
                </c:pt>
                <c:pt idx="2606">
                  <c:v>3.2000000000000002E-3</c:v>
                </c:pt>
                <c:pt idx="2607">
                  <c:v>3.31E-3</c:v>
                </c:pt>
                <c:pt idx="2608">
                  <c:v>3.6600000000000001E-3</c:v>
                </c:pt>
                <c:pt idx="2609">
                  <c:v>3.7299999999999998E-3</c:v>
                </c:pt>
                <c:pt idx="2610">
                  <c:v>3.4899999999999996E-3</c:v>
                </c:pt>
                <c:pt idx="2611">
                  <c:v>3.0200000000000001E-3</c:v>
                </c:pt>
                <c:pt idx="2612">
                  <c:v>2.96E-3</c:v>
                </c:pt>
                <c:pt idx="2613">
                  <c:v>3.0100000000000001E-3</c:v>
                </c:pt>
                <c:pt idx="2614">
                  <c:v>2.7900000000000004E-3</c:v>
                </c:pt>
                <c:pt idx="2615">
                  <c:v>2.33E-3</c:v>
                </c:pt>
                <c:pt idx="2616">
                  <c:v>1.8599999999999999E-3</c:v>
                </c:pt>
                <c:pt idx="2617">
                  <c:v>1.98E-3</c:v>
                </c:pt>
                <c:pt idx="2618">
                  <c:v>2.0799999999999998E-3</c:v>
                </c:pt>
                <c:pt idx="2619">
                  <c:v>2.8199999999999996E-3</c:v>
                </c:pt>
                <c:pt idx="2620">
                  <c:v>3.1700000000000001E-3</c:v>
                </c:pt>
                <c:pt idx="2621">
                  <c:v>3.5599999999999998E-3</c:v>
                </c:pt>
                <c:pt idx="2622">
                  <c:v>3.4200000000000003E-3</c:v>
                </c:pt>
                <c:pt idx="2623">
                  <c:v>3.1900000000000001E-3</c:v>
                </c:pt>
                <c:pt idx="2624">
                  <c:v>3.7000000000000002E-3</c:v>
                </c:pt>
                <c:pt idx="2625">
                  <c:v>4.2599999999999999E-3</c:v>
                </c:pt>
                <c:pt idx="2626">
                  <c:v>4.8500000000000001E-3</c:v>
                </c:pt>
                <c:pt idx="2627">
                  <c:v>4.7099999999999998E-3</c:v>
                </c:pt>
                <c:pt idx="2628">
                  <c:v>4.45E-3</c:v>
                </c:pt>
                <c:pt idx="2629">
                  <c:v>4.15E-3</c:v>
                </c:pt>
                <c:pt idx="2630">
                  <c:v>4.4800000000000005E-3</c:v>
                </c:pt>
                <c:pt idx="2631">
                  <c:v>4.3499999999999997E-3</c:v>
                </c:pt>
                <c:pt idx="2632">
                  <c:v>4.4000000000000003E-3</c:v>
                </c:pt>
                <c:pt idx="2633">
                  <c:v>4.5900000000000003E-3</c:v>
                </c:pt>
                <c:pt idx="2634">
                  <c:v>4.0799999999999994E-3</c:v>
                </c:pt>
                <c:pt idx="2635">
                  <c:v>4.3099999999999996E-3</c:v>
                </c:pt>
                <c:pt idx="2636">
                  <c:v>4.0300000000000006E-3</c:v>
                </c:pt>
                <c:pt idx="2637">
                  <c:v>4.0200000000000001E-3</c:v>
                </c:pt>
                <c:pt idx="2638">
                  <c:v>3.8800000000000002E-3</c:v>
                </c:pt>
                <c:pt idx="2639">
                  <c:v>3.4399999999999999E-3</c:v>
                </c:pt>
                <c:pt idx="2640">
                  <c:v>3.3300000000000001E-3</c:v>
                </c:pt>
                <c:pt idx="2641">
                  <c:v>3.2799999999999999E-3</c:v>
                </c:pt>
                <c:pt idx="2642">
                  <c:v>2.7700000000000003E-3</c:v>
                </c:pt>
                <c:pt idx="2643">
                  <c:v>2.5700000000000002E-3</c:v>
                </c:pt>
                <c:pt idx="2644">
                  <c:v>2.5800000000000003E-3</c:v>
                </c:pt>
                <c:pt idx="2645">
                  <c:v>2.63E-3</c:v>
                </c:pt>
                <c:pt idx="2646">
                  <c:v>2.2799999999999999E-3</c:v>
                </c:pt>
                <c:pt idx="2647">
                  <c:v>2.0699999999999998E-3</c:v>
                </c:pt>
                <c:pt idx="2648">
                  <c:v>2.0399999999999997E-3</c:v>
                </c:pt>
                <c:pt idx="2649">
                  <c:v>1.98E-3</c:v>
                </c:pt>
                <c:pt idx="2650">
                  <c:v>1.8699999999999999E-3</c:v>
                </c:pt>
                <c:pt idx="2651">
                  <c:v>1.8699999999999999E-3</c:v>
                </c:pt>
                <c:pt idx="2652">
                  <c:v>1.8699999999999999E-3</c:v>
                </c:pt>
                <c:pt idx="2653">
                  <c:v>1.56E-3</c:v>
                </c:pt>
                <c:pt idx="2654">
                  <c:v>2.0300000000000001E-3</c:v>
                </c:pt>
                <c:pt idx="2655">
                  <c:v>2.4399999999999999E-3</c:v>
                </c:pt>
                <c:pt idx="2656">
                  <c:v>2.5300000000000001E-3</c:v>
                </c:pt>
                <c:pt idx="2657">
                  <c:v>3.1700000000000001E-3</c:v>
                </c:pt>
                <c:pt idx="2658">
                  <c:v>3.2799999999999999E-3</c:v>
                </c:pt>
                <c:pt idx="2659">
                  <c:v>3.2600000000000003E-3</c:v>
                </c:pt>
                <c:pt idx="2660">
                  <c:v>3.9399999999999999E-3</c:v>
                </c:pt>
                <c:pt idx="2661">
                  <c:v>4.1799999999999997E-3</c:v>
                </c:pt>
                <c:pt idx="2662">
                  <c:v>4.1799999999999997E-3</c:v>
                </c:pt>
                <c:pt idx="2663">
                  <c:v>4.3E-3</c:v>
                </c:pt>
                <c:pt idx="2664">
                  <c:v>4.2199999999999998E-3</c:v>
                </c:pt>
                <c:pt idx="2665">
                  <c:v>4.3200000000000001E-3</c:v>
                </c:pt>
                <c:pt idx="2666">
                  <c:v>3.9100000000000003E-3</c:v>
                </c:pt>
                <c:pt idx="2667">
                  <c:v>4.1999999999999997E-3</c:v>
                </c:pt>
                <c:pt idx="2668">
                  <c:v>4.3499999999999997E-3</c:v>
                </c:pt>
                <c:pt idx="2669">
                  <c:v>3.7799999999999999E-3</c:v>
                </c:pt>
                <c:pt idx="2670">
                  <c:v>3.4300000000000003E-3</c:v>
                </c:pt>
                <c:pt idx="2671">
                  <c:v>3.6800000000000001E-3</c:v>
                </c:pt>
                <c:pt idx="2672">
                  <c:v>3.9700000000000004E-3</c:v>
                </c:pt>
                <c:pt idx="2673">
                  <c:v>4.0999999999999995E-3</c:v>
                </c:pt>
                <c:pt idx="2674">
                  <c:v>4.0300000000000006E-3</c:v>
                </c:pt>
                <c:pt idx="2675">
                  <c:v>3.62E-3</c:v>
                </c:pt>
                <c:pt idx="2676">
                  <c:v>3.31E-3</c:v>
                </c:pt>
                <c:pt idx="2677">
                  <c:v>2.98E-3</c:v>
                </c:pt>
                <c:pt idx="2678">
                  <c:v>2.9199999999999999E-3</c:v>
                </c:pt>
                <c:pt idx="2679">
                  <c:v>3.0399999999999997E-3</c:v>
                </c:pt>
                <c:pt idx="2680">
                  <c:v>3.0499999999999998E-3</c:v>
                </c:pt>
                <c:pt idx="2681">
                  <c:v>2.7400000000000002E-3</c:v>
                </c:pt>
                <c:pt idx="2682">
                  <c:v>2.8699999999999997E-3</c:v>
                </c:pt>
                <c:pt idx="2683">
                  <c:v>2.5200000000000001E-3</c:v>
                </c:pt>
                <c:pt idx="2684">
                  <c:v>2.6900000000000001E-3</c:v>
                </c:pt>
                <c:pt idx="2685">
                  <c:v>2.5600000000000002E-3</c:v>
                </c:pt>
                <c:pt idx="2686">
                  <c:v>2.64E-3</c:v>
                </c:pt>
                <c:pt idx="2687">
                  <c:v>2.49E-3</c:v>
                </c:pt>
                <c:pt idx="2688">
                  <c:v>2.66E-3</c:v>
                </c:pt>
                <c:pt idx="2689">
                  <c:v>2.2599999999999999E-3</c:v>
                </c:pt>
                <c:pt idx="2690">
                  <c:v>2.8199999999999996E-3</c:v>
                </c:pt>
                <c:pt idx="2691">
                  <c:v>2.7600000000000003E-3</c:v>
                </c:pt>
                <c:pt idx="2692">
                  <c:v>2.8100000000000004E-3</c:v>
                </c:pt>
                <c:pt idx="2693">
                  <c:v>2.6199999999999999E-3</c:v>
                </c:pt>
                <c:pt idx="2694">
                  <c:v>2.65E-3</c:v>
                </c:pt>
                <c:pt idx="2695">
                  <c:v>2.5200000000000001E-3</c:v>
                </c:pt>
                <c:pt idx="2696">
                  <c:v>2.5500000000000002E-3</c:v>
                </c:pt>
                <c:pt idx="2697">
                  <c:v>2.4499999999999999E-3</c:v>
                </c:pt>
                <c:pt idx="2698">
                  <c:v>3.7000000000000002E-3</c:v>
                </c:pt>
                <c:pt idx="2699">
                  <c:v>3.6800000000000001E-3</c:v>
                </c:pt>
                <c:pt idx="2700">
                  <c:v>4.5199999999999997E-3</c:v>
                </c:pt>
                <c:pt idx="2701">
                  <c:v>4.6600000000000001E-3</c:v>
                </c:pt>
                <c:pt idx="2702">
                  <c:v>4.7599999999999995E-3</c:v>
                </c:pt>
                <c:pt idx="2703">
                  <c:v>4.7499999999999999E-3</c:v>
                </c:pt>
                <c:pt idx="2704">
                  <c:v>4.6999999999999993E-3</c:v>
                </c:pt>
                <c:pt idx="2705">
                  <c:v>5.6200000000000009E-3</c:v>
                </c:pt>
                <c:pt idx="2706">
                  <c:v>5.7299999999999999E-3</c:v>
                </c:pt>
                <c:pt idx="2707">
                  <c:v>5.4000000000000003E-3</c:v>
                </c:pt>
                <c:pt idx="2708">
                  <c:v>5.5000000000000005E-3</c:v>
                </c:pt>
                <c:pt idx="2709">
                  <c:v>5.79E-3</c:v>
                </c:pt>
                <c:pt idx="2710">
                  <c:v>6.0299999999999998E-3</c:v>
                </c:pt>
                <c:pt idx="2711">
                  <c:v>5.9699999999999996E-3</c:v>
                </c:pt>
                <c:pt idx="2712">
                  <c:v>5.8099999999999992E-3</c:v>
                </c:pt>
                <c:pt idx="2713">
                  <c:v>5.5400000000000007E-3</c:v>
                </c:pt>
                <c:pt idx="2714">
                  <c:v>5.4200000000000003E-3</c:v>
                </c:pt>
                <c:pt idx="2715">
                  <c:v>5.3E-3</c:v>
                </c:pt>
                <c:pt idx="2716">
                  <c:v>5.0600000000000003E-3</c:v>
                </c:pt>
                <c:pt idx="2717">
                  <c:v>5.0800000000000003E-3</c:v>
                </c:pt>
                <c:pt idx="2718">
                  <c:v>5.6599999999999992E-3</c:v>
                </c:pt>
                <c:pt idx="2719">
                  <c:v>5.6100000000000004E-3</c:v>
                </c:pt>
                <c:pt idx="2720">
                  <c:v>5.3600000000000002E-3</c:v>
                </c:pt>
                <c:pt idx="2721">
                  <c:v>5.4200000000000003E-3</c:v>
                </c:pt>
                <c:pt idx="2722">
                  <c:v>5.4300000000000008E-3</c:v>
                </c:pt>
                <c:pt idx="2723">
                  <c:v>4.9100000000000003E-3</c:v>
                </c:pt>
                <c:pt idx="2724">
                  <c:v>4.8599999999999997E-3</c:v>
                </c:pt>
                <c:pt idx="2725">
                  <c:v>4.5300000000000002E-3</c:v>
                </c:pt>
                <c:pt idx="2726">
                  <c:v>4.6800000000000001E-3</c:v>
                </c:pt>
                <c:pt idx="2727">
                  <c:v>4.5900000000000003E-3</c:v>
                </c:pt>
                <c:pt idx="2728">
                  <c:v>4.7399999999999994E-3</c:v>
                </c:pt>
                <c:pt idx="2729">
                  <c:v>4.28E-3</c:v>
                </c:pt>
                <c:pt idx="2730">
                  <c:v>4.15E-3</c:v>
                </c:pt>
                <c:pt idx="2731">
                  <c:v>3.82E-3</c:v>
                </c:pt>
                <c:pt idx="2732">
                  <c:v>4.0600000000000002E-3</c:v>
                </c:pt>
                <c:pt idx="2733">
                  <c:v>4.3299999999999996E-3</c:v>
                </c:pt>
                <c:pt idx="2734">
                  <c:v>4.45E-3</c:v>
                </c:pt>
                <c:pt idx="2735">
                  <c:v>4.2599999999999999E-3</c:v>
                </c:pt>
                <c:pt idx="2736">
                  <c:v>4.1399999999999996E-3</c:v>
                </c:pt>
                <c:pt idx="2737">
                  <c:v>4.0000000000000001E-3</c:v>
                </c:pt>
                <c:pt idx="2738">
                  <c:v>4.0000000000000001E-3</c:v>
                </c:pt>
                <c:pt idx="2739">
                  <c:v>3.7699999999999999E-3</c:v>
                </c:pt>
                <c:pt idx="2740">
                  <c:v>3.7599999999999999E-3</c:v>
                </c:pt>
                <c:pt idx="2741">
                  <c:v>3.8E-3</c:v>
                </c:pt>
                <c:pt idx="2742">
                  <c:v>3.7599999999999999E-3</c:v>
                </c:pt>
                <c:pt idx="2743">
                  <c:v>3.4200000000000003E-3</c:v>
                </c:pt>
                <c:pt idx="2744">
                  <c:v>3.5899999999999999E-3</c:v>
                </c:pt>
                <c:pt idx="2745">
                  <c:v>3.6099999999999999E-3</c:v>
                </c:pt>
                <c:pt idx="2746">
                  <c:v>3.79E-3</c:v>
                </c:pt>
                <c:pt idx="2747">
                  <c:v>3.6600000000000001E-3</c:v>
                </c:pt>
                <c:pt idx="2748">
                  <c:v>3.3800000000000002E-3</c:v>
                </c:pt>
                <c:pt idx="2749">
                  <c:v>3.4699999999999996E-3</c:v>
                </c:pt>
                <c:pt idx="2750">
                  <c:v>3.0699999999999998E-3</c:v>
                </c:pt>
                <c:pt idx="2751">
                  <c:v>3.1199999999999999E-3</c:v>
                </c:pt>
                <c:pt idx="2752">
                  <c:v>3.3600000000000001E-3</c:v>
                </c:pt>
                <c:pt idx="2753">
                  <c:v>4.0100000000000005E-3</c:v>
                </c:pt>
                <c:pt idx="2754">
                  <c:v>4.0100000000000005E-3</c:v>
                </c:pt>
                <c:pt idx="2755">
                  <c:v>4.13E-3</c:v>
                </c:pt>
                <c:pt idx="2756">
                  <c:v>4.3299999999999996E-3</c:v>
                </c:pt>
                <c:pt idx="2757">
                  <c:v>4.5500000000000002E-3</c:v>
                </c:pt>
                <c:pt idx="2758">
                  <c:v>4.5199999999999997E-3</c:v>
                </c:pt>
                <c:pt idx="2759">
                  <c:v>4.4299999999999999E-3</c:v>
                </c:pt>
                <c:pt idx="2760">
                  <c:v>4.5500000000000002E-3</c:v>
                </c:pt>
                <c:pt idx="2761">
                  <c:v>4.47E-3</c:v>
                </c:pt>
                <c:pt idx="2762">
                  <c:v>4.0000000000000001E-3</c:v>
                </c:pt>
                <c:pt idx="2763">
                  <c:v>4.0799999999999994E-3</c:v>
                </c:pt>
                <c:pt idx="2764">
                  <c:v>4.6800000000000001E-3</c:v>
                </c:pt>
                <c:pt idx="2765">
                  <c:v>4.79E-3</c:v>
                </c:pt>
                <c:pt idx="2766">
                  <c:v>4.64E-3</c:v>
                </c:pt>
                <c:pt idx="2767">
                  <c:v>4.5100000000000001E-3</c:v>
                </c:pt>
                <c:pt idx="2768">
                  <c:v>4.6300000000000004E-3</c:v>
                </c:pt>
                <c:pt idx="2769">
                  <c:v>4.5300000000000002E-3</c:v>
                </c:pt>
                <c:pt idx="2770">
                  <c:v>4.5599999999999998E-3</c:v>
                </c:pt>
                <c:pt idx="2771">
                  <c:v>4.5900000000000003E-3</c:v>
                </c:pt>
                <c:pt idx="2772">
                  <c:v>4.4400000000000004E-3</c:v>
                </c:pt>
                <c:pt idx="2773">
                  <c:v>4.4200000000000003E-3</c:v>
                </c:pt>
                <c:pt idx="2774">
                  <c:v>4.6300000000000004E-3</c:v>
                </c:pt>
                <c:pt idx="2775">
                  <c:v>4.45E-3</c:v>
                </c:pt>
                <c:pt idx="2776">
                  <c:v>4.0300000000000006E-3</c:v>
                </c:pt>
                <c:pt idx="2777">
                  <c:v>3.7199999999999998E-3</c:v>
                </c:pt>
                <c:pt idx="2778">
                  <c:v>3.65E-3</c:v>
                </c:pt>
                <c:pt idx="2779">
                  <c:v>3.96E-3</c:v>
                </c:pt>
                <c:pt idx="2780">
                  <c:v>3.9500000000000004E-3</c:v>
                </c:pt>
                <c:pt idx="2781">
                  <c:v>4.5199999999999997E-3</c:v>
                </c:pt>
                <c:pt idx="2782">
                  <c:v>4.3200000000000001E-3</c:v>
                </c:pt>
                <c:pt idx="2783">
                  <c:v>4.7599999999999995E-3</c:v>
                </c:pt>
                <c:pt idx="2784">
                  <c:v>4.8199999999999996E-3</c:v>
                </c:pt>
                <c:pt idx="2785">
                  <c:v>4.15E-3</c:v>
                </c:pt>
                <c:pt idx="2786">
                  <c:v>3.8300000000000001E-3</c:v>
                </c:pt>
                <c:pt idx="2787">
                  <c:v>3.6700000000000001E-3</c:v>
                </c:pt>
                <c:pt idx="2788">
                  <c:v>3.63E-3</c:v>
                </c:pt>
                <c:pt idx="2789">
                  <c:v>3.7299999999999998E-3</c:v>
                </c:pt>
                <c:pt idx="2790">
                  <c:v>3.7199999999999998E-3</c:v>
                </c:pt>
                <c:pt idx="2791">
                  <c:v>3.64E-3</c:v>
                </c:pt>
                <c:pt idx="2792">
                  <c:v>3.3600000000000001E-3</c:v>
                </c:pt>
                <c:pt idx="2793">
                  <c:v>3.2700000000000003E-3</c:v>
                </c:pt>
                <c:pt idx="2794">
                  <c:v>3.2600000000000003E-3</c:v>
                </c:pt>
                <c:pt idx="2795">
                  <c:v>3.7499999999999999E-3</c:v>
                </c:pt>
                <c:pt idx="2796">
                  <c:v>4.0999999999999995E-3</c:v>
                </c:pt>
                <c:pt idx="2797">
                  <c:v>3.7599999999999999E-3</c:v>
                </c:pt>
                <c:pt idx="2798">
                  <c:v>3.7599999999999999E-3</c:v>
                </c:pt>
                <c:pt idx="2799">
                  <c:v>3.6099999999999999E-3</c:v>
                </c:pt>
                <c:pt idx="2800">
                  <c:v>3.63E-3</c:v>
                </c:pt>
                <c:pt idx="2801">
                  <c:v>3.5099999999999997E-3</c:v>
                </c:pt>
                <c:pt idx="2802">
                  <c:v>3.4899999999999996E-3</c:v>
                </c:pt>
                <c:pt idx="2803">
                  <c:v>3.4699999999999996E-3</c:v>
                </c:pt>
                <c:pt idx="2804">
                  <c:v>3.5999999999999999E-3</c:v>
                </c:pt>
                <c:pt idx="2805">
                  <c:v>3.4200000000000003E-3</c:v>
                </c:pt>
                <c:pt idx="2806">
                  <c:v>3.3900000000000002E-3</c:v>
                </c:pt>
                <c:pt idx="2807">
                  <c:v>3.8500000000000001E-3</c:v>
                </c:pt>
                <c:pt idx="2808">
                  <c:v>3.6700000000000001E-3</c:v>
                </c:pt>
                <c:pt idx="2809">
                  <c:v>3.0499999999999998E-3</c:v>
                </c:pt>
                <c:pt idx="2810">
                  <c:v>3.4399999999999999E-3</c:v>
                </c:pt>
                <c:pt idx="2811">
                  <c:v>3.2000000000000002E-3</c:v>
                </c:pt>
                <c:pt idx="2812">
                  <c:v>2.9499999999999999E-3</c:v>
                </c:pt>
                <c:pt idx="2813">
                  <c:v>2.9299999999999999E-3</c:v>
                </c:pt>
                <c:pt idx="2814">
                  <c:v>3.0699999999999998E-3</c:v>
                </c:pt>
                <c:pt idx="2815">
                  <c:v>2.9299999999999999E-3</c:v>
                </c:pt>
                <c:pt idx="2816">
                  <c:v>3.14E-3</c:v>
                </c:pt>
                <c:pt idx="2817">
                  <c:v>3.14E-3</c:v>
                </c:pt>
                <c:pt idx="2818">
                  <c:v>3.16E-3</c:v>
                </c:pt>
                <c:pt idx="2819">
                  <c:v>3.0100000000000001E-3</c:v>
                </c:pt>
                <c:pt idx="2820">
                  <c:v>3.0899999999999999E-3</c:v>
                </c:pt>
                <c:pt idx="2821">
                  <c:v>3.79E-3</c:v>
                </c:pt>
                <c:pt idx="2822">
                  <c:v>4.0500000000000006E-3</c:v>
                </c:pt>
                <c:pt idx="2823">
                  <c:v>4.1700000000000001E-3</c:v>
                </c:pt>
                <c:pt idx="2824">
                  <c:v>4.1999999999999997E-3</c:v>
                </c:pt>
                <c:pt idx="2825">
                  <c:v>4.1999999999999997E-3</c:v>
                </c:pt>
                <c:pt idx="2826">
                  <c:v>4.1999999999999997E-3</c:v>
                </c:pt>
                <c:pt idx="2827">
                  <c:v>3.8500000000000001E-3</c:v>
                </c:pt>
                <c:pt idx="2828">
                  <c:v>4.2399999999999998E-3</c:v>
                </c:pt>
                <c:pt idx="2829">
                  <c:v>4.2699999999999995E-3</c:v>
                </c:pt>
                <c:pt idx="2830">
                  <c:v>4.2699999999999995E-3</c:v>
                </c:pt>
                <c:pt idx="2831">
                  <c:v>4.6700000000000005E-3</c:v>
                </c:pt>
                <c:pt idx="2832">
                  <c:v>4.4200000000000003E-3</c:v>
                </c:pt>
                <c:pt idx="2833">
                  <c:v>4.3400000000000001E-3</c:v>
                </c:pt>
                <c:pt idx="2834">
                  <c:v>4.3899999999999998E-3</c:v>
                </c:pt>
                <c:pt idx="2835">
                  <c:v>4.3099999999999996E-3</c:v>
                </c:pt>
                <c:pt idx="2836">
                  <c:v>4.6600000000000001E-3</c:v>
                </c:pt>
                <c:pt idx="2837">
                  <c:v>5.4300000000000008E-3</c:v>
                </c:pt>
                <c:pt idx="2838">
                  <c:v>5.8099999999999992E-3</c:v>
                </c:pt>
                <c:pt idx="2839">
                  <c:v>5.8099999999999992E-3</c:v>
                </c:pt>
                <c:pt idx="2840">
                  <c:v>5.8699999999999994E-3</c:v>
                </c:pt>
                <c:pt idx="2841">
                  <c:v>5.6200000000000009E-3</c:v>
                </c:pt>
                <c:pt idx="2842">
                  <c:v>5.6200000000000009E-3</c:v>
                </c:pt>
                <c:pt idx="2843">
                  <c:v>5.7299999999999999E-3</c:v>
                </c:pt>
                <c:pt idx="2844">
                  <c:v>5.6799999999999993E-3</c:v>
                </c:pt>
                <c:pt idx="2845">
                  <c:v>5.6699999999999997E-3</c:v>
                </c:pt>
                <c:pt idx="2846">
                  <c:v>5.6100000000000004E-3</c:v>
                </c:pt>
                <c:pt idx="2847">
                  <c:v>5.8799999999999998E-3</c:v>
                </c:pt>
                <c:pt idx="2848">
                  <c:v>6.1199999999999996E-3</c:v>
                </c:pt>
                <c:pt idx="2849">
                  <c:v>6.2900000000000005E-3</c:v>
                </c:pt>
                <c:pt idx="2850">
                  <c:v>6.9399999999999991E-3</c:v>
                </c:pt>
                <c:pt idx="2851">
                  <c:v>6.8300000000000001E-3</c:v>
                </c:pt>
                <c:pt idx="2852">
                  <c:v>6.9699999999999996E-3</c:v>
                </c:pt>
                <c:pt idx="2853">
                  <c:v>7.2099999999999994E-3</c:v>
                </c:pt>
                <c:pt idx="2854">
                  <c:v>7.6699999999999997E-3</c:v>
                </c:pt>
                <c:pt idx="2855">
                  <c:v>7.3600000000000002E-3</c:v>
                </c:pt>
                <c:pt idx="2856">
                  <c:v>6.9199999999999991E-3</c:v>
                </c:pt>
                <c:pt idx="2857">
                  <c:v>7.45E-3</c:v>
                </c:pt>
                <c:pt idx="2858">
                  <c:v>7.62E-3</c:v>
                </c:pt>
                <c:pt idx="2859">
                  <c:v>7.45E-3</c:v>
                </c:pt>
                <c:pt idx="2860">
                  <c:v>7.5700000000000003E-3</c:v>
                </c:pt>
                <c:pt idx="2861">
                  <c:v>7.4999999999999997E-3</c:v>
                </c:pt>
                <c:pt idx="2862">
                  <c:v>7.5700000000000003E-3</c:v>
                </c:pt>
                <c:pt idx="2863">
                  <c:v>7.6400000000000001E-3</c:v>
                </c:pt>
                <c:pt idx="2864">
                  <c:v>7.0599999999999994E-3</c:v>
                </c:pt>
                <c:pt idx="2865">
                  <c:v>7.3499999999999998E-3</c:v>
                </c:pt>
                <c:pt idx="2866">
                  <c:v>7.3499999999999998E-3</c:v>
                </c:pt>
                <c:pt idx="2867">
                  <c:v>7.2099999999999994E-3</c:v>
                </c:pt>
                <c:pt idx="2868">
                  <c:v>7.0599999999999994E-3</c:v>
                </c:pt>
                <c:pt idx="2869">
                  <c:v>6.5300000000000002E-3</c:v>
                </c:pt>
                <c:pt idx="2870">
                  <c:v>6.5200000000000006E-3</c:v>
                </c:pt>
                <c:pt idx="2871">
                  <c:v>6.7900000000000009E-3</c:v>
                </c:pt>
                <c:pt idx="2872">
                  <c:v>6.5599999999999999E-3</c:v>
                </c:pt>
                <c:pt idx="2873">
                  <c:v>6.4400000000000004E-3</c:v>
                </c:pt>
                <c:pt idx="2874">
                  <c:v>6.5100000000000002E-3</c:v>
                </c:pt>
                <c:pt idx="2875">
                  <c:v>6.43E-3</c:v>
                </c:pt>
                <c:pt idx="2876">
                  <c:v>6.7500000000000008E-3</c:v>
                </c:pt>
                <c:pt idx="2877">
                  <c:v>6.5500000000000003E-3</c:v>
                </c:pt>
                <c:pt idx="2878">
                  <c:v>6.28E-3</c:v>
                </c:pt>
                <c:pt idx="2879">
                  <c:v>6.4800000000000005E-3</c:v>
                </c:pt>
                <c:pt idx="2880">
                  <c:v>6.3200000000000001E-3</c:v>
                </c:pt>
                <c:pt idx="2881">
                  <c:v>6.1900000000000002E-3</c:v>
                </c:pt>
                <c:pt idx="2882">
                  <c:v>5.9299999999999995E-3</c:v>
                </c:pt>
                <c:pt idx="2883">
                  <c:v>5.7599999999999995E-3</c:v>
                </c:pt>
                <c:pt idx="2884">
                  <c:v>5.7099999999999998E-3</c:v>
                </c:pt>
                <c:pt idx="2885">
                  <c:v>5.6899999999999997E-3</c:v>
                </c:pt>
                <c:pt idx="2886">
                  <c:v>5.8499999999999993E-3</c:v>
                </c:pt>
                <c:pt idx="2887">
                  <c:v>5.9199999999999999E-3</c:v>
                </c:pt>
                <c:pt idx="2888">
                  <c:v>5.2900000000000004E-3</c:v>
                </c:pt>
                <c:pt idx="2889">
                  <c:v>5.2700000000000004E-3</c:v>
                </c:pt>
                <c:pt idx="2890">
                  <c:v>5.2399999999999999E-3</c:v>
                </c:pt>
                <c:pt idx="2891">
                  <c:v>5.0400000000000002E-3</c:v>
                </c:pt>
                <c:pt idx="2892">
                  <c:v>5.0299999999999997E-3</c:v>
                </c:pt>
                <c:pt idx="2893">
                  <c:v>4.9699999999999996E-3</c:v>
                </c:pt>
                <c:pt idx="2894">
                  <c:v>5.0099999999999997E-3</c:v>
                </c:pt>
                <c:pt idx="2895">
                  <c:v>5.0000000000000001E-3</c:v>
                </c:pt>
                <c:pt idx="2896">
                  <c:v>5.2399999999999999E-3</c:v>
                </c:pt>
                <c:pt idx="2897">
                  <c:v>4.9699999999999996E-3</c:v>
                </c:pt>
                <c:pt idx="2898">
                  <c:v>5.0400000000000002E-3</c:v>
                </c:pt>
                <c:pt idx="2899">
                  <c:v>5.1600000000000005E-3</c:v>
                </c:pt>
                <c:pt idx="2900">
                  <c:v>4.9899999999999996E-3</c:v>
                </c:pt>
                <c:pt idx="2901">
                  <c:v>5.1500000000000001E-3</c:v>
                </c:pt>
                <c:pt idx="2902">
                  <c:v>5.11E-3</c:v>
                </c:pt>
                <c:pt idx="2903">
                  <c:v>5.2500000000000003E-3</c:v>
                </c:pt>
                <c:pt idx="2904">
                  <c:v>5.0699999999999999E-3</c:v>
                </c:pt>
                <c:pt idx="2905">
                  <c:v>5.3100000000000005E-3</c:v>
                </c:pt>
                <c:pt idx="2906">
                  <c:v>6.0000000000000001E-3</c:v>
                </c:pt>
                <c:pt idx="2907">
                  <c:v>5.8999999999999999E-3</c:v>
                </c:pt>
                <c:pt idx="2908">
                  <c:v>6.3600000000000002E-3</c:v>
                </c:pt>
                <c:pt idx="2909">
                  <c:v>6.3099999999999996E-3</c:v>
                </c:pt>
                <c:pt idx="2910">
                  <c:v>6.3400000000000001E-3</c:v>
                </c:pt>
                <c:pt idx="2911">
                  <c:v>5.9299999999999995E-3</c:v>
                </c:pt>
                <c:pt idx="2912">
                  <c:v>5.7099999999999998E-3</c:v>
                </c:pt>
                <c:pt idx="2913">
                  <c:v>5.5900000000000004E-3</c:v>
                </c:pt>
                <c:pt idx="2914">
                  <c:v>5.5900000000000004E-3</c:v>
                </c:pt>
                <c:pt idx="2915">
                  <c:v>5.8099999999999992E-3</c:v>
                </c:pt>
                <c:pt idx="2916">
                  <c:v>5.3200000000000001E-3</c:v>
                </c:pt>
                <c:pt idx="2917">
                  <c:v>5.4400000000000004E-3</c:v>
                </c:pt>
                <c:pt idx="2918">
                  <c:v>5.3200000000000001E-3</c:v>
                </c:pt>
                <c:pt idx="2919">
                  <c:v>5.6100000000000004E-3</c:v>
                </c:pt>
                <c:pt idx="2920">
                  <c:v>5.5900000000000004E-3</c:v>
                </c:pt>
                <c:pt idx="2921">
                  <c:v>5.5700000000000003E-3</c:v>
                </c:pt>
                <c:pt idx="2922">
                  <c:v>5.5900000000000004E-3</c:v>
                </c:pt>
                <c:pt idx="2923">
                  <c:v>6.11E-3</c:v>
                </c:pt>
                <c:pt idx="2924">
                  <c:v>6.45E-3</c:v>
                </c:pt>
                <c:pt idx="2925">
                  <c:v>6.0599999999999994E-3</c:v>
                </c:pt>
                <c:pt idx="2926">
                  <c:v>6.4000000000000003E-3</c:v>
                </c:pt>
                <c:pt idx="2927">
                  <c:v>5.79E-3</c:v>
                </c:pt>
                <c:pt idx="2928">
                  <c:v>5.2300000000000003E-3</c:v>
                </c:pt>
                <c:pt idx="2929">
                  <c:v>5.6000000000000008E-3</c:v>
                </c:pt>
                <c:pt idx="2930">
                  <c:v>5.0699999999999999E-3</c:v>
                </c:pt>
                <c:pt idx="2931">
                  <c:v>4.7199999999999994E-3</c:v>
                </c:pt>
                <c:pt idx="2932">
                  <c:v>4.0600000000000002E-3</c:v>
                </c:pt>
                <c:pt idx="2933">
                  <c:v>3.4399999999999999E-3</c:v>
                </c:pt>
                <c:pt idx="2934">
                  <c:v>2.5999999999999999E-3</c:v>
                </c:pt>
                <c:pt idx="2935">
                  <c:v>3.7199999999999998E-3</c:v>
                </c:pt>
                <c:pt idx="2936">
                  <c:v>3.4100000000000003E-3</c:v>
                </c:pt>
                <c:pt idx="2937">
                  <c:v>3.8600000000000001E-3</c:v>
                </c:pt>
                <c:pt idx="2938">
                  <c:v>4.1799999999999997E-3</c:v>
                </c:pt>
                <c:pt idx="2939">
                  <c:v>3.6900000000000001E-3</c:v>
                </c:pt>
                <c:pt idx="2940">
                  <c:v>4.6500000000000005E-3</c:v>
                </c:pt>
                <c:pt idx="2941">
                  <c:v>4.8399999999999997E-3</c:v>
                </c:pt>
                <c:pt idx="2942">
                  <c:v>4.4900000000000001E-3</c:v>
                </c:pt>
                <c:pt idx="2943">
                  <c:v>4.9300000000000004E-3</c:v>
                </c:pt>
                <c:pt idx="2944">
                  <c:v>4.9100000000000003E-3</c:v>
                </c:pt>
                <c:pt idx="2945">
                  <c:v>4.8199999999999996E-3</c:v>
                </c:pt>
                <c:pt idx="2946">
                  <c:v>4.2599999999999999E-3</c:v>
                </c:pt>
                <c:pt idx="2947">
                  <c:v>4.0300000000000006E-3</c:v>
                </c:pt>
                <c:pt idx="2948">
                  <c:v>3.98E-3</c:v>
                </c:pt>
                <c:pt idx="2949">
                  <c:v>3.7299999999999998E-3</c:v>
                </c:pt>
                <c:pt idx="2950">
                  <c:v>3.7699999999999999E-3</c:v>
                </c:pt>
                <c:pt idx="2951">
                  <c:v>3.3500000000000001E-3</c:v>
                </c:pt>
                <c:pt idx="2952">
                  <c:v>3.3700000000000002E-3</c:v>
                </c:pt>
                <c:pt idx="2953">
                  <c:v>3.4000000000000002E-3</c:v>
                </c:pt>
                <c:pt idx="2954">
                  <c:v>3.2100000000000002E-3</c:v>
                </c:pt>
                <c:pt idx="2955">
                  <c:v>3.1900000000000001E-3</c:v>
                </c:pt>
                <c:pt idx="2956">
                  <c:v>3.0200000000000001E-3</c:v>
                </c:pt>
                <c:pt idx="2957">
                  <c:v>3.0399999999999997E-3</c:v>
                </c:pt>
                <c:pt idx="2958">
                  <c:v>2.9399999999999999E-3</c:v>
                </c:pt>
                <c:pt idx="2959">
                  <c:v>3.0499999999999998E-3</c:v>
                </c:pt>
                <c:pt idx="2960">
                  <c:v>2.99E-3</c:v>
                </c:pt>
                <c:pt idx="2961">
                  <c:v>2.9199999999999999E-3</c:v>
                </c:pt>
                <c:pt idx="2962">
                  <c:v>3.0000000000000001E-3</c:v>
                </c:pt>
                <c:pt idx="2963">
                  <c:v>3.2000000000000002E-3</c:v>
                </c:pt>
                <c:pt idx="2964">
                  <c:v>3.6700000000000001E-3</c:v>
                </c:pt>
                <c:pt idx="2965">
                  <c:v>3.5699999999999998E-3</c:v>
                </c:pt>
                <c:pt idx="2966">
                  <c:v>3.4000000000000002E-3</c:v>
                </c:pt>
                <c:pt idx="2967">
                  <c:v>3.63E-3</c:v>
                </c:pt>
                <c:pt idx="2968">
                  <c:v>3.4599999999999995E-3</c:v>
                </c:pt>
                <c:pt idx="2969">
                  <c:v>3.4200000000000003E-3</c:v>
                </c:pt>
                <c:pt idx="2970">
                  <c:v>3.3E-3</c:v>
                </c:pt>
                <c:pt idx="2971">
                  <c:v>3.7000000000000002E-3</c:v>
                </c:pt>
                <c:pt idx="2972">
                  <c:v>4.0600000000000002E-3</c:v>
                </c:pt>
                <c:pt idx="2973">
                  <c:v>3.9700000000000004E-3</c:v>
                </c:pt>
                <c:pt idx="2974">
                  <c:v>3.96E-3</c:v>
                </c:pt>
                <c:pt idx="2975">
                  <c:v>4.0400000000000002E-3</c:v>
                </c:pt>
                <c:pt idx="2976">
                  <c:v>4.0300000000000006E-3</c:v>
                </c:pt>
                <c:pt idx="2977">
                  <c:v>4.4600000000000004E-3</c:v>
                </c:pt>
                <c:pt idx="2978">
                  <c:v>4.4299999999999999E-3</c:v>
                </c:pt>
                <c:pt idx="2979">
                  <c:v>4.7799999999999995E-3</c:v>
                </c:pt>
                <c:pt idx="2980">
                  <c:v>4.5999999999999999E-3</c:v>
                </c:pt>
                <c:pt idx="2981">
                  <c:v>4.0799999999999994E-3</c:v>
                </c:pt>
                <c:pt idx="2982">
                  <c:v>3.8900000000000002E-3</c:v>
                </c:pt>
                <c:pt idx="2983">
                  <c:v>4.0899999999999999E-3</c:v>
                </c:pt>
                <c:pt idx="2984">
                  <c:v>3.98E-3</c:v>
                </c:pt>
                <c:pt idx="2985">
                  <c:v>3.7499999999999999E-3</c:v>
                </c:pt>
                <c:pt idx="2986">
                  <c:v>3.1700000000000001E-3</c:v>
                </c:pt>
                <c:pt idx="2987">
                  <c:v>3.1099999999999999E-3</c:v>
                </c:pt>
                <c:pt idx="2988">
                  <c:v>3.2700000000000003E-3</c:v>
                </c:pt>
                <c:pt idx="2989">
                  <c:v>3.0399999999999997E-3</c:v>
                </c:pt>
                <c:pt idx="2990">
                  <c:v>3.2000000000000002E-3</c:v>
                </c:pt>
                <c:pt idx="2991">
                  <c:v>3.0499999999999998E-3</c:v>
                </c:pt>
                <c:pt idx="2992">
                  <c:v>3.0200000000000001E-3</c:v>
                </c:pt>
                <c:pt idx="2993">
                  <c:v>3.31E-3</c:v>
                </c:pt>
                <c:pt idx="2994">
                  <c:v>3.4399999999999999E-3</c:v>
                </c:pt>
                <c:pt idx="2995">
                  <c:v>3.3900000000000002E-3</c:v>
                </c:pt>
                <c:pt idx="2996">
                  <c:v>3.4499999999999999E-3</c:v>
                </c:pt>
                <c:pt idx="2997">
                  <c:v>3.7599999999999999E-3</c:v>
                </c:pt>
                <c:pt idx="2998">
                  <c:v>3.8E-3</c:v>
                </c:pt>
                <c:pt idx="2999">
                  <c:v>4.0400000000000002E-3</c:v>
                </c:pt>
                <c:pt idx="3000">
                  <c:v>3.4599999999999995E-3</c:v>
                </c:pt>
                <c:pt idx="3001">
                  <c:v>3.2600000000000003E-3</c:v>
                </c:pt>
                <c:pt idx="3002">
                  <c:v>3.3300000000000001E-3</c:v>
                </c:pt>
                <c:pt idx="3003">
                  <c:v>3.5699999999999998E-3</c:v>
                </c:pt>
                <c:pt idx="3004">
                  <c:v>3.8E-3</c:v>
                </c:pt>
                <c:pt idx="3005">
                  <c:v>3.5499999999999998E-3</c:v>
                </c:pt>
                <c:pt idx="3006">
                  <c:v>3.8700000000000002E-3</c:v>
                </c:pt>
                <c:pt idx="3007">
                  <c:v>4.0100000000000005E-3</c:v>
                </c:pt>
                <c:pt idx="3008">
                  <c:v>4.3E-3</c:v>
                </c:pt>
                <c:pt idx="3009">
                  <c:v>4.1099999999999999E-3</c:v>
                </c:pt>
                <c:pt idx="3010">
                  <c:v>4.2300000000000003E-3</c:v>
                </c:pt>
                <c:pt idx="3011">
                  <c:v>4.5000000000000005E-3</c:v>
                </c:pt>
                <c:pt idx="3012">
                  <c:v>4.5799999999999999E-3</c:v>
                </c:pt>
                <c:pt idx="3013">
                  <c:v>4.7999999999999996E-3</c:v>
                </c:pt>
                <c:pt idx="3014">
                  <c:v>4.8700000000000002E-3</c:v>
                </c:pt>
                <c:pt idx="3015">
                  <c:v>4.7099999999999998E-3</c:v>
                </c:pt>
                <c:pt idx="3016">
                  <c:v>4.62E-3</c:v>
                </c:pt>
                <c:pt idx="3017">
                  <c:v>5.1000000000000004E-3</c:v>
                </c:pt>
                <c:pt idx="3018">
                  <c:v>5.4300000000000008E-3</c:v>
                </c:pt>
                <c:pt idx="3019">
                  <c:v>5.2599999999999999E-3</c:v>
                </c:pt>
                <c:pt idx="3020">
                  <c:v>5.2900000000000004E-3</c:v>
                </c:pt>
                <c:pt idx="3021">
                  <c:v>4.6999999999999993E-3</c:v>
                </c:pt>
                <c:pt idx="3022">
                  <c:v>4.7099999999999998E-3</c:v>
                </c:pt>
                <c:pt idx="3023">
                  <c:v>4.2199999999999998E-3</c:v>
                </c:pt>
                <c:pt idx="3024">
                  <c:v>4.7499999999999999E-3</c:v>
                </c:pt>
                <c:pt idx="3025">
                  <c:v>5.3100000000000005E-3</c:v>
                </c:pt>
                <c:pt idx="3026">
                  <c:v>5.7299999999999999E-3</c:v>
                </c:pt>
                <c:pt idx="3027">
                  <c:v>5.2900000000000004E-3</c:v>
                </c:pt>
                <c:pt idx="3028">
                  <c:v>5.4900000000000001E-3</c:v>
                </c:pt>
                <c:pt idx="3029">
                  <c:v>5.5200000000000006E-3</c:v>
                </c:pt>
                <c:pt idx="3030">
                  <c:v>5.1800000000000006E-3</c:v>
                </c:pt>
                <c:pt idx="3031">
                  <c:v>4.9800000000000001E-3</c:v>
                </c:pt>
                <c:pt idx="3032">
                  <c:v>5.0299999999999997E-3</c:v>
                </c:pt>
                <c:pt idx="3033">
                  <c:v>4.9100000000000003E-3</c:v>
                </c:pt>
                <c:pt idx="3034">
                  <c:v>4.6100000000000004E-3</c:v>
                </c:pt>
                <c:pt idx="3035">
                  <c:v>4.1599999999999996E-3</c:v>
                </c:pt>
                <c:pt idx="3036">
                  <c:v>4.5999999999999999E-3</c:v>
                </c:pt>
                <c:pt idx="3037">
                  <c:v>4.4800000000000005E-3</c:v>
                </c:pt>
                <c:pt idx="3038">
                  <c:v>4.0899999999999999E-3</c:v>
                </c:pt>
                <c:pt idx="3039">
                  <c:v>3.96E-3</c:v>
                </c:pt>
                <c:pt idx="3040">
                  <c:v>3.98E-3</c:v>
                </c:pt>
                <c:pt idx="3041">
                  <c:v>3.5199999999999997E-3</c:v>
                </c:pt>
                <c:pt idx="3042">
                  <c:v>3.7699999999999999E-3</c:v>
                </c:pt>
                <c:pt idx="3043">
                  <c:v>3.6900000000000001E-3</c:v>
                </c:pt>
                <c:pt idx="3044">
                  <c:v>3.8500000000000001E-3</c:v>
                </c:pt>
                <c:pt idx="3045">
                  <c:v>3.9900000000000005E-3</c:v>
                </c:pt>
                <c:pt idx="3046">
                  <c:v>4.28E-3</c:v>
                </c:pt>
                <c:pt idx="3047">
                  <c:v>4.2599999999999999E-3</c:v>
                </c:pt>
                <c:pt idx="3048">
                  <c:v>4.3400000000000001E-3</c:v>
                </c:pt>
                <c:pt idx="3049">
                  <c:v>4.47E-3</c:v>
                </c:pt>
                <c:pt idx="3050">
                  <c:v>4.5700000000000003E-3</c:v>
                </c:pt>
                <c:pt idx="3051">
                  <c:v>4.0699999999999998E-3</c:v>
                </c:pt>
                <c:pt idx="3052">
                  <c:v>3.98E-3</c:v>
                </c:pt>
                <c:pt idx="3053">
                  <c:v>4.0899999999999999E-3</c:v>
                </c:pt>
                <c:pt idx="3054">
                  <c:v>3.98E-3</c:v>
                </c:pt>
                <c:pt idx="3055">
                  <c:v>3.5999999999999999E-3</c:v>
                </c:pt>
                <c:pt idx="3056">
                  <c:v>3.6700000000000001E-3</c:v>
                </c:pt>
                <c:pt idx="3057">
                  <c:v>3.7299999999999998E-3</c:v>
                </c:pt>
                <c:pt idx="3058">
                  <c:v>3.4999999999999996E-3</c:v>
                </c:pt>
                <c:pt idx="3059">
                  <c:v>3.7599999999999999E-3</c:v>
                </c:pt>
                <c:pt idx="3060">
                  <c:v>3.7000000000000002E-3</c:v>
                </c:pt>
                <c:pt idx="3061">
                  <c:v>3.4000000000000002E-3</c:v>
                </c:pt>
                <c:pt idx="3062">
                  <c:v>3.6099999999999999E-3</c:v>
                </c:pt>
                <c:pt idx="3063">
                  <c:v>3.4999999999999996E-3</c:v>
                </c:pt>
                <c:pt idx="3064">
                  <c:v>3.4899999999999996E-3</c:v>
                </c:pt>
                <c:pt idx="3065">
                  <c:v>3.2100000000000002E-3</c:v>
                </c:pt>
                <c:pt idx="3066">
                  <c:v>3.13E-3</c:v>
                </c:pt>
                <c:pt idx="3067">
                  <c:v>3.0599999999999998E-3</c:v>
                </c:pt>
                <c:pt idx="3068">
                  <c:v>2.63E-3</c:v>
                </c:pt>
                <c:pt idx="3069">
                  <c:v>2.7700000000000003E-3</c:v>
                </c:pt>
                <c:pt idx="3070">
                  <c:v>2.3599999999999997E-3</c:v>
                </c:pt>
                <c:pt idx="3072">
                  <c:v>2.4599999999999999E-3</c:v>
                </c:pt>
                <c:pt idx="3073">
                  <c:v>2.32E-3</c:v>
                </c:pt>
                <c:pt idx="3074">
                  <c:v>2.7900000000000004E-3</c:v>
                </c:pt>
                <c:pt idx="3075">
                  <c:v>2.8499999999999997E-3</c:v>
                </c:pt>
                <c:pt idx="3076">
                  <c:v>2.5200000000000001E-3</c:v>
                </c:pt>
                <c:pt idx="3077">
                  <c:v>2.5600000000000002E-3</c:v>
                </c:pt>
                <c:pt idx="3078">
                  <c:v>2.4399999999999999E-3</c:v>
                </c:pt>
                <c:pt idx="3079">
                  <c:v>2.3899999999999998E-3</c:v>
                </c:pt>
                <c:pt idx="3080">
                  <c:v>2.2799999999999999E-3</c:v>
                </c:pt>
                <c:pt idx="3081">
                  <c:v>2.5000000000000001E-3</c:v>
                </c:pt>
                <c:pt idx="3082">
                  <c:v>2.5000000000000001E-3</c:v>
                </c:pt>
                <c:pt idx="3083">
                  <c:v>2.31E-3</c:v>
                </c:pt>
                <c:pt idx="3084">
                  <c:v>2.4199999999999998E-3</c:v>
                </c:pt>
                <c:pt idx="3085">
                  <c:v>2.4199999999999998E-3</c:v>
                </c:pt>
                <c:pt idx="3086">
                  <c:v>1.65E-3</c:v>
                </c:pt>
                <c:pt idx="3087">
                  <c:v>1.5299999999999999E-3</c:v>
                </c:pt>
                <c:pt idx="3088">
                  <c:v>2.0799999999999998E-3</c:v>
                </c:pt>
                <c:pt idx="3089">
                  <c:v>2.2100000000000002E-3</c:v>
                </c:pt>
                <c:pt idx="3090">
                  <c:v>2.2599999999999999E-3</c:v>
                </c:pt>
                <c:pt idx="3091">
                  <c:v>2.7900000000000004E-3</c:v>
                </c:pt>
                <c:pt idx="3092">
                  <c:v>2.5500000000000002E-3</c:v>
                </c:pt>
                <c:pt idx="3093">
                  <c:v>2.3899999999999998E-3</c:v>
                </c:pt>
                <c:pt idx="3094">
                  <c:v>2.31E-3</c:v>
                </c:pt>
                <c:pt idx="3095">
                  <c:v>2.0599999999999998E-3</c:v>
                </c:pt>
                <c:pt idx="3096">
                  <c:v>2.2400000000000002E-3</c:v>
                </c:pt>
                <c:pt idx="3097">
                  <c:v>2.4299999999999999E-3</c:v>
                </c:pt>
                <c:pt idx="3098">
                  <c:v>2.6199999999999999E-3</c:v>
                </c:pt>
                <c:pt idx="3099">
                  <c:v>2.5500000000000002E-3</c:v>
                </c:pt>
                <c:pt idx="3100">
                  <c:v>2.3599999999999997E-3</c:v>
                </c:pt>
                <c:pt idx="3101">
                  <c:v>2.2500000000000003E-3</c:v>
                </c:pt>
                <c:pt idx="3102">
                  <c:v>1.8E-3</c:v>
                </c:pt>
                <c:pt idx="3103">
                  <c:v>1.9300000000000001E-3</c:v>
                </c:pt>
                <c:pt idx="3104">
                  <c:v>2.0499999999999997E-3</c:v>
                </c:pt>
                <c:pt idx="3105">
                  <c:v>2E-3</c:v>
                </c:pt>
                <c:pt idx="3106">
                  <c:v>1.8799999999999999E-3</c:v>
                </c:pt>
                <c:pt idx="3107">
                  <c:v>1.49E-3</c:v>
                </c:pt>
                <c:pt idx="3108">
                  <c:v>1.66E-3</c:v>
                </c:pt>
                <c:pt idx="3109">
                  <c:v>1.7699999999999999E-3</c:v>
                </c:pt>
                <c:pt idx="3110">
                  <c:v>1.7000000000000001E-3</c:v>
                </c:pt>
                <c:pt idx="3111">
                  <c:v>1.6200000000000001E-3</c:v>
                </c:pt>
                <c:pt idx="3112">
                  <c:v>1.15E-3</c:v>
                </c:pt>
                <c:pt idx="3113">
                  <c:v>8.699999999999999E-4</c:v>
                </c:pt>
                <c:pt idx="3114">
                  <c:v>1.1999999999999999E-3</c:v>
                </c:pt>
                <c:pt idx="3115">
                  <c:v>1.32E-3</c:v>
                </c:pt>
                <c:pt idx="3116">
                  <c:v>1.23E-3</c:v>
                </c:pt>
                <c:pt idx="3117">
                  <c:v>1.0299999999999999E-3</c:v>
                </c:pt>
                <c:pt idx="3118">
                  <c:v>1.01E-3</c:v>
                </c:pt>
                <c:pt idx="3119">
                  <c:v>1.1000000000000001E-3</c:v>
                </c:pt>
                <c:pt idx="3120">
                  <c:v>1.0499999999999999E-3</c:v>
                </c:pt>
                <c:pt idx="3121">
                  <c:v>1E-3</c:v>
                </c:pt>
                <c:pt idx="3122">
                  <c:v>1.2700000000000001E-3</c:v>
                </c:pt>
                <c:pt idx="3123">
                  <c:v>9.6000000000000002E-4</c:v>
                </c:pt>
                <c:pt idx="3124">
                  <c:v>1.08E-3</c:v>
                </c:pt>
                <c:pt idx="3125">
                  <c:v>1.1799999999999998E-3</c:v>
                </c:pt>
                <c:pt idx="3126">
                  <c:v>1.48E-3</c:v>
                </c:pt>
                <c:pt idx="3127">
                  <c:v>1.83E-3</c:v>
                </c:pt>
                <c:pt idx="3128">
                  <c:v>1.83E-3</c:v>
                </c:pt>
                <c:pt idx="3129">
                  <c:v>1.58E-3</c:v>
                </c:pt>
                <c:pt idx="3130">
                  <c:v>1.6800000000000001E-3</c:v>
                </c:pt>
                <c:pt idx="3131">
                  <c:v>1.2800000000000001E-3</c:v>
                </c:pt>
                <c:pt idx="3132">
                  <c:v>6.7000000000000002E-4</c:v>
                </c:pt>
                <c:pt idx="3133">
                  <c:v>6.9000000000000008E-4</c:v>
                </c:pt>
                <c:pt idx="3134">
                  <c:v>6.9000000000000008E-4</c:v>
                </c:pt>
                <c:pt idx="3135">
                  <c:v>5.5000000000000003E-4</c:v>
                </c:pt>
                <c:pt idx="3136">
                  <c:v>6.4999999999999997E-4</c:v>
                </c:pt>
                <c:pt idx="3137">
                  <c:v>8.5999999999999998E-4</c:v>
                </c:pt>
                <c:pt idx="3138">
                  <c:v>8.4000000000000003E-4</c:v>
                </c:pt>
                <c:pt idx="3139">
                  <c:v>9.2000000000000003E-4</c:v>
                </c:pt>
                <c:pt idx="3140">
                  <c:v>9.7000000000000005E-4</c:v>
                </c:pt>
                <c:pt idx="3141">
                  <c:v>8.4000000000000003E-4</c:v>
                </c:pt>
                <c:pt idx="3142">
                  <c:v>4.0999999999999999E-4</c:v>
                </c:pt>
                <c:pt idx="3143">
                  <c:v>-1.4999999999999999E-4</c:v>
                </c:pt>
                <c:pt idx="3144">
                  <c:v>-6.9999999999999994E-5</c:v>
                </c:pt>
              </c:numCache>
            </c:numRef>
          </c:val>
          <c:smooth val="0"/>
          <c:extLst xmlns:c16r2="http://schemas.microsoft.com/office/drawing/2015/06/chart">
            <c:ext xmlns:c16="http://schemas.microsoft.com/office/drawing/2014/chart" uri="{C3380CC4-5D6E-409C-BE32-E72D297353CC}">
              <c16:uniqueId val="{00000002-6E63-4F37-A69F-B0AC64F9DFB4}"/>
            </c:ext>
          </c:extLst>
        </c:ser>
        <c:dLbls>
          <c:showLegendKey val="0"/>
          <c:showVal val="0"/>
          <c:showCatName val="0"/>
          <c:showSerName val="0"/>
          <c:showPercent val="0"/>
          <c:showBubbleSize val="0"/>
        </c:dLbls>
        <c:marker val="1"/>
        <c:smooth val="0"/>
        <c:axId val="35564160"/>
        <c:axId val="35565952"/>
      </c:lineChart>
      <c:dateAx>
        <c:axId val="35564160"/>
        <c:scaling>
          <c:orientation val="minMax"/>
        </c:scaling>
        <c:delete val="0"/>
        <c:axPos val="b"/>
        <c:numFmt formatCode="dd/mm/yyyy;@" sourceLinked="1"/>
        <c:majorTickMark val="out"/>
        <c:minorTickMark val="none"/>
        <c:tickLblPos val="nextTo"/>
        <c:txPr>
          <a:bodyPr rot="-5400000" vert="horz"/>
          <a:lstStyle/>
          <a:p>
            <a:pPr>
              <a:defRPr/>
            </a:pPr>
            <a:endParaRPr lang="en-US"/>
          </a:p>
        </c:txPr>
        <c:crossAx val="35565952"/>
        <c:crossesAt val="-1.0000000000000002E-2"/>
        <c:auto val="0"/>
        <c:lblOffset val="100"/>
        <c:baseTimeUnit val="days"/>
        <c:majorUnit val="6"/>
        <c:majorTimeUnit val="months"/>
      </c:dateAx>
      <c:valAx>
        <c:axId val="35565952"/>
        <c:scaling>
          <c:orientation val="minMax"/>
          <c:max val="8.0000000000000016E-2"/>
          <c:min val="-1.0000000000000002E-2"/>
        </c:scaling>
        <c:delete val="0"/>
        <c:axPos val="l"/>
        <c:majorGridlines/>
        <c:title>
          <c:tx>
            <c:rich>
              <a:bodyPr rot="0" vert="horz"/>
              <a:lstStyle/>
              <a:p>
                <a:pPr>
                  <a:defRPr/>
                </a:pPr>
                <a:r>
                  <a:rPr lang="sl-SI"/>
                  <a:t>%</a:t>
                </a:r>
              </a:p>
            </c:rich>
          </c:tx>
          <c:layout>
            <c:manualLayout>
              <c:xMode val="edge"/>
              <c:yMode val="edge"/>
              <c:x val="1.1898942202485229E-2"/>
              <c:y val="3.325391242521198E-3"/>
            </c:manualLayout>
          </c:layout>
          <c:overlay val="0"/>
        </c:title>
        <c:numFmt formatCode="0%" sourceLinked="0"/>
        <c:majorTickMark val="out"/>
        <c:minorTickMark val="none"/>
        <c:tickLblPos val="nextTo"/>
        <c:crossAx val="35564160"/>
        <c:crosses val="autoZero"/>
        <c:crossBetween val="between"/>
        <c:majorUnit val="1.0000000000000002E-2"/>
        <c:minorUnit val="1.0000000000000002E-2"/>
      </c:valAx>
      <c:valAx>
        <c:axId val="35567872"/>
        <c:scaling>
          <c:orientation val="minMax"/>
          <c:max val="700"/>
          <c:min val="0"/>
        </c:scaling>
        <c:delete val="0"/>
        <c:axPos val="r"/>
        <c:title>
          <c:tx>
            <c:rich>
              <a:bodyPr rot="0" vert="horz"/>
              <a:lstStyle/>
              <a:p>
                <a:pPr>
                  <a:defRPr/>
                </a:pPr>
                <a:r>
                  <a:rPr lang="sl-SI"/>
                  <a:t>bp</a:t>
                </a:r>
              </a:p>
            </c:rich>
          </c:tx>
          <c:layout>
            <c:manualLayout>
              <c:xMode val="edge"/>
              <c:yMode val="edge"/>
              <c:x val="0.95984447573903087"/>
              <c:y val="3.3241810191593484E-3"/>
            </c:manualLayout>
          </c:layout>
          <c:overlay val="0"/>
        </c:title>
        <c:numFmt formatCode="0" sourceLinked="0"/>
        <c:majorTickMark val="out"/>
        <c:minorTickMark val="none"/>
        <c:tickLblPos val="nextTo"/>
        <c:crossAx val="35574144"/>
        <c:crosses val="max"/>
        <c:crossBetween val="between"/>
        <c:majorUnit val="100"/>
        <c:minorUnit val="100"/>
      </c:valAx>
      <c:dateAx>
        <c:axId val="35574144"/>
        <c:scaling>
          <c:orientation val="minMax"/>
        </c:scaling>
        <c:delete val="1"/>
        <c:axPos val="b"/>
        <c:numFmt formatCode="dd/mm/yyyy;@" sourceLinked="1"/>
        <c:majorTickMark val="out"/>
        <c:minorTickMark val="none"/>
        <c:tickLblPos val="nextTo"/>
        <c:crossAx val="35567872"/>
        <c:crosses val="autoZero"/>
        <c:auto val="1"/>
        <c:lblOffset val="100"/>
        <c:baseTimeUnit val="days"/>
        <c:majorUnit val="1"/>
        <c:minorUnit val="1"/>
      </c:dateAx>
    </c:plotArea>
    <c:legend>
      <c:legendPos val="r"/>
      <c:layout>
        <c:manualLayout>
          <c:xMode val="edge"/>
          <c:yMode val="edge"/>
          <c:x val="0.10849110056581883"/>
          <c:y val="0.91655283624766914"/>
          <c:w val="0.74556130253737785"/>
          <c:h val="7.4607181152453336E-2"/>
        </c:manualLayout>
      </c:layout>
      <c:overlay val="1"/>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84614191988116E-2"/>
          <c:y val="9.0606094987406113E-2"/>
          <c:w val="0.91543808127844628"/>
          <c:h val="0.58274336814410943"/>
        </c:manualLayout>
      </c:layout>
      <c:areaChart>
        <c:grouping val="standard"/>
        <c:varyColors val="0"/>
        <c:ser>
          <c:idx val="2"/>
          <c:order val="1"/>
          <c:tx>
            <c:strRef>
              <c:f>Sheet1!$D$1</c:f>
              <c:strCache>
                <c:ptCount val="1"/>
                <c:pt idx="0">
                  <c:v>Pribitek nad MS 10 let</c:v>
                </c:pt>
              </c:strCache>
            </c:strRef>
          </c:tx>
          <c:spPr>
            <a:solidFill>
              <a:schemeClr val="tx2">
                <a:lumMod val="60000"/>
                <a:lumOff val="40000"/>
                <a:alpha val="50000"/>
              </a:schemeClr>
            </a:solidFill>
            <a:ln w="19050">
              <a:solidFill>
                <a:schemeClr val="bg1">
                  <a:lumMod val="65000"/>
                </a:schemeClr>
              </a:solidFill>
            </a:ln>
          </c:spP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Sheet1!$D$2:$D$3146</c:f>
              <c:numCache>
                <c:formatCode>0.000</c:formatCode>
                <c:ptCount val="3145"/>
                <c:pt idx="0">
                  <c:v>-18.000000000000099</c:v>
                </c:pt>
                <c:pt idx="1">
                  <c:v>-14.849999999999932</c:v>
                </c:pt>
                <c:pt idx="2">
                  <c:v>-14.44999999999995</c:v>
                </c:pt>
                <c:pt idx="3">
                  <c:v>-15.099999999999975</c:v>
                </c:pt>
                <c:pt idx="4">
                  <c:v>-15.650000000000039</c:v>
                </c:pt>
                <c:pt idx="5">
                  <c:v>-16.629999999999978</c:v>
                </c:pt>
                <c:pt idx="6">
                  <c:v>-16.549999999999969</c:v>
                </c:pt>
                <c:pt idx="7">
                  <c:v>-17.600000000000048</c:v>
                </c:pt>
                <c:pt idx="8">
                  <c:v>-19.650000000000084</c:v>
                </c:pt>
                <c:pt idx="9">
                  <c:v>-19.699999999999996</c:v>
                </c:pt>
                <c:pt idx="10">
                  <c:v>-18.02999999999999</c:v>
                </c:pt>
                <c:pt idx="11">
                  <c:v>-18.250000000000004</c:v>
                </c:pt>
                <c:pt idx="12">
                  <c:v>-16.099999999999934</c:v>
                </c:pt>
                <c:pt idx="13">
                  <c:v>-15.700000000000019</c:v>
                </c:pt>
                <c:pt idx="14">
                  <c:v>-16.100000000000072</c:v>
                </c:pt>
                <c:pt idx="15">
                  <c:v>-15.049999999999994</c:v>
                </c:pt>
                <c:pt idx="16">
                  <c:v>-14.70000000000006</c:v>
                </c:pt>
                <c:pt idx="17">
                  <c:v>-16.649999999999928</c:v>
                </c:pt>
                <c:pt idx="18">
                  <c:v>-17.95999999999999</c:v>
                </c:pt>
                <c:pt idx="19">
                  <c:v>-19.140000000000061</c:v>
                </c:pt>
                <c:pt idx="20">
                  <c:v>-18.539999999999946</c:v>
                </c:pt>
                <c:pt idx="21">
                  <c:v>-18.639999999999976</c:v>
                </c:pt>
                <c:pt idx="22">
                  <c:v>-19.800000000000026</c:v>
                </c:pt>
                <c:pt idx="23">
                  <c:v>-20.470000000000002</c:v>
                </c:pt>
                <c:pt idx="24">
                  <c:v>-20.349999999999952</c:v>
                </c:pt>
                <c:pt idx="25">
                  <c:v>-18.699999999999967</c:v>
                </c:pt>
                <c:pt idx="26">
                  <c:v>-18.119999999999941</c:v>
                </c:pt>
                <c:pt idx="27">
                  <c:v>-16.380000000000006</c:v>
                </c:pt>
                <c:pt idx="28">
                  <c:v>-17.699999999999939</c:v>
                </c:pt>
                <c:pt idx="29">
                  <c:v>-18.200000000000092</c:v>
                </c:pt>
                <c:pt idx="30">
                  <c:v>-18.379999999999992</c:v>
                </c:pt>
                <c:pt idx="31">
                  <c:v>-17.699999999999939</c:v>
                </c:pt>
                <c:pt idx="32">
                  <c:v>-17.290000000000013</c:v>
                </c:pt>
                <c:pt idx="33">
                  <c:v>-16.750000000000028</c:v>
                </c:pt>
                <c:pt idx="34">
                  <c:v>-16.429999999999986</c:v>
                </c:pt>
                <c:pt idx="35">
                  <c:v>-15.210000000000015</c:v>
                </c:pt>
                <c:pt idx="36">
                  <c:v>-15.75</c:v>
                </c:pt>
                <c:pt idx="37">
                  <c:v>-16.600000000000087</c:v>
                </c:pt>
                <c:pt idx="38">
                  <c:v>-15.799999999999981</c:v>
                </c:pt>
                <c:pt idx="39">
                  <c:v>-15.230000000000036</c:v>
                </c:pt>
                <c:pt idx="40">
                  <c:v>-15.899999999999942</c:v>
                </c:pt>
                <c:pt idx="41">
                  <c:v>-18.099999999999991</c:v>
                </c:pt>
                <c:pt idx="42">
                  <c:v>-18.07999999999997</c:v>
                </c:pt>
                <c:pt idx="43">
                  <c:v>-19.300000000000011</c:v>
                </c:pt>
                <c:pt idx="44">
                  <c:v>-18.13000000000002</c:v>
                </c:pt>
                <c:pt idx="45">
                  <c:v>-17.699999999999939</c:v>
                </c:pt>
                <c:pt idx="46">
                  <c:v>-17.420000000000005</c:v>
                </c:pt>
                <c:pt idx="47">
                  <c:v>-17.549999999999926</c:v>
                </c:pt>
                <c:pt idx="48">
                  <c:v>-16.800000000000008</c:v>
                </c:pt>
                <c:pt idx="49">
                  <c:v>-15.959999999999933</c:v>
                </c:pt>
                <c:pt idx="50">
                  <c:v>-15.350000000000016</c:v>
                </c:pt>
                <c:pt idx="51">
                  <c:v>-16.520000000000007</c:v>
                </c:pt>
                <c:pt idx="52">
                  <c:v>-15.589999999999979</c:v>
                </c:pt>
                <c:pt idx="53">
                  <c:v>-7.4000000000000457</c:v>
                </c:pt>
                <c:pt idx="54">
                  <c:v>-7.3500000000000645</c:v>
                </c:pt>
                <c:pt idx="55">
                  <c:v>-7.2000000000000535</c:v>
                </c:pt>
                <c:pt idx="56">
                  <c:v>-6.7599999999999607</c:v>
                </c:pt>
                <c:pt idx="57">
                  <c:v>-8.9000000000000199</c:v>
                </c:pt>
                <c:pt idx="58">
                  <c:v>-8.2499999999999236</c:v>
                </c:pt>
                <c:pt idx="59">
                  <c:v>-7.8099999999999694</c:v>
                </c:pt>
                <c:pt idx="60">
                  <c:v>-7.8000000000000291</c:v>
                </c:pt>
                <c:pt idx="61">
                  <c:v>-8.2099999999999529</c:v>
                </c:pt>
                <c:pt idx="62">
                  <c:v>-7.8200000000000491</c:v>
                </c:pt>
                <c:pt idx="63">
                  <c:v>-8.1299999999999422</c:v>
                </c:pt>
                <c:pt idx="64">
                  <c:v>-8.1999999999999442</c:v>
                </c:pt>
                <c:pt idx="65">
                  <c:v>-7.9500000000000401</c:v>
                </c:pt>
                <c:pt idx="66">
                  <c:v>-9.1999999999999726</c:v>
                </c:pt>
                <c:pt idx="67">
                  <c:v>-9.2600000000000318</c:v>
                </c:pt>
                <c:pt idx="68">
                  <c:v>-8.6500000000000465</c:v>
                </c:pt>
                <c:pt idx="69">
                  <c:v>-8.729999999999988</c:v>
                </c:pt>
                <c:pt idx="70">
                  <c:v>-8.6599999999999877</c:v>
                </c:pt>
                <c:pt idx="71">
                  <c:v>-9.3999999999999631</c:v>
                </c:pt>
                <c:pt idx="72">
                  <c:v>-9.1499999999999915</c:v>
                </c:pt>
                <c:pt idx="73">
                  <c:v>-9.1499999999999915</c:v>
                </c:pt>
                <c:pt idx="74">
                  <c:v>-9.2199999999999918</c:v>
                </c:pt>
                <c:pt idx="75">
                  <c:v>-9.8099999999999579</c:v>
                </c:pt>
                <c:pt idx="76">
                  <c:v>-8.4799999999999454</c:v>
                </c:pt>
                <c:pt idx="77">
                  <c:v>-9.5000000000000639</c:v>
                </c:pt>
                <c:pt idx="78">
                  <c:v>-8.8700000000000578</c:v>
                </c:pt>
                <c:pt idx="79">
                  <c:v>-8.5400000000000063</c:v>
                </c:pt>
                <c:pt idx="80">
                  <c:v>-9.1699999999999413</c:v>
                </c:pt>
                <c:pt idx="81">
                  <c:v>-9.209999999999912</c:v>
                </c:pt>
                <c:pt idx="82">
                  <c:v>-9.3700000000000028</c:v>
                </c:pt>
                <c:pt idx="83">
                  <c:v>-9.4000000000000341</c:v>
                </c:pt>
                <c:pt idx="84">
                  <c:v>-9.2300000000000022</c:v>
                </c:pt>
                <c:pt idx="85">
                  <c:v>-9.0199999999999303</c:v>
                </c:pt>
                <c:pt idx="86">
                  <c:v>-8.8999999999999488</c:v>
                </c:pt>
                <c:pt idx="87">
                  <c:v>-8.8500000000000387</c:v>
                </c:pt>
                <c:pt idx="88">
                  <c:v>-9.1000000000000796</c:v>
                </c:pt>
                <c:pt idx="89">
                  <c:v>-8.579999999999977</c:v>
                </c:pt>
                <c:pt idx="90">
                  <c:v>-9.5800000000000054</c:v>
                </c:pt>
                <c:pt idx="91">
                  <c:v>-9.569999999999995</c:v>
                </c:pt>
                <c:pt idx="92">
                  <c:v>-8.850000000000108</c:v>
                </c:pt>
                <c:pt idx="93">
                  <c:v>-8.9499999999999993</c:v>
                </c:pt>
                <c:pt idx="94">
                  <c:v>-9.5599999999999845</c:v>
                </c:pt>
                <c:pt idx="95">
                  <c:v>-9.6499999999999364</c:v>
                </c:pt>
                <c:pt idx="96">
                  <c:v>-8.7499999999999378</c:v>
                </c:pt>
                <c:pt idx="97">
                  <c:v>-10.15000000000002</c:v>
                </c:pt>
                <c:pt idx="98">
                  <c:v>-10.200000000000001</c:v>
                </c:pt>
                <c:pt idx="99">
                  <c:v>-9.899999999999979</c:v>
                </c:pt>
                <c:pt idx="100">
                  <c:v>-10.050000000000059</c:v>
                </c:pt>
                <c:pt idx="101">
                  <c:v>-11.200000000000029</c:v>
                </c:pt>
                <c:pt idx="102">
                  <c:v>-9.9599999999999689</c:v>
                </c:pt>
                <c:pt idx="103">
                  <c:v>-9.6000000000000245</c:v>
                </c:pt>
                <c:pt idx="104">
                  <c:v>-9.8500000000000671</c:v>
                </c:pt>
                <c:pt idx="105">
                  <c:v>-11.29999999999999</c:v>
                </c:pt>
                <c:pt idx="106">
                  <c:v>-10.900000000000007</c:v>
                </c:pt>
                <c:pt idx="107">
                  <c:v>-10.099999999999969</c:v>
                </c:pt>
                <c:pt idx="108">
                  <c:v>-9.6599999999999469</c:v>
                </c:pt>
                <c:pt idx="109">
                  <c:v>-12.150000000000007</c:v>
                </c:pt>
                <c:pt idx="110">
                  <c:v>-12.199999999999989</c:v>
                </c:pt>
                <c:pt idx="111">
                  <c:v>-10.3000000000001</c:v>
                </c:pt>
                <c:pt idx="112">
                  <c:v>-11.849999999999985</c:v>
                </c:pt>
                <c:pt idx="113">
                  <c:v>-11.520000000000003</c:v>
                </c:pt>
                <c:pt idx="114">
                  <c:v>-11.25000000000008</c:v>
                </c:pt>
                <c:pt idx="115">
                  <c:v>-10.889999999999997</c:v>
                </c:pt>
                <c:pt idx="116">
                  <c:v>-11.200000000000029</c:v>
                </c:pt>
                <c:pt idx="117">
                  <c:v>-10.259999999999991</c:v>
                </c:pt>
                <c:pt idx="118">
                  <c:v>-9.9999999999999396</c:v>
                </c:pt>
                <c:pt idx="119">
                  <c:v>-10.440000000000033</c:v>
                </c:pt>
                <c:pt idx="120">
                  <c:v>-8.7499999999999378</c:v>
                </c:pt>
                <c:pt idx="121">
                  <c:v>-10.719999999999965</c:v>
                </c:pt>
                <c:pt idx="122">
                  <c:v>-11.130000000000029</c:v>
                </c:pt>
                <c:pt idx="123">
                  <c:v>-12.130000000000058</c:v>
                </c:pt>
                <c:pt idx="124">
                  <c:v>-11.400000000000022</c:v>
                </c:pt>
                <c:pt idx="125">
                  <c:v>-10.599999999999984</c:v>
                </c:pt>
                <c:pt idx="126">
                  <c:v>-11.660000000000004</c:v>
                </c:pt>
                <c:pt idx="127">
                  <c:v>-12.700000000000072</c:v>
                </c:pt>
                <c:pt idx="128">
                  <c:v>-12.31999999999997</c:v>
                </c:pt>
                <c:pt idx="129">
                  <c:v>-12.300000000000018</c:v>
                </c:pt>
                <c:pt idx="130">
                  <c:v>-12.950000000000045</c:v>
                </c:pt>
                <c:pt idx="131">
                  <c:v>-11.470000000000022</c:v>
                </c:pt>
                <c:pt idx="132">
                  <c:v>-13.170000000000057</c:v>
                </c:pt>
                <c:pt idx="133">
                  <c:v>-13.500000000000108</c:v>
                </c:pt>
                <c:pt idx="134">
                  <c:v>-15.80000000000005</c:v>
                </c:pt>
                <c:pt idx="135">
                  <c:v>-13.600000000000001</c:v>
                </c:pt>
                <c:pt idx="136">
                  <c:v>-12.450000000000031</c:v>
                </c:pt>
                <c:pt idx="137">
                  <c:v>-12.949999999999907</c:v>
                </c:pt>
                <c:pt idx="138">
                  <c:v>-14.800000000000022</c:v>
                </c:pt>
                <c:pt idx="139">
                  <c:v>-14.599999999999961</c:v>
                </c:pt>
                <c:pt idx="140">
                  <c:v>-14.500000000000068</c:v>
                </c:pt>
                <c:pt idx="141">
                  <c:v>-14.650000000000011</c:v>
                </c:pt>
                <c:pt idx="142">
                  <c:v>-14.450000000000019</c:v>
                </c:pt>
                <c:pt idx="143">
                  <c:v>-16.349999999999977</c:v>
                </c:pt>
                <c:pt idx="144">
                  <c:v>-15.749999999999931</c:v>
                </c:pt>
                <c:pt idx="145">
                  <c:v>-17.100000000000033</c:v>
                </c:pt>
                <c:pt idx="146">
                  <c:v>-18.750000000000018</c:v>
                </c:pt>
                <c:pt idx="147">
                  <c:v>-14.65000000000008</c:v>
                </c:pt>
                <c:pt idx="148">
                  <c:v>-14.450000000000019</c:v>
                </c:pt>
                <c:pt idx="149">
                  <c:v>-12.800000000000033</c:v>
                </c:pt>
                <c:pt idx="150">
                  <c:v>-13.999999999999915</c:v>
                </c:pt>
                <c:pt idx="151">
                  <c:v>-16.200000000000035</c:v>
                </c:pt>
                <c:pt idx="152">
                  <c:v>-14.050000000000034</c:v>
                </c:pt>
                <c:pt idx="153">
                  <c:v>-13.050000000000006</c:v>
                </c:pt>
                <c:pt idx="154">
                  <c:v>-14.650000000000011</c:v>
                </c:pt>
                <c:pt idx="155">
                  <c:v>-15.180000000000055</c:v>
                </c:pt>
                <c:pt idx="156">
                  <c:v>-13.649999999999981</c:v>
                </c:pt>
                <c:pt idx="157">
                  <c:v>-15.580000000000037</c:v>
                </c:pt>
                <c:pt idx="158">
                  <c:v>-14.800000000000091</c:v>
                </c:pt>
                <c:pt idx="159">
                  <c:v>-15.180000000000055</c:v>
                </c:pt>
                <c:pt idx="160">
                  <c:v>-15.899999999999942</c:v>
                </c:pt>
                <c:pt idx="161">
                  <c:v>-13.400000000000079</c:v>
                </c:pt>
                <c:pt idx="162">
                  <c:v>-14.749999999999972</c:v>
                </c:pt>
                <c:pt idx="163">
                  <c:v>-11.949999999999946</c:v>
                </c:pt>
                <c:pt idx="164">
                  <c:v>-10.199999999999932</c:v>
                </c:pt>
                <c:pt idx="165">
                  <c:v>-12.400000000000119</c:v>
                </c:pt>
                <c:pt idx="166">
                  <c:v>-10.749999999999996</c:v>
                </c:pt>
                <c:pt idx="167">
                  <c:v>-10.11999999999999</c:v>
                </c:pt>
                <c:pt idx="168">
                  <c:v>-13.44999999999999</c:v>
                </c:pt>
                <c:pt idx="169">
                  <c:v>-10.849999999999957</c:v>
                </c:pt>
                <c:pt idx="170">
                  <c:v>-13.150000000000036</c:v>
                </c:pt>
                <c:pt idx="171">
                  <c:v>-11.749999999999956</c:v>
                </c:pt>
                <c:pt idx="172">
                  <c:v>-11.550000000000033</c:v>
                </c:pt>
                <c:pt idx="173">
                  <c:v>-13.900000000000023</c:v>
                </c:pt>
                <c:pt idx="174">
                  <c:v>-13.640000000000041</c:v>
                </c:pt>
                <c:pt idx="175">
                  <c:v>-12.750000000000053</c:v>
                </c:pt>
                <c:pt idx="176">
                  <c:v>-12.649999999999952</c:v>
                </c:pt>
                <c:pt idx="177">
                  <c:v>-12.800000000000033</c:v>
                </c:pt>
                <c:pt idx="178">
                  <c:v>-12.600000000000042</c:v>
                </c:pt>
                <c:pt idx="179">
                  <c:v>-12.100000000000028</c:v>
                </c:pt>
                <c:pt idx="180">
                  <c:v>-13.349999999999959</c:v>
                </c:pt>
                <c:pt idx="181">
                  <c:v>-11.500000000000052</c:v>
                </c:pt>
                <c:pt idx="182">
                  <c:v>-12.24999999999997</c:v>
                </c:pt>
                <c:pt idx="183">
                  <c:v>-10.849999999999888</c:v>
                </c:pt>
                <c:pt idx="184">
                  <c:v>-12.049999999999978</c:v>
                </c:pt>
                <c:pt idx="185">
                  <c:v>-10.850000000000026</c:v>
                </c:pt>
                <c:pt idx="186">
                  <c:v>-10.819999999999997</c:v>
                </c:pt>
                <c:pt idx="187">
                  <c:v>-11.849999999999985</c:v>
                </c:pt>
                <c:pt idx="188">
                  <c:v>-10.850000000000026</c:v>
                </c:pt>
                <c:pt idx="189">
                  <c:v>-10.550000000000004</c:v>
                </c:pt>
                <c:pt idx="190">
                  <c:v>-10.749999999999996</c:v>
                </c:pt>
                <c:pt idx="191">
                  <c:v>-9.8499999999999286</c:v>
                </c:pt>
                <c:pt idx="192">
                  <c:v>-8.8999999999999488</c:v>
                </c:pt>
                <c:pt idx="193">
                  <c:v>-10.900000000000007</c:v>
                </c:pt>
                <c:pt idx="194">
                  <c:v>-10.04999999999999</c:v>
                </c:pt>
                <c:pt idx="195">
                  <c:v>-9.5900000000000158</c:v>
                </c:pt>
                <c:pt idx="196">
                  <c:v>-9.2500000000000213</c:v>
                </c:pt>
                <c:pt idx="197">
                  <c:v>-9.2500000000000213</c:v>
                </c:pt>
                <c:pt idx="198">
                  <c:v>-9.7500000000000355</c:v>
                </c:pt>
                <c:pt idx="199">
                  <c:v>-9.6500000000000057</c:v>
                </c:pt>
                <c:pt idx="200">
                  <c:v>-10.999999999999899</c:v>
                </c:pt>
                <c:pt idx="201">
                  <c:v>-9.980000000000059</c:v>
                </c:pt>
                <c:pt idx="202">
                  <c:v>-10.410000000000071</c:v>
                </c:pt>
                <c:pt idx="203">
                  <c:v>-10.000000000000009</c:v>
                </c:pt>
                <c:pt idx="204">
                  <c:v>-11.099999999999998</c:v>
                </c:pt>
                <c:pt idx="205">
                  <c:v>-11.099999999999998</c:v>
                </c:pt>
                <c:pt idx="206">
                  <c:v>-12.700000000000003</c:v>
                </c:pt>
                <c:pt idx="207">
                  <c:v>-11.480000000000032</c:v>
                </c:pt>
                <c:pt idx="208">
                  <c:v>-12.500000000000011</c:v>
                </c:pt>
                <c:pt idx="209">
                  <c:v>-12.150000000000007</c:v>
                </c:pt>
                <c:pt idx="210">
                  <c:v>-11.400000000000022</c:v>
                </c:pt>
                <c:pt idx="211">
                  <c:v>-13.39999999999994</c:v>
                </c:pt>
                <c:pt idx="212">
                  <c:v>-12.899999999999995</c:v>
                </c:pt>
                <c:pt idx="213">
                  <c:v>-13.49999999999997</c:v>
                </c:pt>
                <c:pt idx="214">
                  <c:v>-11.999999999999996</c:v>
                </c:pt>
                <c:pt idx="215">
                  <c:v>-13.799999999999994</c:v>
                </c:pt>
                <c:pt idx="216">
                  <c:v>-14.250000000000027</c:v>
                </c:pt>
                <c:pt idx="217">
                  <c:v>-13.500000000000039</c:v>
                </c:pt>
                <c:pt idx="218">
                  <c:v>-13.500000000000039</c:v>
                </c:pt>
                <c:pt idx="219">
                  <c:v>-13.150000000000036</c:v>
                </c:pt>
                <c:pt idx="220">
                  <c:v>-15.200000000000074</c:v>
                </c:pt>
                <c:pt idx="221">
                  <c:v>-15.599999999999989</c:v>
                </c:pt>
                <c:pt idx="222">
                  <c:v>-13.49999999999997</c:v>
                </c:pt>
                <c:pt idx="223">
                  <c:v>-13.649999999999981</c:v>
                </c:pt>
                <c:pt idx="224">
                  <c:v>-13.799999999999994</c:v>
                </c:pt>
                <c:pt idx="225">
                  <c:v>-15.300000000000036</c:v>
                </c:pt>
                <c:pt idx="226">
                  <c:v>-16.149999999999913</c:v>
                </c:pt>
                <c:pt idx="227">
                  <c:v>-15.69999999999995</c:v>
                </c:pt>
                <c:pt idx="228">
                  <c:v>-17.199999999999992</c:v>
                </c:pt>
                <c:pt idx="229">
                  <c:v>-16.099999999999934</c:v>
                </c:pt>
                <c:pt idx="230">
                  <c:v>-14.70000000000006</c:v>
                </c:pt>
                <c:pt idx="231">
                  <c:v>-14.850000000000071</c:v>
                </c:pt>
                <c:pt idx="232">
                  <c:v>-16.050000000000022</c:v>
                </c:pt>
                <c:pt idx="233">
                  <c:v>-13.699999999999962</c:v>
                </c:pt>
                <c:pt idx="234">
                  <c:v>-11.899999999999967</c:v>
                </c:pt>
                <c:pt idx="235">
                  <c:v>-14.100000000000016</c:v>
                </c:pt>
                <c:pt idx="236">
                  <c:v>-12.300000000000018</c:v>
                </c:pt>
                <c:pt idx="237">
                  <c:v>-15.550000000000008</c:v>
                </c:pt>
                <c:pt idx="238">
                  <c:v>-12.469999999999981</c:v>
                </c:pt>
                <c:pt idx="239">
                  <c:v>-11.000000000000037</c:v>
                </c:pt>
                <c:pt idx="240">
                  <c:v>-9.4000000000000341</c:v>
                </c:pt>
                <c:pt idx="241">
                  <c:v>-9.4299999999999944</c:v>
                </c:pt>
                <c:pt idx="242">
                  <c:v>-10.450000000000042</c:v>
                </c:pt>
                <c:pt idx="243">
                  <c:v>-8.7500000000000071</c:v>
                </c:pt>
                <c:pt idx="244">
                  <c:v>-9.8499999999999286</c:v>
                </c:pt>
                <c:pt idx="245">
                  <c:v>-10.850000000000026</c:v>
                </c:pt>
                <c:pt idx="246">
                  <c:v>-10.599999999999984</c:v>
                </c:pt>
                <c:pt idx="247">
                  <c:v>-8.9499999999999993</c:v>
                </c:pt>
                <c:pt idx="248">
                  <c:v>-9.3500000000000529</c:v>
                </c:pt>
                <c:pt idx="249">
                  <c:v>-9.5000000000000639</c:v>
                </c:pt>
                <c:pt idx="250">
                  <c:v>-9.9500000000000277</c:v>
                </c:pt>
                <c:pt idx="251">
                  <c:v>-8.6999999999999584</c:v>
                </c:pt>
                <c:pt idx="252">
                  <c:v>-10.149999999999951</c:v>
                </c:pt>
                <c:pt idx="253">
                  <c:v>-9.4500000000000135</c:v>
                </c:pt>
                <c:pt idx="254">
                  <c:v>-11.200000000000029</c:v>
                </c:pt>
                <c:pt idx="255">
                  <c:v>-9.249999999999952</c:v>
                </c:pt>
                <c:pt idx="256">
                  <c:v>-9.8000000000000167</c:v>
                </c:pt>
                <c:pt idx="257">
                  <c:v>-9.6500000000000057</c:v>
                </c:pt>
                <c:pt idx="258">
                  <c:v>-9.4000000000000341</c:v>
                </c:pt>
                <c:pt idx="259">
                  <c:v>-9.8100000000000964</c:v>
                </c:pt>
                <c:pt idx="260">
                  <c:v>-11.250000000000011</c:v>
                </c:pt>
                <c:pt idx="261">
                  <c:v>-11.749999999999956</c:v>
                </c:pt>
                <c:pt idx="262">
                  <c:v>-9.4500000000000135</c:v>
                </c:pt>
                <c:pt idx="263">
                  <c:v>-9.2500000000000213</c:v>
                </c:pt>
                <c:pt idx="264">
                  <c:v>-9.8499999999999286</c:v>
                </c:pt>
                <c:pt idx="265">
                  <c:v>-9.3200000000000234</c:v>
                </c:pt>
                <c:pt idx="266">
                  <c:v>-7.8999999999999906</c:v>
                </c:pt>
                <c:pt idx="267">
                  <c:v>-9.749999999999897</c:v>
                </c:pt>
                <c:pt idx="268">
                  <c:v>-9.6500000000000057</c:v>
                </c:pt>
                <c:pt idx="269">
                  <c:v>-8.1999999999999442</c:v>
                </c:pt>
                <c:pt idx="270">
                  <c:v>-8.4499999999999851</c:v>
                </c:pt>
                <c:pt idx="271">
                  <c:v>-7.2999999999999456</c:v>
                </c:pt>
                <c:pt idx="272">
                  <c:v>-4.4999999999999902</c:v>
                </c:pt>
                <c:pt idx="273">
                  <c:v>-5.9499999999999833</c:v>
                </c:pt>
                <c:pt idx="274">
                  <c:v>-4.9199999999999937</c:v>
                </c:pt>
                <c:pt idx="275">
                  <c:v>-5.8500000000000911</c:v>
                </c:pt>
                <c:pt idx="276">
                  <c:v>-6.9500000000000117</c:v>
                </c:pt>
                <c:pt idx="277">
                  <c:v>-7.8000000000000291</c:v>
                </c:pt>
                <c:pt idx="278">
                  <c:v>-7.6999999999999984</c:v>
                </c:pt>
                <c:pt idx="279">
                  <c:v>-8.3499999999999552</c:v>
                </c:pt>
                <c:pt idx="280">
                  <c:v>-6.9499999999999424</c:v>
                </c:pt>
                <c:pt idx="281">
                  <c:v>-8.8999999999999488</c:v>
                </c:pt>
                <c:pt idx="282">
                  <c:v>-8.6999999999999584</c:v>
                </c:pt>
                <c:pt idx="283">
                  <c:v>-10.949999999999987</c:v>
                </c:pt>
                <c:pt idx="284">
                  <c:v>-5.7000000000000108</c:v>
                </c:pt>
                <c:pt idx="285">
                  <c:v>-7.4799999999999862</c:v>
                </c:pt>
                <c:pt idx="286">
                  <c:v>-5.9500000000001219</c:v>
                </c:pt>
                <c:pt idx="287">
                  <c:v>-6.5999999999999392</c:v>
                </c:pt>
                <c:pt idx="288">
                  <c:v>-5.8500000000000218</c:v>
                </c:pt>
                <c:pt idx="289">
                  <c:v>-6.0099999999999039</c:v>
                </c:pt>
                <c:pt idx="290">
                  <c:v>-6.4000000000000163</c:v>
                </c:pt>
                <c:pt idx="291">
                  <c:v>-4.2000000000001068</c:v>
                </c:pt>
                <c:pt idx="292">
                  <c:v>-4.8000000000000123</c:v>
                </c:pt>
                <c:pt idx="293">
                  <c:v>-4.4500000000000099</c:v>
                </c:pt>
                <c:pt idx="294">
                  <c:v>-3.999999999999976</c:v>
                </c:pt>
                <c:pt idx="295">
                  <c:v>-3.3500000000000196</c:v>
                </c:pt>
                <c:pt idx="296">
                  <c:v>-2.6500000000000137</c:v>
                </c:pt>
                <c:pt idx="297">
                  <c:v>-7.1999999999999842</c:v>
                </c:pt>
                <c:pt idx="298">
                  <c:v>-9.1000000000000103</c:v>
                </c:pt>
                <c:pt idx="299">
                  <c:v>-8.3500000000000245</c:v>
                </c:pt>
                <c:pt idx="300">
                  <c:v>-7.3999999999999764</c:v>
                </c:pt>
                <c:pt idx="301">
                  <c:v>-5.3500000000000076</c:v>
                </c:pt>
                <c:pt idx="302">
                  <c:v>-2.7999999999999554</c:v>
                </c:pt>
                <c:pt idx="303">
                  <c:v>-2.699999999999994</c:v>
                </c:pt>
                <c:pt idx="304">
                  <c:v>-2.9500000000000357</c:v>
                </c:pt>
                <c:pt idx="305">
                  <c:v>-0.44999999999989493</c:v>
                </c:pt>
                <c:pt idx="306">
                  <c:v>-5.4999999999999494</c:v>
                </c:pt>
                <c:pt idx="307">
                  <c:v>-3.7499999999999338</c:v>
                </c:pt>
                <c:pt idx="308">
                  <c:v>-5.7999999999999723</c:v>
                </c:pt>
                <c:pt idx="309">
                  <c:v>-3.1500000000000279</c:v>
                </c:pt>
                <c:pt idx="310">
                  <c:v>-1.6500000000000541</c:v>
                </c:pt>
                <c:pt idx="311">
                  <c:v>-4.5999999999999517</c:v>
                </c:pt>
                <c:pt idx="312">
                  <c:v>-1.9500000000000073</c:v>
                </c:pt>
                <c:pt idx="313">
                  <c:v>-3.6500000000000421</c:v>
                </c:pt>
                <c:pt idx="314">
                  <c:v>-0.7999999999999674</c:v>
                </c:pt>
                <c:pt idx="315">
                  <c:v>-4.5999999999999517</c:v>
                </c:pt>
                <c:pt idx="316">
                  <c:v>-2.7499999999999747</c:v>
                </c:pt>
                <c:pt idx="317">
                  <c:v>-2.3999999999999715</c:v>
                </c:pt>
                <c:pt idx="318">
                  <c:v>-2.4500000000000215</c:v>
                </c:pt>
                <c:pt idx="319">
                  <c:v>-3.8000000000000531</c:v>
                </c:pt>
                <c:pt idx="320">
                  <c:v>-4.4000000000000288</c:v>
                </c:pt>
                <c:pt idx="321">
                  <c:v>-3.9499999999999953</c:v>
                </c:pt>
                <c:pt idx="322">
                  <c:v>-3.3000000000000389</c:v>
                </c:pt>
                <c:pt idx="323">
                  <c:v>-0.44999999999996432</c:v>
                </c:pt>
                <c:pt idx="324">
                  <c:v>-4.6500000000000012</c:v>
                </c:pt>
                <c:pt idx="325">
                  <c:v>-3.5499999999999421</c:v>
                </c:pt>
                <c:pt idx="326">
                  <c:v>-6.8999999999999613</c:v>
                </c:pt>
                <c:pt idx="327">
                  <c:v>-7.0000000000000622</c:v>
                </c:pt>
                <c:pt idx="328">
                  <c:v>-7.6500000000000181</c:v>
                </c:pt>
                <c:pt idx="329">
                  <c:v>-7.4000000000000457</c:v>
                </c:pt>
                <c:pt idx="330">
                  <c:v>-4.3499999999999792</c:v>
                </c:pt>
                <c:pt idx="331">
                  <c:v>-5.0999999999999659</c:v>
                </c:pt>
                <c:pt idx="332">
                  <c:v>-4.6500000000000012</c:v>
                </c:pt>
                <c:pt idx="333">
                  <c:v>-6.3000000000000558</c:v>
                </c:pt>
                <c:pt idx="334">
                  <c:v>-7.6500000000000181</c:v>
                </c:pt>
                <c:pt idx="335">
                  <c:v>-7.3000000000000149</c:v>
                </c:pt>
                <c:pt idx="336">
                  <c:v>-6.4000000000000163</c:v>
                </c:pt>
                <c:pt idx="337">
                  <c:v>-5.1000000000000352</c:v>
                </c:pt>
                <c:pt idx="338">
                  <c:v>-4.5499999999999705</c:v>
                </c:pt>
                <c:pt idx="339">
                  <c:v>-2.7000000000000632</c:v>
                </c:pt>
                <c:pt idx="340">
                  <c:v>-2.9499999999999664</c:v>
                </c:pt>
                <c:pt idx="341">
                  <c:v>-3.5000000000000311</c:v>
                </c:pt>
                <c:pt idx="342">
                  <c:v>0.26999999999999247</c:v>
                </c:pt>
                <c:pt idx="343">
                  <c:v>-0.69999999999993678</c:v>
                </c:pt>
                <c:pt idx="344">
                  <c:v>-1.9000000000000266</c:v>
                </c:pt>
                <c:pt idx="345">
                  <c:v>-2.6500000000000137</c:v>
                </c:pt>
                <c:pt idx="346">
                  <c:v>-2.0499999999999687</c:v>
                </c:pt>
                <c:pt idx="347">
                  <c:v>0.35000000000000309</c:v>
                </c:pt>
                <c:pt idx="348">
                  <c:v>2.3999999999999715</c:v>
                </c:pt>
                <c:pt idx="349">
                  <c:v>-0.80000000000003679</c:v>
                </c:pt>
                <c:pt idx="350">
                  <c:v>-1.2500000000000011</c:v>
                </c:pt>
                <c:pt idx="351">
                  <c:v>-2.4000000000000412</c:v>
                </c:pt>
                <c:pt idx="352">
                  <c:v>-2.109999999999959</c:v>
                </c:pt>
                <c:pt idx="353">
                  <c:v>-1.749999999999946</c:v>
                </c:pt>
                <c:pt idx="354">
                  <c:v>-2.5499999999999137</c:v>
                </c:pt>
                <c:pt idx="355">
                  <c:v>-5.0000000000000044</c:v>
                </c:pt>
                <c:pt idx="356">
                  <c:v>-4.8000000000000123</c:v>
                </c:pt>
                <c:pt idx="357">
                  <c:v>-5.1999999999999966</c:v>
                </c:pt>
                <c:pt idx="358">
                  <c:v>-3.2000000000000082</c:v>
                </c:pt>
                <c:pt idx="359">
                  <c:v>-4.649999999999932</c:v>
                </c:pt>
                <c:pt idx="360">
                  <c:v>5.0000000000050004E-2</c:v>
                </c:pt>
                <c:pt idx="361">
                  <c:v>-1.8999999999999573</c:v>
                </c:pt>
                <c:pt idx="362">
                  <c:v>-2.050000000000038</c:v>
                </c:pt>
                <c:pt idx="363">
                  <c:v>-0.35000000000000309</c:v>
                </c:pt>
                <c:pt idx="364">
                  <c:v>0.65000000000009495</c:v>
                </c:pt>
                <c:pt idx="365">
                  <c:v>-1.6499999999999155</c:v>
                </c:pt>
                <c:pt idx="366">
                  <c:v>-3.1500000000000279</c:v>
                </c:pt>
                <c:pt idx="367">
                  <c:v>-2.8999999999999861</c:v>
                </c:pt>
                <c:pt idx="368">
                  <c:v>-0.30000000000002247</c:v>
                </c:pt>
                <c:pt idx="369">
                  <c:v>2.0000000000000573</c:v>
                </c:pt>
                <c:pt idx="370">
                  <c:v>1.2999999999999816</c:v>
                </c:pt>
                <c:pt idx="371">
                  <c:v>4.3999999999999595</c:v>
                </c:pt>
                <c:pt idx="372">
                  <c:v>-8.5567114093959553</c:v>
                </c:pt>
                <c:pt idx="373">
                  <c:v>-7.8996644295301763</c:v>
                </c:pt>
                <c:pt idx="374">
                  <c:v>-9.0724832214764817</c:v>
                </c:pt>
                <c:pt idx="375">
                  <c:v>-11.449664429530188</c:v>
                </c:pt>
                <c:pt idx="376">
                  <c:v>-12.054362416107356</c:v>
                </c:pt>
                <c:pt idx="377">
                  <c:v>-12.235570469798715</c:v>
                </c:pt>
                <c:pt idx="378">
                  <c:v>-14.186577181208095</c:v>
                </c:pt>
                <c:pt idx="379">
                  <c:v>-13.410738255033513</c:v>
                </c:pt>
                <c:pt idx="380">
                  <c:v>-10.24463087248316</c:v>
                </c:pt>
                <c:pt idx="381">
                  <c:v>-9.7144295302013095</c:v>
                </c:pt>
                <c:pt idx="382">
                  <c:v>-12.628859060402828</c:v>
                </c:pt>
                <c:pt idx="383">
                  <c:v>-13.038590604026941</c:v>
                </c:pt>
                <c:pt idx="384">
                  <c:v>-13.524161073825564</c:v>
                </c:pt>
                <c:pt idx="385">
                  <c:v>-7.5728187919463235</c:v>
                </c:pt>
                <c:pt idx="386">
                  <c:v>-16.777852348993232</c:v>
                </c:pt>
                <c:pt idx="387">
                  <c:v>1.3499999999999623</c:v>
                </c:pt>
                <c:pt idx="388">
                  <c:v>35.887583892617386</c:v>
                </c:pt>
                <c:pt idx="389">
                  <c:v>-3.3500000000000196</c:v>
                </c:pt>
                <c:pt idx="390">
                  <c:v>1.7500000000000155</c:v>
                </c:pt>
                <c:pt idx="391">
                  <c:v>-13.145973154362473</c:v>
                </c:pt>
                <c:pt idx="392">
                  <c:v>-9.038255033557153</c:v>
                </c:pt>
                <c:pt idx="393">
                  <c:v>-8.0338926174496059</c:v>
                </c:pt>
                <c:pt idx="394">
                  <c:v>-3.3637583892617839</c:v>
                </c:pt>
                <c:pt idx="395">
                  <c:v>-4.3697986577181238</c:v>
                </c:pt>
                <c:pt idx="396">
                  <c:v>-4.8063758389262077</c:v>
                </c:pt>
                <c:pt idx="397">
                  <c:v>-5.9557046979866186</c:v>
                </c:pt>
                <c:pt idx="398">
                  <c:v>-6.72986577181213</c:v>
                </c:pt>
                <c:pt idx="399">
                  <c:v>-6.1372483221475846</c:v>
                </c:pt>
                <c:pt idx="400">
                  <c:v>-7.8214765100671073</c:v>
                </c:pt>
                <c:pt idx="401">
                  <c:v>-7.9500000000000401</c:v>
                </c:pt>
                <c:pt idx="402">
                  <c:v>-8.723154362416107</c:v>
                </c:pt>
                <c:pt idx="403">
                  <c:v>-10.199328859060303</c:v>
                </c:pt>
                <c:pt idx="404">
                  <c:v>-8.6778523489931807</c:v>
                </c:pt>
                <c:pt idx="405">
                  <c:v>-11.283892617449595</c:v>
                </c:pt>
                <c:pt idx="406">
                  <c:v>-10.238926174496592</c:v>
                </c:pt>
                <c:pt idx="407">
                  <c:v>-11.095973154362296</c:v>
                </c:pt>
                <c:pt idx="408">
                  <c:v>-13.100000000000056</c:v>
                </c:pt>
                <c:pt idx="409">
                  <c:v>-12.155369127516829</c:v>
                </c:pt>
                <c:pt idx="410">
                  <c:v>-12.99060402684557</c:v>
                </c:pt>
                <c:pt idx="411">
                  <c:v>-12.598657718120783</c:v>
                </c:pt>
                <c:pt idx="412">
                  <c:v>-12.245637583892591</c:v>
                </c:pt>
                <c:pt idx="413">
                  <c:v>-10.137583892617444</c:v>
                </c:pt>
                <c:pt idx="414">
                  <c:v>-8.0416107382550592</c:v>
                </c:pt>
                <c:pt idx="415">
                  <c:v>-9.9959731543623747</c:v>
                </c:pt>
                <c:pt idx="416">
                  <c:v>-10.301677852349034</c:v>
                </c:pt>
                <c:pt idx="417">
                  <c:v>-11.067114093959718</c:v>
                </c:pt>
                <c:pt idx="418">
                  <c:v>-10.144295302013385</c:v>
                </c:pt>
                <c:pt idx="419">
                  <c:v>-11.574161073825556</c:v>
                </c:pt>
                <c:pt idx="420">
                  <c:v>-11.601677852348946</c:v>
                </c:pt>
                <c:pt idx="421">
                  <c:v>-13.635234899328912</c:v>
                </c:pt>
                <c:pt idx="422">
                  <c:v>-13.153691275167716</c:v>
                </c:pt>
                <c:pt idx="423">
                  <c:v>-11.493959731543601</c:v>
                </c:pt>
                <c:pt idx="424">
                  <c:v>-9.032885906040331</c:v>
                </c:pt>
                <c:pt idx="425">
                  <c:v>-10.121812080536863</c:v>
                </c:pt>
                <c:pt idx="426">
                  <c:v>-11.149664429530096</c:v>
                </c:pt>
                <c:pt idx="427">
                  <c:v>-10.751677852349067</c:v>
                </c:pt>
                <c:pt idx="428">
                  <c:v>-12.982885906040256</c:v>
                </c:pt>
                <c:pt idx="429">
                  <c:v>-13.169127516778554</c:v>
                </c:pt>
                <c:pt idx="430">
                  <c:v>-12.191610738254976</c:v>
                </c:pt>
                <c:pt idx="431">
                  <c:v>-11.547986577181216</c:v>
                </c:pt>
                <c:pt idx="432">
                  <c:v>-10.674161073825559</c:v>
                </c:pt>
                <c:pt idx="433">
                  <c:v>-8.5379194630871851</c:v>
                </c:pt>
                <c:pt idx="434">
                  <c:v>-9.373154362416134</c:v>
                </c:pt>
                <c:pt idx="435">
                  <c:v>-21.855369127516816</c:v>
                </c:pt>
                <c:pt idx="436">
                  <c:v>-12.917449664429508</c:v>
                </c:pt>
                <c:pt idx="437">
                  <c:v>-20.179194630872558</c:v>
                </c:pt>
                <c:pt idx="438">
                  <c:v>-15.437248322147656</c:v>
                </c:pt>
                <c:pt idx="439">
                  <c:v>-15.28389261744964</c:v>
                </c:pt>
                <c:pt idx="440">
                  <c:v>-12.77583892617451</c:v>
                </c:pt>
                <c:pt idx="441">
                  <c:v>-13.440604026845534</c:v>
                </c:pt>
                <c:pt idx="442">
                  <c:v>-14.280201342281931</c:v>
                </c:pt>
                <c:pt idx="443">
                  <c:v>-9.5392617449665398</c:v>
                </c:pt>
                <c:pt idx="444">
                  <c:v>-6.1651006711409968</c:v>
                </c:pt>
                <c:pt idx="445">
                  <c:v>-7.7201342281878889</c:v>
                </c:pt>
                <c:pt idx="446">
                  <c:v>-3.8590604026847442E-2</c:v>
                </c:pt>
                <c:pt idx="447">
                  <c:v>-5.2114093959731296</c:v>
                </c:pt>
                <c:pt idx="448">
                  <c:v>0.80000000000003679</c:v>
                </c:pt>
                <c:pt idx="449">
                  <c:v>-6.7359060402685103</c:v>
                </c:pt>
                <c:pt idx="450">
                  <c:v>-4.4389261744966211</c:v>
                </c:pt>
                <c:pt idx="451">
                  <c:v>-3.8593959731543501</c:v>
                </c:pt>
                <c:pt idx="452">
                  <c:v>-4.3600671140939244</c:v>
                </c:pt>
                <c:pt idx="453">
                  <c:v>-3.1338926174496322</c:v>
                </c:pt>
                <c:pt idx="454">
                  <c:v>4.1640939597314963</c:v>
                </c:pt>
                <c:pt idx="455">
                  <c:v>9.5627516778523649</c:v>
                </c:pt>
                <c:pt idx="456">
                  <c:v>0.48523489932880692</c:v>
                </c:pt>
                <c:pt idx="457">
                  <c:v>-5.6499999999999604</c:v>
                </c:pt>
                <c:pt idx="458">
                  <c:v>-5.5342281879194877</c:v>
                </c:pt>
                <c:pt idx="459">
                  <c:v>-9.4389261744966948</c:v>
                </c:pt>
                <c:pt idx="460">
                  <c:v>-6.7335570469798798</c:v>
                </c:pt>
                <c:pt idx="461">
                  <c:v>-1.3104026845637411</c:v>
                </c:pt>
                <c:pt idx="462">
                  <c:v>-4.5845637583893231</c:v>
                </c:pt>
                <c:pt idx="463">
                  <c:v>13.135234899328829</c:v>
                </c:pt>
                <c:pt idx="464">
                  <c:v>19.317449664429525</c:v>
                </c:pt>
                <c:pt idx="465">
                  <c:v>19.139932885906056</c:v>
                </c:pt>
                <c:pt idx="466">
                  <c:v>25.981879194630839</c:v>
                </c:pt>
                <c:pt idx="467">
                  <c:v>28.905033557046973</c:v>
                </c:pt>
                <c:pt idx="468">
                  <c:v>32.425503355704713</c:v>
                </c:pt>
                <c:pt idx="469">
                  <c:v>31.47986577181204</c:v>
                </c:pt>
                <c:pt idx="470">
                  <c:v>32.869463087248292</c:v>
                </c:pt>
                <c:pt idx="471">
                  <c:v>31.459060402684521</c:v>
                </c:pt>
                <c:pt idx="472">
                  <c:v>31.077852348993311</c:v>
                </c:pt>
                <c:pt idx="473">
                  <c:v>30.446979865771731</c:v>
                </c:pt>
                <c:pt idx="474">
                  <c:v>32.270134228187878</c:v>
                </c:pt>
                <c:pt idx="475">
                  <c:v>33.136577181208104</c:v>
                </c:pt>
                <c:pt idx="476">
                  <c:v>33.635906040268424</c:v>
                </c:pt>
                <c:pt idx="477">
                  <c:v>30.664429530201375</c:v>
                </c:pt>
                <c:pt idx="478">
                  <c:v>33.511409395973054</c:v>
                </c:pt>
                <c:pt idx="479">
                  <c:v>27.581543624161029</c:v>
                </c:pt>
                <c:pt idx="480">
                  <c:v>29.84429530201345</c:v>
                </c:pt>
                <c:pt idx="481">
                  <c:v>28.618791946308715</c:v>
                </c:pt>
                <c:pt idx="482">
                  <c:v>25.964093959731578</c:v>
                </c:pt>
                <c:pt idx="483">
                  <c:v>31.789261744966517</c:v>
                </c:pt>
                <c:pt idx="484">
                  <c:v>34.602348993288608</c:v>
                </c:pt>
                <c:pt idx="485">
                  <c:v>31.433892617449626</c:v>
                </c:pt>
                <c:pt idx="486">
                  <c:v>31.605369127516784</c:v>
                </c:pt>
                <c:pt idx="487">
                  <c:v>39.418120805369135</c:v>
                </c:pt>
                <c:pt idx="488">
                  <c:v>44.268120805369129</c:v>
                </c:pt>
                <c:pt idx="489">
                  <c:v>47.330469798657695</c:v>
                </c:pt>
                <c:pt idx="490">
                  <c:v>53.008389261745073</c:v>
                </c:pt>
                <c:pt idx="491">
                  <c:v>67.59744966442959</c:v>
                </c:pt>
                <c:pt idx="492">
                  <c:v>62.130872483221466</c:v>
                </c:pt>
                <c:pt idx="493">
                  <c:v>96.961342281879226</c:v>
                </c:pt>
                <c:pt idx="494">
                  <c:v>94.62697986577173</c:v>
                </c:pt>
                <c:pt idx="495">
                  <c:v>83.26932885906038</c:v>
                </c:pt>
                <c:pt idx="496">
                  <c:v>83.034563758389226</c:v>
                </c:pt>
                <c:pt idx="497">
                  <c:v>79.779060402684692</c:v>
                </c:pt>
                <c:pt idx="498">
                  <c:v>7.1000000000000227</c:v>
                </c:pt>
                <c:pt idx="499">
                  <c:v>56.589999999999975</c:v>
                </c:pt>
                <c:pt idx="500">
                  <c:v>66.690000000000012</c:v>
                </c:pt>
                <c:pt idx="501">
                  <c:v>64.895771812080525</c:v>
                </c:pt>
                <c:pt idx="502">
                  <c:v>65.09429530201345</c:v>
                </c:pt>
                <c:pt idx="503">
                  <c:v>64.011140939597354</c:v>
                </c:pt>
                <c:pt idx="504">
                  <c:v>71.137718120805403</c:v>
                </c:pt>
                <c:pt idx="505">
                  <c:v>84.735100671140955</c:v>
                </c:pt>
                <c:pt idx="506">
                  <c:v>74.847785234899291</c:v>
                </c:pt>
                <c:pt idx="507">
                  <c:v>74.686577181208023</c:v>
                </c:pt>
                <c:pt idx="508">
                  <c:v>70.689328859060424</c:v>
                </c:pt>
                <c:pt idx="509">
                  <c:v>68.191275167785236</c:v>
                </c:pt>
                <c:pt idx="510">
                  <c:v>69.33255033557046</c:v>
                </c:pt>
                <c:pt idx="511">
                  <c:v>67.489865771811978</c:v>
                </c:pt>
                <c:pt idx="512">
                  <c:v>72.963087248322168</c:v>
                </c:pt>
                <c:pt idx="513">
                  <c:v>72.928993288590632</c:v>
                </c:pt>
                <c:pt idx="514">
                  <c:v>76.409395973154389</c:v>
                </c:pt>
                <c:pt idx="515">
                  <c:v>79.90295302013422</c:v>
                </c:pt>
                <c:pt idx="516">
                  <c:v>81.14194630872484</c:v>
                </c:pt>
                <c:pt idx="517">
                  <c:v>81.602013422818757</c:v>
                </c:pt>
                <c:pt idx="518">
                  <c:v>85.87234899328854</c:v>
                </c:pt>
                <c:pt idx="519">
                  <c:v>84.735906040268461</c:v>
                </c:pt>
                <c:pt idx="520">
                  <c:v>90.930201342281919</c:v>
                </c:pt>
                <c:pt idx="521">
                  <c:v>106.16543624161076</c:v>
                </c:pt>
                <c:pt idx="522">
                  <c:v>104.30067114093964</c:v>
                </c:pt>
                <c:pt idx="523">
                  <c:v>111.44328859060408</c:v>
                </c:pt>
                <c:pt idx="524">
                  <c:v>108.53758389261739</c:v>
                </c:pt>
                <c:pt idx="525">
                  <c:v>118.010067114094</c:v>
                </c:pt>
                <c:pt idx="526">
                  <c:v>117.67885906040269</c:v>
                </c:pt>
                <c:pt idx="527">
                  <c:v>124.26510067114094</c:v>
                </c:pt>
                <c:pt idx="528">
                  <c:v>134.7859060402684</c:v>
                </c:pt>
                <c:pt idx="529">
                  <c:v>142.5255033557047</c:v>
                </c:pt>
                <c:pt idx="530">
                  <c:v>137.93724832214764</c:v>
                </c:pt>
                <c:pt idx="531">
                  <c:v>135.8469798657718</c:v>
                </c:pt>
                <c:pt idx="532">
                  <c:v>134.66140939597312</c:v>
                </c:pt>
                <c:pt idx="533">
                  <c:v>132.0265100671142</c:v>
                </c:pt>
                <c:pt idx="534">
                  <c:v>118.5060402684563</c:v>
                </c:pt>
                <c:pt idx="535">
                  <c:v>113.45604026845632</c:v>
                </c:pt>
                <c:pt idx="536">
                  <c:v>124.50000000000003</c:v>
                </c:pt>
                <c:pt idx="537">
                  <c:v>118.04999999999995</c:v>
                </c:pt>
                <c:pt idx="538">
                  <c:v>121.39999999999991</c:v>
                </c:pt>
                <c:pt idx="539">
                  <c:v>130.34999999999997</c:v>
                </c:pt>
                <c:pt idx="540">
                  <c:v>135.10000000000002</c:v>
                </c:pt>
                <c:pt idx="541">
                  <c:v>133.5</c:v>
                </c:pt>
                <c:pt idx="542">
                  <c:v>138.55000000000007</c:v>
                </c:pt>
                <c:pt idx="543">
                  <c:v>138.54999999999998</c:v>
                </c:pt>
                <c:pt idx="544">
                  <c:v>134.20000000000007</c:v>
                </c:pt>
                <c:pt idx="545">
                  <c:v>134.69999999999996</c:v>
                </c:pt>
                <c:pt idx="546">
                  <c:v>133.25000000000003</c:v>
                </c:pt>
                <c:pt idx="547">
                  <c:v>130.54999999999998</c:v>
                </c:pt>
                <c:pt idx="548">
                  <c:v>133.14999999999995</c:v>
                </c:pt>
                <c:pt idx="549">
                  <c:v>135.5</c:v>
                </c:pt>
                <c:pt idx="550">
                  <c:v>135.85000000000008</c:v>
                </c:pt>
                <c:pt idx="551">
                  <c:v>135.69999999999999</c:v>
                </c:pt>
                <c:pt idx="552">
                  <c:v>133.89999999999998</c:v>
                </c:pt>
                <c:pt idx="553">
                  <c:v>134.50000000000003</c:v>
                </c:pt>
                <c:pt idx="554">
                  <c:v>134.65000000000003</c:v>
                </c:pt>
                <c:pt idx="555">
                  <c:v>136.9</c:v>
                </c:pt>
                <c:pt idx="556">
                  <c:v>134.4</c:v>
                </c:pt>
                <c:pt idx="557">
                  <c:v>137.29999999999998</c:v>
                </c:pt>
                <c:pt idx="558">
                  <c:v>133.69999999999999</c:v>
                </c:pt>
                <c:pt idx="559">
                  <c:v>134.00000000000003</c:v>
                </c:pt>
                <c:pt idx="560">
                  <c:v>131.79999999999998</c:v>
                </c:pt>
                <c:pt idx="561">
                  <c:v>128.99999999999994</c:v>
                </c:pt>
                <c:pt idx="562">
                  <c:v>131.80000000000004</c:v>
                </c:pt>
                <c:pt idx="563">
                  <c:v>130.19999999999996</c:v>
                </c:pt>
                <c:pt idx="564">
                  <c:v>132.30000000000007</c:v>
                </c:pt>
                <c:pt idx="565">
                  <c:v>128.04999999999998</c:v>
                </c:pt>
                <c:pt idx="566">
                  <c:v>125.04999999999995</c:v>
                </c:pt>
                <c:pt idx="567">
                  <c:v>122.05000000000007</c:v>
                </c:pt>
                <c:pt idx="568">
                  <c:v>118.80000000000001</c:v>
                </c:pt>
                <c:pt idx="569">
                  <c:v>124.70000000000002</c:v>
                </c:pt>
                <c:pt idx="570">
                  <c:v>128.59999999999997</c:v>
                </c:pt>
                <c:pt idx="571">
                  <c:v>124.09999999999998</c:v>
                </c:pt>
                <c:pt idx="572">
                  <c:v>126.60000000000005</c:v>
                </c:pt>
                <c:pt idx="573">
                  <c:v>125.59999999999995</c:v>
                </c:pt>
                <c:pt idx="574">
                  <c:v>126.40000000000005</c:v>
                </c:pt>
                <c:pt idx="575">
                  <c:v>126.50000000000001</c:v>
                </c:pt>
                <c:pt idx="576">
                  <c:v>118.59999999999995</c:v>
                </c:pt>
                <c:pt idx="577">
                  <c:v>120.10000000000007</c:v>
                </c:pt>
                <c:pt idx="578">
                  <c:v>122.29999999999998</c:v>
                </c:pt>
                <c:pt idx="579">
                  <c:v>121</c:v>
                </c:pt>
                <c:pt idx="580">
                  <c:v>123.30000000000008</c:v>
                </c:pt>
                <c:pt idx="581">
                  <c:v>124.00000000000001</c:v>
                </c:pt>
                <c:pt idx="582">
                  <c:v>125.34999999999998</c:v>
                </c:pt>
                <c:pt idx="583">
                  <c:v>126.50000000000001</c:v>
                </c:pt>
                <c:pt idx="584">
                  <c:v>129.4</c:v>
                </c:pt>
                <c:pt idx="585">
                  <c:v>131.95000000000005</c:v>
                </c:pt>
                <c:pt idx="586">
                  <c:v>133.69999999999993</c:v>
                </c:pt>
                <c:pt idx="587">
                  <c:v>135.49999999999991</c:v>
                </c:pt>
                <c:pt idx="588">
                  <c:v>133.65</c:v>
                </c:pt>
                <c:pt idx="589">
                  <c:v>135.25000000000003</c:v>
                </c:pt>
                <c:pt idx="590">
                  <c:v>134.99999999999997</c:v>
                </c:pt>
                <c:pt idx="591">
                  <c:v>134.75000000000009</c:v>
                </c:pt>
                <c:pt idx="592">
                  <c:v>136.95000000000005</c:v>
                </c:pt>
                <c:pt idx="593">
                  <c:v>135.94999999999996</c:v>
                </c:pt>
                <c:pt idx="594">
                  <c:v>132.44999999999999</c:v>
                </c:pt>
                <c:pt idx="595">
                  <c:v>128.94999999999996</c:v>
                </c:pt>
                <c:pt idx="596">
                  <c:v>129.45000000000005</c:v>
                </c:pt>
                <c:pt idx="597">
                  <c:v>125.9699999999999</c:v>
                </c:pt>
                <c:pt idx="598">
                  <c:v>116.10000000000002</c:v>
                </c:pt>
                <c:pt idx="599">
                  <c:v>120.19999999999996</c:v>
                </c:pt>
                <c:pt idx="600">
                  <c:v>120.74999999999996</c:v>
                </c:pt>
                <c:pt idx="601">
                  <c:v>118.45000000000002</c:v>
                </c:pt>
                <c:pt idx="602">
                  <c:v>117.79999999999998</c:v>
                </c:pt>
                <c:pt idx="603">
                  <c:v>116.80000000000003</c:v>
                </c:pt>
                <c:pt idx="604">
                  <c:v>116.90000000000006</c:v>
                </c:pt>
                <c:pt idx="605">
                  <c:v>122.00000000000003</c:v>
                </c:pt>
                <c:pt idx="606">
                  <c:v>117.84999999999997</c:v>
                </c:pt>
                <c:pt idx="607">
                  <c:v>114.9</c:v>
                </c:pt>
                <c:pt idx="608">
                  <c:v>114.55</c:v>
                </c:pt>
                <c:pt idx="609">
                  <c:v>117.85000000000004</c:v>
                </c:pt>
                <c:pt idx="610">
                  <c:v>116.5</c:v>
                </c:pt>
                <c:pt idx="611">
                  <c:v>116.85000000000001</c:v>
                </c:pt>
                <c:pt idx="612">
                  <c:v>111.45000000000009</c:v>
                </c:pt>
                <c:pt idx="613">
                  <c:v>113.19999999999996</c:v>
                </c:pt>
                <c:pt idx="614">
                  <c:v>109.22000000000001</c:v>
                </c:pt>
                <c:pt idx="615">
                  <c:v>113.20000000000003</c:v>
                </c:pt>
                <c:pt idx="616">
                  <c:v>113.80000000000001</c:v>
                </c:pt>
                <c:pt idx="617">
                  <c:v>115.84999999999998</c:v>
                </c:pt>
                <c:pt idx="618">
                  <c:v>113.39999999999996</c:v>
                </c:pt>
                <c:pt idx="619">
                  <c:v>114.9</c:v>
                </c:pt>
                <c:pt idx="620">
                  <c:v>114.06999999999994</c:v>
                </c:pt>
                <c:pt idx="621">
                  <c:v>111.99999999999994</c:v>
                </c:pt>
                <c:pt idx="622">
                  <c:v>107.25000000000006</c:v>
                </c:pt>
                <c:pt idx="623">
                  <c:v>102.64999999999996</c:v>
                </c:pt>
                <c:pt idx="624">
                  <c:v>93.299999999999983</c:v>
                </c:pt>
                <c:pt idx="625">
                  <c:v>90.399999999999991</c:v>
                </c:pt>
                <c:pt idx="626">
                  <c:v>89.599999999999952</c:v>
                </c:pt>
                <c:pt idx="627">
                  <c:v>88.350000000000023</c:v>
                </c:pt>
                <c:pt idx="628">
                  <c:v>80.44999999999996</c:v>
                </c:pt>
                <c:pt idx="629">
                  <c:v>79.45</c:v>
                </c:pt>
                <c:pt idx="630">
                  <c:v>78.799999999999983</c:v>
                </c:pt>
                <c:pt idx="631">
                  <c:v>79.600000000000023</c:v>
                </c:pt>
                <c:pt idx="632">
                  <c:v>75.400000000000048</c:v>
                </c:pt>
                <c:pt idx="633">
                  <c:v>74.499999999999986</c:v>
                </c:pt>
                <c:pt idx="634">
                  <c:v>78.299999999999969</c:v>
                </c:pt>
                <c:pt idx="635">
                  <c:v>78.649999999999963</c:v>
                </c:pt>
                <c:pt idx="636">
                  <c:v>76.199999999999946</c:v>
                </c:pt>
                <c:pt idx="637">
                  <c:v>76.400000000000006</c:v>
                </c:pt>
                <c:pt idx="638">
                  <c:v>76.000000000000028</c:v>
                </c:pt>
                <c:pt idx="639">
                  <c:v>71.899999999999949</c:v>
                </c:pt>
                <c:pt idx="640">
                  <c:v>73.550000000000011</c:v>
                </c:pt>
                <c:pt idx="641">
                  <c:v>75.500000000000014</c:v>
                </c:pt>
                <c:pt idx="642">
                  <c:v>73.550000000000011</c:v>
                </c:pt>
                <c:pt idx="643">
                  <c:v>72.249999999999957</c:v>
                </c:pt>
                <c:pt idx="644">
                  <c:v>73.62</c:v>
                </c:pt>
                <c:pt idx="645">
                  <c:v>76.349999999999966</c:v>
                </c:pt>
                <c:pt idx="646">
                  <c:v>68.449999999999974</c:v>
                </c:pt>
                <c:pt idx="647">
                  <c:v>70.5</c:v>
                </c:pt>
                <c:pt idx="648">
                  <c:v>69.699999999999903</c:v>
                </c:pt>
                <c:pt idx="649">
                  <c:v>69.250000000000071</c:v>
                </c:pt>
                <c:pt idx="650">
                  <c:v>67.600000000000023</c:v>
                </c:pt>
                <c:pt idx="651">
                  <c:v>65.750000000000043</c:v>
                </c:pt>
                <c:pt idx="652">
                  <c:v>66.420000000000016</c:v>
                </c:pt>
                <c:pt idx="653">
                  <c:v>64.949999999999932</c:v>
                </c:pt>
                <c:pt idx="654">
                  <c:v>66.000000000000085</c:v>
                </c:pt>
                <c:pt idx="655">
                  <c:v>65.250000000000028</c:v>
                </c:pt>
                <c:pt idx="656">
                  <c:v>63</c:v>
                </c:pt>
                <c:pt idx="657">
                  <c:v>55.049999999999962</c:v>
                </c:pt>
                <c:pt idx="658">
                  <c:v>56.000000000000007</c:v>
                </c:pt>
                <c:pt idx="659">
                  <c:v>50.299999999999926</c:v>
                </c:pt>
                <c:pt idx="660">
                  <c:v>48.550000000000054</c:v>
                </c:pt>
                <c:pt idx="661">
                  <c:v>45.499999999999986</c:v>
                </c:pt>
                <c:pt idx="662">
                  <c:v>46.500000000000014</c:v>
                </c:pt>
                <c:pt idx="663">
                  <c:v>44.600000000000058</c:v>
                </c:pt>
                <c:pt idx="664">
                  <c:v>41.899999999999991</c:v>
                </c:pt>
                <c:pt idx="665">
                  <c:v>40.900000000000034</c:v>
                </c:pt>
                <c:pt idx="666">
                  <c:v>42.500000000000036</c:v>
                </c:pt>
                <c:pt idx="667">
                  <c:v>41.949999999999974</c:v>
                </c:pt>
                <c:pt idx="668">
                  <c:v>46.600000000000044</c:v>
                </c:pt>
                <c:pt idx="669">
                  <c:v>49.100000000000044</c:v>
                </c:pt>
                <c:pt idx="670">
                  <c:v>51.070000000000007</c:v>
                </c:pt>
                <c:pt idx="671">
                  <c:v>53.500000000000007</c:v>
                </c:pt>
                <c:pt idx="672">
                  <c:v>55.999999999999936</c:v>
                </c:pt>
                <c:pt idx="673">
                  <c:v>57.550000000000033</c:v>
                </c:pt>
                <c:pt idx="674">
                  <c:v>59.850000000000044</c:v>
                </c:pt>
                <c:pt idx="675">
                  <c:v>58.249999999999972</c:v>
                </c:pt>
                <c:pt idx="676">
                  <c:v>61.099999999999973</c:v>
                </c:pt>
                <c:pt idx="677">
                  <c:v>61.199999999999932</c:v>
                </c:pt>
                <c:pt idx="678">
                  <c:v>62.149999999999984</c:v>
                </c:pt>
                <c:pt idx="679">
                  <c:v>61.4</c:v>
                </c:pt>
                <c:pt idx="680">
                  <c:v>65.65000000000002</c:v>
                </c:pt>
                <c:pt idx="681">
                  <c:v>64.499999999999972</c:v>
                </c:pt>
                <c:pt idx="682">
                  <c:v>62.200000000000031</c:v>
                </c:pt>
                <c:pt idx="683">
                  <c:v>58.150000000000006</c:v>
                </c:pt>
                <c:pt idx="684">
                  <c:v>60.349999999999987</c:v>
                </c:pt>
                <c:pt idx="685">
                  <c:v>56.25000000000005</c:v>
                </c:pt>
                <c:pt idx="686">
                  <c:v>51.000000000000071</c:v>
                </c:pt>
                <c:pt idx="687">
                  <c:v>48.300000000000011</c:v>
                </c:pt>
                <c:pt idx="688">
                  <c:v>48.100000000000016</c:v>
                </c:pt>
                <c:pt idx="689">
                  <c:v>50.300000000000068</c:v>
                </c:pt>
                <c:pt idx="690">
                  <c:v>46.7</c:v>
                </c:pt>
                <c:pt idx="691">
                  <c:v>46.300000000000018</c:v>
                </c:pt>
                <c:pt idx="692">
                  <c:v>44.099999999999973</c:v>
                </c:pt>
                <c:pt idx="693">
                  <c:v>40.999999999999929</c:v>
                </c:pt>
                <c:pt idx="694">
                  <c:v>34.600000000000044</c:v>
                </c:pt>
                <c:pt idx="695">
                  <c:v>30.09999999999992</c:v>
                </c:pt>
                <c:pt idx="696">
                  <c:v>30.050000000000008</c:v>
                </c:pt>
                <c:pt idx="697">
                  <c:v>29.850000000000016</c:v>
                </c:pt>
                <c:pt idx="698">
                  <c:v>32.299999999999969</c:v>
                </c:pt>
                <c:pt idx="699">
                  <c:v>31.749999999999972</c:v>
                </c:pt>
                <c:pt idx="700">
                  <c:v>30.19999999999995</c:v>
                </c:pt>
                <c:pt idx="701">
                  <c:v>34.550000000000068</c:v>
                </c:pt>
                <c:pt idx="702">
                  <c:v>37.949999999999996</c:v>
                </c:pt>
                <c:pt idx="703">
                  <c:v>41.150000000000006</c:v>
                </c:pt>
                <c:pt idx="704">
                  <c:v>37.800000000000054</c:v>
                </c:pt>
                <c:pt idx="705">
                  <c:v>36.899999999999991</c:v>
                </c:pt>
                <c:pt idx="706">
                  <c:v>38.099999999999937</c:v>
                </c:pt>
                <c:pt idx="707">
                  <c:v>39.300000000000033</c:v>
                </c:pt>
                <c:pt idx="708">
                  <c:v>38.350000000000051</c:v>
                </c:pt>
                <c:pt idx="709">
                  <c:v>38.34999999999998</c:v>
                </c:pt>
                <c:pt idx="710">
                  <c:v>40.600000000000009</c:v>
                </c:pt>
                <c:pt idx="711">
                  <c:v>39.70000000000001</c:v>
                </c:pt>
                <c:pt idx="712">
                  <c:v>40.19999999999996</c:v>
                </c:pt>
                <c:pt idx="713">
                  <c:v>37.750000000000007</c:v>
                </c:pt>
                <c:pt idx="714">
                  <c:v>38.099999999999937</c:v>
                </c:pt>
                <c:pt idx="715">
                  <c:v>35.899999999999963</c:v>
                </c:pt>
                <c:pt idx="716">
                  <c:v>31.70000000000006</c:v>
                </c:pt>
                <c:pt idx="717">
                  <c:v>32.75</c:v>
                </c:pt>
                <c:pt idx="718">
                  <c:v>32.099999999999973</c:v>
                </c:pt>
                <c:pt idx="719">
                  <c:v>32.869999999999983</c:v>
                </c:pt>
                <c:pt idx="720">
                  <c:v>31.850000000000005</c:v>
                </c:pt>
                <c:pt idx="721">
                  <c:v>29.750000000000053</c:v>
                </c:pt>
                <c:pt idx="722">
                  <c:v>30.999999999999986</c:v>
                </c:pt>
                <c:pt idx="723">
                  <c:v>31.199999999999978</c:v>
                </c:pt>
                <c:pt idx="724">
                  <c:v>30.950000000000006</c:v>
                </c:pt>
                <c:pt idx="725">
                  <c:v>28.049999999999951</c:v>
                </c:pt>
                <c:pt idx="726">
                  <c:v>29.700000000000074</c:v>
                </c:pt>
                <c:pt idx="727">
                  <c:v>28.149999999999981</c:v>
                </c:pt>
                <c:pt idx="728">
                  <c:v>27.949999999999989</c:v>
                </c:pt>
                <c:pt idx="729">
                  <c:v>27.799999999999976</c:v>
                </c:pt>
                <c:pt idx="730">
                  <c:v>26.149999999999991</c:v>
                </c:pt>
                <c:pt idx="731">
                  <c:v>28.250000000000011</c:v>
                </c:pt>
                <c:pt idx="732">
                  <c:v>25.700000000000028</c:v>
                </c:pt>
                <c:pt idx="733">
                  <c:v>26.94999999999996</c:v>
                </c:pt>
                <c:pt idx="734">
                  <c:v>31.899999999999984</c:v>
                </c:pt>
                <c:pt idx="735">
                  <c:v>30.6</c:v>
                </c:pt>
                <c:pt idx="736">
                  <c:v>31.799999999999955</c:v>
                </c:pt>
                <c:pt idx="737">
                  <c:v>32.049999999999997</c:v>
                </c:pt>
                <c:pt idx="738">
                  <c:v>37.400000000000006</c:v>
                </c:pt>
                <c:pt idx="739">
                  <c:v>37.050000000000068</c:v>
                </c:pt>
                <c:pt idx="740">
                  <c:v>36.349999999999994</c:v>
                </c:pt>
                <c:pt idx="741">
                  <c:v>38.699999999999982</c:v>
                </c:pt>
                <c:pt idx="742">
                  <c:v>44.2</c:v>
                </c:pt>
                <c:pt idx="743">
                  <c:v>42.850000000000044</c:v>
                </c:pt>
                <c:pt idx="744">
                  <c:v>41.149999999999935</c:v>
                </c:pt>
                <c:pt idx="745">
                  <c:v>41.249999999999964</c:v>
                </c:pt>
                <c:pt idx="746">
                  <c:v>39.920000000000023</c:v>
                </c:pt>
                <c:pt idx="747">
                  <c:v>40.949999999999946</c:v>
                </c:pt>
                <c:pt idx="748">
                  <c:v>41.600000000000037</c:v>
                </c:pt>
                <c:pt idx="749">
                  <c:v>43.00000000000005</c:v>
                </c:pt>
                <c:pt idx="750">
                  <c:v>43.650000000000077</c:v>
                </c:pt>
                <c:pt idx="751">
                  <c:v>48.5</c:v>
                </c:pt>
                <c:pt idx="752">
                  <c:v>46.599999999999973</c:v>
                </c:pt>
                <c:pt idx="753">
                  <c:v>46.10000000000003</c:v>
                </c:pt>
                <c:pt idx="754">
                  <c:v>44.849999999999959</c:v>
                </c:pt>
                <c:pt idx="755">
                  <c:v>45.500000000000057</c:v>
                </c:pt>
                <c:pt idx="756">
                  <c:v>43.650000000000077</c:v>
                </c:pt>
                <c:pt idx="757">
                  <c:v>44.500000000000028</c:v>
                </c:pt>
                <c:pt idx="758">
                  <c:v>44.199999999999932</c:v>
                </c:pt>
                <c:pt idx="759">
                  <c:v>44.100000000000044</c:v>
                </c:pt>
                <c:pt idx="760">
                  <c:v>45.149999999999984</c:v>
                </c:pt>
                <c:pt idx="761">
                  <c:v>43.400000000000034</c:v>
                </c:pt>
                <c:pt idx="762">
                  <c:v>43.999999999999943</c:v>
                </c:pt>
                <c:pt idx="763">
                  <c:v>44.949999999999989</c:v>
                </c:pt>
                <c:pt idx="764">
                  <c:v>42.95</c:v>
                </c:pt>
                <c:pt idx="765">
                  <c:v>43.399999999999963</c:v>
                </c:pt>
                <c:pt idx="766">
                  <c:v>45.399999999999956</c:v>
                </c:pt>
                <c:pt idx="767">
                  <c:v>40.84999999999998</c:v>
                </c:pt>
                <c:pt idx="768">
                  <c:v>40.649999999999991</c:v>
                </c:pt>
                <c:pt idx="769">
                  <c:v>41.850000000000016</c:v>
                </c:pt>
                <c:pt idx="770">
                  <c:v>42.750000000000007</c:v>
                </c:pt>
                <c:pt idx="771">
                  <c:v>43.149999999999928</c:v>
                </c:pt>
                <c:pt idx="772">
                  <c:v>44.04999999999999</c:v>
                </c:pt>
                <c:pt idx="773">
                  <c:v>46.169999999999959</c:v>
                </c:pt>
                <c:pt idx="774">
                  <c:v>46.7</c:v>
                </c:pt>
                <c:pt idx="775">
                  <c:v>47.150000000000041</c:v>
                </c:pt>
                <c:pt idx="776">
                  <c:v>47.8</c:v>
                </c:pt>
                <c:pt idx="777">
                  <c:v>51.80000000000004</c:v>
                </c:pt>
                <c:pt idx="778">
                  <c:v>52.200000000000024</c:v>
                </c:pt>
                <c:pt idx="779">
                  <c:v>69.368857142857181</c:v>
                </c:pt>
                <c:pt idx="780">
                  <c:v>70.232857142857114</c:v>
                </c:pt>
                <c:pt idx="781">
                  <c:v>73.075142857142865</c:v>
                </c:pt>
                <c:pt idx="782">
                  <c:v>70.003999999999962</c:v>
                </c:pt>
                <c:pt idx="783">
                  <c:v>69.19999999999996</c:v>
                </c:pt>
                <c:pt idx="784">
                  <c:v>69.300000000000054</c:v>
                </c:pt>
                <c:pt idx="785">
                  <c:v>72.500000000000071</c:v>
                </c:pt>
                <c:pt idx="786">
                  <c:v>72.149999999999991</c:v>
                </c:pt>
                <c:pt idx="787">
                  <c:v>70.949999999999974</c:v>
                </c:pt>
                <c:pt idx="788">
                  <c:v>70.899999999999991</c:v>
                </c:pt>
                <c:pt idx="789">
                  <c:v>70.169999999999959</c:v>
                </c:pt>
                <c:pt idx="790">
                  <c:v>73.650000000000034</c:v>
                </c:pt>
                <c:pt idx="791">
                  <c:v>78.15000000000002</c:v>
                </c:pt>
                <c:pt idx="792">
                  <c:v>76.649999999999977</c:v>
                </c:pt>
                <c:pt idx="793">
                  <c:v>72.899999999999977</c:v>
                </c:pt>
                <c:pt idx="794">
                  <c:v>67.000000000000043</c:v>
                </c:pt>
                <c:pt idx="795">
                  <c:v>67.200000000000031</c:v>
                </c:pt>
                <c:pt idx="796">
                  <c:v>69.070000000000036</c:v>
                </c:pt>
                <c:pt idx="797">
                  <c:v>70.399999999999977</c:v>
                </c:pt>
                <c:pt idx="798">
                  <c:v>70.150000000000006</c:v>
                </c:pt>
                <c:pt idx="799">
                  <c:v>68.900000000000006</c:v>
                </c:pt>
                <c:pt idx="800">
                  <c:v>69.599999999999937</c:v>
                </c:pt>
                <c:pt idx="801">
                  <c:v>65.400000000000048</c:v>
                </c:pt>
                <c:pt idx="802">
                  <c:v>64.169999999999987</c:v>
                </c:pt>
                <c:pt idx="803">
                  <c:v>63.300000000000026</c:v>
                </c:pt>
                <c:pt idx="804">
                  <c:v>63.049999999999983</c:v>
                </c:pt>
                <c:pt idx="805">
                  <c:v>61.269999999999939</c:v>
                </c:pt>
                <c:pt idx="806">
                  <c:v>60.5</c:v>
                </c:pt>
                <c:pt idx="807">
                  <c:v>57.149999999999977</c:v>
                </c:pt>
                <c:pt idx="808">
                  <c:v>56.050000000000061</c:v>
                </c:pt>
                <c:pt idx="809">
                  <c:v>57.069999999999965</c:v>
                </c:pt>
                <c:pt idx="810">
                  <c:v>56.2</c:v>
                </c:pt>
                <c:pt idx="811">
                  <c:v>59.220000000000034</c:v>
                </c:pt>
                <c:pt idx="812">
                  <c:v>58.800000000000033</c:v>
                </c:pt>
                <c:pt idx="813">
                  <c:v>64.999999999999986</c:v>
                </c:pt>
                <c:pt idx="814">
                  <c:v>60.549999999999912</c:v>
                </c:pt>
                <c:pt idx="815">
                  <c:v>60.750000000000043</c:v>
                </c:pt>
                <c:pt idx="816">
                  <c:v>59.400000000000006</c:v>
                </c:pt>
                <c:pt idx="817">
                  <c:v>59.6</c:v>
                </c:pt>
                <c:pt idx="818">
                  <c:v>60.650000000000013</c:v>
                </c:pt>
                <c:pt idx="819">
                  <c:v>62.499999999999986</c:v>
                </c:pt>
                <c:pt idx="820">
                  <c:v>62.850000000000058</c:v>
                </c:pt>
                <c:pt idx="821">
                  <c:v>64.449999999999989</c:v>
                </c:pt>
                <c:pt idx="822">
                  <c:v>65.349999999999994</c:v>
                </c:pt>
                <c:pt idx="823">
                  <c:v>64.800000000000068</c:v>
                </c:pt>
                <c:pt idx="824">
                  <c:v>64.550000000000026</c:v>
                </c:pt>
                <c:pt idx="825">
                  <c:v>63.669999999999973</c:v>
                </c:pt>
                <c:pt idx="826">
                  <c:v>65.61999999999999</c:v>
                </c:pt>
                <c:pt idx="827">
                  <c:v>65.199999999999974</c:v>
                </c:pt>
                <c:pt idx="828">
                  <c:v>64.900000000000034</c:v>
                </c:pt>
                <c:pt idx="829">
                  <c:v>63.62</c:v>
                </c:pt>
                <c:pt idx="830">
                  <c:v>63.570000000000014</c:v>
                </c:pt>
                <c:pt idx="831">
                  <c:v>62.900000000000041</c:v>
                </c:pt>
                <c:pt idx="832">
                  <c:v>64.920000000000044</c:v>
                </c:pt>
                <c:pt idx="833">
                  <c:v>65.000000000000057</c:v>
                </c:pt>
                <c:pt idx="834">
                  <c:v>63.55</c:v>
                </c:pt>
                <c:pt idx="835">
                  <c:v>61.650000000000041</c:v>
                </c:pt>
                <c:pt idx="836">
                  <c:v>60.550000000000047</c:v>
                </c:pt>
                <c:pt idx="837">
                  <c:v>62.65</c:v>
                </c:pt>
                <c:pt idx="838">
                  <c:v>62.800000000000011</c:v>
                </c:pt>
                <c:pt idx="839">
                  <c:v>61.550000000000004</c:v>
                </c:pt>
                <c:pt idx="840">
                  <c:v>61.499999999999957</c:v>
                </c:pt>
                <c:pt idx="841">
                  <c:v>62.149999999999913</c:v>
                </c:pt>
                <c:pt idx="842">
                  <c:v>64.84999999999998</c:v>
                </c:pt>
                <c:pt idx="843">
                  <c:v>67.620000000000047</c:v>
                </c:pt>
                <c:pt idx="844">
                  <c:v>74.250000000000014</c:v>
                </c:pt>
                <c:pt idx="845">
                  <c:v>78.319999999999993</c:v>
                </c:pt>
                <c:pt idx="846">
                  <c:v>86.620000000000033</c:v>
                </c:pt>
                <c:pt idx="847">
                  <c:v>88.30000000000004</c:v>
                </c:pt>
                <c:pt idx="848">
                  <c:v>81.349999999999966</c:v>
                </c:pt>
                <c:pt idx="849">
                  <c:v>77.320000000000022</c:v>
                </c:pt>
                <c:pt idx="850">
                  <c:v>76.769999999999968</c:v>
                </c:pt>
                <c:pt idx="851">
                  <c:v>74.79999999999994</c:v>
                </c:pt>
                <c:pt idx="852">
                  <c:v>81.950000000000045</c:v>
                </c:pt>
                <c:pt idx="853">
                  <c:v>89.57</c:v>
                </c:pt>
                <c:pt idx="854">
                  <c:v>100.04999999999997</c:v>
                </c:pt>
                <c:pt idx="855">
                  <c:v>72.67000000000003</c:v>
                </c:pt>
                <c:pt idx="856">
                  <c:v>66.100000000000051</c:v>
                </c:pt>
                <c:pt idx="857">
                  <c:v>66.12</c:v>
                </c:pt>
                <c:pt idx="858">
                  <c:v>64.64999999999992</c:v>
                </c:pt>
                <c:pt idx="859">
                  <c:v>68.150000000000048</c:v>
                </c:pt>
                <c:pt idx="860">
                  <c:v>66.899999999999949</c:v>
                </c:pt>
                <c:pt idx="861">
                  <c:v>70.049999999999969</c:v>
                </c:pt>
                <c:pt idx="862">
                  <c:v>64.269999999999982</c:v>
                </c:pt>
                <c:pt idx="863">
                  <c:v>67.649999999999963</c:v>
                </c:pt>
                <c:pt idx="864">
                  <c:v>71.599999999999994</c:v>
                </c:pt>
                <c:pt idx="865">
                  <c:v>72.650000000000006</c:v>
                </c:pt>
                <c:pt idx="866">
                  <c:v>75.920000000000044</c:v>
                </c:pt>
                <c:pt idx="867">
                  <c:v>78.299999999999969</c:v>
                </c:pt>
                <c:pt idx="868">
                  <c:v>79.120000000000061</c:v>
                </c:pt>
                <c:pt idx="869">
                  <c:v>85.919999999999987</c:v>
                </c:pt>
                <c:pt idx="870">
                  <c:v>82.050000000000011</c:v>
                </c:pt>
                <c:pt idx="871">
                  <c:v>88.119999999999976</c:v>
                </c:pt>
                <c:pt idx="872">
                  <c:v>89.75</c:v>
                </c:pt>
                <c:pt idx="873">
                  <c:v>86.350000000000037</c:v>
                </c:pt>
                <c:pt idx="874">
                  <c:v>90.92000000000003</c:v>
                </c:pt>
                <c:pt idx="875">
                  <c:v>92.799999999999969</c:v>
                </c:pt>
                <c:pt idx="876">
                  <c:v>100.10000000000001</c:v>
                </c:pt>
                <c:pt idx="877">
                  <c:v>97.649999999999991</c:v>
                </c:pt>
                <c:pt idx="878">
                  <c:v>91.349999999999966</c:v>
                </c:pt>
                <c:pt idx="879">
                  <c:v>93.69999999999996</c:v>
                </c:pt>
                <c:pt idx="880">
                  <c:v>95.619999999999976</c:v>
                </c:pt>
                <c:pt idx="881">
                  <c:v>88.67</c:v>
                </c:pt>
                <c:pt idx="882">
                  <c:v>91.149999999999977</c:v>
                </c:pt>
                <c:pt idx="883">
                  <c:v>89.249999999999986</c:v>
                </c:pt>
                <c:pt idx="884">
                  <c:v>90.099999999999966</c:v>
                </c:pt>
                <c:pt idx="885">
                  <c:v>84.120000000000033</c:v>
                </c:pt>
                <c:pt idx="886">
                  <c:v>88.25</c:v>
                </c:pt>
                <c:pt idx="887">
                  <c:v>89.549999999999983</c:v>
                </c:pt>
                <c:pt idx="888">
                  <c:v>92.349999999999937</c:v>
                </c:pt>
                <c:pt idx="889">
                  <c:v>93.299999999999983</c:v>
                </c:pt>
                <c:pt idx="890">
                  <c:v>98.500000000000014</c:v>
                </c:pt>
                <c:pt idx="891">
                  <c:v>105.19999999999997</c:v>
                </c:pt>
                <c:pt idx="892">
                  <c:v>101.55000000000001</c:v>
                </c:pt>
                <c:pt idx="893">
                  <c:v>101.44999999999997</c:v>
                </c:pt>
                <c:pt idx="894">
                  <c:v>101.70000000000006</c:v>
                </c:pt>
                <c:pt idx="895">
                  <c:v>99.90000000000002</c:v>
                </c:pt>
                <c:pt idx="896">
                  <c:v>100.04999999999997</c:v>
                </c:pt>
                <c:pt idx="897">
                  <c:v>98.899999999999963</c:v>
                </c:pt>
                <c:pt idx="898">
                  <c:v>96.399999999999963</c:v>
                </c:pt>
                <c:pt idx="899">
                  <c:v>98.1</c:v>
                </c:pt>
                <c:pt idx="900">
                  <c:v>100.67</c:v>
                </c:pt>
                <c:pt idx="901">
                  <c:v>101.50000000000003</c:v>
                </c:pt>
                <c:pt idx="902">
                  <c:v>103.04999999999998</c:v>
                </c:pt>
                <c:pt idx="903">
                  <c:v>100.19999999999997</c:v>
                </c:pt>
                <c:pt idx="904">
                  <c:v>101.76999999999998</c:v>
                </c:pt>
                <c:pt idx="905">
                  <c:v>104.04999999999998</c:v>
                </c:pt>
                <c:pt idx="906">
                  <c:v>107.37</c:v>
                </c:pt>
                <c:pt idx="907">
                  <c:v>102.97</c:v>
                </c:pt>
                <c:pt idx="908">
                  <c:v>103.86999999999998</c:v>
                </c:pt>
                <c:pt idx="909">
                  <c:v>101.09999999999994</c:v>
                </c:pt>
                <c:pt idx="910">
                  <c:v>95.599999999999952</c:v>
                </c:pt>
                <c:pt idx="911">
                  <c:v>89.749999999999972</c:v>
                </c:pt>
                <c:pt idx="912">
                  <c:v>87.599999999999966</c:v>
                </c:pt>
                <c:pt idx="913">
                  <c:v>89.120000000000033</c:v>
                </c:pt>
                <c:pt idx="914">
                  <c:v>88.999999999999986</c:v>
                </c:pt>
                <c:pt idx="915">
                  <c:v>84.399999999999963</c:v>
                </c:pt>
                <c:pt idx="916">
                  <c:v>83.150000000000034</c:v>
                </c:pt>
                <c:pt idx="917">
                  <c:v>83.100000000000009</c:v>
                </c:pt>
                <c:pt idx="918">
                  <c:v>82.499999999999972</c:v>
                </c:pt>
                <c:pt idx="919">
                  <c:v>87.299999999999983</c:v>
                </c:pt>
                <c:pt idx="920">
                  <c:v>87.8</c:v>
                </c:pt>
                <c:pt idx="921">
                  <c:v>87.35</c:v>
                </c:pt>
                <c:pt idx="922">
                  <c:v>93.4</c:v>
                </c:pt>
                <c:pt idx="923">
                  <c:v>96.59999999999998</c:v>
                </c:pt>
                <c:pt idx="924">
                  <c:v>102.79999999999994</c:v>
                </c:pt>
                <c:pt idx="925">
                  <c:v>108.34999999999998</c:v>
                </c:pt>
                <c:pt idx="926">
                  <c:v>106.01999999999997</c:v>
                </c:pt>
                <c:pt idx="927">
                  <c:v>102.39999999999999</c:v>
                </c:pt>
                <c:pt idx="928">
                  <c:v>105.05000000000001</c:v>
                </c:pt>
                <c:pt idx="929">
                  <c:v>108</c:v>
                </c:pt>
                <c:pt idx="930">
                  <c:v>107.85</c:v>
                </c:pt>
                <c:pt idx="931">
                  <c:v>113.72000000000004</c:v>
                </c:pt>
                <c:pt idx="932">
                  <c:v>120.50000000000001</c:v>
                </c:pt>
                <c:pt idx="933">
                  <c:v>121.29999999999995</c:v>
                </c:pt>
                <c:pt idx="934">
                  <c:v>117.75000000000001</c:v>
                </c:pt>
                <c:pt idx="935">
                  <c:v>115.42</c:v>
                </c:pt>
                <c:pt idx="936">
                  <c:v>119.2</c:v>
                </c:pt>
                <c:pt idx="937">
                  <c:v>111.69999999999999</c:v>
                </c:pt>
                <c:pt idx="938">
                  <c:v>104.46999999999998</c:v>
                </c:pt>
                <c:pt idx="939">
                  <c:v>95.800000000000011</c:v>
                </c:pt>
                <c:pt idx="940">
                  <c:v>104.49999999999997</c:v>
                </c:pt>
                <c:pt idx="941">
                  <c:v>107.85000000000002</c:v>
                </c:pt>
                <c:pt idx="942">
                  <c:v>103.55000000000007</c:v>
                </c:pt>
                <c:pt idx="943">
                  <c:v>105.50000000000004</c:v>
                </c:pt>
                <c:pt idx="944">
                  <c:v>102.02</c:v>
                </c:pt>
                <c:pt idx="945">
                  <c:v>96.100000000000037</c:v>
                </c:pt>
                <c:pt idx="946">
                  <c:v>104.69999999999996</c:v>
                </c:pt>
                <c:pt idx="947">
                  <c:v>98.120000000000047</c:v>
                </c:pt>
                <c:pt idx="948">
                  <c:v>95.149999999999963</c:v>
                </c:pt>
                <c:pt idx="949">
                  <c:v>100.41999999999999</c:v>
                </c:pt>
                <c:pt idx="950">
                  <c:v>103.61999999999996</c:v>
                </c:pt>
                <c:pt idx="951">
                  <c:v>97.249999999999943</c:v>
                </c:pt>
                <c:pt idx="952">
                  <c:v>98.600000000000009</c:v>
                </c:pt>
                <c:pt idx="953">
                  <c:v>101.60000000000002</c:v>
                </c:pt>
                <c:pt idx="954">
                  <c:v>100.10000000000001</c:v>
                </c:pt>
                <c:pt idx="955">
                  <c:v>106.04999999999997</c:v>
                </c:pt>
                <c:pt idx="956">
                  <c:v>107.10000000000001</c:v>
                </c:pt>
                <c:pt idx="957">
                  <c:v>105.82000000000005</c:v>
                </c:pt>
                <c:pt idx="958">
                  <c:v>101.94999999999996</c:v>
                </c:pt>
                <c:pt idx="959">
                  <c:v>100.49999999999996</c:v>
                </c:pt>
                <c:pt idx="960">
                  <c:v>103.29999999999995</c:v>
                </c:pt>
                <c:pt idx="961">
                  <c:v>100.96999999999998</c:v>
                </c:pt>
                <c:pt idx="962">
                  <c:v>98.999999999999957</c:v>
                </c:pt>
                <c:pt idx="963">
                  <c:v>98.399999999999977</c:v>
                </c:pt>
                <c:pt idx="964">
                  <c:v>95.90000000000002</c:v>
                </c:pt>
                <c:pt idx="965">
                  <c:v>92.250000000000043</c:v>
                </c:pt>
                <c:pt idx="966">
                  <c:v>89.55000000000004</c:v>
                </c:pt>
                <c:pt idx="967">
                  <c:v>87.150000000000034</c:v>
                </c:pt>
                <c:pt idx="968">
                  <c:v>87.349999999999966</c:v>
                </c:pt>
                <c:pt idx="969">
                  <c:v>85.749999999999957</c:v>
                </c:pt>
                <c:pt idx="970">
                  <c:v>77.150000000000034</c:v>
                </c:pt>
                <c:pt idx="971">
                  <c:v>81.899999999999991</c:v>
                </c:pt>
                <c:pt idx="972">
                  <c:v>82.95</c:v>
                </c:pt>
                <c:pt idx="973">
                  <c:v>85.170000000000044</c:v>
                </c:pt>
                <c:pt idx="974">
                  <c:v>87.870000000000061</c:v>
                </c:pt>
                <c:pt idx="975">
                  <c:v>87.099999999999952</c:v>
                </c:pt>
                <c:pt idx="976">
                  <c:v>78.15000000000002</c:v>
                </c:pt>
                <c:pt idx="977">
                  <c:v>78.550000000000011</c:v>
                </c:pt>
                <c:pt idx="978">
                  <c:v>79.820000000000036</c:v>
                </c:pt>
                <c:pt idx="979">
                  <c:v>79.569999999999951</c:v>
                </c:pt>
                <c:pt idx="980">
                  <c:v>80.920000000000016</c:v>
                </c:pt>
                <c:pt idx="981">
                  <c:v>90.65</c:v>
                </c:pt>
                <c:pt idx="982">
                  <c:v>92.7</c:v>
                </c:pt>
                <c:pt idx="983">
                  <c:v>95.600000000000023</c:v>
                </c:pt>
                <c:pt idx="984">
                  <c:v>94.119999999999962</c:v>
                </c:pt>
                <c:pt idx="985">
                  <c:v>93.649999999999977</c:v>
                </c:pt>
                <c:pt idx="986">
                  <c:v>92.899999999999991</c:v>
                </c:pt>
                <c:pt idx="987">
                  <c:v>91.950000000000045</c:v>
                </c:pt>
                <c:pt idx="988">
                  <c:v>91.999999999999957</c:v>
                </c:pt>
                <c:pt idx="989">
                  <c:v>87.84999999999998</c:v>
                </c:pt>
                <c:pt idx="990">
                  <c:v>88.299999999999969</c:v>
                </c:pt>
                <c:pt idx="991">
                  <c:v>81.69999999999996</c:v>
                </c:pt>
                <c:pt idx="992">
                  <c:v>82.050000000000011</c:v>
                </c:pt>
                <c:pt idx="993">
                  <c:v>78.750000000000028</c:v>
                </c:pt>
                <c:pt idx="994">
                  <c:v>78.470000000000027</c:v>
                </c:pt>
                <c:pt idx="995">
                  <c:v>79.049999999999983</c:v>
                </c:pt>
                <c:pt idx="996">
                  <c:v>81.21999999999997</c:v>
                </c:pt>
                <c:pt idx="997">
                  <c:v>82.95</c:v>
                </c:pt>
                <c:pt idx="998">
                  <c:v>80.469999999999985</c:v>
                </c:pt>
                <c:pt idx="999">
                  <c:v>81.250000000000043</c:v>
                </c:pt>
                <c:pt idx="1000">
                  <c:v>87.12</c:v>
                </c:pt>
                <c:pt idx="1001">
                  <c:v>95.000000000000043</c:v>
                </c:pt>
                <c:pt idx="1002">
                  <c:v>80.32000000000005</c:v>
                </c:pt>
                <c:pt idx="1003">
                  <c:v>75.55</c:v>
                </c:pt>
                <c:pt idx="1004">
                  <c:v>76.470000000000013</c:v>
                </c:pt>
                <c:pt idx="1005">
                  <c:v>77.549999999999983</c:v>
                </c:pt>
                <c:pt idx="1006">
                  <c:v>74.250000000000014</c:v>
                </c:pt>
                <c:pt idx="1007">
                  <c:v>73.799999999999983</c:v>
                </c:pt>
                <c:pt idx="1008">
                  <c:v>76.750000000000014</c:v>
                </c:pt>
                <c:pt idx="1009">
                  <c:v>77.049999999999969</c:v>
                </c:pt>
                <c:pt idx="1010">
                  <c:v>77.950000000000031</c:v>
                </c:pt>
                <c:pt idx="1011">
                  <c:v>75.100000000000023</c:v>
                </c:pt>
                <c:pt idx="1012">
                  <c:v>76.700000000000031</c:v>
                </c:pt>
                <c:pt idx="1013">
                  <c:v>79.3</c:v>
                </c:pt>
                <c:pt idx="1014">
                  <c:v>79.79999999999994</c:v>
                </c:pt>
                <c:pt idx="1015">
                  <c:v>82.749999999999972</c:v>
                </c:pt>
                <c:pt idx="1016">
                  <c:v>87.549999999999983</c:v>
                </c:pt>
                <c:pt idx="1017">
                  <c:v>89.29999999999994</c:v>
                </c:pt>
                <c:pt idx="1018">
                  <c:v>91.120000000000019</c:v>
                </c:pt>
                <c:pt idx="1019">
                  <c:v>88.850000000000037</c:v>
                </c:pt>
                <c:pt idx="1020">
                  <c:v>92.520000000000039</c:v>
                </c:pt>
                <c:pt idx="1021">
                  <c:v>91.549999999999969</c:v>
                </c:pt>
                <c:pt idx="1022">
                  <c:v>89.85</c:v>
                </c:pt>
                <c:pt idx="1023">
                  <c:v>91.85</c:v>
                </c:pt>
                <c:pt idx="1024">
                  <c:v>86.200000000000031</c:v>
                </c:pt>
                <c:pt idx="1025">
                  <c:v>96.519999999999939</c:v>
                </c:pt>
                <c:pt idx="1026">
                  <c:v>96.07000000000005</c:v>
                </c:pt>
                <c:pt idx="1027">
                  <c:v>94.35</c:v>
                </c:pt>
                <c:pt idx="1028">
                  <c:v>97.55</c:v>
                </c:pt>
                <c:pt idx="1029">
                  <c:v>100.96999999999994</c:v>
                </c:pt>
                <c:pt idx="1030">
                  <c:v>105.49999999999997</c:v>
                </c:pt>
                <c:pt idx="1031">
                  <c:v>105.85000000000004</c:v>
                </c:pt>
                <c:pt idx="1032">
                  <c:v>114.96590909090908</c:v>
                </c:pt>
                <c:pt idx="1033">
                  <c:v>111.34971590909093</c:v>
                </c:pt>
                <c:pt idx="1034">
                  <c:v>106.93636363636371</c:v>
                </c:pt>
                <c:pt idx="1035">
                  <c:v>109.20710227272728</c:v>
                </c:pt>
                <c:pt idx="1036">
                  <c:v>111.09999999999995</c:v>
                </c:pt>
                <c:pt idx="1037">
                  <c:v>107.89999999999993</c:v>
                </c:pt>
                <c:pt idx="1038">
                  <c:v>105.34999999999995</c:v>
                </c:pt>
                <c:pt idx="1039">
                  <c:v>98.949999999999946</c:v>
                </c:pt>
                <c:pt idx="1040">
                  <c:v>97.319999999999908</c:v>
                </c:pt>
                <c:pt idx="1041">
                  <c:v>101.41999999999999</c:v>
                </c:pt>
                <c:pt idx="1042">
                  <c:v>101.5</c:v>
                </c:pt>
                <c:pt idx="1043">
                  <c:v>105.55000000000008</c:v>
                </c:pt>
                <c:pt idx="1044">
                  <c:v>106.85</c:v>
                </c:pt>
                <c:pt idx="1045">
                  <c:v>103.45</c:v>
                </c:pt>
                <c:pt idx="1046">
                  <c:v>98.84999999999998</c:v>
                </c:pt>
                <c:pt idx="1047">
                  <c:v>90.799999999999983</c:v>
                </c:pt>
                <c:pt idx="1048">
                  <c:v>94.550000000000054</c:v>
                </c:pt>
                <c:pt idx="1049">
                  <c:v>93.920000000000044</c:v>
                </c:pt>
                <c:pt idx="1050">
                  <c:v>95.11999999999999</c:v>
                </c:pt>
                <c:pt idx="1051">
                  <c:v>95.999999999999901</c:v>
                </c:pt>
                <c:pt idx="1052">
                  <c:v>96.65</c:v>
                </c:pt>
                <c:pt idx="1053">
                  <c:v>98.699999999999974</c:v>
                </c:pt>
                <c:pt idx="1054">
                  <c:v>101.65000000000008</c:v>
                </c:pt>
                <c:pt idx="1055">
                  <c:v>100.84999999999997</c:v>
                </c:pt>
                <c:pt idx="1056">
                  <c:v>100.29999999999997</c:v>
                </c:pt>
                <c:pt idx="1057">
                  <c:v>98.350000000000037</c:v>
                </c:pt>
                <c:pt idx="1058">
                  <c:v>100.95</c:v>
                </c:pt>
                <c:pt idx="1059">
                  <c:v>98.300000000000054</c:v>
                </c:pt>
                <c:pt idx="1060">
                  <c:v>98.399999999999949</c:v>
                </c:pt>
                <c:pt idx="1061">
                  <c:v>99.200000000000045</c:v>
                </c:pt>
                <c:pt idx="1062">
                  <c:v>101.19999999999997</c:v>
                </c:pt>
                <c:pt idx="1063">
                  <c:v>100.47</c:v>
                </c:pt>
                <c:pt idx="1064">
                  <c:v>99.89999999999992</c:v>
                </c:pt>
                <c:pt idx="1065">
                  <c:v>101.49999999999993</c:v>
                </c:pt>
                <c:pt idx="1066">
                  <c:v>100.29999999999997</c:v>
                </c:pt>
                <c:pt idx="1067">
                  <c:v>99.799999999999955</c:v>
                </c:pt>
                <c:pt idx="1068">
                  <c:v>97.499999999999943</c:v>
                </c:pt>
                <c:pt idx="1069">
                  <c:v>98.1</c:v>
                </c:pt>
                <c:pt idx="1070">
                  <c:v>98.919999999999973</c:v>
                </c:pt>
                <c:pt idx="1071">
                  <c:v>100.00000000000001</c:v>
                </c:pt>
                <c:pt idx="1072">
                  <c:v>102.94999999999999</c:v>
                </c:pt>
                <c:pt idx="1073">
                  <c:v>102.75</c:v>
                </c:pt>
                <c:pt idx="1074">
                  <c:v>99.02000000000001</c:v>
                </c:pt>
                <c:pt idx="1075">
                  <c:v>95.000000000000014</c:v>
                </c:pt>
                <c:pt idx="1076">
                  <c:v>98.500000000000043</c:v>
                </c:pt>
                <c:pt idx="1077">
                  <c:v>97.699999999999946</c:v>
                </c:pt>
                <c:pt idx="1078">
                  <c:v>96.19999999999996</c:v>
                </c:pt>
                <c:pt idx="1079">
                  <c:v>92.350000000000009</c:v>
                </c:pt>
                <c:pt idx="1080">
                  <c:v>93.050000000000011</c:v>
                </c:pt>
                <c:pt idx="1081">
                  <c:v>98.999999999999986</c:v>
                </c:pt>
                <c:pt idx="1082">
                  <c:v>107.35000000000001</c:v>
                </c:pt>
                <c:pt idx="1083">
                  <c:v>104.29999999999995</c:v>
                </c:pt>
                <c:pt idx="1084">
                  <c:v>102.60000000000005</c:v>
                </c:pt>
                <c:pt idx="1085">
                  <c:v>103.29999999999998</c:v>
                </c:pt>
                <c:pt idx="1086">
                  <c:v>102.19999999999993</c:v>
                </c:pt>
                <c:pt idx="1087">
                  <c:v>100.30000000000004</c:v>
                </c:pt>
                <c:pt idx="1088">
                  <c:v>100.84999999999997</c:v>
                </c:pt>
                <c:pt idx="1089">
                  <c:v>100.64999999999998</c:v>
                </c:pt>
                <c:pt idx="1090">
                  <c:v>97.9</c:v>
                </c:pt>
                <c:pt idx="1091">
                  <c:v>97.370000000000033</c:v>
                </c:pt>
                <c:pt idx="1092">
                  <c:v>95.100000000000051</c:v>
                </c:pt>
                <c:pt idx="1093">
                  <c:v>94.29999999999994</c:v>
                </c:pt>
                <c:pt idx="1094">
                  <c:v>92.969999999999928</c:v>
                </c:pt>
                <c:pt idx="1095">
                  <c:v>91.149999999999977</c:v>
                </c:pt>
                <c:pt idx="1096">
                  <c:v>90.820000000000064</c:v>
                </c:pt>
                <c:pt idx="1097">
                  <c:v>92.949999999999974</c:v>
                </c:pt>
                <c:pt idx="1098">
                  <c:v>94.750000000000043</c:v>
                </c:pt>
                <c:pt idx="1099">
                  <c:v>101.06999999999998</c:v>
                </c:pt>
                <c:pt idx="1100">
                  <c:v>109.84999999999995</c:v>
                </c:pt>
                <c:pt idx="1101">
                  <c:v>106.80000000000003</c:v>
                </c:pt>
                <c:pt idx="1102">
                  <c:v>106.25000000000003</c:v>
                </c:pt>
                <c:pt idx="1103">
                  <c:v>107.95000000000006</c:v>
                </c:pt>
                <c:pt idx="1104">
                  <c:v>108.20000000000003</c:v>
                </c:pt>
                <c:pt idx="1105">
                  <c:v>107.6</c:v>
                </c:pt>
                <c:pt idx="1106">
                  <c:v>106.04999999999997</c:v>
                </c:pt>
                <c:pt idx="1107">
                  <c:v>106.10000000000001</c:v>
                </c:pt>
                <c:pt idx="1108">
                  <c:v>105.29999999999998</c:v>
                </c:pt>
                <c:pt idx="1109">
                  <c:v>102.11999999999999</c:v>
                </c:pt>
                <c:pt idx="1110">
                  <c:v>98.19999999999996</c:v>
                </c:pt>
                <c:pt idx="1111">
                  <c:v>99.949999999999974</c:v>
                </c:pt>
                <c:pt idx="1112">
                  <c:v>100.67</c:v>
                </c:pt>
                <c:pt idx="1113">
                  <c:v>103.1</c:v>
                </c:pt>
                <c:pt idx="1114">
                  <c:v>101.95000000000003</c:v>
                </c:pt>
                <c:pt idx="1115">
                  <c:v>100.09999999999998</c:v>
                </c:pt>
                <c:pt idx="1116">
                  <c:v>99.5</c:v>
                </c:pt>
                <c:pt idx="1117">
                  <c:v>98.120000000000076</c:v>
                </c:pt>
                <c:pt idx="1118">
                  <c:v>97.049999999999983</c:v>
                </c:pt>
                <c:pt idx="1119">
                  <c:v>95.669999999999916</c:v>
                </c:pt>
                <c:pt idx="1120">
                  <c:v>95.30000000000004</c:v>
                </c:pt>
                <c:pt idx="1121">
                  <c:v>94.720000000000013</c:v>
                </c:pt>
                <c:pt idx="1122">
                  <c:v>97.799999999999969</c:v>
                </c:pt>
                <c:pt idx="1123">
                  <c:v>102.2</c:v>
                </c:pt>
                <c:pt idx="1124">
                  <c:v>100.82000000000008</c:v>
                </c:pt>
                <c:pt idx="1125">
                  <c:v>100.05</c:v>
                </c:pt>
                <c:pt idx="1126">
                  <c:v>99.119999999999905</c:v>
                </c:pt>
                <c:pt idx="1127">
                  <c:v>107.22000000000003</c:v>
                </c:pt>
                <c:pt idx="1128">
                  <c:v>109.45000000000003</c:v>
                </c:pt>
                <c:pt idx="1129">
                  <c:v>108.30000000000007</c:v>
                </c:pt>
                <c:pt idx="1130">
                  <c:v>110.29999999999998</c:v>
                </c:pt>
                <c:pt idx="1131">
                  <c:v>112.06999999999995</c:v>
                </c:pt>
                <c:pt idx="1132">
                  <c:v>109.09999999999997</c:v>
                </c:pt>
                <c:pt idx="1133">
                  <c:v>114.57000000000002</c:v>
                </c:pt>
                <c:pt idx="1134">
                  <c:v>116.42</c:v>
                </c:pt>
                <c:pt idx="1135">
                  <c:v>121.07</c:v>
                </c:pt>
                <c:pt idx="1136">
                  <c:v>124.9</c:v>
                </c:pt>
                <c:pt idx="1137">
                  <c:v>129.40000000000006</c:v>
                </c:pt>
                <c:pt idx="1138">
                  <c:v>131.25000000000006</c:v>
                </c:pt>
                <c:pt idx="1139">
                  <c:v>127.95</c:v>
                </c:pt>
                <c:pt idx="1140">
                  <c:v>132.61999999999995</c:v>
                </c:pt>
                <c:pt idx="1141">
                  <c:v>133.11999999999998</c:v>
                </c:pt>
                <c:pt idx="1142">
                  <c:v>133.89999999999998</c:v>
                </c:pt>
                <c:pt idx="1143">
                  <c:v>140.5</c:v>
                </c:pt>
                <c:pt idx="1144">
                  <c:v>137.34999999999997</c:v>
                </c:pt>
                <c:pt idx="1145">
                  <c:v>137.81999999999996</c:v>
                </c:pt>
                <c:pt idx="1146">
                  <c:v>142.35000000000005</c:v>
                </c:pt>
                <c:pt idx="1147">
                  <c:v>146.6</c:v>
                </c:pt>
                <c:pt idx="1148">
                  <c:v>145.84999999999994</c:v>
                </c:pt>
                <c:pt idx="1149">
                  <c:v>142.20000000000005</c:v>
                </c:pt>
                <c:pt idx="1150">
                  <c:v>135.35</c:v>
                </c:pt>
                <c:pt idx="1151">
                  <c:v>128.30000000000001</c:v>
                </c:pt>
                <c:pt idx="1152">
                  <c:v>126.92000000000002</c:v>
                </c:pt>
                <c:pt idx="1153">
                  <c:v>126.30000000000003</c:v>
                </c:pt>
                <c:pt idx="1154">
                  <c:v>127.84999999999998</c:v>
                </c:pt>
                <c:pt idx="1155">
                  <c:v>138.54999999999998</c:v>
                </c:pt>
                <c:pt idx="1156">
                  <c:v>137.55000000000004</c:v>
                </c:pt>
                <c:pt idx="1157">
                  <c:v>143.82000000000005</c:v>
                </c:pt>
                <c:pt idx="1158">
                  <c:v>185.25</c:v>
                </c:pt>
                <c:pt idx="1159">
                  <c:v>191.47000000000006</c:v>
                </c:pt>
                <c:pt idx="1160">
                  <c:v>186.05000000000004</c:v>
                </c:pt>
                <c:pt idx="1161">
                  <c:v>189.54999999999998</c:v>
                </c:pt>
                <c:pt idx="1162">
                  <c:v>228.60000000000005</c:v>
                </c:pt>
                <c:pt idx="1163">
                  <c:v>237.04999999999998</c:v>
                </c:pt>
                <c:pt idx="1164">
                  <c:v>225.54999999999993</c:v>
                </c:pt>
                <c:pt idx="1165">
                  <c:v>214.89999999999995</c:v>
                </c:pt>
                <c:pt idx="1166">
                  <c:v>200.61999999999998</c:v>
                </c:pt>
                <c:pt idx="1167">
                  <c:v>197.14999999999998</c:v>
                </c:pt>
                <c:pt idx="1168">
                  <c:v>203.7</c:v>
                </c:pt>
                <c:pt idx="1169">
                  <c:v>207.05</c:v>
                </c:pt>
                <c:pt idx="1170">
                  <c:v>214.32</c:v>
                </c:pt>
                <c:pt idx="1171">
                  <c:v>218.09999999999997</c:v>
                </c:pt>
                <c:pt idx="1172">
                  <c:v>224.19999999999996</c:v>
                </c:pt>
                <c:pt idx="1173">
                  <c:v>227.17000000000002</c:v>
                </c:pt>
                <c:pt idx="1174">
                  <c:v>238.89999999999995</c:v>
                </c:pt>
                <c:pt idx="1175">
                  <c:v>240.25</c:v>
                </c:pt>
                <c:pt idx="1176">
                  <c:v>246.84999999999994</c:v>
                </c:pt>
                <c:pt idx="1177">
                  <c:v>240.10000000000002</c:v>
                </c:pt>
                <c:pt idx="1178">
                  <c:v>240.96999999999997</c:v>
                </c:pt>
                <c:pt idx="1179">
                  <c:v>238.5</c:v>
                </c:pt>
                <c:pt idx="1180">
                  <c:v>238.99999999999997</c:v>
                </c:pt>
                <c:pt idx="1181">
                  <c:v>234.60000000000002</c:v>
                </c:pt>
                <c:pt idx="1182">
                  <c:v>233.84999999999997</c:v>
                </c:pt>
                <c:pt idx="1183">
                  <c:v>230.57000000000005</c:v>
                </c:pt>
                <c:pt idx="1184">
                  <c:v>228.87000000000003</c:v>
                </c:pt>
                <c:pt idx="1185">
                  <c:v>229.24999999999997</c:v>
                </c:pt>
                <c:pt idx="1186">
                  <c:v>225.54999999999995</c:v>
                </c:pt>
                <c:pt idx="1187">
                  <c:v>224.45000000000005</c:v>
                </c:pt>
                <c:pt idx="1188">
                  <c:v>221.76999999999998</c:v>
                </c:pt>
                <c:pt idx="1189">
                  <c:v>218.85</c:v>
                </c:pt>
                <c:pt idx="1190">
                  <c:v>218.14999999999998</c:v>
                </c:pt>
                <c:pt idx="1191">
                  <c:v>215.61999999999998</c:v>
                </c:pt>
                <c:pt idx="1192">
                  <c:v>217.99999999999997</c:v>
                </c:pt>
                <c:pt idx="1193">
                  <c:v>212.96999999999997</c:v>
                </c:pt>
                <c:pt idx="1194">
                  <c:v>218.94999999999993</c:v>
                </c:pt>
                <c:pt idx="1195">
                  <c:v>213.90000000000003</c:v>
                </c:pt>
                <c:pt idx="1196">
                  <c:v>224.70000000000005</c:v>
                </c:pt>
                <c:pt idx="1197">
                  <c:v>229.65</c:v>
                </c:pt>
                <c:pt idx="1198">
                  <c:v>235.77</c:v>
                </c:pt>
                <c:pt idx="1199">
                  <c:v>238.15000000000006</c:v>
                </c:pt>
                <c:pt idx="1200">
                  <c:v>238.04999999999995</c:v>
                </c:pt>
                <c:pt idx="1201">
                  <c:v>238.42</c:v>
                </c:pt>
                <c:pt idx="1202">
                  <c:v>246.02</c:v>
                </c:pt>
                <c:pt idx="1203">
                  <c:v>254.29999999999995</c:v>
                </c:pt>
                <c:pt idx="1204">
                  <c:v>261.2</c:v>
                </c:pt>
                <c:pt idx="1205">
                  <c:v>258.79999999999995</c:v>
                </c:pt>
                <c:pt idx="1206">
                  <c:v>252.54999999999995</c:v>
                </c:pt>
                <c:pt idx="1207">
                  <c:v>251.05</c:v>
                </c:pt>
                <c:pt idx="1208">
                  <c:v>252.36999999999998</c:v>
                </c:pt>
                <c:pt idx="1209">
                  <c:v>252.04999999999998</c:v>
                </c:pt>
                <c:pt idx="1210">
                  <c:v>261.75</c:v>
                </c:pt>
                <c:pt idx="1211">
                  <c:v>268.39999999999998</c:v>
                </c:pt>
                <c:pt idx="1212">
                  <c:v>275.34999999999997</c:v>
                </c:pt>
                <c:pt idx="1213">
                  <c:v>275.35000000000002</c:v>
                </c:pt>
                <c:pt idx="1214">
                  <c:v>269.89999999999998</c:v>
                </c:pt>
                <c:pt idx="1215">
                  <c:v>266.02</c:v>
                </c:pt>
                <c:pt idx="1216">
                  <c:v>271.25000000000006</c:v>
                </c:pt>
                <c:pt idx="1217">
                  <c:v>276.31999999999994</c:v>
                </c:pt>
                <c:pt idx="1218">
                  <c:v>285.77</c:v>
                </c:pt>
                <c:pt idx="1219">
                  <c:v>294.02000000000004</c:v>
                </c:pt>
                <c:pt idx="1220">
                  <c:v>294.8</c:v>
                </c:pt>
                <c:pt idx="1221">
                  <c:v>290.85000000000002</c:v>
                </c:pt>
                <c:pt idx="1222">
                  <c:v>296.10000000000002</c:v>
                </c:pt>
                <c:pt idx="1223">
                  <c:v>292.37</c:v>
                </c:pt>
                <c:pt idx="1224">
                  <c:v>291.84999999999997</c:v>
                </c:pt>
                <c:pt idx="1225">
                  <c:v>286.41999999999996</c:v>
                </c:pt>
                <c:pt idx="1226">
                  <c:v>292.27000000000004</c:v>
                </c:pt>
                <c:pt idx="1227">
                  <c:v>293.42</c:v>
                </c:pt>
                <c:pt idx="1228">
                  <c:v>301.77000000000004</c:v>
                </c:pt>
                <c:pt idx="1229">
                  <c:v>303.00000000000006</c:v>
                </c:pt>
                <c:pt idx="1230">
                  <c:v>303.44999999999993</c:v>
                </c:pt>
                <c:pt idx="1231">
                  <c:v>310.32</c:v>
                </c:pt>
                <c:pt idx="1232">
                  <c:v>313.15000000000003</c:v>
                </c:pt>
                <c:pt idx="1233">
                  <c:v>313.54999999999995</c:v>
                </c:pt>
                <c:pt idx="1234">
                  <c:v>314.57</c:v>
                </c:pt>
                <c:pt idx="1235">
                  <c:v>314.39999999999998</c:v>
                </c:pt>
                <c:pt idx="1236">
                  <c:v>297.32</c:v>
                </c:pt>
                <c:pt idx="1237">
                  <c:v>302.94999999999993</c:v>
                </c:pt>
                <c:pt idx="1238">
                  <c:v>315.02000000000004</c:v>
                </c:pt>
                <c:pt idx="1239">
                  <c:v>328.7</c:v>
                </c:pt>
                <c:pt idx="1240">
                  <c:v>317.35000000000008</c:v>
                </c:pt>
                <c:pt idx="1241">
                  <c:v>322.5499999999999</c:v>
                </c:pt>
                <c:pt idx="1242">
                  <c:v>328.65</c:v>
                </c:pt>
                <c:pt idx="1243">
                  <c:v>340</c:v>
                </c:pt>
                <c:pt idx="1244">
                  <c:v>351.27000000000004</c:v>
                </c:pt>
                <c:pt idx="1245">
                  <c:v>408.20000000000005</c:v>
                </c:pt>
                <c:pt idx="1246">
                  <c:v>443.99999999999994</c:v>
                </c:pt>
                <c:pt idx="1247">
                  <c:v>471.60000000000008</c:v>
                </c:pt>
                <c:pt idx="1248">
                  <c:v>485.84999999999991</c:v>
                </c:pt>
                <c:pt idx="1249">
                  <c:v>492.25000000000006</c:v>
                </c:pt>
                <c:pt idx="1250">
                  <c:v>490.65</c:v>
                </c:pt>
                <c:pt idx="1251">
                  <c:v>484.85</c:v>
                </c:pt>
                <c:pt idx="1252">
                  <c:v>479.35000000000008</c:v>
                </c:pt>
                <c:pt idx="1253">
                  <c:v>476.54999999999995</c:v>
                </c:pt>
                <c:pt idx="1254">
                  <c:v>472.85000000000008</c:v>
                </c:pt>
                <c:pt idx="1255">
                  <c:v>470.85</c:v>
                </c:pt>
                <c:pt idx="1256">
                  <c:v>468.56999999999994</c:v>
                </c:pt>
                <c:pt idx="1257">
                  <c:v>464.94999999999993</c:v>
                </c:pt>
                <c:pt idx="1258">
                  <c:v>456.44999999999993</c:v>
                </c:pt>
                <c:pt idx="1259">
                  <c:v>445.24999999999994</c:v>
                </c:pt>
                <c:pt idx="1260">
                  <c:v>443.32000000000005</c:v>
                </c:pt>
                <c:pt idx="1261">
                  <c:v>429.2</c:v>
                </c:pt>
                <c:pt idx="1262">
                  <c:v>424.69999999999993</c:v>
                </c:pt>
                <c:pt idx="1263">
                  <c:v>424.76999999999987</c:v>
                </c:pt>
                <c:pt idx="1264">
                  <c:v>421.42000000000013</c:v>
                </c:pt>
                <c:pt idx="1265">
                  <c:v>420.22</c:v>
                </c:pt>
                <c:pt idx="1266">
                  <c:v>428.04999999999995</c:v>
                </c:pt>
                <c:pt idx="1267">
                  <c:v>427.55</c:v>
                </c:pt>
                <c:pt idx="1268">
                  <c:v>418.99999999999994</c:v>
                </c:pt>
                <c:pt idx="1269">
                  <c:v>417.22</c:v>
                </c:pt>
                <c:pt idx="1270">
                  <c:v>424.35</c:v>
                </c:pt>
                <c:pt idx="1271">
                  <c:v>425.65000000000003</c:v>
                </c:pt>
                <c:pt idx="1272">
                  <c:v>431.72000000000008</c:v>
                </c:pt>
                <c:pt idx="1273">
                  <c:v>426.95</c:v>
                </c:pt>
                <c:pt idx="1274">
                  <c:v>420.07000000000005</c:v>
                </c:pt>
                <c:pt idx="1275">
                  <c:v>422.5</c:v>
                </c:pt>
                <c:pt idx="1276">
                  <c:v>420.00000000000011</c:v>
                </c:pt>
                <c:pt idx="1277">
                  <c:v>417.7</c:v>
                </c:pt>
                <c:pt idx="1278">
                  <c:v>423.95000000000005</c:v>
                </c:pt>
                <c:pt idx="1279">
                  <c:v>427.41</c:v>
                </c:pt>
                <c:pt idx="1280">
                  <c:v>425.87</c:v>
                </c:pt>
                <c:pt idx="1281">
                  <c:v>428.5</c:v>
                </c:pt>
                <c:pt idx="1282">
                  <c:v>422.7700000000001</c:v>
                </c:pt>
                <c:pt idx="1283">
                  <c:v>430.10000000000008</c:v>
                </c:pt>
                <c:pt idx="1284">
                  <c:v>428.46999999999991</c:v>
                </c:pt>
                <c:pt idx="1285">
                  <c:v>430.96999999999997</c:v>
                </c:pt>
                <c:pt idx="1286">
                  <c:v>434.5</c:v>
                </c:pt>
                <c:pt idx="1287">
                  <c:v>451.21999999999997</c:v>
                </c:pt>
                <c:pt idx="1288">
                  <c:v>468.37000000000006</c:v>
                </c:pt>
                <c:pt idx="1289">
                  <c:v>478.26999999999992</c:v>
                </c:pt>
                <c:pt idx="1290">
                  <c:v>490.57000000000005</c:v>
                </c:pt>
                <c:pt idx="1291">
                  <c:v>492.11999999999989</c:v>
                </c:pt>
                <c:pt idx="1292">
                  <c:v>489.40000000000003</c:v>
                </c:pt>
                <c:pt idx="1293">
                  <c:v>476.40000000000009</c:v>
                </c:pt>
                <c:pt idx="1294">
                  <c:v>476.67</c:v>
                </c:pt>
                <c:pt idx="1295">
                  <c:v>468.11999999999995</c:v>
                </c:pt>
                <c:pt idx="1296">
                  <c:v>442.7</c:v>
                </c:pt>
                <c:pt idx="1297">
                  <c:v>427.65</c:v>
                </c:pt>
                <c:pt idx="1298">
                  <c:v>423.1</c:v>
                </c:pt>
                <c:pt idx="1299">
                  <c:v>428.65</c:v>
                </c:pt>
                <c:pt idx="1300">
                  <c:v>423.15000000000015</c:v>
                </c:pt>
                <c:pt idx="1301">
                  <c:v>413.19999999999993</c:v>
                </c:pt>
                <c:pt idx="1302">
                  <c:v>418.15</c:v>
                </c:pt>
                <c:pt idx="1303">
                  <c:v>414.65</c:v>
                </c:pt>
                <c:pt idx="1304">
                  <c:v>401.87</c:v>
                </c:pt>
                <c:pt idx="1305">
                  <c:v>388.4</c:v>
                </c:pt>
                <c:pt idx="1306">
                  <c:v>376.19999999999993</c:v>
                </c:pt>
                <c:pt idx="1307">
                  <c:v>368.82000000000005</c:v>
                </c:pt>
                <c:pt idx="1308">
                  <c:v>360.15</c:v>
                </c:pt>
                <c:pt idx="1309">
                  <c:v>350.8</c:v>
                </c:pt>
                <c:pt idx="1310">
                  <c:v>345.9</c:v>
                </c:pt>
                <c:pt idx="1311">
                  <c:v>349.4</c:v>
                </c:pt>
                <c:pt idx="1312">
                  <c:v>346.49999999999994</c:v>
                </c:pt>
                <c:pt idx="1313">
                  <c:v>352.29999999999995</c:v>
                </c:pt>
                <c:pt idx="1314">
                  <c:v>356.75</c:v>
                </c:pt>
                <c:pt idx="1315">
                  <c:v>360.84999999999997</c:v>
                </c:pt>
                <c:pt idx="1316">
                  <c:v>360.34999999999997</c:v>
                </c:pt>
                <c:pt idx="1317">
                  <c:v>360.04999999999995</c:v>
                </c:pt>
                <c:pt idx="1318">
                  <c:v>355.59999999999997</c:v>
                </c:pt>
                <c:pt idx="1319">
                  <c:v>352.10000000000008</c:v>
                </c:pt>
                <c:pt idx="1320">
                  <c:v>351.5499999999999</c:v>
                </c:pt>
                <c:pt idx="1321">
                  <c:v>346.79999999999995</c:v>
                </c:pt>
                <c:pt idx="1322">
                  <c:v>346.15000000000009</c:v>
                </c:pt>
                <c:pt idx="1323">
                  <c:v>330.70000000000005</c:v>
                </c:pt>
                <c:pt idx="1324">
                  <c:v>319.34999999999997</c:v>
                </c:pt>
                <c:pt idx="1325">
                  <c:v>307.34999999999997</c:v>
                </c:pt>
                <c:pt idx="1326">
                  <c:v>306.45000000000005</c:v>
                </c:pt>
                <c:pt idx="1327">
                  <c:v>296.64999999999998</c:v>
                </c:pt>
                <c:pt idx="1328">
                  <c:v>298.25</c:v>
                </c:pt>
                <c:pt idx="1329">
                  <c:v>299</c:v>
                </c:pt>
                <c:pt idx="1330">
                  <c:v>291.3</c:v>
                </c:pt>
                <c:pt idx="1331">
                  <c:v>289.59999999999997</c:v>
                </c:pt>
                <c:pt idx="1332">
                  <c:v>289.59999999999997</c:v>
                </c:pt>
                <c:pt idx="1333">
                  <c:v>287.05</c:v>
                </c:pt>
                <c:pt idx="1334">
                  <c:v>280.84999999999997</c:v>
                </c:pt>
                <c:pt idx="1335">
                  <c:v>281.35000000000002</c:v>
                </c:pt>
                <c:pt idx="1336">
                  <c:v>275.35000000000002</c:v>
                </c:pt>
                <c:pt idx="1337">
                  <c:v>274.64999999999992</c:v>
                </c:pt>
                <c:pt idx="1338">
                  <c:v>275.7</c:v>
                </c:pt>
                <c:pt idx="1339">
                  <c:v>281.64999999999998</c:v>
                </c:pt>
                <c:pt idx="1340">
                  <c:v>285.05</c:v>
                </c:pt>
                <c:pt idx="1341">
                  <c:v>296.2</c:v>
                </c:pt>
                <c:pt idx="1342">
                  <c:v>297.35000000000008</c:v>
                </c:pt>
                <c:pt idx="1343">
                  <c:v>304.7</c:v>
                </c:pt>
                <c:pt idx="1344">
                  <c:v>307.54999999999995</c:v>
                </c:pt>
                <c:pt idx="1345">
                  <c:v>310.94999999999993</c:v>
                </c:pt>
                <c:pt idx="1346">
                  <c:v>312.95000000000005</c:v>
                </c:pt>
                <c:pt idx="1347">
                  <c:v>313.55000000000007</c:v>
                </c:pt>
                <c:pt idx="1348">
                  <c:v>313.49999999999994</c:v>
                </c:pt>
                <c:pt idx="1349">
                  <c:v>315.39999999999998</c:v>
                </c:pt>
                <c:pt idx="1350">
                  <c:v>317.7</c:v>
                </c:pt>
                <c:pt idx="1351">
                  <c:v>325.70076923076925</c:v>
                </c:pt>
                <c:pt idx="1352">
                  <c:v>334.857037037037</c:v>
                </c:pt>
                <c:pt idx="1353">
                  <c:v>337.81566951566958</c:v>
                </c:pt>
                <c:pt idx="1354">
                  <c:v>341.66965811965821</c:v>
                </c:pt>
                <c:pt idx="1355">
                  <c:v>343.5333333333333</c:v>
                </c:pt>
                <c:pt idx="1356">
                  <c:v>341.19985754985748</c:v>
                </c:pt>
                <c:pt idx="1357">
                  <c:v>340.68319088319089</c:v>
                </c:pt>
                <c:pt idx="1358">
                  <c:v>340.08076923076919</c:v>
                </c:pt>
                <c:pt idx="1359">
                  <c:v>338.402849002849</c:v>
                </c:pt>
                <c:pt idx="1360">
                  <c:v>342.04686609686604</c:v>
                </c:pt>
                <c:pt idx="1361">
                  <c:v>338.36111111111109</c:v>
                </c:pt>
                <c:pt idx="1362">
                  <c:v>337.04529914529917</c:v>
                </c:pt>
                <c:pt idx="1363">
                  <c:v>337.76923076923072</c:v>
                </c:pt>
                <c:pt idx="1364">
                  <c:v>340.8062678062679</c:v>
                </c:pt>
                <c:pt idx="1365">
                  <c:v>342.07142857142867</c:v>
                </c:pt>
                <c:pt idx="1366">
                  <c:v>346.47455840455837</c:v>
                </c:pt>
                <c:pt idx="1367">
                  <c:v>346.93005698005703</c:v>
                </c:pt>
                <c:pt idx="1368">
                  <c:v>344.5132478632479</c:v>
                </c:pt>
                <c:pt idx="1369">
                  <c:v>343.38333333333333</c:v>
                </c:pt>
                <c:pt idx="1370">
                  <c:v>344.13803418803411</c:v>
                </c:pt>
                <c:pt idx="1371">
                  <c:v>346.31045584045592</c:v>
                </c:pt>
                <c:pt idx="1372">
                  <c:v>345.51923076923077</c:v>
                </c:pt>
                <c:pt idx="1373">
                  <c:v>347.22792022792027</c:v>
                </c:pt>
                <c:pt idx="1374">
                  <c:v>352.97549857549865</c:v>
                </c:pt>
                <c:pt idx="1375">
                  <c:v>352.73162393162386</c:v>
                </c:pt>
                <c:pt idx="1376">
                  <c:v>352.27307692307699</c:v>
                </c:pt>
                <c:pt idx="1377">
                  <c:v>354.74834757834748</c:v>
                </c:pt>
                <c:pt idx="1378">
                  <c:v>355.46538461538461</c:v>
                </c:pt>
                <c:pt idx="1379">
                  <c:v>352.90569800569801</c:v>
                </c:pt>
                <c:pt idx="1380">
                  <c:v>352.81025641025639</c:v>
                </c:pt>
                <c:pt idx="1381">
                  <c:v>358.20319088319093</c:v>
                </c:pt>
                <c:pt idx="1382">
                  <c:v>361.51552706552701</c:v>
                </c:pt>
                <c:pt idx="1383">
                  <c:v>362.1615384615385</c:v>
                </c:pt>
                <c:pt idx="1384">
                  <c:v>363.31025641025644</c:v>
                </c:pt>
                <c:pt idx="1385">
                  <c:v>364.20319088319087</c:v>
                </c:pt>
                <c:pt idx="1386">
                  <c:v>374.60999999999996</c:v>
                </c:pt>
                <c:pt idx="1387">
                  <c:v>382.56</c:v>
                </c:pt>
                <c:pt idx="1388">
                  <c:v>391.15897435897438</c:v>
                </c:pt>
                <c:pt idx="1389">
                  <c:v>389.87692307692299</c:v>
                </c:pt>
                <c:pt idx="1390">
                  <c:v>389.81082621082618</c:v>
                </c:pt>
                <c:pt idx="1391">
                  <c:v>375.04521367521369</c:v>
                </c:pt>
                <c:pt idx="1392">
                  <c:v>369.12564102564107</c:v>
                </c:pt>
                <c:pt idx="1393">
                  <c:v>379.58133903133898</c:v>
                </c:pt>
                <c:pt idx="1394">
                  <c:v>382.29301994301994</c:v>
                </c:pt>
                <c:pt idx="1395">
                  <c:v>382.4366096866097</c:v>
                </c:pt>
                <c:pt idx="1396">
                  <c:v>386.35076923076923</c:v>
                </c:pt>
                <c:pt idx="1397">
                  <c:v>393.11737891737891</c:v>
                </c:pt>
                <c:pt idx="1398">
                  <c:v>400.02592592592589</c:v>
                </c:pt>
                <c:pt idx="1399">
                  <c:v>422.10945868945873</c:v>
                </c:pt>
                <c:pt idx="1400">
                  <c:v>423.27905982905986</c:v>
                </c:pt>
                <c:pt idx="1401">
                  <c:v>418.5002849002849</c:v>
                </c:pt>
                <c:pt idx="1402">
                  <c:v>423.69786324786327</c:v>
                </c:pt>
                <c:pt idx="1403">
                  <c:v>418.56538461538463</c:v>
                </c:pt>
                <c:pt idx="1404">
                  <c:v>423.02948717948715</c:v>
                </c:pt>
                <c:pt idx="1405">
                  <c:v>423.50968660968658</c:v>
                </c:pt>
                <c:pt idx="1406">
                  <c:v>416.62193732193737</c:v>
                </c:pt>
                <c:pt idx="1407">
                  <c:v>428.03965811965816</c:v>
                </c:pt>
                <c:pt idx="1408">
                  <c:v>424.62222222222215</c:v>
                </c:pt>
                <c:pt idx="1409">
                  <c:v>426.1698005698006</c:v>
                </c:pt>
                <c:pt idx="1410">
                  <c:v>426.84629629629626</c:v>
                </c:pt>
                <c:pt idx="1411">
                  <c:v>440.47991452991442</c:v>
                </c:pt>
                <c:pt idx="1412">
                  <c:v>472.55726495726492</c:v>
                </c:pt>
                <c:pt idx="1413">
                  <c:v>486.98846153846148</c:v>
                </c:pt>
                <c:pt idx="1414">
                  <c:v>519.11225071225067</c:v>
                </c:pt>
                <c:pt idx="1415">
                  <c:v>505.98846153846159</c:v>
                </c:pt>
                <c:pt idx="1416">
                  <c:v>498.45883190883194</c:v>
                </c:pt>
                <c:pt idx="1417">
                  <c:v>495.71851851851847</c:v>
                </c:pt>
                <c:pt idx="1418">
                  <c:v>496.34358974358975</c:v>
                </c:pt>
                <c:pt idx="1419">
                  <c:v>499.35897435897431</c:v>
                </c:pt>
                <c:pt idx="1420">
                  <c:v>485.74529914529916</c:v>
                </c:pt>
                <c:pt idx="1421">
                  <c:v>487.37948717948711</c:v>
                </c:pt>
                <c:pt idx="1422">
                  <c:v>484.71538461538461</c:v>
                </c:pt>
                <c:pt idx="1423">
                  <c:v>491.38689458689458</c:v>
                </c:pt>
                <c:pt idx="1424">
                  <c:v>496.80142450142449</c:v>
                </c:pt>
                <c:pt idx="1425">
                  <c:v>497.8534757834758</c:v>
                </c:pt>
                <c:pt idx="1426">
                  <c:v>496.86111111111103</c:v>
                </c:pt>
                <c:pt idx="1427">
                  <c:v>493.64586894586904</c:v>
                </c:pt>
                <c:pt idx="1428">
                  <c:v>485.96096866096866</c:v>
                </c:pt>
                <c:pt idx="1429">
                  <c:v>475.55714285714282</c:v>
                </c:pt>
                <c:pt idx="1430">
                  <c:v>478.55714285714276</c:v>
                </c:pt>
                <c:pt idx="1431">
                  <c:v>469.4615384615384</c:v>
                </c:pt>
                <c:pt idx="1432">
                  <c:v>476.34131054131058</c:v>
                </c:pt>
                <c:pt idx="1433">
                  <c:v>501.79971509971523</c:v>
                </c:pt>
                <c:pt idx="1434">
                  <c:v>513.58988603988598</c:v>
                </c:pt>
                <c:pt idx="1435">
                  <c:v>504.52307692307687</c:v>
                </c:pt>
                <c:pt idx="1436">
                  <c:v>509.27592592592595</c:v>
                </c:pt>
                <c:pt idx="1437">
                  <c:v>510.75655270655267</c:v>
                </c:pt>
                <c:pt idx="1438">
                  <c:v>552.20683760683755</c:v>
                </c:pt>
                <c:pt idx="1439">
                  <c:v>569.27777777777771</c:v>
                </c:pt>
                <c:pt idx="1440">
                  <c:v>570.18205128205136</c:v>
                </c:pt>
                <c:pt idx="1441">
                  <c:v>560.75669515669506</c:v>
                </c:pt>
                <c:pt idx="1442">
                  <c:v>559.45384615384614</c:v>
                </c:pt>
                <c:pt idx="1443">
                  <c:v>560.09886039886032</c:v>
                </c:pt>
                <c:pt idx="1444">
                  <c:v>543.55242165242157</c:v>
                </c:pt>
                <c:pt idx="1445">
                  <c:v>540.30925925925908</c:v>
                </c:pt>
                <c:pt idx="1446">
                  <c:v>529.58632478632478</c:v>
                </c:pt>
                <c:pt idx="1447">
                  <c:v>517.45014245014249</c:v>
                </c:pt>
                <c:pt idx="1448">
                  <c:v>515.89715099715102</c:v>
                </c:pt>
                <c:pt idx="1449">
                  <c:v>514.52464387464386</c:v>
                </c:pt>
                <c:pt idx="1450">
                  <c:v>510.30470085470097</c:v>
                </c:pt>
                <c:pt idx="1451">
                  <c:v>511.16481481481469</c:v>
                </c:pt>
                <c:pt idx="1452">
                  <c:v>515.43714285714293</c:v>
                </c:pt>
                <c:pt idx="1453">
                  <c:v>513.93714285714293</c:v>
                </c:pt>
                <c:pt idx="1454">
                  <c:v>512.9660968660969</c:v>
                </c:pt>
                <c:pt idx="1455">
                  <c:v>515.67000000000007</c:v>
                </c:pt>
                <c:pt idx="1456">
                  <c:v>519.82142450142464</c:v>
                </c:pt>
                <c:pt idx="1457">
                  <c:v>502.12478632478627</c:v>
                </c:pt>
                <c:pt idx="1458">
                  <c:v>465.47735042735036</c:v>
                </c:pt>
                <c:pt idx="1459">
                  <c:v>468.64615384615394</c:v>
                </c:pt>
                <c:pt idx="1460">
                  <c:v>468.13390313390312</c:v>
                </c:pt>
                <c:pt idx="1461">
                  <c:v>463.8349002849003</c:v>
                </c:pt>
                <c:pt idx="1462">
                  <c:v>466.21230769230777</c:v>
                </c:pt>
                <c:pt idx="1463">
                  <c:v>455.16182336182334</c:v>
                </c:pt>
                <c:pt idx="1464">
                  <c:v>457.49814814814818</c:v>
                </c:pt>
                <c:pt idx="1465">
                  <c:v>458.45233618233618</c:v>
                </c:pt>
                <c:pt idx="1466">
                  <c:v>458.0576068376069</c:v>
                </c:pt>
                <c:pt idx="1467">
                  <c:v>464.91424501424501</c:v>
                </c:pt>
                <c:pt idx="1468">
                  <c:v>465.79373219373213</c:v>
                </c:pt>
                <c:pt idx="1469">
                  <c:v>468.33974358974365</c:v>
                </c:pt>
                <c:pt idx="1470">
                  <c:v>466.63333333333333</c:v>
                </c:pt>
                <c:pt idx="1471">
                  <c:v>474.20698005698011</c:v>
                </c:pt>
                <c:pt idx="1472">
                  <c:v>478.40854700854698</c:v>
                </c:pt>
                <c:pt idx="1473">
                  <c:v>468.85470085470087</c:v>
                </c:pt>
                <c:pt idx="1474">
                  <c:v>466.53589743589743</c:v>
                </c:pt>
                <c:pt idx="1475">
                  <c:v>463.01566951566946</c:v>
                </c:pt>
                <c:pt idx="1476">
                  <c:v>462.85299145299149</c:v>
                </c:pt>
                <c:pt idx="1477">
                  <c:v>461.13931623931626</c:v>
                </c:pt>
                <c:pt idx="1478">
                  <c:v>456.07905982905982</c:v>
                </c:pt>
                <c:pt idx="1479">
                  <c:v>454.9222222222221</c:v>
                </c:pt>
                <c:pt idx="1480">
                  <c:v>453.88119658119649</c:v>
                </c:pt>
                <c:pt idx="1481">
                  <c:v>453.96923076923071</c:v>
                </c:pt>
                <c:pt idx="1482">
                  <c:v>457.17934472934473</c:v>
                </c:pt>
                <c:pt idx="1483">
                  <c:v>449.6102564102564</c:v>
                </c:pt>
                <c:pt idx="1484">
                  <c:v>445.49800569800567</c:v>
                </c:pt>
                <c:pt idx="1485">
                  <c:v>439.51324786324784</c:v>
                </c:pt>
                <c:pt idx="1486">
                  <c:v>414.18675213675209</c:v>
                </c:pt>
                <c:pt idx="1487">
                  <c:v>414.06324786324791</c:v>
                </c:pt>
                <c:pt idx="1488">
                  <c:v>402.05897435897435</c:v>
                </c:pt>
                <c:pt idx="1489">
                  <c:v>388.94273504273502</c:v>
                </c:pt>
                <c:pt idx="1490">
                  <c:v>387.00940170940169</c:v>
                </c:pt>
                <c:pt idx="1491">
                  <c:v>388.57549857549856</c:v>
                </c:pt>
                <c:pt idx="1492">
                  <c:v>386.14957264957269</c:v>
                </c:pt>
                <c:pt idx="1493">
                  <c:v>387.46296296296299</c:v>
                </c:pt>
                <c:pt idx="1494">
                  <c:v>387.77008547008552</c:v>
                </c:pt>
                <c:pt idx="1495">
                  <c:v>389.68714285714287</c:v>
                </c:pt>
                <c:pt idx="1496">
                  <c:v>390.5542857142857</c:v>
                </c:pt>
                <c:pt idx="1497">
                  <c:v>392.79264957264957</c:v>
                </c:pt>
                <c:pt idx="1498">
                  <c:v>394.42934472934468</c:v>
                </c:pt>
                <c:pt idx="1499">
                  <c:v>397.16709401709414</c:v>
                </c:pt>
                <c:pt idx="1500">
                  <c:v>393.46125356125361</c:v>
                </c:pt>
                <c:pt idx="1501">
                  <c:v>401.16923076923075</c:v>
                </c:pt>
                <c:pt idx="1502">
                  <c:v>402.01680911680916</c:v>
                </c:pt>
                <c:pt idx="1503">
                  <c:v>408.04074074074077</c:v>
                </c:pt>
                <c:pt idx="1504">
                  <c:v>410.83723646723649</c:v>
                </c:pt>
                <c:pt idx="1505">
                  <c:v>418.95341880341886</c:v>
                </c:pt>
                <c:pt idx="1506">
                  <c:v>422.07863247863247</c:v>
                </c:pt>
                <c:pt idx="1507">
                  <c:v>424.39373219373232</c:v>
                </c:pt>
                <c:pt idx="1508">
                  <c:v>423.75128205128203</c:v>
                </c:pt>
                <c:pt idx="1509">
                  <c:v>420.03333333333325</c:v>
                </c:pt>
                <c:pt idx="1510">
                  <c:v>417.85612535612529</c:v>
                </c:pt>
                <c:pt idx="1511">
                  <c:v>408.74415954415946</c:v>
                </c:pt>
                <c:pt idx="1512">
                  <c:v>397.6588888888889</c:v>
                </c:pt>
                <c:pt idx="1513">
                  <c:v>394.46951566951566</c:v>
                </c:pt>
                <c:pt idx="1514">
                  <c:v>394.68148148148146</c:v>
                </c:pt>
                <c:pt idx="1515">
                  <c:v>394.27692307692303</c:v>
                </c:pt>
                <c:pt idx="1516">
                  <c:v>398.32991452991456</c:v>
                </c:pt>
                <c:pt idx="1517">
                  <c:v>396.40769230769229</c:v>
                </c:pt>
                <c:pt idx="1518">
                  <c:v>399.02857142857141</c:v>
                </c:pt>
                <c:pt idx="1519">
                  <c:v>394.51339031339029</c:v>
                </c:pt>
                <c:pt idx="1520">
                  <c:v>395.4930769230769</c:v>
                </c:pt>
                <c:pt idx="1521">
                  <c:v>404.49074074074076</c:v>
                </c:pt>
                <c:pt idx="1522">
                  <c:v>415.51387464387466</c:v>
                </c:pt>
                <c:pt idx="1523">
                  <c:v>420.81025641025644</c:v>
                </c:pt>
                <c:pt idx="1524">
                  <c:v>435.29700854700866</c:v>
                </c:pt>
                <c:pt idx="1525">
                  <c:v>437.11487179487182</c:v>
                </c:pt>
                <c:pt idx="1526">
                  <c:v>424.78310541310543</c:v>
                </c:pt>
                <c:pt idx="1527">
                  <c:v>424.4025641025641</c:v>
                </c:pt>
                <c:pt idx="1528">
                  <c:v>422.40455840455849</c:v>
                </c:pt>
                <c:pt idx="1529">
                  <c:v>421.62478632478627</c:v>
                </c:pt>
                <c:pt idx="1530">
                  <c:v>415.05925925925925</c:v>
                </c:pt>
                <c:pt idx="1531">
                  <c:v>396.71358974358975</c:v>
                </c:pt>
                <c:pt idx="1532">
                  <c:v>392.0803418803419</c:v>
                </c:pt>
                <c:pt idx="1533">
                  <c:v>394.34928774928773</c:v>
                </c:pt>
                <c:pt idx="1534">
                  <c:v>392.02450142450141</c:v>
                </c:pt>
                <c:pt idx="1535">
                  <c:v>394.88945868945871</c:v>
                </c:pt>
                <c:pt idx="1536">
                  <c:v>394.51452991452987</c:v>
                </c:pt>
                <c:pt idx="1537">
                  <c:v>394.40000000000003</c:v>
                </c:pt>
                <c:pt idx="1538">
                  <c:v>388.78695652173917</c:v>
                </c:pt>
                <c:pt idx="1539">
                  <c:v>363.07292143401975</c:v>
                </c:pt>
                <c:pt idx="1540">
                  <c:v>351.33729977116707</c:v>
                </c:pt>
                <c:pt idx="1541">
                  <c:v>336.28062547673522</c:v>
                </c:pt>
                <c:pt idx="1542">
                  <c:v>339.09645308924485</c:v>
                </c:pt>
                <c:pt idx="1543">
                  <c:v>333.97719298245624</c:v>
                </c:pt>
                <c:pt idx="1544">
                  <c:v>332.80091533180774</c:v>
                </c:pt>
                <c:pt idx="1545">
                  <c:v>320.2230129672007</c:v>
                </c:pt>
                <c:pt idx="1546">
                  <c:v>320.34912280701752</c:v>
                </c:pt>
                <c:pt idx="1547">
                  <c:v>320.39729214340201</c:v>
                </c:pt>
                <c:pt idx="1548">
                  <c:v>334.21967963386726</c:v>
                </c:pt>
                <c:pt idx="1549">
                  <c:v>352.00610221205187</c:v>
                </c:pt>
                <c:pt idx="1550">
                  <c:v>354.31334858886345</c:v>
                </c:pt>
                <c:pt idx="1551">
                  <c:v>359.66933638443936</c:v>
                </c:pt>
                <c:pt idx="1552">
                  <c:v>359.9173913043478</c:v>
                </c:pt>
                <c:pt idx="1553">
                  <c:v>363.10896262395124</c:v>
                </c:pt>
                <c:pt idx="1554">
                  <c:v>368.05415713196038</c:v>
                </c:pt>
                <c:pt idx="1555">
                  <c:v>366.91052631578958</c:v>
                </c:pt>
                <c:pt idx="1556">
                  <c:v>349.64406559877955</c:v>
                </c:pt>
                <c:pt idx="1557">
                  <c:v>341.24263920671234</c:v>
                </c:pt>
                <c:pt idx="1558">
                  <c:v>338.50091533180779</c:v>
                </c:pt>
                <c:pt idx="1559">
                  <c:v>336.14713958810069</c:v>
                </c:pt>
                <c:pt idx="1560">
                  <c:v>338.03798627002294</c:v>
                </c:pt>
                <c:pt idx="1561">
                  <c:v>340.78535469107561</c:v>
                </c:pt>
                <c:pt idx="1562">
                  <c:v>356.72807017543857</c:v>
                </c:pt>
                <c:pt idx="1563">
                  <c:v>351.05137299771172</c:v>
                </c:pt>
                <c:pt idx="1564">
                  <c:v>352.7613272311213</c:v>
                </c:pt>
                <c:pt idx="1565">
                  <c:v>355.42753623188401</c:v>
                </c:pt>
                <c:pt idx="1566">
                  <c:v>363.82959572845152</c:v>
                </c:pt>
                <c:pt idx="1567">
                  <c:v>367.42868039664381</c:v>
                </c:pt>
                <c:pt idx="1568">
                  <c:v>359.29290617848972</c:v>
                </c:pt>
                <c:pt idx="1569">
                  <c:v>343.61331045003817</c:v>
                </c:pt>
                <c:pt idx="1570">
                  <c:v>347.09282990083904</c:v>
                </c:pt>
                <c:pt idx="1571">
                  <c:v>339.8368421052632</c:v>
                </c:pt>
                <c:pt idx="1572">
                  <c:v>340.9773455377574</c:v>
                </c:pt>
                <c:pt idx="1573">
                  <c:v>341.67498093058731</c:v>
                </c:pt>
                <c:pt idx="1574">
                  <c:v>335.10282227307403</c:v>
                </c:pt>
                <c:pt idx="1575">
                  <c:v>347.93363844393599</c:v>
                </c:pt>
                <c:pt idx="1576">
                  <c:v>345.39458428680393</c:v>
                </c:pt>
                <c:pt idx="1577">
                  <c:v>346.50533943554535</c:v>
                </c:pt>
                <c:pt idx="1578">
                  <c:v>365.66964149504196</c:v>
                </c:pt>
                <c:pt idx="1579">
                  <c:v>363.78947368421052</c:v>
                </c:pt>
                <c:pt idx="1580">
                  <c:v>367.58146453089239</c:v>
                </c:pt>
                <c:pt idx="1581">
                  <c:v>370.37389016018301</c:v>
                </c:pt>
                <c:pt idx="1582">
                  <c:v>373.31693363844391</c:v>
                </c:pt>
                <c:pt idx="1583">
                  <c:v>370.33749046529368</c:v>
                </c:pt>
                <c:pt idx="1584">
                  <c:v>369.3512585812357</c:v>
                </c:pt>
                <c:pt idx="1585">
                  <c:v>367.51784897025175</c:v>
                </c:pt>
                <c:pt idx="1586">
                  <c:v>365.87063310450037</c:v>
                </c:pt>
                <c:pt idx="1587">
                  <c:v>365.35466819221972</c:v>
                </c:pt>
                <c:pt idx="1588">
                  <c:v>366.70432494279174</c:v>
                </c:pt>
                <c:pt idx="1589">
                  <c:v>364.49513348588869</c:v>
                </c:pt>
                <c:pt idx="1590">
                  <c:v>341.22555301296723</c:v>
                </c:pt>
                <c:pt idx="1591">
                  <c:v>342.29816933638443</c:v>
                </c:pt>
                <c:pt idx="1592">
                  <c:v>353.12974828375297</c:v>
                </c:pt>
                <c:pt idx="1593">
                  <c:v>360.92978642257816</c:v>
                </c:pt>
                <c:pt idx="1594">
                  <c:v>374.34035087719292</c:v>
                </c:pt>
                <c:pt idx="1595">
                  <c:v>383.87997711670482</c:v>
                </c:pt>
                <c:pt idx="1596">
                  <c:v>408.60732265446217</c:v>
                </c:pt>
                <c:pt idx="1597">
                  <c:v>399.71086956521742</c:v>
                </c:pt>
                <c:pt idx="1598">
                  <c:v>437.677879481312</c:v>
                </c:pt>
                <c:pt idx="1599">
                  <c:v>490.22974828375283</c:v>
                </c:pt>
                <c:pt idx="1600">
                  <c:v>470.70457665903882</c:v>
                </c:pt>
                <c:pt idx="1601">
                  <c:v>462.86384439359273</c:v>
                </c:pt>
                <c:pt idx="1602">
                  <c:v>457.05720823798634</c:v>
                </c:pt>
                <c:pt idx="1603">
                  <c:v>465.07498093058734</c:v>
                </c:pt>
                <c:pt idx="1604">
                  <c:v>463.19748283752847</c:v>
                </c:pt>
                <c:pt idx="1605">
                  <c:v>452.46506483600302</c:v>
                </c:pt>
                <c:pt idx="1606">
                  <c:v>448.45247902364611</c:v>
                </c:pt>
                <c:pt idx="1607">
                  <c:v>438.66254767353166</c:v>
                </c:pt>
                <c:pt idx="1608">
                  <c:v>448.36956521739137</c:v>
                </c:pt>
                <c:pt idx="1609">
                  <c:v>479.80701754385973</c:v>
                </c:pt>
                <c:pt idx="1610">
                  <c:v>488.93249427917618</c:v>
                </c:pt>
                <c:pt idx="1611">
                  <c:v>496.56636155606407</c:v>
                </c:pt>
                <c:pt idx="1612">
                  <c:v>498.10091533180787</c:v>
                </c:pt>
                <c:pt idx="1613">
                  <c:v>508.78283752860409</c:v>
                </c:pt>
                <c:pt idx="1614">
                  <c:v>461.56353928299012</c:v>
                </c:pt>
                <c:pt idx="1615">
                  <c:v>464.26510297482832</c:v>
                </c:pt>
                <c:pt idx="1616">
                  <c:v>453.47932875667431</c:v>
                </c:pt>
                <c:pt idx="1617">
                  <c:v>433.59420289855075</c:v>
                </c:pt>
                <c:pt idx="1618">
                  <c:v>411.86918382913808</c:v>
                </c:pt>
                <c:pt idx="1619">
                  <c:v>410.23363844393589</c:v>
                </c:pt>
                <c:pt idx="1620">
                  <c:v>411.27246376811587</c:v>
                </c:pt>
                <c:pt idx="1621">
                  <c:v>413.53582761250954</c:v>
                </c:pt>
                <c:pt idx="1622">
                  <c:v>413.93325705568265</c:v>
                </c:pt>
                <c:pt idx="1623">
                  <c:v>413.25881006864989</c:v>
                </c:pt>
                <c:pt idx="1624">
                  <c:v>424.81601830663612</c:v>
                </c:pt>
                <c:pt idx="1625">
                  <c:v>415.2578947368421</c:v>
                </c:pt>
                <c:pt idx="1626">
                  <c:v>397.64736842105265</c:v>
                </c:pt>
                <c:pt idx="1627">
                  <c:v>395.63947368421054</c:v>
                </c:pt>
                <c:pt idx="1628">
                  <c:v>393.69069412662094</c:v>
                </c:pt>
                <c:pt idx="1629">
                  <c:v>396.08611746758197</c:v>
                </c:pt>
                <c:pt idx="1630">
                  <c:v>392.02757437070949</c:v>
                </c:pt>
                <c:pt idx="1631">
                  <c:v>383.01029748283747</c:v>
                </c:pt>
                <c:pt idx="1632">
                  <c:v>394.63699466056448</c:v>
                </c:pt>
                <c:pt idx="1633">
                  <c:v>392.67391304347836</c:v>
                </c:pt>
                <c:pt idx="1634">
                  <c:v>396.96224256292908</c:v>
                </c:pt>
                <c:pt idx="1635">
                  <c:v>408.75011441647598</c:v>
                </c:pt>
                <c:pt idx="1636">
                  <c:v>410.80251716247142</c:v>
                </c:pt>
                <c:pt idx="1637">
                  <c:v>410.07063310450036</c:v>
                </c:pt>
                <c:pt idx="1638">
                  <c:v>408.079176201373</c:v>
                </c:pt>
                <c:pt idx="1639">
                  <c:v>405.53722349351636</c:v>
                </c:pt>
                <c:pt idx="1640">
                  <c:v>406.59794050343243</c:v>
                </c:pt>
                <c:pt idx="1641">
                  <c:v>405.55469107551494</c:v>
                </c:pt>
                <c:pt idx="1642">
                  <c:v>403.03432494279178</c:v>
                </c:pt>
                <c:pt idx="1643">
                  <c:v>401.49595728451561</c:v>
                </c:pt>
                <c:pt idx="1644">
                  <c:v>398.40350877192981</c:v>
                </c:pt>
                <c:pt idx="1645">
                  <c:v>399.11006864988559</c:v>
                </c:pt>
                <c:pt idx="1646">
                  <c:v>412.76439359267738</c:v>
                </c:pt>
                <c:pt idx="1647">
                  <c:v>419.48956521739126</c:v>
                </c:pt>
                <c:pt idx="1648">
                  <c:v>417.65507246376808</c:v>
                </c:pt>
                <c:pt idx="1649">
                  <c:v>424.41979405034328</c:v>
                </c:pt>
                <c:pt idx="1650">
                  <c:v>429.57437070938215</c:v>
                </c:pt>
                <c:pt idx="1651">
                  <c:v>439.70198321891684</c:v>
                </c:pt>
                <c:pt idx="1652">
                  <c:v>432.69649122807022</c:v>
                </c:pt>
                <c:pt idx="1653">
                  <c:v>446.21163234172383</c:v>
                </c:pt>
                <c:pt idx="1654">
                  <c:v>447.8933638443936</c:v>
                </c:pt>
                <c:pt idx="1655">
                  <c:v>452.67765064836004</c:v>
                </c:pt>
                <c:pt idx="1656">
                  <c:v>438.4717391304348</c:v>
                </c:pt>
                <c:pt idx="1657">
                  <c:v>436.9072463768116</c:v>
                </c:pt>
                <c:pt idx="1658">
                  <c:v>433.80091533180774</c:v>
                </c:pt>
                <c:pt idx="1659">
                  <c:v>432.10183066361554</c:v>
                </c:pt>
                <c:pt idx="1660">
                  <c:v>439.83272311212812</c:v>
                </c:pt>
                <c:pt idx="1661">
                  <c:v>433.66704805491986</c:v>
                </c:pt>
                <c:pt idx="1662">
                  <c:v>440.1691075514874</c:v>
                </c:pt>
                <c:pt idx="1663">
                  <c:v>453.64019832189172</c:v>
                </c:pt>
                <c:pt idx="1664">
                  <c:v>454.57490465293665</c:v>
                </c:pt>
                <c:pt idx="1665">
                  <c:v>454.05457665903896</c:v>
                </c:pt>
                <c:pt idx="1666">
                  <c:v>447.78131197559122</c:v>
                </c:pt>
                <c:pt idx="1667">
                  <c:v>445.09450800915329</c:v>
                </c:pt>
                <c:pt idx="1668">
                  <c:v>442.4029366895499</c:v>
                </c:pt>
                <c:pt idx="1669">
                  <c:v>455.36201372997715</c:v>
                </c:pt>
                <c:pt idx="1670">
                  <c:v>457.95591151792524</c:v>
                </c:pt>
                <c:pt idx="1671">
                  <c:v>447.70102974828376</c:v>
                </c:pt>
                <c:pt idx="1672">
                  <c:v>448.28569794050338</c:v>
                </c:pt>
                <c:pt idx="1673">
                  <c:v>451.61441647597252</c:v>
                </c:pt>
                <c:pt idx="1674">
                  <c:v>450.77879481311965</c:v>
                </c:pt>
                <c:pt idx="1675">
                  <c:v>452.77463768115933</c:v>
                </c:pt>
                <c:pt idx="1676">
                  <c:v>459.16315789473686</c:v>
                </c:pt>
                <c:pt idx="1677">
                  <c:v>457.55263157894734</c:v>
                </c:pt>
                <c:pt idx="1678">
                  <c:v>457.93447749809314</c:v>
                </c:pt>
                <c:pt idx="1679">
                  <c:v>455.28798627002294</c:v>
                </c:pt>
                <c:pt idx="1680">
                  <c:v>452.37780320366141</c:v>
                </c:pt>
                <c:pt idx="1681">
                  <c:v>445.99721586575146</c:v>
                </c:pt>
                <c:pt idx="1682">
                  <c:v>443.98916857360797</c:v>
                </c:pt>
                <c:pt idx="1683">
                  <c:v>439.41769641495046</c:v>
                </c:pt>
                <c:pt idx="1684">
                  <c:v>429.84141876430203</c:v>
                </c:pt>
                <c:pt idx="1685">
                  <c:v>426.45781845919146</c:v>
                </c:pt>
                <c:pt idx="1686">
                  <c:v>426.48848207475214</c:v>
                </c:pt>
                <c:pt idx="1687">
                  <c:v>425.0871090770404</c:v>
                </c:pt>
                <c:pt idx="1688">
                  <c:v>422.64782608695651</c:v>
                </c:pt>
                <c:pt idx="1689">
                  <c:v>425.16956521739127</c:v>
                </c:pt>
                <c:pt idx="1690">
                  <c:v>424.30297482837534</c:v>
                </c:pt>
                <c:pt idx="1691">
                  <c:v>424.76384439359265</c:v>
                </c:pt>
                <c:pt idx="1692">
                  <c:v>423.06559877955755</c:v>
                </c:pt>
                <c:pt idx="1693">
                  <c:v>422.57025171624718</c:v>
                </c:pt>
                <c:pt idx="1694">
                  <c:v>423.54363081617095</c:v>
                </c:pt>
                <c:pt idx="1695">
                  <c:v>421.18859649122811</c:v>
                </c:pt>
                <c:pt idx="1696">
                  <c:v>423.93546910755157</c:v>
                </c:pt>
                <c:pt idx="1697">
                  <c:v>423.16750572082384</c:v>
                </c:pt>
                <c:pt idx="1698">
                  <c:v>413.73440122044246</c:v>
                </c:pt>
                <c:pt idx="1699">
                  <c:v>413.06514111365379</c:v>
                </c:pt>
                <c:pt idx="1700">
                  <c:v>409.23432494279172</c:v>
                </c:pt>
                <c:pt idx="1701">
                  <c:v>410.07154843630809</c:v>
                </c:pt>
                <c:pt idx="1702">
                  <c:v>412.04275362318839</c:v>
                </c:pt>
                <c:pt idx="1703">
                  <c:v>419.87848970251707</c:v>
                </c:pt>
                <c:pt idx="1704">
                  <c:v>420.78432494279173</c:v>
                </c:pt>
                <c:pt idx="1705">
                  <c:v>424.70976353928296</c:v>
                </c:pt>
                <c:pt idx="1706">
                  <c:v>424.01083142639197</c:v>
                </c:pt>
                <c:pt idx="1707">
                  <c:v>424.72356979405032</c:v>
                </c:pt>
                <c:pt idx="1708">
                  <c:v>432.9391304347825</c:v>
                </c:pt>
                <c:pt idx="1709">
                  <c:v>429.40122044241031</c:v>
                </c:pt>
                <c:pt idx="1710">
                  <c:v>429.05045766590393</c:v>
                </c:pt>
                <c:pt idx="1711">
                  <c:v>430.41922196796338</c:v>
                </c:pt>
                <c:pt idx="1712">
                  <c:v>429.61861174675812</c:v>
                </c:pt>
                <c:pt idx="1713">
                  <c:v>428.45835240274596</c:v>
                </c:pt>
                <c:pt idx="1714">
                  <c:v>428.08390541571316</c:v>
                </c:pt>
                <c:pt idx="1715">
                  <c:v>420.4109077040427</c:v>
                </c:pt>
                <c:pt idx="1716">
                  <c:v>427.00915331807767</c:v>
                </c:pt>
                <c:pt idx="1717">
                  <c:v>426.73935926773459</c:v>
                </c:pt>
                <c:pt idx="1718">
                  <c:v>421.84885583524027</c:v>
                </c:pt>
                <c:pt idx="1719">
                  <c:v>425.15781845919145</c:v>
                </c:pt>
                <c:pt idx="1720">
                  <c:v>430.54061784897027</c:v>
                </c:pt>
                <c:pt idx="1721">
                  <c:v>432.21479786422577</c:v>
                </c:pt>
                <c:pt idx="1722">
                  <c:v>433.98718535469112</c:v>
                </c:pt>
                <c:pt idx="1723">
                  <c:v>434.54721586575135</c:v>
                </c:pt>
                <c:pt idx="1724">
                  <c:v>430.71418764302052</c:v>
                </c:pt>
                <c:pt idx="1725">
                  <c:v>426.79103737604891</c:v>
                </c:pt>
                <c:pt idx="1726">
                  <c:v>426.0588100686499</c:v>
                </c:pt>
                <c:pt idx="1727">
                  <c:v>428.84729214340194</c:v>
                </c:pt>
                <c:pt idx="1728">
                  <c:v>437.81842105263155</c:v>
                </c:pt>
                <c:pt idx="1729">
                  <c:v>438.70915331807788</c:v>
                </c:pt>
                <c:pt idx="1730">
                  <c:v>440.69633867276895</c:v>
                </c:pt>
                <c:pt idx="1731">
                  <c:v>445.44782608695652</c:v>
                </c:pt>
                <c:pt idx="1732">
                  <c:v>449.65675057208233</c:v>
                </c:pt>
                <c:pt idx="1733">
                  <c:v>444.20991609458434</c:v>
                </c:pt>
                <c:pt idx="1734">
                  <c:v>440.4836003051106</c:v>
                </c:pt>
                <c:pt idx="1735">
                  <c:v>444.51887871853552</c:v>
                </c:pt>
                <c:pt idx="1736">
                  <c:v>444.7655225019069</c:v>
                </c:pt>
                <c:pt idx="1737">
                  <c:v>445.28268497330282</c:v>
                </c:pt>
                <c:pt idx="1738">
                  <c:v>443.01815408085434</c:v>
                </c:pt>
                <c:pt idx="1739">
                  <c:v>442.07757437070933</c:v>
                </c:pt>
                <c:pt idx="1740">
                  <c:v>438.48333333333323</c:v>
                </c:pt>
                <c:pt idx="1741">
                  <c:v>439.11670480549196</c:v>
                </c:pt>
                <c:pt idx="1742">
                  <c:v>439.06540808543093</c:v>
                </c:pt>
                <c:pt idx="1743">
                  <c:v>434.14370709382143</c:v>
                </c:pt>
                <c:pt idx="1744">
                  <c:v>415.51014492753626</c:v>
                </c:pt>
                <c:pt idx="1745">
                  <c:v>416.5070175438596</c:v>
                </c:pt>
                <c:pt idx="1746">
                  <c:v>406.50205949656748</c:v>
                </c:pt>
                <c:pt idx="1747">
                  <c:v>399.07826086956527</c:v>
                </c:pt>
                <c:pt idx="1748">
                  <c:v>402.41777269260109</c:v>
                </c:pt>
                <c:pt idx="1749">
                  <c:v>398.86327231121282</c:v>
                </c:pt>
                <c:pt idx="1750">
                  <c:v>397.41876430205951</c:v>
                </c:pt>
                <c:pt idx="1751">
                  <c:v>399.36270022883286</c:v>
                </c:pt>
                <c:pt idx="1752">
                  <c:v>399.8691075514875</c:v>
                </c:pt>
                <c:pt idx="1753">
                  <c:v>405.02822273073986</c:v>
                </c:pt>
                <c:pt idx="1754">
                  <c:v>407.87505720823793</c:v>
                </c:pt>
                <c:pt idx="1755">
                  <c:v>410.18077803203664</c:v>
                </c:pt>
                <c:pt idx="1756">
                  <c:v>408.64660564454607</c:v>
                </c:pt>
                <c:pt idx="1757">
                  <c:v>407.56559877955755</c:v>
                </c:pt>
                <c:pt idx="1758">
                  <c:v>402.42246376811596</c:v>
                </c:pt>
                <c:pt idx="1759">
                  <c:v>399.6919908466819</c:v>
                </c:pt>
                <c:pt idx="1760">
                  <c:v>398.88619374523273</c:v>
                </c:pt>
                <c:pt idx="1761">
                  <c:v>390.74881769641496</c:v>
                </c:pt>
                <c:pt idx="1762">
                  <c:v>393.51662852784136</c:v>
                </c:pt>
                <c:pt idx="1763">
                  <c:v>389.46018306636159</c:v>
                </c:pt>
                <c:pt idx="1764">
                  <c:v>394.6478642257818</c:v>
                </c:pt>
                <c:pt idx="1765">
                  <c:v>391.16918382913815</c:v>
                </c:pt>
                <c:pt idx="1766">
                  <c:v>365.93821510297482</c:v>
                </c:pt>
                <c:pt idx="1767">
                  <c:v>359.72242562929051</c:v>
                </c:pt>
                <c:pt idx="1768">
                  <c:v>351.71395881006856</c:v>
                </c:pt>
                <c:pt idx="1769">
                  <c:v>351.26987032799394</c:v>
                </c:pt>
                <c:pt idx="1770">
                  <c:v>351.55228832951946</c:v>
                </c:pt>
                <c:pt idx="1771">
                  <c:v>352.19576659038893</c:v>
                </c:pt>
                <c:pt idx="1772">
                  <c:v>357.49984744469867</c:v>
                </c:pt>
                <c:pt idx="1773">
                  <c:v>359.8314263920671</c:v>
                </c:pt>
                <c:pt idx="1774">
                  <c:v>353.48604118993143</c:v>
                </c:pt>
                <c:pt idx="1775">
                  <c:v>354.82662090007625</c:v>
                </c:pt>
                <c:pt idx="1776">
                  <c:v>353.94233409610979</c:v>
                </c:pt>
                <c:pt idx="1777">
                  <c:v>348.92520976353933</c:v>
                </c:pt>
                <c:pt idx="1778">
                  <c:v>348.13578947368427</c:v>
                </c:pt>
                <c:pt idx="1779">
                  <c:v>342.21434019832191</c:v>
                </c:pt>
                <c:pt idx="1780">
                  <c:v>337.8235697940504</c:v>
                </c:pt>
                <c:pt idx="1781">
                  <c:v>336.462013729977</c:v>
                </c:pt>
                <c:pt idx="1782">
                  <c:v>335.75938215102968</c:v>
                </c:pt>
                <c:pt idx="1783">
                  <c:v>336.10125858123575</c:v>
                </c:pt>
                <c:pt idx="1784">
                  <c:v>335.49153318077799</c:v>
                </c:pt>
                <c:pt idx="1785">
                  <c:v>317.19951945080078</c:v>
                </c:pt>
                <c:pt idx="1786">
                  <c:v>310.036231884058</c:v>
                </c:pt>
                <c:pt idx="1787">
                  <c:v>289.59290617848967</c:v>
                </c:pt>
                <c:pt idx="1788">
                  <c:v>284.72669717772692</c:v>
                </c:pt>
                <c:pt idx="1789">
                  <c:v>277.74542334096111</c:v>
                </c:pt>
                <c:pt idx="1790">
                  <c:v>275.67299771167052</c:v>
                </c:pt>
                <c:pt idx="1791">
                  <c:v>278.87032799389777</c:v>
                </c:pt>
                <c:pt idx="1792">
                  <c:v>277.273760488177</c:v>
                </c:pt>
                <c:pt idx="1793">
                  <c:v>277.35823798627001</c:v>
                </c:pt>
                <c:pt idx="1794">
                  <c:v>278.24271548436303</c:v>
                </c:pt>
                <c:pt idx="1795">
                  <c:v>278.27719298245609</c:v>
                </c:pt>
                <c:pt idx="1796">
                  <c:v>266.13569794050341</c:v>
                </c:pt>
                <c:pt idx="1797">
                  <c:v>268.69679633867281</c:v>
                </c:pt>
                <c:pt idx="1798">
                  <c:v>268.3967963386728</c:v>
                </c:pt>
                <c:pt idx="1799">
                  <c:v>268.83897787948132</c:v>
                </c:pt>
                <c:pt idx="1800">
                  <c:v>265.78260869565213</c:v>
                </c:pt>
                <c:pt idx="1801">
                  <c:v>260.93592677345538</c:v>
                </c:pt>
                <c:pt idx="1802">
                  <c:v>264.55766590389015</c:v>
                </c:pt>
                <c:pt idx="1803">
                  <c:v>262.65964912280702</c:v>
                </c:pt>
                <c:pt idx="1804">
                  <c:v>252.92768878718539</c:v>
                </c:pt>
                <c:pt idx="1805">
                  <c:v>250.11581235697946</c:v>
                </c:pt>
                <c:pt idx="1806">
                  <c:v>248.40007627765058</c:v>
                </c:pt>
                <c:pt idx="1807">
                  <c:v>248.45934401220441</c:v>
                </c:pt>
                <c:pt idx="1808">
                  <c:v>235.61575133485886</c:v>
                </c:pt>
                <c:pt idx="1809">
                  <c:v>233.94988558352395</c:v>
                </c:pt>
                <c:pt idx="1810">
                  <c:v>240.22219679633866</c:v>
                </c:pt>
                <c:pt idx="1811">
                  <c:v>242.94363081617087</c:v>
                </c:pt>
                <c:pt idx="1812">
                  <c:v>243.15095347063314</c:v>
                </c:pt>
                <c:pt idx="1813">
                  <c:v>244.39565217391302</c:v>
                </c:pt>
                <c:pt idx="1814">
                  <c:v>241.7446224256293</c:v>
                </c:pt>
                <c:pt idx="1815">
                  <c:v>246.68733790999238</c:v>
                </c:pt>
                <c:pt idx="1816">
                  <c:v>269.9903890160183</c:v>
                </c:pt>
                <c:pt idx="1817">
                  <c:v>274.91784897025167</c:v>
                </c:pt>
                <c:pt idx="1818">
                  <c:v>268.58161708619372</c:v>
                </c:pt>
                <c:pt idx="1819">
                  <c:v>272.31392067124335</c:v>
                </c:pt>
                <c:pt idx="1820">
                  <c:v>278.79977116704799</c:v>
                </c:pt>
                <c:pt idx="1821">
                  <c:v>284.38237986270013</c:v>
                </c:pt>
                <c:pt idx="1822">
                  <c:v>283.94153318077798</c:v>
                </c:pt>
                <c:pt idx="1823">
                  <c:v>278.25293668954993</c:v>
                </c:pt>
                <c:pt idx="1824">
                  <c:v>276.3178489702517</c:v>
                </c:pt>
                <c:pt idx="1825">
                  <c:v>269.77894736842109</c:v>
                </c:pt>
                <c:pt idx="1826">
                  <c:v>274.2545385202136</c:v>
                </c:pt>
                <c:pt idx="1827">
                  <c:v>258.16666666666663</c:v>
                </c:pt>
                <c:pt idx="1828">
                  <c:v>238.90411899313506</c:v>
                </c:pt>
                <c:pt idx="1829">
                  <c:v>225.11842105263153</c:v>
                </c:pt>
                <c:pt idx="1830">
                  <c:v>229.46353928299007</c:v>
                </c:pt>
                <c:pt idx="1831">
                  <c:v>227.1425629290618</c:v>
                </c:pt>
                <c:pt idx="1832">
                  <c:v>223.13249427917623</c:v>
                </c:pt>
                <c:pt idx="1833">
                  <c:v>225.28558352402743</c:v>
                </c:pt>
                <c:pt idx="1834">
                  <c:v>225.4534706331045</c:v>
                </c:pt>
                <c:pt idx="1835">
                  <c:v>218.40850495804733</c:v>
                </c:pt>
                <c:pt idx="1836">
                  <c:v>208.67105263157896</c:v>
                </c:pt>
                <c:pt idx="1837">
                  <c:v>204.99954233409611</c:v>
                </c:pt>
                <c:pt idx="1838">
                  <c:v>209.03451563691837</c:v>
                </c:pt>
                <c:pt idx="1839">
                  <c:v>209.29092295957284</c:v>
                </c:pt>
                <c:pt idx="1840">
                  <c:v>211.54462242562934</c:v>
                </c:pt>
                <c:pt idx="1841">
                  <c:v>204.97894736842107</c:v>
                </c:pt>
                <c:pt idx="1842">
                  <c:v>215.76372997711664</c:v>
                </c:pt>
                <c:pt idx="1843">
                  <c:v>209.59763539282989</c:v>
                </c:pt>
                <c:pt idx="1844">
                  <c:v>195.81578947368419</c:v>
                </c:pt>
                <c:pt idx="1845">
                  <c:v>190.41430205949655</c:v>
                </c:pt>
                <c:pt idx="1846">
                  <c:v>188.12883295194507</c:v>
                </c:pt>
                <c:pt idx="1847">
                  <c:v>190.67604881769634</c:v>
                </c:pt>
                <c:pt idx="1848">
                  <c:v>188.59794050343245</c:v>
                </c:pt>
                <c:pt idx="1849">
                  <c:v>195.15331807780319</c:v>
                </c:pt>
                <c:pt idx="1850">
                  <c:v>199.75480549199085</c:v>
                </c:pt>
                <c:pt idx="1851">
                  <c:v>202.28745232646835</c:v>
                </c:pt>
                <c:pt idx="1852">
                  <c:v>198.30118230358508</c:v>
                </c:pt>
                <c:pt idx="1853">
                  <c:v>199.08913043478262</c:v>
                </c:pt>
                <c:pt idx="1854">
                  <c:v>194.62890922959576</c:v>
                </c:pt>
                <c:pt idx="1855">
                  <c:v>190.44786422578184</c:v>
                </c:pt>
                <c:pt idx="1856">
                  <c:v>190.59862700228831</c:v>
                </c:pt>
                <c:pt idx="1857">
                  <c:v>193.65560640732269</c:v>
                </c:pt>
                <c:pt idx="1858">
                  <c:v>192.91845919145689</c:v>
                </c:pt>
                <c:pt idx="1859">
                  <c:v>181.95568268497331</c:v>
                </c:pt>
                <c:pt idx="1860">
                  <c:v>181.51967963386727</c:v>
                </c:pt>
                <c:pt idx="1861">
                  <c:v>171.98070175438596</c:v>
                </c:pt>
                <c:pt idx="1862">
                  <c:v>173.31922196796339</c:v>
                </c:pt>
                <c:pt idx="1863">
                  <c:v>165.50701754385969</c:v>
                </c:pt>
                <c:pt idx="1864">
                  <c:v>157.41201372997713</c:v>
                </c:pt>
                <c:pt idx="1865">
                  <c:v>150.6538901601831</c:v>
                </c:pt>
                <c:pt idx="1866">
                  <c:v>155.50465293668955</c:v>
                </c:pt>
                <c:pt idx="1867">
                  <c:v>154.24420289855072</c:v>
                </c:pt>
                <c:pt idx="1868">
                  <c:v>157.43093058733794</c:v>
                </c:pt>
                <c:pt idx="1869">
                  <c:v>154.85434782608692</c:v>
                </c:pt>
                <c:pt idx="1870">
                  <c:v>158.92597254004576</c:v>
                </c:pt>
                <c:pt idx="1871">
                  <c:v>169.12833714721586</c:v>
                </c:pt>
                <c:pt idx="1872">
                  <c:v>180.3379862700229</c:v>
                </c:pt>
                <c:pt idx="1873">
                  <c:v>180.69233409610985</c:v>
                </c:pt>
                <c:pt idx="1874">
                  <c:v>173.88012967200612</c:v>
                </c:pt>
                <c:pt idx="1875">
                  <c:v>167.46472158657514</c:v>
                </c:pt>
                <c:pt idx="1876">
                  <c:v>169.67025171624715</c:v>
                </c:pt>
                <c:pt idx="1877">
                  <c:v>169.8368421052632</c:v>
                </c:pt>
                <c:pt idx="1878">
                  <c:v>163.57742181540797</c:v>
                </c:pt>
                <c:pt idx="1879">
                  <c:v>163.89126620900078</c:v>
                </c:pt>
                <c:pt idx="1880">
                  <c:v>168.59908466819226</c:v>
                </c:pt>
                <c:pt idx="1881">
                  <c:v>184.08493516399693</c:v>
                </c:pt>
                <c:pt idx="1882">
                  <c:v>201.05553012967198</c:v>
                </c:pt>
                <c:pt idx="1883">
                  <c:v>187.18680396643785</c:v>
                </c:pt>
                <c:pt idx="1884">
                  <c:v>181.96453089244852</c:v>
                </c:pt>
                <c:pt idx="1885">
                  <c:v>181.49183829138059</c:v>
                </c:pt>
                <c:pt idx="1886">
                  <c:v>165.99328756674296</c:v>
                </c:pt>
                <c:pt idx="1887">
                  <c:v>170.91151792524786</c:v>
                </c:pt>
                <c:pt idx="1888">
                  <c:v>168.12322654462241</c:v>
                </c:pt>
                <c:pt idx="1889">
                  <c:v>159.60922959572846</c:v>
                </c:pt>
                <c:pt idx="1890">
                  <c:v>160.1607932875668</c:v>
                </c:pt>
                <c:pt idx="1891">
                  <c:v>160.62219679633867</c:v>
                </c:pt>
                <c:pt idx="1892">
                  <c:v>158.89370709382149</c:v>
                </c:pt>
                <c:pt idx="1893">
                  <c:v>166.59557589626243</c:v>
                </c:pt>
                <c:pt idx="1894">
                  <c:v>167.96315789473687</c:v>
                </c:pt>
                <c:pt idx="1895">
                  <c:v>181.94130434782602</c:v>
                </c:pt>
                <c:pt idx="1896">
                  <c:v>186.41296720061024</c:v>
                </c:pt>
                <c:pt idx="1897">
                  <c:v>185.75213577421817</c:v>
                </c:pt>
                <c:pt idx="1898">
                  <c:v>192.55415713196038</c:v>
                </c:pt>
                <c:pt idx="1899">
                  <c:v>191.32231121281464</c:v>
                </c:pt>
                <c:pt idx="1900">
                  <c:v>190.48878718535462</c:v>
                </c:pt>
                <c:pt idx="1901">
                  <c:v>186.46872616323424</c:v>
                </c:pt>
                <c:pt idx="1902">
                  <c:v>180.65675057208242</c:v>
                </c:pt>
                <c:pt idx="1903">
                  <c:v>179.38727688787188</c:v>
                </c:pt>
                <c:pt idx="1904">
                  <c:v>174.26140350877196</c:v>
                </c:pt>
                <c:pt idx="1905">
                  <c:v>172.95804729214339</c:v>
                </c:pt>
                <c:pt idx="1906">
                  <c:v>170.5</c:v>
                </c:pt>
                <c:pt idx="1907">
                  <c:v>170.50000000000006</c:v>
                </c:pt>
                <c:pt idx="1908">
                  <c:v>165.95000000000002</c:v>
                </c:pt>
                <c:pt idx="1909">
                  <c:v>165.94999999999996</c:v>
                </c:pt>
                <c:pt idx="1910">
                  <c:v>166.40000000000003</c:v>
                </c:pt>
                <c:pt idx="1911">
                  <c:v>163.99999999999997</c:v>
                </c:pt>
                <c:pt idx="1912">
                  <c:v>149.18915537017728</c:v>
                </c:pt>
                <c:pt idx="1913">
                  <c:v>136.10312825860268</c:v>
                </c:pt>
                <c:pt idx="1914">
                  <c:v>138.38376433785191</c:v>
                </c:pt>
                <c:pt idx="1915">
                  <c:v>138.87247132429616</c:v>
                </c:pt>
                <c:pt idx="1916">
                  <c:v>142.09551616266944</c:v>
                </c:pt>
                <c:pt idx="1917">
                  <c:v>139.24087591240871</c:v>
                </c:pt>
                <c:pt idx="1918">
                  <c:v>144.6648592283629</c:v>
                </c:pt>
                <c:pt idx="1919">
                  <c:v>145.22286757038583</c:v>
                </c:pt>
                <c:pt idx="1920">
                  <c:v>147.97888425443173</c:v>
                </c:pt>
                <c:pt idx="1921">
                  <c:v>149.89165797705942</c:v>
                </c:pt>
                <c:pt idx="1922">
                  <c:v>153.12601668404594</c:v>
                </c:pt>
                <c:pt idx="1923">
                  <c:v>153.05505735140767</c:v>
                </c:pt>
                <c:pt idx="1924">
                  <c:v>157.50229405630867</c:v>
                </c:pt>
                <c:pt idx="1925">
                  <c:v>157.91991657977059</c:v>
                </c:pt>
                <c:pt idx="1926">
                  <c:v>157.19098018769557</c:v>
                </c:pt>
                <c:pt idx="1927">
                  <c:v>167.49885297184568</c:v>
                </c:pt>
                <c:pt idx="1928">
                  <c:v>168.59301355578731</c:v>
                </c:pt>
                <c:pt idx="1929">
                  <c:v>166.82580813347238</c:v>
                </c:pt>
                <c:pt idx="1930">
                  <c:v>168.26339937434827</c:v>
                </c:pt>
                <c:pt idx="1931">
                  <c:v>167.65182481751825</c:v>
                </c:pt>
                <c:pt idx="1932">
                  <c:v>169.51319082377472</c:v>
                </c:pt>
                <c:pt idx="1933">
                  <c:v>174.21251303441088</c:v>
                </c:pt>
                <c:pt idx="1934">
                  <c:v>177.65271115745566</c:v>
                </c:pt>
                <c:pt idx="1935">
                  <c:v>189.31392075078205</c:v>
                </c:pt>
                <c:pt idx="1936">
                  <c:v>183.81757038581856</c:v>
                </c:pt>
                <c:pt idx="1937">
                  <c:v>171.0005213764338</c:v>
                </c:pt>
                <c:pt idx="1938">
                  <c:v>168.37622523461937</c:v>
                </c:pt>
                <c:pt idx="1939">
                  <c:v>168.69880083420233</c:v>
                </c:pt>
                <c:pt idx="1940">
                  <c:v>174.7785714285715</c:v>
                </c:pt>
                <c:pt idx="1941">
                  <c:v>177.58339937434829</c:v>
                </c:pt>
                <c:pt idx="1942">
                  <c:v>179.05203336809183</c:v>
                </c:pt>
                <c:pt idx="1943">
                  <c:v>175.37997914494261</c:v>
                </c:pt>
                <c:pt idx="1944">
                  <c:v>176.64744525547442</c:v>
                </c:pt>
                <c:pt idx="1945">
                  <c:v>171.86449426485922</c:v>
                </c:pt>
                <c:pt idx="1946">
                  <c:v>175.60818561001042</c:v>
                </c:pt>
                <c:pt idx="1947">
                  <c:v>175.07127215849843</c:v>
                </c:pt>
                <c:pt idx="1948">
                  <c:v>177.64760166840463</c:v>
                </c:pt>
                <c:pt idx="1949">
                  <c:v>171.20109489051097</c:v>
                </c:pt>
                <c:pt idx="1950">
                  <c:v>181.74942648592284</c:v>
                </c:pt>
                <c:pt idx="1951">
                  <c:v>192.74989572471327</c:v>
                </c:pt>
                <c:pt idx="1952">
                  <c:v>186.86459854014603</c:v>
                </c:pt>
                <c:pt idx="1953">
                  <c:v>184.48905109489053</c:v>
                </c:pt>
                <c:pt idx="1954">
                  <c:v>192.99869655891553</c:v>
                </c:pt>
                <c:pt idx="1955">
                  <c:v>197.04139728884257</c:v>
                </c:pt>
                <c:pt idx="1956">
                  <c:v>198.06715328467155</c:v>
                </c:pt>
                <c:pt idx="1957">
                  <c:v>191.35291970802919</c:v>
                </c:pt>
                <c:pt idx="1958">
                  <c:v>185.84025026068824</c:v>
                </c:pt>
                <c:pt idx="1959">
                  <c:v>184.05464025026063</c:v>
                </c:pt>
                <c:pt idx="1960">
                  <c:v>177.18753910323258</c:v>
                </c:pt>
                <c:pt idx="1961">
                  <c:v>180.76600625651716</c:v>
                </c:pt>
                <c:pt idx="1962">
                  <c:v>174.9167883211679</c:v>
                </c:pt>
                <c:pt idx="1963">
                  <c:v>175.66538060479667</c:v>
                </c:pt>
                <c:pt idx="1964">
                  <c:v>174.93899895724712</c:v>
                </c:pt>
                <c:pt idx="1965">
                  <c:v>171.50948905109487</c:v>
                </c:pt>
                <c:pt idx="1966">
                  <c:v>173.17361835245046</c:v>
                </c:pt>
                <c:pt idx="1967">
                  <c:v>165.25875912408756</c:v>
                </c:pt>
                <c:pt idx="1968">
                  <c:v>161.27612095933262</c:v>
                </c:pt>
                <c:pt idx="1969">
                  <c:v>151.95557872784147</c:v>
                </c:pt>
                <c:pt idx="1970">
                  <c:v>156.55698644421275</c:v>
                </c:pt>
                <c:pt idx="1971">
                  <c:v>155.95672575599585</c:v>
                </c:pt>
                <c:pt idx="1972">
                  <c:v>157.01704900938481</c:v>
                </c:pt>
                <c:pt idx="1973">
                  <c:v>158.50729927007299</c:v>
                </c:pt>
                <c:pt idx="1974">
                  <c:v>157.32778936392072</c:v>
                </c:pt>
                <c:pt idx="1975">
                  <c:v>149.09973931178311</c:v>
                </c:pt>
                <c:pt idx="1976">
                  <c:v>148.49144942648596</c:v>
                </c:pt>
                <c:pt idx="1977">
                  <c:v>145.04786235662147</c:v>
                </c:pt>
                <c:pt idx="1978">
                  <c:v>141.80000000000001</c:v>
                </c:pt>
                <c:pt idx="1979">
                  <c:v>144.74834912431811</c:v>
                </c:pt>
                <c:pt idx="1980">
                  <c:v>145.04589009599351</c:v>
                </c:pt>
                <c:pt idx="1981">
                  <c:v>143.99759192128431</c:v>
                </c:pt>
                <c:pt idx="1982">
                  <c:v>146.1925714285714</c:v>
                </c:pt>
                <c:pt idx="1983">
                  <c:v>145.38740105159764</c:v>
                </c:pt>
                <c:pt idx="1984">
                  <c:v>145.18151425762042</c:v>
                </c:pt>
                <c:pt idx="1985">
                  <c:v>145.68181818181816</c:v>
                </c:pt>
                <c:pt idx="1986">
                  <c:v>142.24385026737966</c:v>
                </c:pt>
                <c:pt idx="1987">
                  <c:v>142.69224598930487</c:v>
                </c:pt>
                <c:pt idx="1988">
                  <c:v>140.89893048128343</c:v>
                </c:pt>
                <c:pt idx="1989">
                  <c:v>137.23042780748662</c:v>
                </c:pt>
                <c:pt idx="1990">
                  <c:v>139.21301247771839</c:v>
                </c:pt>
                <c:pt idx="1991">
                  <c:v>141.07878787878792</c:v>
                </c:pt>
                <c:pt idx="1992">
                  <c:v>159.90204991087344</c:v>
                </c:pt>
                <c:pt idx="1993">
                  <c:v>155.572192513369</c:v>
                </c:pt>
                <c:pt idx="1994">
                  <c:v>142.7376470588236</c:v>
                </c:pt>
                <c:pt idx="1995">
                  <c:v>139.93146167557933</c:v>
                </c:pt>
                <c:pt idx="1996">
                  <c:v>137.44705882352943</c:v>
                </c:pt>
                <c:pt idx="1997">
                  <c:v>135.29625668449196</c:v>
                </c:pt>
                <c:pt idx="1998">
                  <c:v>134.70320855614975</c:v>
                </c:pt>
                <c:pt idx="1999">
                  <c:v>139.07361853832444</c:v>
                </c:pt>
                <c:pt idx="2000">
                  <c:v>134.34117647058821</c:v>
                </c:pt>
                <c:pt idx="2001">
                  <c:v>139.66648841354723</c:v>
                </c:pt>
                <c:pt idx="2002">
                  <c:v>142.91515151515154</c:v>
                </c:pt>
                <c:pt idx="2003">
                  <c:v>148.89162210338679</c:v>
                </c:pt>
                <c:pt idx="2004">
                  <c:v>160.94999999999999</c:v>
                </c:pt>
                <c:pt idx="2005">
                  <c:v>170.45000000000002</c:v>
                </c:pt>
                <c:pt idx="2006">
                  <c:v>163.29999999999998</c:v>
                </c:pt>
                <c:pt idx="2007">
                  <c:v>168.25</c:v>
                </c:pt>
                <c:pt idx="2008">
                  <c:v>177.43</c:v>
                </c:pt>
                <c:pt idx="2009">
                  <c:v>173.29999999999998</c:v>
                </c:pt>
                <c:pt idx="2010">
                  <c:v>165.29999999999995</c:v>
                </c:pt>
                <c:pt idx="2011">
                  <c:v>166.54385026737972</c:v>
                </c:pt>
                <c:pt idx="2012">
                  <c:v>168.24165775401073</c:v>
                </c:pt>
                <c:pt idx="2013">
                  <c:v>171.41586452762925</c:v>
                </c:pt>
                <c:pt idx="2014">
                  <c:v>172.56363636363636</c:v>
                </c:pt>
                <c:pt idx="2015">
                  <c:v>177.49090909090904</c:v>
                </c:pt>
                <c:pt idx="2016">
                  <c:v>173.30181818181822</c:v>
                </c:pt>
                <c:pt idx="2017">
                  <c:v>172.2112299465241</c:v>
                </c:pt>
                <c:pt idx="2018">
                  <c:v>173.4549019607843</c:v>
                </c:pt>
                <c:pt idx="2019">
                  <c:v>166.66652406417111</c:v>
                </c:pt>
                <c:pt idx="2020">
                  <c:v>162.20128342245988</c:v>
                </c:pt>
                <c:pt idx="2021">
                  <c:v>163.75739750445629</c:v>
                </c:pt>
                <c:pt idx="2022">
                  <c:v>161.47730837789663</c:v>
                </c:pt>
                <c:pt idx="2023">
                  <c:v>160.94875222816401</c:v>
                </c:pt>
                <c:pt idx="2024">
                  <c:v>159.05026737967913</c:v>
                </c:pt>
                <c:pt idx="2025">
                  <c:v>159.74825311942956</c:v>
                </c:pt>
                <c:pt idx="2026">
                  <c:v>160.5563279857397</c:v>
                </c:pt>
                <c:pt idx="2027">
                  <c:v>157.32272727272729</c:v>
                </c:pt>
                <c:pt idx="2028">
                  <c:v>152.52967914438503</c:v>
                </c:pt>
                <c:pt idx="2029">
                  <c:v>151.87049910873441</c:v>
                </c:pt>
                <c:pt idx="2030">
                  <c:v>151.8891622103387</c:v>
                </c:pt>
                <c:pt idx="2031">
                  <c:v>150.779679144385</c:v>
                </c:pt>
                <c:pt idx="2032">
                  <c:v>139.16684491978612</c:v>
                </c:pt>
                <c:pt idx="2033">
                  <c:v>137.30623885918004</c:v>
                </c:pt>
                <c:pt idx="2034">
                  <c:v>139.47254901960784</c:v>
                </c:pt>
                <c:pt idx="2035">
                  <c:v>135.66122994652412</c:v>
                </c:pt>
                <c:pt idx="2036">
                  <c:v>125.41354723707664</c:v>
                </c:pt>
                <c:pt idx="2037">
                  <c:v>112.4879679144385</c:v>
                </c:pt>
                <c:pt idx="2038">
                  <c:v>113.13461675579322</c:v>
                </c:pt>
                <c:pt idx="2039">
                  <c:v>112.64465240641711</c:v>
                </c:pt>
                <c:pt idx="2040">
                  <c:v>111.66969696969694</c:v>
                </c:pt>
                <c:pt idx="2041">
                  <c:v>108.27798573975046</c:v>
                </c:pt>
                <c:pt idx="2042">
                  <c:v>114.62771836007128</c:v>
                </c:pt>
                <c:pt idx="2043">
                  <c:v>118.29438502673794</c:v>
                </c:pt>
                <c:pt idx="2044">
                  <c:v>125.58065953654193</c:v>
                </c:pt>
                <c:pt idx="2045">
                  <c:v>134.20187165775405</c:v>
                </c:pt>
                <c:pt idx="2046">
                  <c:v>143.01764705882351</c:v>
                </c:pt>
                <c:pt idx="2047">
                  <c:v>144.53288770053479</c:v>
                </c:pt>
                <c:pt idx="2048">
                  <c:v>156.29126559714794</c:v>
                </c:pt>
                <c:pt idx="2049">
                  <c:v>142.8065418894831</c:v>
                </c:pt>
                <c:pt idx="2050">
                  <c:v>130.84411764705879</c:v>
                </c:pt>
                <c:pt idx="2051">
                  <c:v>128.5650623885918</c:v>
                </c:pt>
                <c:pt idx="2052">
                  <c:v>128.90757575757578</c:v>
                </c:pt>
                <c:pt idx="2053">
                  <c:v>133.22397504456328</c:v>
                </c:pt>
                <c:pt idx="2054">
                  <c:v>137.88048128342243</c:v>
                </c:pt>
                <c:pt idx="2055">
                  <c:v>137.91791443850263</c:v>
                </c:pt>
                <c:pt idx="2056">
                  <c:v>138.05534759358287</c:v>
                </c:pt>
                <c:pt idx="2057">
                  <c:v>137.22647058823526</c:v>
                </c:pt>
                <c:pt idx="2058">
                  <c:v>139.09679144385024</c:v>
                </c:pt>
                <c:pt idx="2059">
                  <c:v>143.65508021390372</c:v>
                </c:pt>
                <c:pt idx="2060">
                  <c:v>143.69251336898395</c:v>
                </c:pt>
                <c:pt idx="2061">
                  <c:v>136.7285204991087</c:v>
                </c:pt>
                <c:pt idx="2062">
                  <c:v>126.121568627451</c:v>
                </c:pt>
                <c:pt idx="2063">
                  <c:v>131.01283422459892</c:v>
                </c:pt>
                <c:pt idx="2064">
                  <c:v>131.25850267379678</c:v>
                </c:pt>
                <c:pt idx="2065">
                  <c:v>129.33333333333334</c:v>
                </c:pt>
                <c:pt idx="2066">
                  <c:v>132.28449197860962</c:v>
                </c:pt>
                <c:pt idx="2067">
                  <c:v>134.16657754010694</c:v>
                </c:pt>
                <c:pt idx="2068">
                  <c:v>129.15909090909091</c:v>
                </c:pt>
                <c:pt idx="2069">
                  <c:v>122.87370766488411</c:v>
                </c:pt>
                <c:pt idx="2070">
                  <c:v>123.24625668449194</c:v>
                </c:pt>
                <c:pt idx="2071">
                  <c:v>115.56720142602495</c:v>
                </c:pt>
                <c:pt idx="2072">
                  <c:v>116.1187165775401</c:v>
                </c:pt>
                <c:pt idx="2073">
                  <c:v>112.99379679144384</c:v>
                </c:pt>
                <c:pt idx="2074">
                  <c:v>105.81176470588237</c:v>
                </c:pt>
                <c:pt idx="2075">
                  <c:v>95.604901960784332</c:v>
                </c:pt>
                <c:pt idx="2076">
                  <c:v>79.220142602495528</c:v>
                </c:pt>
                <c:pt idx="2077">
                  <c:v>70.644563279857408</c:v>
                </c:pt>
                <c:pt idx="2078">
                  <c:v>75.475401069518696</c:v>
                </c:pt>
                <c:pt idx="2079">
                  <c:v>83.412121212121249</c:v>
                </c:pt>
                <c:pt idx="2080">
                  <c:v>80.442602495543682</c:v>
                </c:pt>
                <c:pt idx="2081">
                  <c:v>85.648663101604271</c:v>
                </c:pt>
                <c:pt idx="2082">
                  <c:v>84.635686274509794</c:v>
                </c:pt>
                <c:pt idx="2083">
                  <c:v>81.145989304812829</c:v>
                </c:pt>
                <c:pt idx="2084">
                  <c:v>79.75918003565063</c:v>
                </c:pt>
                <c:pt idx="2085">
                  <c:v>80.240641711229955</c:v>
                </c:pt>
                <c:pt idx="2086">
                  <c:v>76.424064171123007</c:v>
                </c:pt>
                <c:pt idx="2087">
                  <c:v>80.53368983957219</c:v>
                </c:pt>
                <c:pt idx="2088">
                  <c:v>83.99875222816398</c:v>
                </c:pt>
                <c:pt idx="2089">
                  <c:v>84.772139037433178</c:v>
                </c:pt>
                <c:pt idx="2090">
                  <c:v>86.181818181818201</c:v>
                </c:pt>
                <c:pt idx="2091">
                  <c:v>83.917647058823519</c:v>
                </c:pt>
                <c:pt idx="2092">
                  <c:v>86.665062388591792</c:v>
                </c:pt>
                <c:pt idx="2093">
                  <c:v>83.451782531194297</c:v>
                </c:pt>
                <c:pt idx="2094">
                  <c:v>84.851871657754018</c:v>
                </c:pt>
                <c:pt idx="2095">
                  <c:v>81.187878787878816</c:v>
                </c:pt>
                <c:pt idx="2096">
                  <c:v>79.944206773618561</c:v>
                </c:pt>
                <c:pt idx="2097">
                  <c:v>76.639875222816414</c:v>
                </c:pt>
                <c:pt idx="2098">
                  <c:v>72.487647058823512</c:v>
                </c:pt>
                <c:pt idx="2099">
                  <c:v>64.676114081996417</c:v>
                </c:pt>
                <c:pt idx="2100">
                  <c:v>60.797860962566851</c:v>
                </c:pt>
                <c:pt idx="2101">
                  <c:v>55.588770053475962</c:v>
                </c:pt>
                <c:pt idx="2102">
                  <c:v>43.423529411764711</c:v>
                </c:pt>
                <c:pt idx="2103">
                  <c:v>43.65235294117646</c:v>
                </c:pt>
                <c:pt idx="2104">
                  <c:v>41.626024955436726</c:v>
                </c:pt>
                <c:pt idx="2105">
                  <c:v>35.52352941176472</c:v>
                </c:pt>
                <c:pt idx="2106">
                  <c:v>20.49224598930482</c:v>
                </c:pt>
                <c:pt idx="2107">
                  <c:v>24.410374331550795</c:v>
                </c:pt>
                <c:pt idx="2108">
                  <c:v>28.425222816399295</c:v>
                </c:pt>
                <c:pt idx="2109">
                  <c:v>30.228877005347613</c:v>
                </c:pt>
                <c:pt idx="2110">
                  <c:v>20.306631016042772</c:v>
                </c:pt>
                <c:pt idx="2111">
                  <c:v>22.552584670231731</c:v>
                </c:pt>
                <c:pt idx="2112">
                  <c:v>22.616666666666653</c:v>
                </c:pt>
                <c:pt idx="2113">
                  <c:v>31.520855614973257</c:v>
                </c:pt>
                <c:pt idx="2114">
                  <c:v>46.060160427807489</c:v>
                </c:pt>
                <c:pt idx="2115">
                  <c:v>54.985026737967921</c:v>
                </c:pt>
                <c:pt idx="2116">
                  <c:v>57.766488413547243</c:v>
                </c:pt>
                <c:pt idx="2117">
                  <c:v>54.811408199643509</c:v>
                </c:pt>
                <c:pt idx="2118">
                  <c:v>55.718716577540121</c:v>
                </c:pt>
                <c:pt idx="2119">
                  <c:v>56.961764705882366</c:v>
                </c:pt>
                <c:pt idx="2120">
                  <c:v>65.579946524064169</c:v>
                </c:pt>
                <c:pt idx="2121">
                  <c:v>61.317647058823539</c:v>
                </c:pt>
                <c:pt idx="2122">
                  <c:v>60.599465240641706</c:v>
                </c:pt>
                <c:pt idx="2123">
                  <c:v>62.3</c:v>
                </c:pt>
                <c:pt idx="2124">
                  <c:v>52.482976827094468</c:v>
                </c:pt>
                <c:pt idx="2125">
                  <c:v>52.34028520499109</c:v>
                </c:pt>
                <c:pt idx="2126">
                  <c:v>51.613636363636374</c:v>
                </c:pt>
                <c:pt idx="2127">
                  <c:v>51.68368983957221</c:v>
                </c:pt>
                <c:pt idx="2128">
                  <c:v>52.665508021390394</c:v>
                </c:pt>
                <c:pt idx="2129">
                  <c:v>51.7098039215686</c:v>
                </c:pt>
                <c:pt idx="2130">
                  <c:v>53.729946524064161</c:v>
                </c:pt>
                <c:pt idx="2131">
                  <c:v>52.262923351158634</c:v>
                </c:pt>
                <c:pt idx="2132">
                  <c:v>54.063101604278089</c:v>
                </c:pt>
                <c:pt idx="2133">
                  <c:v>56.462388591800355</c:v>
                </c:pt>
                <c:pt idx="2134">
                  <c:v>62.512299465240631</c:v>
                </c:pt>
                <c:pt idx="2135">
                  <c:v>63.90303030303032</c:v>
                </c:pt>
                <c:pt idx="2136">
                  <c:v>68.968805704099807</c:v>
                </c:pt>
                <c:pt idx="2137">
                  <c:v>69.309090909090912</c:v>
                </c:pt>
                <c:pt idx="2138">
                  <c:v>67.911229946524088</c:v>
                </c:pt>
                <c:pt idx="2139">
                  <c:v>64.830303030303014</c:v>
                </c:pt>
                <c:pt idx="2140">
                  <c:v>67.010873440285195</c:v>
                </c:pt>
                <c:pt idx="2141">
                  <c:v>70.11336898395723</c:v>
                </c:pt>
                <c:pt idx="2142">
                  <c:v>69.767914438502658</c:v>
                </c:pt>
                <c:pt idx="2143">
                  <c:v>67.14135472370765</c:v>
                </c:pt>
                <c:pt idx="2144">
                  <c:v>65.985739750445646</c:v>
                </c:pt>
                <c:pt idx="2145">
                  <c:v>58.655294117647067</c:v>
                </c:pt>
                <c:pt idx="2146">
                  <c:v>62.946702317290558</c:v>
                </c:pt>
                <c:pt idx="2147">
                  <c:v>54.068306595365428</c:v>
                </c:pt>
                <c:pt idx="2148">
                  <c:v>48.613279857397508</c:v>
                </c:pt>
                <c:pt idx="2149">
                  <c:v>63.023208556149733</c:v>
                </c:pt>
                <c:pt idx="2150">
                  <c:v>83.496969696969671</c:v>
                </c:pt>
                <c:pt idx="2151">
                  <c:v>79.578609625668435</c:v>
                </c:pt>
                <c:pt idx="2152">
                  <c:v>76.261764705882356</c:v>
                </c:pt>
                <c:pt idx="2153">
                  <c:v>80.531550802139037</c:v>
                </c:pt>
                <c:pt idx="2154">
                  <c:v>71.623351158645306</c:v>
                </c:pt>
                <c:pt idx="2155">
                  <c:v>73.354937611408204</c:v>
                </c:pt>
                <c:pt idx="2156">
                  <c:v>76.116577540106945</c:v>
                </c:pt>
                <c:pt idx="2157">
                  <c:v>77.926737967914434</c:v>
                </c:pt>
                <c:pt idx="2158">
                  <c:v>72.337789661319093</c:v>
                </c:pt>
                <c:pt idx="2159">
                  <c:v>77.01639928698755</c:v>
                </c:pt>
                <c:pt idx="2160">
                  <c:v>78.987967914438499</c:v>
                </c:pt>
                <c:pt idx="2161">
                  <c:v>81.594117647058781</c:v>
                </c:pt>
                <c:pt idx="2162">
                  <c:v>81.342959001782532</c:v>
                </c:pt>
                <c:pt idx="2163">
                  <c:v>92.558823529411782</c:v>
                </c:pt>
                <c:pt idx="2164">
                  <c:v>90.272192513368964</c:v>
                </c:pt>
                <c:pt idx="2165">
                  <c:v>91.806149732620312</c:v>
                </c:pt>
                <c:pt idx="2166">
                  <c:v>98.761871657754014</c:v>
                </c:pt>
                <c:pt idx="2167">
                  <c:v>96.978752228163984</c:v>
                </c:pt>
                <c:pt idx="2168">
                  <c:v>102.26381461675581</c:v>
                </c:pt>
                <c:pt idx="2169">
                  <c:v>85.399411764705903</c:v>
                </c:pt>
                <c:pt idx="2170">
                  <c:v>97.929269162210346</c:v>
                </c:pt>
                <c:pt idx="2171">
                  <c:v>101.03417112299464</c:v>
                </c:pt>
                <c:pt idx="2172">
                  <c:v>105.57522281639932</c:v>
                </c:pt>
                <c:pt idx="2173">
                  <c:v>106.23208556149734</c:v>
                </c:pt>
                <c:pt idx="2174">
                  <c:v>110.56987522281636</c:v>
                </c:pt>
                <c:pt idx="2175">
                  <c:v>114.73818181818184</c:v>
                </c:pt>
                <c:pt idx="2176">
                  <c:v>119.97647058823524</c:v>
                </c:pt>
                <c:pt idx="2177">
                  <c:v>141.30106951871662</c:v>
                </c:pt>
                <c:pt idx="2178">
                  <c:v>155.17338680926915</c:v>
                </c:pt>
                <c:pt idx="2179">
                  <c:v>151.87502673796794</c:v>
                </c:pt>
                <c:pt idx="2180">
                  <c:v>138.18716577540107</c:v>
                </c:pt>
                <c:pt idx="2181">
                  <c:v>135.05039215686276</c:v>
                </c:pt>
                <c:pt idx="2182">
                  <c:v>105.93026737967917</c:v>
                </c:pt>
                <c:pt idx="2183">
                  <c:v>104.39472370766488</c:v>
                </c:pt>
                <c:pt idx="2184">
                  <c:v>107.83930481283421</c:v>
                </c:pt>
                <c:pt idx="2185">
                  <c:v>108.25882352941173</c:v>
                </c:pt>
                <c:pt idx="2186">
                  <c:v>99.65099821746881</c:v>
                </c:pt>
                <c:pt idx="2187">
                  <c:v>136.696256684492</c:v>
                </c:pt>
                <c:pt idx="2188">
                  <c:v>127.53743315508025</c:v>
                </c:pt>
                <c:pt idx="2189">
                  <c:v>116.37843137254906</c:v>
                </c:pt>
                <c:pt idx="2190">
                  <c:v>117.28666666666669</c:v>
                </c:pt>
                <c:pt idx="2191">
                  <c:v>119.54331550802137</c:v>
                </c:pt>
                <c:pt idx="2192">
                  <c:v>126.2164705882353</c:v>
                </c:pt>
                <c:pt idx="2193">
                  <c:v>130.97499108734402</c:v>
                </c:pt>
                <c:pt idx="2194">
                  <c:v>124.13570409982177</c:v>
                </c:pt>
                <c:pt idx="2195">
                  <c:v>110.84385026737965</c:v>
                </c:pt>
                <c:pt idx="2196">
                  <c:v>93.960071301247766</c:v>
                </c:pt>
                <c:pt idx="2197">
                  <c:v>93.641568627450994</c:v>
                </c:pt>
                <c:pt idx="2198">
                  <c:v>97.455971479500874</c:v>
                </c:pt>
                <c:pt idx="2199">
                  <c:v>101.63181818181818</c:v>
                </c:pt>
                <c:pt idx="2200">
                  <c:v>93.429269162210332</c:v>
                </c:pt>
                <c:pt idx="2201">
                  <c:v>93.476470588235316</c:v>
                </c:pt>
                <c:pt idx="2202">
                  <c:v>99.308021390374321</c:v>
                </c:pt>
                <c:pt idx="2203">
                  <c:v>102.12406417112301</c:v>
                </c:pt>
                <c:pt idx="2204">
                  <c:v>102.60864527629232</c:v>
                </c:pt>
                <c:pt idx="2205">
                  <c:v>101.20998217468808</c:v>
                </c:pt>
                <c:pt idx="2206">
                  <c:v>104.38684491978607</c:v>
                </c:pt>
                <c:pt idx="2207">
                  <c:v>107.37058823529412</c:v>
                </c:pt>
                <c:pt idx="2208">
                  <c:v>111.10000000000002</c:v>
                </c:pt>
                <c:pt idx="2209">
                  <c:v>107.42148760330579</c:v>
                </c:pt>
                <c:pt idx="2210">
                  <c:v>112.75884297520662</c:v>
                </c:pt>
                <c:pt idx="2211">
                  <c:v>111.85206611570247</c:v>
                </c:pt>
                <c:pt idx="2212">
                  <c:v>113.04669421487607</c:v>
                </c:pt>
                <c:pt idx="2213">
                  <c:v>107.76115702479338</c:v>
                </c:pt>
                <c:pt idx="2214">
                  <c:v>102.49669421487602</c:v>
                </c:pt>
                <c:pt idx="2215">
                  <c:v>105.2479338842975</c:v>
                </c:pt>
                <c:pt idx="2216">
                  <c:v>109.48429752066112</c:v>
                </c:pt>
                <c:pt idx="2217">
                  <c:v>105.27190082644628</c:v>
                </c:pt>
                <c:pt idx="2218">
                  <c:v>105.73512396694215</c:v>
                </c:pt>
                <c:pt idx="2219">
                  <c:v>106.48760330578511</c:v>
                </c:pt>
                <c:pt idx="2220">
                  <c:v>102.42066115702478</c:v>
                </c:pt>
                <c:pt idx="2221">
                  <c:v>96.708264462809936</c:v>
                </c:pt>
                <c:pt idx="2222">
                  <c:v>90.359504132231393</c:v>
                </c:pt>
                <c:pt idx="2223">
                  <c:v>89.394214876033047</c:v>
                </c:pt>
                <c:pt idx="2224">
                  <c:v>92.198347107438039</c:v>
                </c:pt>
                <c:pt idx="2225">
                  <c:v>96.554545454545433</c:v>
                </c:pt>
                <c:pt idx="2226">
                  <c:v>97.728925619834698</c:v>
                </c:pt>
                <c:pt idx="2227">
                  <c:v>102.20991735537189</c:v>
                </c:pt>
                <c:pt idx="2228">
                  <c:v>96.39917355371901</c:v>
                </c:pt>
                <c:pt idx="2229">
                  <c:v>101.02975206611572</c:v>
                </c:pt>
                <c:pt idx="2230">
                  <c:v>97.370661157024799</c:v>
                </c:pt>
                <c:pt idx="2231">
                  <c:v>94.47685950413225</c:v>
                </c:pt>
                <c:pt idx="2232">
                  <c:v>92.459504132231388</c:v>
                </c:pt>
                <c:pt idx="2233">
                  <c:v>91.690909090909031</c:v>
                </c:pt>
                <c:pt idx="2234">
                  <c:v>95.045867768595045</c:v>
                </c:pt>
                <c:pt idx="2235">
                  <c:v>97.499173553719004</c:v>
                </c:pt>
                <c:pt idx="2236">
                  <c:v>97.59297520661157</c:v>
                </c:pt>
                <c:pt idx="2237">
                  <c:v>95.547107438016525</c:v>
                </c:pt>
                <c:pt idx="2238">
                  <c:v>92.12066115702477</c:v>
                </c:pt>
                <c:pt idx="2239">
                  <c:v>88.423140495867798</c:v>
                </c:pt>
                <c:pt idx="2240">
                  <c:v>90.861983471074424</c:v>
                </c:pt>
                <c:pt idx="2241">
                  <c:v>94.259090909090901</c:v>
                </c:pt>
                <c:pt idx="2242">
                  <c:v>94.231818181818198</c:v>
                </c:pt>
                <c:pt idx="2243">
                  <c:v>85.328512396694222</c:v>
                </c:pt>
                <c:pt idx="2244">
                  <c:v>85.424793388429762</c:v>
                </c:pt>
                <c:pt idx="2245">
                  <c:v>82.243801652892557</c:v>
                </c:pt>
                <c:pt idx="2246">
                  <c:v>82.076859504132244</c:v>
                </c:pt>
                <c:pt idx="2247">
                  <c:v>78.383471074380154</c:v>
                </c:pt>
                <c:pt idx="2248">
                  <c:v>83.962809917355401</c:v>
                </c:pt>
                <c:pt idx="2249">
                  <c:v>82.927272727272722</c:v>
                </c:pt>
                <c:pt idx="2250">
                  <c:v>83.952066115702465</c:v>
                </c:pt>
                <c:pt idx="2251">
                  <c:v>83.314049586776861</c:v>
                </c:pt>
                <c:pt idx="2252">
                  <c:v>87.383305785123952</c:v>
                </c:pt>
                <c:pt idx="2253">
                  <c:v>90.070247933884289</c:v>
                </c:pt>
                <c:pt idx="2254">
                  <c:v>88.486363636363663</c:v>
                </c:pt>
                <c:pt idx="2255">
                  <c:v>88.530165289256203</c:v>
                </c:pt>
                <c:pt idx="2256">
                  <c:v>88.471074380165291</c:v>
                </c:pt>
                <c:pt idx="2257">
                  <c:v>83.145454545454527</c:v>
                </c:pt>
                <c:pt idx="2258">
                  <c:v>81.150413223140504</c:v>
                </c:pt>
                <c:pt idx="2259">
                  <c:v>81.136776859504138</c:v>
                </c:pt>
                <c:pt idx="2260">
                  <c:v>78.849999999999994</c:v>
                </c:pt>
                <c:pt idx="2261">
                  <c:v>76.604545454545473</c:v>
                </c:pt>
                <c:pt idx="2262">
                  <c:v>81.396694214876007</c:v>
                </c:pt>
                <c:pt idx="2263">
                  <c:v>78.354132231404989</c:v>
                </c:pt>
                <c:pt idx="2264">
                  <c:v>81.680165289256166</c:v>
                </c:pt>
                <c:pt idx="2265">
                  <c:v>80.518181818181802</c:v>
                </c:pt>
                <c:pt idx="2266">
                  <c:v>80.597520661156992</c:v>
                </c:pt>
                <c:pt idx="2267">
                  <c:v>75.346280991735526</c:v>
                </c:pt>
                <c:pt idx="2268">
                  <c:v>74.01735537190082</c:v>
                </c:pt>
                <c:pt idx="2269">
                  <c:v>78.526859504132275</c:v>
                </c:pt>
                <c:pt idx="2270">
                  <c:v>75.957024793388399</c:v>
                </c:pt>
                <c:pt idx="2271">
                  <c:v>72.352892561983438</c:v>
                </c:pt>
                <c:pt idx="2272">
                  <c:v>76.054545454545448</c:v>
                </c:pt>
                <c:pt idx="2273">
                  <c:v>79.089669421487599</c:v>
                </c:pt>
                <c:pt idx="2274">
                  <c:v>70.740909090909085</c:v>
                </c:pt>
                <c:pt idx="2275">
                  <c:v>68.772314049586768</c:v>
                </c:pt>
                <c:pt idx="2276">
                  <c:v>71.531404958677712</c:v>
                </c:pt>
                <c:pt idx="2277">
                  <c:v>69.140909090909091</c:v>
                </c:pt>
                <c:pt idx="2278">
                  <c:v>66.858264462809913</c:v>
                </c:pt>
                <c:pt idx="2279">
                  <c:v>65.863223140495876</c:v>
                </c:pt>
                <c:pt idx="2280">
                  <c:v>68.206611570247929</c:v>
                </c:pt>
                <c:pt idx="2281">
                  <c:v>70.511157024793391</c:v>
                </c:pt>
                <c:pt idx="2282">
                  <c:v>79.172314049586802</c:v>
                </c:pt>
                <c:pt idx="2283">
                  <c:v>76.196280991735506</c:v>
                </c:pt>
                <c:pt idx="2284">
                  <c:v>71.076446280991746</c:v>
                </c:pt>
                <c:pt idx="2285">
                  <c:v>69.561570247933901</c:v>
                </c:pt>
                <c:pt idx="2286">
                  <c:v>71.452066115702465</c:v>
                </c:pt>
                <c:pt idx="2287">
                  <c:v>70.695041322314069</c:v>
                </c:pt>
                <c:pt idx="2288">
                  <c:v>73.67438016528925</c:v>
                </c:pt>
                <c:pt idx="2289">
                  <c:v>72.427272727272737</c:v>
                </c:pt>
                <c:pt idx="2290">
                  <c:v>72.278512396694197</c:v>
                </c:pt>
                <c:pt idx="2291">
                  <c:v>72.652066115702468</c:v>
                </c:pt>
                <c:pt idx="2292">
                  <c:v>72.576859504132216</c:v>
                </c:pt>
                <c:pt idx="2293">
                  <c:v>68.628925619834732</c:v>
                </c:pt>
                <c:pt idx="2294">
                  <c:v>65.823140495867776</c:v>
                </c:pt>
                <c:pt idx="2295">
                  <c:v>64.363636363636374</c:v>
                </c:pt>
                <c:pt idx="2296">
                  <c:v>62.946694214876025</c:v>
                </c:pt>
                <c:pt idx="2297">
                  <c:v>60.493801652892543</c:v>
                </c:pt>
                <c:pt idx="2298">
                  <c:v>64.380991735537194</c:v>
                </c:pt>
                <c:pt idx="2299">
                  <c:v>61.601239669421496</c:v>
                </c:pt>
                <c:pt idx="2300">
                  <c:v>54.619008264462813</c:v>
                </c:pt>
                <c:pt idx="2301">
                  <c:v>61.157024793388416</c:v>
                </c:pt>
                <c:pt idx="2302">
                  <c:v>63.611570247933891</c:v>
                </c:pt>
                <c:pt idx="2303">
                  <c:v>64.699173553718992</c:v>
                </c:pt>
                <c:pt idx="2304">
                  <c:v>63.197520661157029</c:v>
                </c:pt>
                <c:pt idx="2305">
                  <c:v>60.540909090909103</c:v>
                </c:pt>
                <c:pt idx="2306">
                  <c:v>65.851652892561972</c:v>
                </c:pt>
                <c:pt idx="2307">
                  <c:v>64.49628099173556</c:v>
                </c:pt>
                <c:pt idx="2308">
                  <c:v>65.110743801652887</c:v>
                </c:pt>
                <c:pt idx="2309">
                  <c:v>65.104958677685943</c:v>
                </c:pt>
                <c:pt idx="2310">
                  <c:v>67.02272727272728</c:v>
                </c:pt>
                <c:pt idx="2311">
                  <c:v>71.420247933884298</c:v>
                </c:pt>
                <c:pt idx="2312">
                  <c:v>72.48636363636362</c:v>
                </c:pt>
                <c:pt idx="2313">
                  <c:v>66.846280991735512</c:v>
                </c:pt>
                <c:pt idx="2314">
                  <c:v>66.793801652892554</c:v>
                </c:pt>
                <c:pt idx="2315">
                  <c:v>67.800413223140481</c:v>
                </c:pt>
                <c:pt idx="2316">
                  <c:v>67.888429752066116</c:v>
                </c:pt>
                <c:pt idx="2317">
                  <c:v>100.33140495867762</c:v>
                </c:pt>
                <c:pt idx="2318">
                  <c:v>66.129338842975187</c:v>
                </c:pt>
                <c:pt idx="2319">
                  <c:v>65.406611570247961</c:v>
                </c:pt>
                <c:pt idx="2320">
                  <c:v>65.406611570247961</c:v>
                </c:pt>
                <c:pt idx="2321">
                  <c:v>65.448760330578537</c:v>
                </c:pt>
                <c:pt idx="2322">
                  <c:v>66.992561983471091</c:v>
                </c:pt>
                <c:pt idx="2323">
                  <c:v>66.935950413223154</c:v>
                </c:pt>
                <c:pt idx="2324">
                  <c:v>66.225619834710756</c:v>
                </c:pt>
                <c:pt idx="2325">
                  <c:v>65.466528925619841</c:v>
                </c:pt>
                <c:pt idx="2326">
                  <c:v>66.404132231404958</c:v>
                </c:pt>
                <c:pt idx="2327">
                  <c:v>69.841322314049606</c:v>
                </c:pt>
                <c:pt idx="2328">
                  <c:v>75.704958677685951</c:v>
                </c:pt>
                <c:pt idx="2329">
                  <c:v>73.713636363636354</c:v>
                </c:pt>
                <c:pt idx="2330">
                  <c:v>71.78677685950413</c:v>
                </c:pt>
                <c:pt idx="2331">
                  <c:v>76.143388429752036</c:v>
                </c:pt>
                <c:pt idx="2332">
                  <c:v>77.273140495867764</c:v>
                </c:pt>
                <c:pt idx="2333">
                  <c:v>80.050413223140495</c:v>
                </c:pt>
                <c:pt idx="2334">
                  <c:v>91.404132231404972</c:v>
                </c:pt>
                <c:pt idx="2335">
                  <c:v>89.254132231404981</c:v>
                </c:pt>
                <c:pt idx="2336">
                  <c:v>83.063636363636348</c:v>
                </c:pt>
                <c:pt idx="2337">
                  <c:v>86.634710743801662</c:v>
                </c:pt>
                <c:pt idx="2338">
                  <c:v>85.842975206611541</c:v>
                </c:pt>
                <c:pt idx="2339">
                  <c:v>84.855785123966953</c:v>
                </c:pt>
                <c:pt idx="2340">
                  <c:v>85.614049586776858</c:v>
                </c:pt>
                <c:pt idx="2341">
                  <c:v>87.409917355371917</c:v>
                </c:pt>
                <c:pt idx="2342">
                  <c:v>87.337190082644611</c:v>
                </c:pt>
                <c:pt idx="2343">
                  <c:v>88.922314049586788</c:v>
                </c:pt>
                <c:pt idx="2344">
                  <c:v>90.645454545454555</c:v>
                </c:pt>
                <c:pt idx="2345">
                  <c:v>91.049586776859499</c:v>
                </c:pt>
                <c:pt idx="2346">
                  <c:v>94.095454545454515</c:v>
                </c:pt>
                <c:pt idx="2347">
                  <c:v>107.49355371900828</c:v>
                </c:pt>
                <c:pt idx="2348">
                  <c:v>109.30000000000003</c:v>
                </c:pt>
                <c:pt idx="2349">
                  <c:v>102.09999999999997</c:v>
                </c:pt>
                <c:pt idx="2350">
                  <c:v>109.39999999999998</c:v>
                </c:pt>
                <c:pt idx="2351">
                  <c:v>102.2</c:v>
                </c:pt>
                <c:pt idx="2352">
                  <c:v>102.54999999999997</c:v>
                </c:pt>
                <c:pt idx="2353">
                  <c:v>101.10000000000001</c:v>
                </c:pt>
                <c:pt idx="2354">
                  <c:v>102.3</c:v>
                </c:pt>
                <c:pt idx="2355">
                  <c:v>106.65</c:v>
                </c:pt>
                <c:pt idx="2356">
                  <c:v>103.60000000000002</c:v>
                </c:pt>
                <c:pt idx="2357">
                  <c:v>106.95000000000003</c:v>
                </c:pt>
                <c:pt idx="2358">
                  <c:v>103.85000000000002</c:v>
                </c:pt>
                <c:pt idx="2359">
                  <c:v>104.78115702479339</c:v>
                </c:pt>
                <c:pt idx="2360">
                  <c:v>112.03140495867773</c:v>
                </c:pt>
                <c:pt idx="2361">
                  <c:v>109.6876033057851</c:v>
                </c:pt>
                <c:pt idx="2362">
                  <c:v>110.31280991735538</c:v>
                </c:pt>
                <c:pt idx="2363">
                  <c:v>101.33388429752064</c:v>
                </c:pt>
                <c:pt idx="2364">
                  <c:v>96.046280991735557</c:v>
                </c:pt>
                <c:pt idx="2365">
                  <c:v>92.512066115702467</c:v>
                </c:pt>
                <c:pt idx="2366">
                  <c:v>93.326363636363624</c:v>
                </c:pt>
                <c:pt idx="2367">
                  <c:v>87.232975206611542</c:v>
                </c:pt>
                <c:pt idx="2368">
                  <c:v>81.543966942148742</c:v>
                </c:pt>
                <c:pt idx="2369">
                  <c:v>79.296280991735543</c:v>
                </c:pt>
                <c:pt idx="2370">
                  <c:v>76.09999999999998</c:v>
                </c:pt>
                <c:pt idx="2371">
                  <c:v>75.31</c:v>
                </c:pt>
                <c:pt idx="2372">
                  <c:v>77.650000000000006</c:v>
                </c:pt>
                <c:pt idx="2373">
                  <c:v>83.4</c:v>
                </c:pt>
                <c:pt idx="2374">
                  <c:v>81.84999999999998</c:v>
                </c:pt>
                <c:pt idx="2375">
                  <c:v>75.03942148760332</c:v>
                </c:pt>
                <c:pt idx="2376">
                  <c:v>74.755619834710743</c:v>
                </c:pt>
                <c:pt idx="2377">
                  <c:v>76.952231404958681</c:v>
                </c:pt>
                <c:pt idx="2378">
                  <c:v>79.983801652892552</c:v>
                </c:pt>
                <c:pt idx="2379">
                  <c:v>82.169834710743814</c:v>
                </c:pt>
                <c:pt idx="2380">
                  <c:v>84.621074380165297</c:v>
                </c:pt>
                <c:pt idx="2381">
                  <c:v>80.36</c:v>
                </c:pt>
                <c:pt idx="2382">
                  <c:v>78.350000000000023</c:v>
                </c:pt>
                <c:pt idx="2383">
                  <c:v>78.344824218749906</c:v>
                </c:pt>
                <c:pt idx="2384">
                  <c:v>81.691959681200188</c:v>
                </c:pt>
                <c:pt idx="2385">
                  <c:v>84.615574308485733</c:v>
                </c:pt>
                <c:pt idx="2386">
                  <c:v>82.801533052039375</c:v>
                </c:pt>
                <c:pt idx="2387">
                  <c:v>90.833333333333314</c:v>
                </c:pt>
                <c:pt idx="2388">
                  <c:v>88.122292545710266</c:v>
                </c:pt>
                <c:pt idx="2389">
                  <c:v>81.634917955930604</c:v>
                </c:pt>
                <c:pt idx="2390">
                  <c:v>76.668438818565392</c:v>
                </c:pt>
                <c:pt idx="2391">
                  <c:v>78.457848101265853</c:v>
                </c:pt>
                <c:pt idx="2392">
                  <c:v>77.143384903891231</c:v>
                </c:pt>
                <c:pt idx="2393">
                  <c:v>82.895077355836847</c:v>
                </c:pt>
                <c:pt idx="2394">
                  <c:v>81.29324894514771</c:v>
                </c:pt>
                <c:pt idx="2395">
                  <c:v>84.422442569151428</c:v>
                </c:pt>
                <c:pt idx="2396">
                  <c:v>83.371354899202998</c:v>
                </c:pt>
                <c:pt idx="2397">
                  <c:v>81.09</c:v>
                </c:pt>
                <c:pt idx="2398">
                  <c:v>81.011181434599152</c:v>
                </c:pt>
                <c:pt idx="2399">
                  <c:v>80.590839193624006</c:v>
                </c:pt>
                <c:pt idx="2400">
                  <c:v>75.911767463666209</c:v>
                </c:pt>
                <c:pt idx="2401">
                  <c:v>75.92569620253164</c:v>
                </c:pt>
                <c:pt idx="2402">
                  <c:v>76.081401781528356</c:v>
                </c:pt>
                <c:pt idx="2403">
                  <c:v>73.523769338959227</c:v>
                </c:pt>
                <c:pt idx="2404">
                  <c:v>80.940000000000012</c:v>
                </c:pt>
                <c:pt idx="2405">
                  <c:v>81.61999999999999</c:v>
                </c:pt>
                <c:pt idx="2406">
                  <c:v>86.600000000000009</c:v>
                </c:pt>
                <c:pt idx="2407">
                  <c:v>87.53</c:v>
                </c:pt>
                <c:pt idx="2408">
                  <c:v>85.54022503516174</c:v>
                </c:pt>
                <c:pt idx="2409">
                  <c:v>84.154580403188007</c:v>
                </c:pt>
                <c:pt idx="2410">
                  <c:v>91.804767932489455</c:v>
                </c:pt>
                <c:pt idx="2411">
                  <c:v>95.01694796061885</c:v>
                </c:pt>
                <c:pt idx="2412">
                  <c:v>97.155907172995768</c:v>
                </c:pt>
                <c:pt idx="2413">
                  <c:v>94.958813877168325</c:v>
                </c:pt>
                <c:pt idx="2414">
                  <c:v>93.871584622597283</c:v>
                </c:pt>
                <c:pt idx="2415">
                  <c:v>92.939760900140641</c:v>
                </c:pt>
                <c:pt idx="2416">
                  <c:v>93.006844819503044</c:v>
                </c:pt>
                <c:pt idx="2417">
                  <c:v>93.346366619784348</c:v>
                </c:pt>
                <c:pt idx="2418">
                  <c:v>90.98890764181904</c:v>
                </c:pt>
                <c:pt idx="2419">
                  <c:v>90.459873417721539</c:v>
                </c:pt>
                <c:pt idx="2420">
                  <c:v>91.779746835443049</c:v>
                </c:pt>
                <c:pt idx="2421">
                  <c:v>91.182301922175327</c:v>
                </c:pt>
                <c:pt idx="2422">
                  <c:v>92.521378340365672</c:v>
                </c:pt>
                <c:pt idx="2423">
                  <c:v>85.642827004219384</c:v>
                </c:pt>
                <c:pt idx="2424">
                  <c:v>87.845007032348789</c:v>
                </c:pt>
                <c:pt idx="2425">
                  <c:v>88.236230661040793</c:v>
                </c:pt>
                <c:pt idx="2426">
                  <c:v>89.598640412564478</c:v>
                </c:pt>
                <c:pt idx="2427">
                  <c:v>91.635443037974696</c:v>
                </c:pt>
                <c:pt idx="2428">
                  <c:v>90.677355836849529</c:v>
                </c:pt>
                <c:pt idx="2429">
                  <c:v>89.624167838724816</c:v>
                </c:pt>
                <c:pt idx="2430">
                  <c:v>88.147538677918433</c:v>
                </c:pt>
                <c:pt idx="2431">
                  <c:v>85.808832630098436</c:v>
                </c:pt>
                <c:pt idx="2432">
                  <c:v>88.330051570557899</c:v>
                </c:pt>
                <c:pt idx="2433">
                  <c:v>89.97097984060008</c:v>
                </c:pt>
                <c:pt idx="2434">
                  <c:v>94.195236755743068</c:v>
                </c:pt>
                <c:pt idx="2435">
                  <c:v>95.495611814345978</c:v>
                </c:pt>
                <c:pt idx="2436">
                  <c:v>99.962306610407865</c:v>
                </c:pt>
                <c:pt idx="2437">
                  <c:v>96.650070323488052</c:v>
                </c:pt>
                <c:pt idx="2438">
                  <c:v>87.667885607126095</c:v>
                </c:pt>
                <c:pt idx="2439">
                  <c:v>85.161518987341751</c:v>
                </c:pt>
                <c:pt idx="2440">
                  <c:v>80.418781059540535</c:v>
                </c:pt>
                <c:pt idx="2441">
                  <c:v>76.272105016408801</c:v>
                </c:pt>
                <c:pt idx="2442">
                  <c:v>91.922784810126544</c:v>
                </c:pt>
                <c:pt idx="2443">
                  <c:v>94.48962025316456</c:v>
                </c:pt>
                <c:pt idx="2444">
                  <c:v>83.88593061415844</c:v>
                </c:pt>
                <c:pt idx="2445">
                  <c:v>81.383075480543837</c:v>
                </c:pt>
                <c:pt idx="2446">
                  <c:v>72.120590717299564</c:v>
                </c:pt>
                <c:pt idx="2447">
                  <c:v>73.932817627754318</c:v>
                </c:pt>
                <c:pt idx="2448">
                  <c:v>77.718752930145314</c:v>
                </c:pt>
                <c:pt idx="2449">
                  <c:v>81.470614158462254</c:v>
                </c:pt>
                <c:pt idx="2450">
                  <c:v>78.867932489451476</c:v>
                </c:pt>
                <c:pt idx="2451">
                  <c:v>73.881312705110176</c:v>
                </c:pt>
                <c:pt idx="2452">
                  <c:v>72.727763713080151</c:v>
                </c:pt>
                <c:pt idx="2453">
                  <c:v>70.227923112986389</c:v>
                </c:pt>
                <c:pt idx="2454">
                  <c:v>67.340506329113921</c:v>
                </c:pt>
                <c:pt idx="2455">
                  <c:v>70.188354430379732</c:v>
                </c:pt>
                <c:pt idx="2456">
                  <c:v>62.664960150023468</c:v>
                </c:pt>
                <c:pt idx="2457">
                  <c:v>55.682658227848087</c:v>
                </c:pt>
                <c:pt idx="2458">
                  <c:v>52.33</c:v>
                </c:pt>
                <c:pt idx="2459">
                  <c:v>52.000000000000007</c:v>
                </c:pt>
                <c:pt idx="2460">
                  <c:v>49.97</c:v>
                </c:pt>
                <c:pt idx="2461">
                  <c:v>51.039999999999992</c:v>
                </c:pt>
                <c:pt idx="2462">
                  <c:v>50.919999999999995</c:v>
                </c:pt>
                <c:pt idx="2463">
                  <c:v>53.784275668073136</c:v>
                </c:pt>
                <c:pt idx="2464">
                  <c:v>55.160023441162693</c:v>
                </c:pt>
                <c:pt idx="2465">
                  <c:v>61.362447257383955</c:v>
                </c:pt>
                <c:pt idx="2466">
                  <c:v>60.688846694796055</c:v>
                </c:pt>
                <c:pt idx="2467">
                  <c:v>63.49666197843414</c:v>
                </c:pt>
                <c:pt idx="2468">
                  <c:v>63.300093764650718</c:v>
                </c:pt>
                <c:pt idx="2469">
                  <c:v>63.043225503985006</c:v>
                </c:pt>
                <c:pt idx="2470">
                  <c:v>63.277215189873424</c:v>
                </c:pt>
                <c:pt idx="2471">
                  <c:v>65.440365682137852</c:v>
                </c:pt>
                <c:pt idx="2472">
                  <c:v>62.033380215658688</c:v>
                </c:pt>
                <c:pt idx="2473">
                  <c:v>60.726582278481033</c:v>
                </c:pt>
                <c:pt idx="2474">
                  <c:v>61.123839662447253</c:v>
                </c:pt>
                <c:pt idx="2475">
                  <c:v>59.622503516174405</c:v>
                </c:pt>
                <c:pt idx="2476">
                  <c:v>55.204313173933429</c:v>
                </c:pt>
                <c:pt idx="2477">
                  <c:v>53.952995780590719</c:v>
                </c:pt>
                <c:pt idx="2478">
                  <c:v>51.925063291139239</c:v>
                </c:pt>
                <c:pt idx="2479">
                  <c:v>53.10210970464135</c:v>
                </c:pt>
                <c:pt idx="2480">
                  <c:v>50.307876230661037</c:v>
                </c:pt>
                <c:pt idx="2481">
                  <c:v>48.704781997187062</c:v>
                </c:pt>
                <c:pt idx="2482">
                  <c:v>46.719535864978894</c:v>
                </c:pt>
                <c:pt idx="2483">
                  <c:v>47.410834505391463</c:v>
                </c:pt>
                <c:pt idx="2484">
                  <c:v>50.160107829348334</c:v>
                </c:pt>
                <c:pt idx="2485">
                  <c:v>51.437637130801704</c:v>
                </c:pt>
                <c:pt idx="2486">
                  <c:v>50.201125175808727</c:v>
                </c:pt>
                <c:pt idx="2487">
                  <c:v>48.526408813877147</c:v>
                </c:pt>
                <c:pt idx="2488">
                  <c:v>57.416643225503982</c:v>
                </c:pt>
                <c:pt idx="2489">
                  <c:v>56.159409282700402</c:v>
                </c:pt>
                <c:pt idx="2490">
                  <c:v>54.409606188466945</c:v>
                </c:pt>
                <c:pt idx="2491">
                  <c:v>54.388579465541476</c:v>
                </c:pt>
                <c:pt idx="2492">
                  <c:v>51.374964838255977</c:v>
                </c:pt>
                <c:pt idx="2493">
                  <c:v>52.40886075949367</c:v>
                </c:pt>
                <c:pt idx="2494">
                  <c:v>53.389240506329109</c:v>
                </c:pt>
                <c:pt idx="2495">
                  <c:v>52.194341303328656</c:v>
                </c:pt>
                <c:pt idx="2496">
                  <c:v>47.879629629629626</c:v>
                </c:pt>
                <c:pt idx="2497">
                  <c:v>44.044008438818558</c:v>
                </c:pt>
                <c:pt idx="2498">
                  <c:v>45.918607594936709</c:v>
                </c:pt>
                <c:pt idx="2499">
                  <c:v>46.662376933895928</c:v>
                </c:pt>
                <c:pt idx="2500">
                  <c:v>49.378363806844824</c:v>
                </c:pt>
                <c:pt idx="2501">
                  <c:v>46.338312236286932</c:v>
                </c:pt>
                <c:pt idx="2502">
                  <c:v>47.331992498827937</c:v>
                </c:pt>
                <c:pt idx="2503">
                  <c:v>48.348101265822798</c:v>
                </c:pt>
                <c:pt idx="2504">
                  <c:v>48.59929676511954</c:v>
                </c:pt>
                <c:pt idx="2505">
                  <c:v>46.847679324894493</c:v>
                </c:pt>
                <c:pt idx="2506">
                  <c:v>48.647866854195975</c:v>
                </c:pt>
                <c:pt idx="2507">
                  <c:v>50.012564463197371</c:v>
                </c:pt>
                <c:pt idx="2508">
                  <c:v>43.919127988748237</c:v>
                </c:pt>
                <c:pt idx="2509">
                  <c:v>42.005935302391002</c:v>
                </c:pt>
                <c:pt idx="2510">
                  <c:v>42.274003750586033</c:v>
                </c:pt>
                <c:pt idx="2511">
                  <c:v>42.121190811064224</c:v>
                </c:pt>
                <c:pt idx="2512">
                  <c:v>37.910548523206749</c:v>
                </c:pt>
                <c:pt idx="2513">
                  <c:v>37.322503516174407</c:v>
                </c:pt>
                <c:pt idx="2514">
                  <c:v>37.015752461322073</c:v>
                </c:pt>
                <c:pt idx="2515">
                  <c:v>31.902390998593532</c:v>
                </c:pt>
                <c:pt idx="2516">
                  <c:v>30.019831223628696</c:v>
                </c:pt>
                <c:pt idx="2517">
                  <c:v>29.121284575714945</c:v>
                </c:pt>
                <c:pt idx="2518">
                  <c:v>24.163244256915149</c:v>
                </c:pt>
                <c:pt idx="2519">
                  <c:v>25.357759024847628</c:v>
                </c:pt>
                <c:pt idx="2520">
                  <c:v>22.666877637130796</c:v>
                </c:pt>
                <c:pt idx="2521">
                  <c:v>21.691842475386782</c:v>
                </c:pt>
                <c:pt idx="2522">
                  <c:v>17.96629160806377</c:v>
                </c:pt>
                <c:pt idx="2523">
                  <c:v>19.45232067510549</c:v>
                </c:pt>
                <c:pt idx="2524">
                  <c:v>25.443881856540084</c:v>
                </c:pt>
                <c:pt idx="2525">
                  <c:v>25.547022972339413</c:v>
                </c:pt>
                <c:pt idx="2526">
                  <c:v>27.004031879981238</c:v>
                </c:pt>
                <c:pt idx="2527">
                  <c:v>28.033052039381158</c:v>
                </c:pt>
                <c:pt idx="2528">
                  <c:v>27.06272855133615</c:v>
                </c:pt>
                <c:pt idx="2529">
                  <c:v>28.497187060478204</c:v>
                </c:pt>
                <c:pt idx="2530">
                  <c:v>33.758227848101271</c:v>
                </c:pt>
                <c:pt idx="2531">
                  <c:v>30.100632911392399</c:v>
                </c:pt>
                <c:pt idx="2532">
                  <c:v>31.743272386310363</c:v>
                </c:pt>
                <c:pt idx="2533">
                  <c:v>32.186497890295364</c:v>
                </c:pt>
                <c:pt idx="2534">
                  <c:v>32.195921237693376</c:v>
                </c:pt>
                <c:pt idx="2535">
                  <c:v>36.067885607126115</c:v>
                </c:pt>
                <c:pt idx="2536">
                  <c:v>31.840506329113932</c:v>
                </c:pt>
                <c:pt idx="2537">
                  <c:v>32.792545710267248</c:v>
                </c:pt>
                <c:pt idx="2538">
                  <c:v>30.050210970464136</c:v>
                </c:pt>
                <c:pt idx="2539">
                  <c:v>29.544022503516178</c:v>
                </c:pt>
                <c:pt idx="2540">
                  <c:v>26.092405063291146</c:v>
                </c:pt>
                <c:pt idx="2541">
                  <c:v>29.460243788091873</c:v>
                </c:pt>
                <c:pt idx="2542">
                  <c:v>38.508579465541473</c:v>
                </c:pt>
                <c:pt idx="2543">
                  <c:v>43.865729020159414</c:v>
                </c:pt>
                <c:pt idx="2544">
                  <c:v>39.816033755274262</c:v>
                </c:pt>
                <c:pt idx="2545">
                  <c:v>41.792264416315035</c:v>
                </c:pt>
                <c:pt idx="2546">
                  <c:v>43.941350210970469</c:v>
                </c:pt>
                <c:pt idx="2547">
                  <c:v>49.666526019690558</c:v>
                </c:pt>
                <c:pt idx="2548">
                  <c:v>49.749789029535876</c:v>
                </c:pt>
                <c:pt idx="2549">
                  <c:v>49.399249882794159</c:v>
                </c:pt>
                <c:pt idx="2550">
                  <c:v>50.718706047819964</c:v>
                </c:pt>
                <c:pt idx="2551">
                  <c:v>47.386075949367104</c:v>
                </c:pt>
                <c:pt idx="2552">
                  <c:v>47.202015939990609</c:v>
                </c:pt>
                <c:pt idx="2553">
                  <c:v>48.416080637599627</c:v>
                </c:pt>
                <c:pt idx="2554">
                  <c:v>43.844866385372725</c:v>
                </c:pt>
                <c:pt idx="2555">
                  <c:v>44.003938115330513</c:v>
                </c:pt>
                <c:pt idx="2556">
                  <c:v>35.902156586966711</c:v>
                </c:pt>
                <c:pt idx="2557">
                  <c:v>50.002015939990628</c:v>
                </c:pt>
                <c:pt idx="2558">
                  <c:v>51.74299109235821</c:v>
                </c:pt>
                <c:pt idx="2559">
                  <c:v>39.130239099859359</c:v>
                </c:pt>
                <c:pt idx="2560">
                  <c:v>35.833427097984057</c:v>
                </c:pt>
                <c:pt idx="2561">
                  <c:v>32.743989685888423</c:v>
                </c:pt>
                <c:pt idx="2562">
                  <c:v>30.494233473980305</c:v>
                </c:pt>
                <c:pt idx="2563">
                  <c:v>27.305907172995752</c:v>
                </c:pt>
                <c:pt idx="2564">
                  <c:v>31.419456165025792</c:v>
                </c:pt>
                <c:pt idx="2565">
                  <c:v>35.033661509610866</c:v>
                </c:pt>
                <c:pt idx="2566">
                  <c:v>24.960759493670896</c:v>
                </c:pt>
                <c:pt idx="2567">
                  <c:v>23.209470229723387</c:v>
                </c:pt>
                <c:pt idx="2568">
                  <c:v>27.982606657290209</c:v>
                </c:pt>
                <c:pt idx="2569">
                  <c:v>25.861462728551334</c:v>
                </c:pt>
                <c:pt idx="2570">
                  <c:v>26.348523206751072</c:v>
                </c:pt>
                <c:pt idx="2571">
                  <c:v>26.026394749179552</c:v>
                </c:pt>
                <c:pt idx="2572">
                  <c:v>24.120159399906235</c:v>
                </c:pt>
                <c:pt idx="2573">
                  <c:v>28.074824191279884</c:v>
                </c:pt>
                <c:pt idx="2574">
                  <c:v>25.508977965307057</c:v>
                </c:pt>
                <c:pt idx="2575">
                  <c:v>29.368448195030471</c:v>
                </c:pt>
                <c:pt idx="2576">
                  <c:v>29.022151898734169</c:v>
                </c:pt>
                <c:pt idx="2577">
                  <c:v>28.406938584153778</c:v>
                </c:pt>
                <c:pt idx="2578">
                  <c:v>28.77679324894515</c:v>
                </c:pt>
                <c:pt idx="2579">
                  <c:v>28.5457805907173</c:v>
                </c:pt>
                <c:pt idx="2580">
                  <c:v>30.869807782466005</c:v>
                </c:pt>
                <c:pt idx="2581">
                  <c:v>32.804641350210986</c:v>
                </c:pt>
                <c:pt idx="2582">
                  <c:v>38.654610526315793</c:v>
                </c:pt>
                <c:pt idx="2583">
                  <c:v>40.017221052631591</c:v>
                </c:pt>
                <c:pt idx="2584">
                  <c:v>42.770989473684196</c:v>
                </c:pt>
                <c:pt idx="2585">
                  <c:v>40.799094736842122</c:v>
                </c:pt>
                <c:pt idx="2586">
                  <c:v>40.62842105263158</c:v>
                </c:pt>
                <c:pt idx="2587">
                  <c:v>47.885347368421037</c:v>
                </c:pt>
                <c:pt idx="2588">
                  <c:v>52.176252631578947</c:v>
                </c:pt>
                <c:pt idx="2589">
                  <c:v>49.813052631578948</c:v>
                </c:pt>
                <c:pt idx="2590">
                  <c:v>48.771284210526311</c:v>
                </c:pt>
                <c:pt idx="2591">
                  <c:v>44.358399999999996</c:v>
                </c:pt>
                <c:pt idx="2592">
                  <c:v>49.268210526315805</c:v>
                </c:pt>
                <c:pt idx="2593">
                  <c:v>58.016835016835003</c:v>
                </c:pt>
                <c:pt idx="2594">
                  <c:v>55.156565656565654</c:v>
                </c:pt>
                <c:pt idx="2595">
                  <c:v>59.234343434343472</c:v>
                </c:pt>
                <c:pt idx="2596">
                  <c:v>62.861111111111086</c:v>
                </c:pt>
                <c:pt idx="2597">
                  <c:v>66.759595959595998</c:v>
                </c:pt>
                <c:pt idx="2598">
                  <c:v>66.289562289562284</c:v>
                </c:pt>
                <c:pt idx="2599">
                  <c:v>65.479595959595926</c:v>
                </c:pt>
                <c:pt idx="2600">
                  <c:v>65.58350168350168</c:v>
                </c:pt>
                <c:pt idx="2601">
                  <c:v>67.375589225589223</c:v>
                </c:pt>
                <c:pt idx="2602">
                  <c:v>68.986195286195269</c:v>
                </c:pt>
                <c:pt idx="2603">
                  <c:v>70.23484848484847</c:v>
                </c:pt>
                <c:pt idx="2604">
                  <c:v>73.888888888888886</c:v>
                </c:pt>
                <c:pt idx="2605">
                  <c:v>74.974074074074096</c:v>
                </c:pt>
                <c:pt idx="2606">
                  <c:v>71.665656565656562</c:v>
                </c:pt>
                <c:pt idx="2607">
                  <c:v>69.181818181818187</c:v>
                </c:pt>
                <c:pt idx="2608">
                  <c:v>65.696296296296268</c:v>
                </c:pt>
                <c:pt idx="2609">
                  <c:v>65.664814814814818</c:v>
                </c:pt>
                <c:pt idx="2610">
                  <c:v>67.287878787878796</c:v>
                </c:pt>
                <c:pt idx="2611">
                  <c:v>66.896296296296313</c:v>
                </c:pt>
                <c:pt idx="2612">
                  <c:v>65.622895622895641</c:v>
                </c:pt>
                <c:pt idx="2613">
                  <c:v>67.316835016835029</c:v>
                </c:pt>
                <c:pt idx="2614">
                  <c:v>67.460606060606054</c:v>
                </c:pt>
                <c:pt idx="2615">
                  <c:v>70.013131313131311</c:v>
                </c:pt>
                <c:pt idx="2616">
                  <c:v>71.446464646464662</c:v>
                </c:pt>
                <c:pt idx="2617">
                  <c:v>70.61750841750839</c:v>
                </c:pt>
                <c:pt idx="2618">
                  <c:v>77.992592592592572</c:v>
                </c:pt>
                <c:pt idx="2619">
                  <c:v>82.058080808080803</c:v>
                </c:pt>
                <c:pt idx="2620">
                  <c:v>74.04680134680136</c:v>
                </c:pt>
                <c:pt idx="2621">
                  <c:v>65.532659932659939</c:v>
                </c:pt>
                <c:pt idx="2622">
                  <c:v>65.857070707070733</c:v>
                </c:pt>
                <c:pt idx="2623">
                  <c:v>62.310101010101029</c:v>
                </c:pt>
                <c:pt idx="2624">
                  <c:v>60.402693602693567</c:v>
                </c:pt>
                <c:pt idx="2625">
                  <c:v>58.920370370370343</c:v>
                </c:pt>
                <c:pt idx="2626">
                  <c:v>57.990909090909085</c:v>
                </c:pt>
                <c:pt idx="2627">
                  <c:v>56.816666666666649</c:v>
                </c:pt>
                <c:pt idx="2628">
                  <c:v>61.737542087542082</c:v>
                </c:pt>
                <c:pt idx="2629">
                  <c:v>64.56952861952864</c:v>
                </c:pt>
                <c:pt idx="2630">
                  <c:v>62.241414141414126</c:v>
                </c:pt>
                <c:pt idx="2631">
                  <c:v>62.738720538720521</c:v>
                </c:pt>
                <c:pt idx="2632">
                  <c:v>62.066161616161594</c:v>
                </c:pt>
                <c:pt idx="2633">
                  <c:v>62.705387205387161</c:v>
                </c:pt>
                <c:pt idx="2634">
                  <c:v>65.8</c:v>
                </c:pt>
                <c:pt idx="2635">
                  <c:v>64.722459292532264</c:v>
                </c:pt>
                <c:pt idx="2636">
                  <c:v>63.244132509825953</c:v>
                </c:pt>
                <c:pt idx="2637">
                  <c:v>63.912857944974732</c:v>
                </c:pt>
                <c:pt idx="2638">
                  <c:v>64.036440202133633</c:v>
                </c:pt>
                <c:pt idx="2639">
                  <c:v>64.659966311061197</c:v>
                </c:pt>
                <c:pt idx="2640">
                  <c:v>64.978326782706347</c:v>
                </c:pt>
                <c:pt idx="2641">
                  <c:v>64.380572711959573</c:v>
                </c:pt>
                <c:pt idx="2642">
                  <c:v>63.950758001122949</c:v>
                </c:pt>
                <c:pt idx="2643">
                  <c:v>61.579618192026942</c:v>
                </c:pt>
                <c:pt idx="2644">
                  <c:v>62.09635036496352</c:v>
                </c:pt>
                <c:pt idx="2645">
                  <c:v>62.709713644020219</c:v>
                </c:pt>
                <c:pt idx="2646">
                  <c:v>63.32930937675463</c:v>
                </c:pt>
                <c:pt idx="2647">
                  <c:v>63.600224592925322</c:v>
                </c:pt>
                <c:pt idx="2648">
                  <c:v>60.242728804042649</c:v>
                </c:pt>
                <c:pt idx="2649">
                  <c:v>58.054800673778757</c:v>
                </c:pt>
                <c:pt idx="2650">
                  <c:v>60.8063166760247</c:v>
                </c:pt>
                <c:pt idx="2651">
                  <c:v>60.678046041549706</c:v>
                </c:pt>
                <c:pt idx="2652">
                  <c:v>60.743234138124649</c:v>
                </c:pt>
                <c:pt idx="2653">
                  <c:v>59.294160583941618</c:v>
                </c:pt>
                <c:pt idx="2654">
                  <c:v>59.883660864682746</c:v>
                </c:pt>
                <c:pt idx="2655">
                  <c:v>53.116282987085903</c:v>
                </c:pt>
                <c:pt idx="2656">
                  <c:v>51.841549691184717</c:v>
                </c:pt>
                <c:pt idx="2657">
                  <c:v>50.851824817518228</c:v>
                </c:pt>
                <c:pt idx="2658">
                  <c:v>49.893879842784933</c:v>
                </c:pt>
                <c:pt idx="2659">
                  <c:v>52.797810218978093</c:v>
                </c:pt>
                <c:pt idx="2660">
                  <c:v>48.912633352049419</c:v>
                </c:pt>
                <c:pt idx="2661">
                  <c:v>47.922290847838298</c:v>
                </c:pt>
                <c:pt idx="2662">
                  <c:v>45.95637282425605</c:v>
                </c:pt>
                <c:pt idx="2663">
                  <c:v>53.566142616507591</c:v>
                </c:pt>
                <c:pt idx="2664">
                  <c:v>54.045704660303208</c:v>
                </c:pt>
                <c:pt idx="2665">
                  <c:v>57.664738910724324</c:v>
                </c:pt>
                <c:pt idx="2666">
                  <c:v>61.080853453116241</c:v>
                </c:pt>
                <c:pt idx="2667">
                  <c:v>60.418921953958453</c:v>
                </c:pt>
                <c:pt idx="2668">
                  <c:v>66.311145423919129</c:v>
                </c:pt>
                <c:pt idx="2669">
                  <c:v>69.083941605839414</c:v>
                </c:pt>
                <c:pt idx="2670">
                  <c:v>65.835092644581678</c:v>
                </c:pt>
                <c:pt idx="2671">
                  <c:v>56.144974733295903</c:v>
                </c:pt>
                <c:pt idx="2672">
                  <c:v>53.544188658057273</c:v>
                </c:pt>
                <c:pt idx="2673">
                  <c:v>50.090567097136415</c:v>
                </c:pt>
                <c:pt idx="2674">
                  <c:v>51.575070185289185</c:v>
                </c:pt>
                <c:pt idx="2675">
                  <c:v>51.843234138124664</c:v>
                </c:pt>
                <c:pt idx="2676">
                  <c:v>52.03380123526108</c:v>
                </c:pt>
                <c:pt idx="2677">
                  <c:v>59.809152161706905</c:v>
                </c:pt>
                <c:pt idx="2678">
                  <c:v>56.047052217855125</c:v>
                </c:pt>
                <c:pt idx="2679">
                  <c:v>50.366142616507553</c:v>
                </c:pt>
                <c:pt idx="2680">
                  <c:v>52.968332397529473</c:v>
                </c:pt>
                <c:pt idx="2681">
                  <c:v>49.132846715328469</c:v>
                </c:pt>
                <c:pt idx="2682">
                  <c:v>47.668220101066808</c:v>
                </c:pt>
                <c:pt idx="2683">
                  <c:v>48.532622122403161</c:v>
                </c:pt>
                <c:pt idx="2684">
                  <c:v>48.447613700168468</c:v>
                </c:pt>
                <c:pt idx="2685">
                  <c:v>46.067855137563171</c:v>
                </c:pt>
                <c:pt idx="2686">
                  <c:v>47.460190903986529</c:v>
                </c:pt>
                <c:pt idx="2687">
                  <c:v>43.942251544076356</c:v>
                </c:pt>
                <c:pt idx="2688">
                  <c:v>41.987366647950573</c:v>
                </c:pt>
                <c:pt idx="2689">
                  <c:v>43.581807973048875</c:v>
                </c:pt>
                <c:pt idx="2690">
                  <c:v>39.726838854576094</c:v>
                </c:pt>
                <c:pt idx="2691">
                  <c:v>40.558281864121277</c:v>
                </c:pt>
                <c:pt idx="2692">
                  <c:v>36.237001684446945</c:v>
                </c:pt>
                <c:pt idx="2693">
                  <c:v>40.247950589556439</c:v>
                </c:pt>
                <c:pt idx="2694">
                  <c:v>39.413924761370012</c:v>
                </c:pt>
                <c:pt idx="2695">
                  <c:v>38.760696238068512</c:v>
                </c:pt>
                <c:pt idx="2696">
                  <c:v>35.370072992700742</c:v>
                </c:pt>
                <c:pt idx="2697">
                  <c:v>33.468669286917461</c:v>
                </c:pt>
                <c:pt idx="2698">
                  <c:v>32.952919708029178</c:v>
                </c:pt>
                <c:pt idx="2699">
                  <c:v>33.570409882088725</c:v>
                </c:pt>
                <c:pt idx="2700">
                  <c:v>30.884446939921371</c:v>
                </c:pt>
                <c:pt idx="2701">
                  <c:v>28.541914654688377</c:v>
                </c:pt>
                <c:pt idx="2702">
                  <c:v>27.374536777091517</c:v>
                </c:pt>
                <c:pt idx="2703">
                  <c:v>27.667490174059505</c:v>
                </c:pt>
                <c:pt idx="2704">
                  <c:v>26.429927007299256</c:v>
                </c:pt>
                <c:pt idx="2705">
                  <c:v>26.244525547445257</c:v>
                </c:pt>
                <c:pt idx="2706">
                  <c:v>26.228074115665358</c:v>
                </c:pt>
                <c:pt idx="2707">
                  <c:v>27.6</c:v>
                </c:pt>
                <c:pt idx="2708">
                  <c:v>28.900000000000002</c:v>
                </c:pt>
                <c:pt idx="2709">
                  <c:v>30.499999999999989</c:v>
                </c:pt>
                <c:pt idx="2710">
                  <c:v>30.000000000000011</c:v>
                </c:pt>
                <c:pt idx="2711">
                  <c:v>29.099999999999994</c:v>
                </c:pt>
                <c:pt idx="2712">
                  <c:v>28.5</c:v>
                </c:pt>
                <c:pt idx="2713">
                  <c:v>27.7</c:v>
                </c:pt>
                <c:pt idx="2714">
                  <c:v>31.399999999999988</c:v>
                </c:pt>
                <c:pt idx="2715">
                  <c:v>28.29999999999999</c:v>
                </c:pt>
                <c:pt idx="2716">
                  <c:v>31.900000000000002</c:v>
                </c:pt>
                <c:pt idx="2717">
                  <c:v>31.900000000000002</c:v>
                </c:pt>
                <c:pt idx="2718">
                  <c:v>26.35</c:v>
                </c:pt>
                <c:pt idx="2719">
                  <c:v>26.599999999999991</c:v>
                </c:pt>
                <c:pt idx="2720">
                  <c:v>26.299999999999986</c:v>
                </c:pt>
                <c:pt idx="2721">
                  <c:v>27.799999999999994</c:v>
                </c:pt>
                <c:pt idx="2722">
                  <c:v>25.40825379000562</c:v>
                </c:pt>
                <c:pt idx="2723">
                  <c:v>26.075743964065115</c:v>
                </c:pt>
                <c:pt idx="2724">
                  <c:v>26.510948905109476</c:v>
                </c:pt>
                <c:pt idx="2725">
                  <c:v>27.049354295339693</c:v>
                </c:pt>
                <c:pt idx="2726">
                  <c:v>27.160640089837173</c:v>
                </c:pt>
                <c:pt idx="2727">
                  <c:v>26.86962380685009</c:v>
                </c:pt>
                <c:pt idx="2728">
                  <c:v>25.52756878158339</c:v>
                </c:pt>
                <c:pt idx="2729">
                  <c:v>28.699999999999992</c:v>
                </c:pt>
                <c:pt idx="2730">
                  <c:v>30.756990454800672</c:v>
                </c:pt>
                <c:pt idx="2731">
                  <c:v>32.967714766984834</c:v>
                </c:pt>
                <c:pt idx="2732">
                  <c:v>27.891914654688389</c:v>
                </c:pt>
                <c:pt idx="2733">
                  <c:v>25.153284671532838</c:v>
                </c:pt>
                <c:pt idx="2734">
                  <c:v>24.643907916900609</c:v>
                </c:pt>
                <c:pt idx="2735">
                  <c:v>24.043683323975301</c:v>
                </c:pt>
                <c:pt idx="2736">
                  <c:v>25.300280741156651</c:v>
                </c:pt>
                <c:pt idx="2737">
                  <c:v>24.402638966872537</c:v>
                </c:pt>
                <c:pt idx="2738">
                  <c:v>22.246715328467122</c:v>
                </c:pt>
                <c:pt idx="2739">
                  <c:v>23.846996069623785</c:v>
                </c:pt>
                <c:pt idx="2740">
                  <c:v>21.765188096574942</c:v>
                </c:pt>
                <c:pt idx="2741">
                  <c:v>21.643514879281302</c:v>
                </c:pt>
                <c:pt idx="2742">
                  <c:v>22.597810218978108</c:v>
                </c:pt>
                <c:pt idx="2743">
                  <c:v>22.814963503649636</c:v>
                </c:pt>
                <c:pt idx="2744">
                  <c:v>23.067883211678829</c:v>
                </c:pt>
                <c:pt idx="2745">
                  <c:v>23.347725996631116</c:v>
                </c:pt>
                <c:pt idx="2746">
                  <c:v>21.512184166198757</c:v>
                </c:pt>
                <c:pt idx="2747">
                  <c:v>21.856148231330693</c:v>
                </c:pt>
                <c:pt idx="2748">
                  <c:v>24.706822010106684</c:v>
                </c:pt>
                <c:pt idx="2749">
                  <c:v>21.082201010668172</c:v>
                </c:pt>
                <c:pt idx="2750">
                  <c:v>21.425659741718153</c:v>
                </c:pt>
                <c:pt idx="2751">
                  <c:v>18.777540707467693</c:v>
                </c:pt>
                <c:pt idx="2752">
                  <c:v>18.620802919708019</c:v>
                </c:pt>
                <c:pt idx="2753">
                  <c:v>15.04446939921392</c:v>
                </c:pt>
                <c:pt idx="2754">
                  <c:v>20.509208309938252</c:v>
                </c:pt>
                <c:pt idx="2755">
                  <c:v>19.687591240875932</c:v>
                </c:pt>
                <c:pt idx="2756">
                  <c:v>18.273806850084213</c:v>
                </c:pt>
                <c:pt idx="2757">
                  <c:v>18.114037057832665</c:v>
                </c:pt>
                <c:pt idx="2758">
                  <c:v>18.030544637843896</c:v>
                </c:pt>
                <c:pt idx="2759">
                  <c:v>18.118163952835481</c:v>
                </c:pt>
                <c:pt idx="2760">
                  <c:v>16.507130825379001</c:v>
                </c:pt>
                <c:pt idx="2761">
                  <c:v>16.826165075800105</c:v>
                </c:pt>
                <c:pt idx="2762">
                  <c:v>17.443542953396953</c:v>
                </c:pt>
                <c:pt idx="2763">
                  <c:v>16.684952274003372</c:v>
                </c:pt>
                <c:pt idx="2764">
                  <c:v>13.094048287478952</c:v>
                </c:pt>
                <c:pt idx="2765">
                  <c:v>12.182144862436829</c:v>
                </c:pt>
                <c:pt idx="2766">
                  <c:v>12.072403144300965</c:v>
                </c:pt>
                <c:pt idx="2767">
                  <c:v>11.95</c:v>
                </c:pt>
                <c:pt idx="2768">
                  <c:v>11.800000000000004</c:v>
                </c:pt>
                <c:pt idx="2769">
                  <c:v>12.300000000000002</c:v>
                </c:pt>
                <c:pt idx="2770">
                  <c:v>11.5</c:v>
                </c:pt>
                <c:pt idx="2771">
                  <c:v>10.399999999999993</c:v>
                </c:pt>
                <c:pt idx="2772">
                  <c:v>11.199999999999994</c:v>
                </c:pt>
                <c:pt idx="2773">
                  <c:v>10.850000000000009</c:v>
                </c:pt>
                <c:pt idx="2774">
                  <c:v>9.0999999999999943</c:v>
                </c:pt>
                <c:pt idx="2775">
                  <c:v>9.9999999999999911</c:v>
                </c:pt>
                <c:pt idx="2776">
                  <c:v>9.5999999999999908</c:v>
                </c:pt>
                <c:pt idx="2777">
                  <c:v>11.450000000000001</c:v>
                </c:pt>
                <c:pt idx="2778">
                  <c:v>11.399999999999986</c:v>
                </c:pt>
                <c:pt idx="2779">
                  <c:v>9.6000000000000085</c:v>
                </c:pt>
                <c:pt idx="2780">
                  <c:v>7.5500000000000043</c:v>
                </c:pt>
                <c:pt idx="2781">
                  <c:v>3.6999999999999882</c:v>
                </c:pt>
                <c:pt idx="2782">
                  <c:v>5.5005614823133184</c:v>
                </c:pt>
                <c:pt idx="2783">
                  <c:v>4.1376193149915768</c:v>
                </c:pt>
                <c:pt idx="2784">
                  <c:v>5.27389107243122</c:v>
                </c:pt>
                <c:pt idx="2785">
                  <c:v>10.839219539584503</c:v>
                </c:pt>
                <c:pt idx="2786">
                  <c:v>10.207860752386305</c:v>
                </c:pt>
                <c:pt idx="2787">
                  <c:v>10.674985962942172</c:v>
                </c:pt>
                <c:pt idx="2788">
                  <c:v>10.924985962942179</c:v>
                </c:pt>
                <c:pt idx="2789">
                  <c:v>9.3070185289163483</c:v>
                </c:pt>
                <c:pt idx="2790">
                  <c:v>8.4116507580011231</c:v>
                </c:pt>
                <c:pt idx="2791">
                  <c:v>8.1306569343065664</c:v>
                </c:pt>
                <c:pt idx="2792">
                  <c:v>7.6000000000000023</c:v>
                </c:pt>
                <c:pt idx="2793">
                  <c:v>4.9500000000000064</c:v>
                </c:pt>
                <c:pt idx="2794">
                  <c:v>4.9500000000000064</c:v>
                </c:pt>
                <c:pt idx="2795">
                  <c:v>3.549999999999994</c:v>
                </c:pt>
                <c:pt idx="2796">
                  <c:v>4.1500000000000048</c:v>
                </c:pt>
                <c:pt idx="2797">
                  <c:v>6.1000000000000121</c:v>
                </c:pt>
                <c:pt idx="2798">
                  <c:v>3.6000000000000094</c:v>
                </c:pt>
                <c:pt idx="2799">
                  <c:v>4.9000000000000083</c:v>
                </c:pt>
                <c:pt idx="2800">
                  <c:v>2.4000000000000061</c:v>
                </c:pt>
                <c:pt idx="2801">
                  <c:v>3.3000000000000043</c:v>
                </c:pt>
                <c:pt idx="2802">
                  <c:v>2.5500000000000003</c:v>
                </c:pt>
                <c:pt idx="2803">
                  <c:v>3.1999999999999909</c:v>
                </c:pt>
                <c:pt idx="2804">
                  <c:v>3.0000000000000164</c:v>
                </c:pt>
                <c:pt idx="2805">
                  <c:v>3.549999999999994</c:v>
                </c:pt>
                <c:pt idx="2806">
                  <c:v>3.1499999999999932</c:v>
                </c:pt>
                <c:pt idx="2807">
                  <c:v>0.44999999999999901</c:v>
                </c:pt>
                <c:pt idx="2808">
                  <c:v>0.14999999999999389</c:v>
                </c:pt>
                <c:pt idx="2809">
                  <c:v>0.70000000000000617</c:v>
                </c:pt>
                <c:pt idx="2810">
                  <c:v>-2.8999999999999946</c:v>
                </c:pt>
                <c:pt idx="2811">
                  <c:v>-5.900000000000011</c:v>
                </c:pt>
                <c:pt idx="2812">
                  <c:v>-8.9000000000000021</c:v>
                </c:pt>
                <c:pt idx="2813">
                  <c:v>-10.249999999999998</c:v>
                </c:pt>
                <c:pt idx="2814">
                  <c:v>-11.5</c:v>
                </c:pt>
                <c:pt idx="2815">
                  <c:v>-10.304126895002803</c:v>
                </c:pt>
                <c:pt idx="2816">
                  <c:v>-10.850000000000009</c:v>
                </c:pt>
                <c:pt idx="2817">
                  <c:v>-5.4000000000000057</c:v>
                </c:pt>
                <c:pt idx="2818">
                  <c:v>-0.14999999999999389</c:v>
                </c:pt>
                <c:pt idx="2819">
                  <c:v>0.55000000000001226</c:v>
                </c:pt>
                <c:pt idx="2820">
                  <c:v>-1.1999999999999944</c:v>
                </c:pt>
                <c:pt idx="2821">
                  <c:v>-5.95</c:v>
                </c:pt>
                <c:pt idx="2822">
                  <c:v>-4.0500000000000087</c:v>
                </c:pt>
                <c:pt idx="2823">
                  <c:v>-2.0500000000000034</c:v>
                </c:pt>
                <c:pt idx="2824">
                  <c:v>-2.100000000000001</c:v>
                </c:pt>
                <c:pt idx="2825">
                  <c:v>-2.100000000000001</c:v>
                </c:pt>
                <c:pt idx="2826">
                  <c:v>-2.100000000000001</c:v>
                </c:pt>
                <c:pt idx="2827">
                  <c:v>1.399999999999995</c:v>
                </c:pt>
                <c:pt idx="2828">
                  <c:v>1.5000000000000082</c:v>
                </c:pt>
                <c:pt idx="2829">
                  <c:v>4.3500000000000139</c:v>
                </c:pt>
                <c:pt idx="2830">
                  <c:v>4.3500000000000139</c:v>
                </c:pt>
                <c:pt idx="2831">
                  <c:v>2.8499999999999881</c:v>
                </c:pt>
                <c:pt idx="2832">
                  <c:v>9.8499999999999979</c:v>
                </c:pt>
                <c:pt idx="2833">
                  <c:v>5.8499999999999872</c:v>
                </c:pt>
                <c:pt idx="2834">
                  <c:v>0.35000000000000309</c:v>
                </c:pt>
                <c:pt idx="2835">
                  <c:v>4.3999999999999941</c:v>
                </c:pt>
                <c:pt idx="2836">
                  <c:v>4.5500000000000052</c:v>
                </c:pt>
                <c:pt idx="2837">
                  <c:v>2.8999999999999861</c:v>
                </c:pt>
                <c:pt idx="2838">
                  <c:v>1.8499999999999941</c:v>
                </c:pt>
                <c:pt idx="2839">
                  <c:v>5.8000000000000069</c:v>
                </c:pt>
                <c:pt idx="2840">
                  <c:v>5.599999999999997</c:v>
                </c:pt>
                <c:pt idx="2841">
                  <c:v>5.9000000000000021</c:v>
                </c:pt>
                <c:pt idx="2842">
                  <c:v>7.4500000000000091</c:v>
                </c:pt>
                <c:pt idx="2843">
                  <c:v>7.6000000000000023</c:v>
                </c:pt>
                <c:pt idx="2844">
                  <c:v>6.999999999999992</c:v>
                </c:pt>
                <c:pt idx="2845">
                  <c:v>7.5000000000000071</c:v>
                </c:pt>
                <c:pt idx="2846">
                  <c:v>8.1500000000000146</c:v>
                </c:pt>
                <c:pt idx="2847">
                  <c:v>6.9500000000000117</c:v>
                </c:pt>
                <c:pt idx="2848">
                  <c:v>6.9000000000000137</c:v>
                </c:pt>
                <c:pt idx="2849">
                  <c:v>6.7000000000000046</c:v>
                </c:pt>
                <c:pt idx="2850">
                  <c:v>6.949999999999994</c:v>
                </c:pt>
                <c:pt idx="2851">
                  <c:v>8.1999999999999957</c:v>
                </c:pt>
                <c:pt idx="2852">
                  <c:v>9.3000000000000025</c:v>
                </c:pt>
                <c:pt idx="2853">
                  <c:v>7.4499999999999913</c:v>
                </c:pt>
                <c:pt idx="2854">
                  <c:v>7.6999999999999984</c:v>
                </c:pt>
                <c:pt idx="2855">
                  <c:v>8.2999999999999918</c:v>
                </c:pt>
                <c:pt idx="2856">
                  <c:v>9.949999999999994</c:v>
                </c:pt>
                <c:pt idx="2857">
                  <c:v>8.2499999999999929</c:v>
                </c:pt>
                <c:pt idx="2858">
                  <c:v>9.749999999999984</c:v>
                </c:pt>
                <c:pt idx="2859">
                  <c:v>11.95</c:v>
                </c:pt>
                <c:pt idx="2860">
                  <c:v>10.89999999999999</c:v>
                </c:pt>
                <c:pt idx="2861">
                  <c:v>15.35</c:v>
                </c:pt>
                <c:pt idx="2862">
                  <c:v>17.100000000000016</c:v>
                </c:pt>
                <c:pt idx="2863">
                  <c:v>13.649999999999999</c:v>
                </c:pt>
                <c:pt idx="2864">
                  <c:v>13.299999999999995</c:v>
                </c:pt>
                <c:pt idx="2865">
                  <c:v>13.299999999999995</c:v>
                </c:pt>
                <c:pt idx="2866">
                  <c:v>16.299999999999994</c:v>
                </c:pt>
                <c:pt idx="2867">
                  <c:v>17.000000000000018</c:v>
                </c:pt>
                <c:pt idx="2868">
                  <c:v>16.050000000000004</c:v>
                </c:pt>
                <c:pt idx="2869">
                  <c:v>17.050000000000015</c:v>
                </c:pt>
                <c:pt idx="2870">
                  <c:v>17.300000000000008</c:v>
                </c:pt>
                <c:pt idx="2871">
                  <c:v>19.700000000000014</c:v>
                </c:pt>
                <c:pt idx="2872">
                  <c:v>24.450000000000028</c:v>
                </c:pt>
                <c:pt idx="2873">
                  <c:v>23</c:v>
                </c:pt>
                <c:pt idx="2874">
                  <c:v>23.9</c:v>
                </c:pt>
                <c:pt idx="2875">
                  <c:v>21.399999999999995</c:v>
                </c:pt>
                <c:pt idx="2876">
                  <c:v>18.700000000000003</c:v>
                </c:pt>
                <c:pt idx="2877">
                  <c:v>16.950000000000003</c:v>
                </c:pt>
                <c:pt idx="2878">
                  <c:v>18.65000000000002</c:v>
                </c:pt>
                <c:pt idx="2879">
                  <c:v>17.550000000000015</c:v>
                </c:pt>
                <c:pt idx="2880">
                  <c:v>17.349999999999987</c:v>
                </c:pt>
                <c:pt idx="2881">
                  <c:v>17.750000000000007</c:v>
                </c:pt>
                <c:pt idx="2882">
                  <c:v>17.700000000000006</c:v>
                </c:pt>
                <c:pt idx="2883">
                  <c:v>19.599999999999998</c:v>
                </c:pt>
                <c:pt idx="2884">
                  <c:v>19.599999999999998</c:v>
                </c:pt>
                <c:pt idx="2885">
                  <c:v>20.599999999999994</c:v>
                </c:pt>
                <c:pt idx="2886">
                  <c:v>17.45</c:v>
                </c:pt>
                <c:pt idx="2887">
                  <c:v>15.14999999999999</c:v>
                </c:pt>
                <c:pt idx="2888">
                  <c:v>13.900000000000006</c:v>
                </c:pt>
                <c:pt idx="2889">
                  <c:v>12.949999999999992</c:v>
                </c:pt>
                <c:pt idx="2890">
                  <c:v>10.350000000000012</c:v>
                </c:pt>
                <c:pt idx="2891">
                  <c:v>6.7000000000000046</c:v>
                </c:pt>
                <c:pt idx="2892">
                  <c:v>3.549999999999994</c:v>
                </c:pt>
                <c:pt idx="2893">
                  <c:v>4.7999999999999954</c:v>
                </c:pt>
                <c:pt idx="2894">
                  <c:v>3.2499999999999889</c:v>
                </c:pt>
                <c:pt idx="2895">
                  <c:v>4.8499999999999934</c:v>
                </c:pt>
                <c:pt idx="2896">
                  <c:v>4.5000000000000071</c:v>
                </c:pt>
                <c:pt idx="2897">
                  <c:v>7.6299999999999981</c:v>
                </c:pt>
                <c:pt idx="2898">
                  <c:v>8.5</c:v>
                </c:pt>
                <c:pt idx="2899">
                  <c:v>9.0499999999999954</c:v>
                </c:pt>
                <c:pt idx="2900">
                  <c:v>9.5499999999999918</c:v>
                </c:pt>
                <c:pt idx="2901">
                  <c:v>10.249999999999998</c:v>
                </c:pt>
                <c:pt idx="2902">
                  <c:v>11.640000000000018</c:v>
                </c:pt>
                <c:pt idx="2903">
                  <c:v>11.330000000000004</c:v>
                </c:pt>
                <c:pt idx="2904">
                  <c:v>11.980000000000011</c:v>
                </c:pt>
                <c:pt idx="2905">
                  <c:v>11.890000000000008</c:v>
                </c:pt>
                <c:pt idx="2906">
                  <c:v>11.5</c:v>
                </c:pt>
                <c:pt idx="2907">
                  <c:v>11.829999999999982</c:v>
                </c:pt>
                <c:pt idx="2908">
                  <c:v>11.929999999999996</c:v>
                </c:pt>
                <c:pt idx="2909">
                  <c:v>12.529999999999989</c:v>
                </c:pt>
                <c:pt idx="2910">
                  <c:v>11.989999999999986</c:v>
                </c:pt>
                <c:pt idx="2911">
                  <c:v>13.179999999999998</c:v>
                </c:pt>
                <c:pt idx="2912">
                  <c:v>12.979999999999988</c:v>
                </c:pt>
                <c:pt idx="2913">
                  <c:v>12.370000000000003</c:v>
                </c:pt>
                <c:pt idx="2914">
                  <c:v>14.029999999999998</c:v>
                </c:pt>
                <c:pt idx="2915">
                  <c:v>12.359999999999992</c:v>
                </c:pt>
                <c:pt idx="2916">
                  <c:v>12.29000000000001</c:v>
                </c:pt>
                <c:pt idx="2917">
                  <c:v>11.110000000000008</c:v>
                </c:pt>
                <c:pt idx="2918">
                  <c:v>10.600000000000019</c:v>
                </c:pt>
                <c:pt idx="2919">
                  <c:v>9.4299999999999944</c:v>
                </c:pt>
                <c:pt idx="2920">
                  <c:v>9.0999999999999943</c:v>
                </c:pt>
                <c:pt idx="2921">
                  <c:v>8.6000000000000139</c:v>
                </c:pt>
                <c:pt idx="2922">
                  <c:v>7.500000000000024</c:v>
                </c:pt>
                <c:pt idx="2923">
                  <c:v>6.000000000000016</c:v>
                </c:pt>
                <c:pt idx="2924">
                  <c:v>5.1999999999999789</c:v>
                </c:pt>
                <c:pt idx="2925">
                  <c:v>6.000000000000016</c:v>
                </c:pt>
                <c:pt idx="2926">
                  <c:v>6.999999999999992</c:v>
                </c:pt>
                <c:pt idx="2927">
                  <c:v>11.5</c:v>
                </c:pt>
                <c:pt idx="2928">
                  <c:v>12.499999999999993</c:v>
                </c:pt>
                <c:pt idx="2929">
                  <c:v>10.699999999999998</c:v>
                </c:pt>
                <c:pt idx="2930">
                  <c:v>13.799999999999994</c:v>
                </c:pt>
                <c:pt idx="2931">
                  <c:v>16.799999999999994</c:v>
                </c:pt>
                <c:pt idx="2932">
                  <c:v>22.699999999999996</c:v>
                </c:pt>
                <c:pt idx="2933">
                  <c:v>25.15</c:v>
                </c:pt>
                <c:pt idx="2934">
                  <c:v>30.349999999999977</c:v>
                </c:pt>
                <c:pt idx="2935">
                  <c:v>25.399999999999988</c:v>
                </c:pt>
                <c:pt idx="2936">
                  <c:v>27.200000000000003</c:v>
                </c:pt>
                <c:pt idx="2937">
                  <c:v>25.1</c:v>
                </c:pt>
                <c:pt idx="2938">
                  <c:v>24.650000000000002</c:v>
                </c:pt>
                <c:pt idx="2939">
                  <c:v>25.79999999999999</c:v>
                </c:pt>
                <c:pt idx="2940">
                  <c:v>21.700000000000017</c:v>
                </c:pt>
                <c:pt idx="2941">
                  <c:v>21.679999999999982</c:v>
                </c:pt>
                <c:pt idx="2942">
                  <c:v>20.800000000000004</c:v>
                </c:pt>
                <c:pt idx="2943">
                  <c:v>21.849999999999994</c:v>
                </c:pt>
                <c:pt idx="2944">
                  <c:v>23.400000000000002</c:v>
                </c:pt>
                <c:pt idx="2945">
                  <c:v>22.499999999999986</c:v>
                </c:pt>
                <c:pt idx="2946">
                  <c:v>23.20000000000001</c:v>
                </c:pt>
                <c:pt idx="2947">
                  <c:v>24.25</c:v>
                </c:pt>
                <c:pt idx="2948">
                  <c:v>23.903549060542794</c:v>
                </c:pt>
                <c:pt idx="2949">
                  <c:v>24.792275574112722</c:v>
                </c:pt>
                <c:pt idx="2950">
                  <c:v>21.852087682672252</c:v>
                </c:pt>
                <c:pt idx="2951">
                  <c:v>20.697494780793338</c:v>
                </c:pt>
                <c:pt idx="2952">
                  <c:v>19.7383785664579</c:v>
                </c:pt>
                <c:pt idx="2953">
                  <c:v>18.600000000000005</c:v>
                </c:pt>
                <c:pt idx="2954">
                  <c:v>16.100000000000001</c:v>
                </c:pt>
                <c:pt idx="2955">
                  <c:v>15.700000000000003</c:v>
                </c:pt>
                <c:pt idx="2956">
                  <c:v>14.700000000000008</c:v>
                </c:pt>
                <c:pt idx="2957">
                  <c:v>12.764718162839253</c:v>
                </c:pt>
                <c:pt idx="2958">
                  <c:v>11.537348643006242</c:v>
                </c:pt>
                <c:pt idx="2959">
                  <c:v>9.0193110647181562</c:v>
                </c:pt>
                <c:pt idx="2960">
                  <c:v>10.853096729297132</c:v>
                </c:pt>
                <c:pt idx="2961">
                  <c:v>11.254592901878899</c:v>
                </c:pt>
                <c:pt idx="2962">
                  <c:v>10.89394572025051</c:v>
                </c:pt>
                <c:pt idx="2963">
                  <c:v>9.0902574808628991</c:v>
                </c:pt>
                <c:pt idx="2964">
                  <c:v>9.3551496172581547</c:v>
                </c:pt>
                <c:pt idx="2965">
                  <c:v>8.8989561586638732</c:v>
                </c:pt>
                <c:pt idx="2966">
                  <c:v>8.4069241475295637</c:v>
                </c:pt>
                <c:pt idx="2967">
                  <c:v>7.842101600556723</c:v>
                </c:pt>
                <c:pt idx="2968">
                  <c:v>8.0000000000000036</c:v>
                </c:pt>
                <c:pt idx="2969">
                  <c:v>8.6999999999999922</c:v>
                </c:pt>
                <c:pt idx="2970">
                  <c:v>8.1999999999999957</c:v>
                </c:pt>
                <c:pt idx="2971">
                  <c:v>5.7999999999999892</c:v>
                </c:pt>
                <c:pt idx="2972">
                  <c:v>4.4999999999999902</c:v>
                </c:pt>
                <c:pt idx="2973">
                  <c:v>5.9999999999999813</c:v>
                </c:pt>
                <c:pt idx="2974">
                  <c:v>6.5999999999999917</c:v>
                </c:pt>
                <c:pt idx="2975">
                  <c:v>3.8000000000000012</c:v>
                </c:pt>
                <c:pt idx="2976">
                  <c:v>3.8000000000000012</c:v>
                </c:pt>
                <c:pt idx="2977">
                  <c:v>5.499999999999984</c:v>
                </c:pt>
                <c:pt idx="2978">
                  <c:v>5.0000000000000044</c:v>
                </c:pt>
                <c:pt idx="2979">
                  <c:v>4.200000000000002</c:v>
                </c:pt>
                <c:pt idx="2980">
                  <c:v>4.6999999999999993</c:v>
                </c:pt>
                <c:pt idx="2981">
                  <c:v>8.1799999999999926</c:v>
                </c:pt>
                <c:pt idx="2982">
                  <c:v>7.3999999999999932</c:v>
                </c:pt>
                <c:pt idx="2983">
                  <c:v>6.8999999999999968</c:v>
                </c:pt>
                <c:pt idx="2984">
                  <c:v>6.4999999999999778</c:v>
                </c:pt>
                <c:pt idx="2985">
                  <c:v>6.4999999999999956</c:v>
                </c:pt>
                <c:pt idx="2986">
                  <c:v>8.3999999999999879</c:v>
                </c:pt>
                <c:pt idx="2987">
                  <c:v>6.2000000000000073</c:v>
                </c:pt>
                <c:pt idx="2988">
                  <c:v>6.3999999999999817</c:v>
                </c:pt>
                <c:pt idx="2989">
                  <c:v>5.7499999999999911</c:v>
                </c:pt>
                <c:pt idx="2990">
                  <c:v>5.2999999999999918</c:v>
                </c:pt>
                <c:pt idx="2991">
                  <c:v>8.5</c:v>
                </c:pt>
                <c:pt idx="2992">
                  <c:v>9.0999999999999943</c:v>
                </c:pt>
                <c:pt idx="2993">
                  <c:v>7.3999999999999932</c:v>
                </c:pt>
                <c:pt idx="2994">
                  <c:v>9.6000000000000085</c:v>
                </c:pt>
                <c:pt idx="2995">
                  <c:v>10.100000000000005</c:v>
                </c:pt>
                <c:pt idx="2996">
                  <c:v>11.349999999999989</c:v>
                </c:pt>
                <c:pt idx="2997">
                  <c:v>38.45000000000001</c:v>
                </c:pt>
                <c:pt idx="2998">
                  <c:v>10.100000000000005</c:v>
                </c:pt>
                <c:pt idx="2999">
                  <c:v>10.600000000000001</c:v>
                </c:pt>
                <c:pt idx="3000">
                  <c:v>11.250000000000011</c:v>
                </c:pt>
                <c:pt idx="3001">
                  <c:v>11.899999999999984</c:v>
                </c:pt>
                <c:pt idx="3002">
                  <c:v>13.000000000000009</c:v>
                </c:pt>
                <c:pt idx="3003">
                  <c:v>12.10000000000001</c:v>
                </c:pt>
                <c:pt idx="3004">
                  <c:v>11.29999999999999</c:v>
                </c:pt>
                <c:pt idx="3005">
                  <c:v>12.700000000000003</c:v>
                </c:pt>
                <c:pt idx="3006">
                  <c:v>12.700000000000003</c:v>
                </c:pt>
                <c:pt idx="3007">
                  <c:v>13.250000000000016</c:v>
                </c:pt>
                <c:pt idx="3008">
                  <c:v>12.250000000000004</c:v>
                </c:pt>
                <c:pt idx="3009">
                  <c:v>12.600000000000007</c:v>
                </c:pt>
                <c:pt idx="3010">
                  <c:v>12.399999999999999</c:v>
                </c:pt>
                <c:pt idx="3011">
                  <c:v>13.000000000000025</c:v>
                </c:pt>
                <c:pt idx="3012">
                  <c:v>11.636186499652066</c:v>
                </c:pt>
                <c:pt idx="3013">
                  <c:v>11.863569937369499</c:v>
                </c:pt>
                <c:pt idx="3014">
                  <c:v>10.557689631176068</c:v>
                </c:pt>
                <c:pt idx="3015">
                  <c:v>11.984585942936675</c:v>
                </c:pt>
                <c:pt idx="3016">
                  <c:v>12.319624217119012</c:v>
                </c:pt>
                <c:pt idx="3017">
                  <c:v>10.700000000000015</c:v>
                </c:pt>
                <c:pt idx="3018">
                  <c:v>10.749999999999996</c:v>
                </c:pt>
                <c:pt idx="3019">
                  <c:v>13.100000000000003</c:v>
                </c:pt>
                <c:pt idx="3020">
                  <c:v>11.449999999999985</c:v>
                </c:pt>
                <c:pt idx="3021">
                  <c:v>12.10000000000001</c:v>
                </c:pt>
                <c:pt idx="3022">
                  <c:v>12.000000000000014</c:v>
                </c:pt>
                <c:pt idx="3023">
                  <c:v>13.000000000000009</c:v>
                </c:pt>
                <c:pt idx="3024">
                  <c:v>11.200000000000012</c:v>
                </c:pt>
                <c:pt idx="3025">
                  <c:v>11.599999999999996</c:v>
                </c:pt>
                <c:pt idx="3026">
                  <c:v>10.199999999999983</c:v>
                </c:pt>
                <c:pt idx="3027">
                  <c:v>12.199999999999989</c:v>
                </c:pt>
                <c:pt idx="3028">
                  <c:v>13.089999999999995</c:v>
                </c:pt>
                <c:pt idx="3029">
                  <c:v>13.999999999999984</c:v>
                </c:pt>
                <c:pt idx="3030">
                  <c:v>14.599999999999994</c:v>
                </c:pt>
                <c:pt idx="3031">
                  <c:v>16.799999999999994</c:v>
                </c:pt>
                <c:pt idx="3032">
                  <c:v>15.75</c:v>
                </c:pt>
                <c:pt idx="3033">
                  <c:v>17.300000000000008</c:v>
                </c:pt>
                <c:pt idx="3034">
                  <c:v>17.400000000000002</c:v>
                </c:pt>
                <c:pt idx="3035">
                  <c:v>21.3</c:v>
                </c:pt>
                <c:pt idx="3036">
                  <c:v>19.27999999999999</c:v>
                </c:pt>
                <c:pt idx="3037">
                  <c:v>21.335803757828817</c:v>
                </c:pt>
                <c:pt idx="3038">
                  <c:v>22.401670146137803</c:v>
                </c:pt>
                <c:pt idx="3039">
                  <c:v>22.443006263048026</c:v>
                </c:pt>
                <c:pt idx="3040">
                  <c:v>22.585594989561596</c:v>
                </c:pt>
                <c:pt idx="3041">
                  <c:v>24.617258176757133</c:v>
                </c:pt>
                <c:pt idx="3042">
                  <c:v>23.8</c:v>
                </c:pt>
                <c:pt idx="3043">
                  <c:v>23.700000000000006</c:v>
                </c:pt>
                <c:pt idx="3044">
                  <c:v>23.299999999999986</c:v>
                </c:pt>
                <c:pt idx="3045">
                  <c:v>23.500000000000014</c:v>
                </c:pt>
                <c:pt idx="3046">
                  <c:v>22.949999999999985</c:v>
                </c:pt>
                <c:pt idx="3047">
                  <c:v>22.599999999999998</c:v>
                </c:pt>
                <c:pt idx="3048">
                  <c:v>21.3</c:v>
                </c:pt>
                <c:pt idx="3049">
                  <c:v>20.399999999999984</c:v>
                </c:pt>
                <c:pt idx="3050">
                  <c:v>19.299999999999994</c:v>
                </c:pt>
                <c:pt idx="3051">
                  <c:v>21.100000000000009</c:v>
                </c:pt>
                <c:pt idx="3052">
                  <c:v>21.399999999999995</c:v>
                </c:pt>
                <c:pt idx="3053">
                  <c:v>21.099999999999991</c:v>
                </c:pt>
                <c:pt idx="3054">
                  <c:v>22.199999999999996</c:v>
                </c:pt>
                <c:pt idx="3055">
                  <c:v>23.679999999999986</c:v>
                </c:pt>
                <c:pt idx="3056">
                  <c:v>21.7</c:v>
                </c:pt>
                <c:pt idx="3057">
                  <c:v>23.599999999999977</c:v>
                </c:pt>
                <c:pt idx="3058">
                  <c:v>24.999999999999986</c:v>
                </c:pt>
                <c:pt idx="3059">
                  <c:v>25.669999999999998</c:v>
                </c:pt>
                <c:pt idx="3060">
                  <c:v>26.099999999999994</c:v>
                </c:pt>
                <c:pt idx="3061">
                  <c:v>27.029999999999987</c:v>
                </c:pt>
                <c:pt idx="3062">
                  <c:v>27.099999999999987</c:v>
                </c:pt>
                <c:pt idx="3063">
                  <c:v>27.6</c:v>
                </c:pt>
                <c:pt idx="3064">
                  <c:v>25.639999999999986</c:v>
                </c:pt>
                <c:pt idx="3065">
                  <c:v>27.599999999999987</c:v>
                </c:pt>
                <c:pt idx="3066">
                  <c:v>27.100000000000005</c:v>
                </c:pt>
                <c:pt idx="3067">
                  <c:v>28.399999999999988</c:v>
                </c:pt>
                <c:pt idx="3068">
                  <c:v>29.999999999999993</c:v>
                </c:pt>
                <c:pt idx="3069">
                  <c:v>28.5</c:v>
                </c:pt>
                <c:pt idx="3070">
                  <c:v>28.479999999999997</c:v>
                </c:pt>
                <c:pt idx="3071">
                  <c:v>29.670000000000009</c:v>
                </c:pt>
                <c:pt idx="3072">
                  <c:v>29.42449547668754</c:v>
                </c:pt>
                <c:pt idx="3073">
                  <c:v>28.456151704940869</c:v>
                </c:pt>
                <c:pt idx="3074">
                  <c:v>27.208977035490609</c:v>
                </c:pt>
                <c:pt idx="3075">
                  <c:v>27.987355601948508</c:v>
                </c:pt>
                <c:pt idx="3076">
                  <c:v>25.244878218510774</c:v>
                </c:pt>
                <c:pt idx="3077">
                  <c:v>26.4</c:v>
                </c:pt>
                <c:pt idx="3078">
                  <c:v>27.230000000000015</c:v>
                </c:pt>
                <c:pt idx="3079">
                  <c:v>27.820000000000014</c:v>
                </c:pt>
                <c:pt idx="3080">
                  <c:v>26.700000000000006</c:v>
                </c:pt>
                <c:pt idx="3081">
                  <c:v>26.47</c:v>
                </c:pt>
                <c:pt idx="3082">
                  <c:v>26.320000000000007</c:v>
                </c:pt>
                <c:pt idx="3083">
                  <c:v>26.320000000000007</c:v>
                </c:pt>
                <c:pt idx="3084">
                  <c:v>26.670000000000009</c:v>
                </c:pt>
                <c:pt idx="3085">
                  <c:v>26.87</c:v>
                </c:pt>
                <c:pt idx="3086">
                  <c:v>28.1</c:v>
                </c:pt>
                <c:pt idx="3087">
                  <c:v>27.500000000000007</c:v>
                </c:pt>
                <c:pt idx="3088">
                  <c:v>26.8</c:v>
                </c:pt>
                <c:pt idx="3089">
                  <c:v>33.199999999999982</c:v>
                </c:pt>
                <c:pt idx="3090">
                  <c:v>30.500000000000025</c:v>
                </c:pt>
                <c:pt idx="3091">
                  <c:v>26.600000000000009</c:v>
                </c:pt>
                <c:pt idx="3092">
                  <c:v>23.600000000000009</c:v>
                </c:pt>
                <c:pt idx="3093">
                  <c:v>22.79999999999999</c:v>
                </c:pt>
                <c:pt idx="3094">
                  <c:v>28.599999999999998</c:v>
                </c:pt>
                <c:pt idx="3095">
                  <c:v>28.81</c:v>
                </c:pt>
                <c:pt idx="3096">
                  <c:v>28.70000000000001</c:v>
                </c:pt>
                <c:pt idx="3097">
                  <c:v>29.200000000000006</c:v>
                </c:pt>
                <c:pt idx="3098">
                  <c:v>27.999999999999986</c:v>
                </c:pt>
                <c:pt idx="3099">
                  <c:v>28.95</c:v>
                </c:pt>
                <c:pt idx="3100">
                  <c:v>29.8</c:v>
                </c:pt>
                <c:pt idx="3101">
                  <c:v>32.580000000000005</c:v>
                </c:pt>
                <c:pt idx="3102">
                  <c:v>33.92</c:v>
                </c:pt>
                <c:pt idx="3103">
                  <c:v>33.350000000000009</c:v>
                </c:pt>
                <c:pt idx="3104">
                  <c:v>34.200000000000003</c:v>
                </c:pt>
                <c:pt idx="3105">
                  <c:v>34.500000000000014</c:v>
                </c:pt>
                <c:pt idx="3106">
                  <c:v>36.220000000000013</c:v>
                </c:pt>
                <c:pt idx="3107">
                  <c:v>36.720000000000006</c:v>
                </c:pt>
                <c:pt idx="3108">
                  <c:v>33.20000000000001</c:v>
                </c:pt>
                <c:pt idx="3109">
                  <c:v>32.35</c:v>
                </c:pt>
                <c:pt idx="3110">
                  <c:v>33.20000000000001</c:v>
                </c:pt>
                <c:pt idx="3111">
                  <c:v>33.17</c:v>
                </c:pt>
                <c:pt idx="3112">
                  <c:v>34.319999999999993</c:v>
                </c:pt>
                <c:pt idx="3113">
                  <c:v>36.269999999999989</c:v>
                </c:pt>
                <c:pt idx="3114">
                  <c:v>34.53</c:v>
                </c:pt>
                <c:pt idx="3115">
                  <c:v>33.54</c:v>
                </c:pt>
                <c:pt idx="3116">
                  <c:v>33.570000000000007</c:v>
                </c:pt>
                <c:pt idx="3117">
                  <c:v>32.68</c:v>
                </c:pt>
                <c:pt idx="3118">
                  <c:v>31.719999999999995</c:v>
                </c:pt>
                <c:pt idx="3119">
                  <c:v>31.169999999999998</c:v>
                </c:pt>
                <c:pt idx="3120">
                  <c:v>31.159999999999989</c:v>
                </c:pt>
                <c:pt idx="3121">
                  <c:v>31.589999999999996</c:v>
                </c:pt>
                <c:pt idx="3122">
                  <c:v>30.249999999999989</c:v>
                </c:pt>
                <c:pt idx="3123">
                  <c:v>31.149999999999988</c:v>
                </c:pt>
                <c:pt idx="3124">
                  <c:v>28.850000000000012</c:v>
                </c:pt>
                <c:pt idx="3125">
                  <c:v>27.25</c:v>
                </c:pt>
                <c:pt idx="3126">
                  <c:v>27.369999999999997</c:v>
                </c:pt>
                <c:pt idx="3127">
                  <c:v>25.61999999999999</c:v>
                </c:pt>
                <c:pt idx="3128">
                  <c:v>26.300000000000004</c:v>
                </c:pt>
                <c:pt idx="3129">
                  <c:v>26.169999999999995</c:v>
                </c:pt>
                <c:pt idx="3130">
                  <c:v>25.549999999999983</c:v>
                </c:pt>
                <c:pt idx="3131">
                  <c:v>22.419999999999991</c:v>
                </c:pt>
                <c:pt idx="3132">
                  <c:v>21.669999999999998</c:v>
                </c:pt>
                <c:pt idx="3133">
                  <c:v>21.720000000000013</c:v>
                </c:pt>
                <c:pt idx="3134">
                  <c:v>20.820000000000004</c:v>
                </c:pt>
                <c:pt idx="3135">
                  <c:v>22.500000000000011</c:v>
                </c:pt>
                <c:pt idx="3136">
                  <c:v>21.320000000000011</c:v>
                </c:pt>
                <c:pt idx="3137">
                  <c:v>19.800000000000008</c:v>
                </c:pt>
                <c:pt idx="3138">
                  <c:v>20.300000000000004</c:v>
                </c:pt>
                <c:pt idx="3139">
                  <c:v>22.500000000000004</c:v>
                </c:pt>
                <c:pt idx="3140">
                  <c:v>23.699999999999996</c:v>
                </c:pt>
                <c:pt idx="3141">
                  <c:v>26.199999999999992</c:v>
                </c:pt>
                <c:pt idx="3142">
                  <c:v>25.1</c:v>
                </c:pt>
                <c:pt idx="3143">
                  <c:v>27.5</c:v>
                </c:pt>
                <c:pt idx="3144">
                  <c:v>27.599999999999994</c:v>
                </c:pt>
              </c:numCache>
            </c:numRef>
          </c:val>
          <c:extLst xmlns:c16r2="http://schemas.microsoft.com/office/drawing/2015/06/chart">
            <c:ext xmlns:c16="http://schemas.microsoft.com/office/drawing/2014/chart" uri="{C3380CC4-5D6E-409C-BE32-E72D297353CC}">
              <c16:uniqueId val="{00000000-011E-48B9-9DA4-64387C0BE623}"/>
            </c:ext>
          </c:extLst>
        </c:ser>
        <c:dLbls>
          <c:showLegendKey val="0"/>
          <c:showVal val="0"/>
          <c:showCatName val="0"/>
          <c:showSerName val="0"/>
          <c:showPercent val="0"/>
          <c:showBubbleSize val="0"/>
        </c:dLbls>
        <c:axId val="37208448"/>
        <c:axId val="37198080"/>
      </c:areaChart>
      <c:lineChart>
        <c:grouping val="standard"/>
        <c:varyColors val="0"/>
        <c:ser>
          <c:idx val="0"/>
          <c:order val="0"/>
          <c:tx>
            <c:strRef>
              <c:f>Sheet1!$B$1</c:f>
              <c:strCache>
                <c:ptCount val="1"/>
                <c:pt idx="0">
                  <c:v>SLO 10 let</c:v>
                </c:pt>
              </c:strCache>
            </c:strRef>
          </c:tx>
          <c:spPr>
            <a:ln w="19050" cap="sq">
              <a:solidFill>
                <a:schemeClr val="tx2">
                  <a:lumMod val="75000"/>
                </a:schemeClr>
              </a:solidFill>
            </a:ln>
          </c:spPr>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Sheet1!$B$2:$B$3146</c:f>
              <c:numCache>
                <c:formatCode>0.000%</c:formatCode>
                <c:ptCount val="3145"/>
                <c:pt idx="0">
                  <c:v>4.0199999999999993E-2</c:v>
                </c:pt>
                <c:pt idx="1">
                  <c:v>4.0300000000000002E-2</c:v>
                </c:pt>
                <c:pt idx="2">
                  <c:v>4.0190000000000003E-2</c:v>
                </c:pt>
                <c:pt idx="3">
                  <c:v>4.061E-2</c:v>
                </c:pt>
                <c:pt idx="4">
                  <c:v>4.0549999999999996E-2</c:v>
                </c:pt>
                <c:pt idx="5">
                  <c:v>4.0689999999999997E-2</c:v>
                </c:pt>
                <c:pt idx="6">
                  <c:v>4.0800000000000003E-2</c:v>
                </c:pt>
                <c:pt idx="7">
                  <c:v>4.0689999999999997E-2</c:v>
                </c:pt>
                <c:pt idx="8">
                  <c:v>4.0979999999999996E-2</c:v>
                </c:pt>
                <c:pt idx="9">
                  <c:v>4.0910000000000002E-2</c:v>
                </c:pt>
                <c:pt idx="10">
                  <c:v>4.0899999999999999E-2</c:v>
                </c:pt>
                <c:pt idx="11">
                  <c:v>4.088E-2</c:v>
                </c:pt>
                <c:pt idx="12">
                  <c:v>4.1200000000000001E-2</c:v>
                </c:pt>
                <c:pt idx="13">
                  <c:v>4.1169999999999998E-2</c:v>
                </c:pt>
                <c:pt idx="14">
                  <c:v>4.0849999999999997E-2</c:v>
                </c:pt>
                <c:pt idx="15">
                  <c:v>4.0930000000000001E-2</c:v>
                </c:pt>
                <c:pt idx="16">
                  <c:v>4.1139999999999996E-2</c:v>
                </c:pt>
                <c:pt idx="17">
                  <c:v>4.1340000000000002E-2</c:v>
                </c:pt>
                <c:pt idx="18">
                  <c:v>4.1360000000000001E-2</c:v>
                </c:pt>
                <c:pt idx="19">
                  <c:v>4.1609999999999994E-2</c:v>
                </c:pt>
                <c:pt idx="20">
                  <c:v>4.1550000000000004E-2</c:v>
                </c:pt>
                <c:pt idx="21">
                  <c:v>4.1520000000000001E-2</c:v>
                </c:pt>
                <c:pt idx="22">
                  <c:v>4.1329999999999999E-2</c:v>
                </c:pt>
                <c:pt idx="23">
                  <c:v>4.0930000000000001E-2</c:v>
                </c:pt>
                <c:pt idx="24">
                  <c:v>4.0660000000000002E-2</c:v>
                </c:pt>
                <c:pt idx="25">
                  <c:v>4.07E-2</c:v>
                </c:pt>
                <c:pt idx="26">
                  <c:v>4.0719999999999999E-2</c:v>
                </c:pt>
                <c:pt idx="27">
                  <c:v>4.1070000000000002E-2</c:v>
                </c:pt>
                <c:pt idx="28">
                  <c:v>4.1390000000000003E-2</c:v>
                </c:pt>
                <c:pt idx="29">
                  <c:v>4.1449999999999994E-2</c:v>
                </c:pt>
                <c:pt idx="30">
                  <c:v>4.1619999999999997E-2</c:v>
                </c:pt>
                <c:pt idx="31">
                  <c:v>4.1420000000000005E-2</c:v>
                </c:pt>
                <c:pt idx="32">
                  <c:v>4.0899999999999999E-2</c:v>
                </c:pt>
                <c:pt idx="33">
                  <c:v>4.1079999999999998E-2</c:v>
                </c:pt>
                <c:pt idx="34">
                  <c:v>4.122E-2</c:v>
                </c:pt>
                <c:pt idx="35">
                  <c:v>4.1189999999999997E-2</c:v>
                </c:pt>
                <c:pt idx="36">
                  <c:v>4.1110000000000001E-2</c:v>
                </c:pt>
                <c:pt idx="37">
                  <c:v>4.1429999999999995E-2</c:v>
                </c:pt>
                <c:pt idx="38">
                  <c:v>4.1110000000000001E-2</c:v>
                </c:pt>
                <c:pt idx="39">
                  <c:v>4.0640000000000003E-2</c:v>
                </c:pt>
                <c:pt idx="40">
                  <c:v>4.0320000000000002E-2</c:v>
                </c:pt>
                <c:pt idx="41">
                  <c:v>4.0119999999999996E-2</c:v>
                </c:pt>
                <c:pt idx="42">
                  <c:v>4.0010000000000004E-2</c:v>
                </c:pt>
                <c:pt idx="43">
                  <c:v>3.9800000000000002E-2</c:v>
                </c:pt>
                <c:pt idx="44">
                  <c:v>3.9710000000000002E-2</c:v>
                </c:pt>
                <c:pt idx="45">
                  <c:v>3.9830000000000004E-2</c:v>
                </c:pt>
                <c:pt idx="46">
                  <c:v>3.9870000000000003E-2</c:v>
                </c:pt>
                <c:pt idx="47">
                  <c:v>4.0010000000000004E-2</c:v>
                </c:pt>
                <c:pt idx="48">
                  <c:v>4.0350000000000004E-2</c:v>
                </c:pt>
                <c:pt idx="49">
                  <c:v>4.0170000000000004E-2</c:v>
                </c:pt>
                <c:pt idx="50">
                  <c:v>3.9969999999999999E-2</c:v>
                </c:pt>
                <c:pt idx="51">
                  <c:v>3.986E-2</c:v>
                </c:pt>
                <c:pt idx="52">
                  <c:v>4.011E-2</c:v>
                </c:pt>
                <c:pt idx="53">
                  <c:v>4.0979999999999996E-2</c:v>
                </c:pt>
                <c:pt idx="54">
                  <c:v>4.1149999999999999E-2</c:v>
                </c:pt>
                <c:pt idx="55">
                  <c:v>4.0979999999999996E-2</c:v>
                </c:pt>
                <c:pt idx="56">
                  <c:v>4.1169999999999998E-2</c:v>
                </c:pt>
                <c:pt idx="57">
                  <c:v>4.1349999999999998E-2</c:v>
                </c:pt>
                <c:pt idx="58">
                  <c:v>4.1870000000000004E-2</c:v>
                </c:pt>
                <c:pt idx="59">
                  <c:v>4.1870000000000004E-2</c:v>
                </c:pt>
                <c:pt idx="60">
                  <c:v>4.2020000000000002E-2</c:v>
                </c:pt>
                <c:pt idx="61">
                  <c:v>4.2110000000000002E-2</c:v>
                </c:pt>
                <c:pt idx="62">
                  <c:v>4.2279999999999998E-2</c:v>
                </c:pt>
                <c:pt idx="63">
                  <c:v>4.2290000000000001E-2</c:v>
                </c:pt>
                <c:pt idx="64">
                  <c:v>4.2480000000000004E-2</c:v>
                </c:pt>
                <c:pt idx="65">
                  <c:v>4.2709999999999998E-2</c:v>
                </c:pt>
                <c:pt idx="66">
                  <c:v>4.2419999999999999E-2</c:v>
                </c:pt>
                <c:pt idx="67">
                  <c:v>4.2679999999999996E-2</c:v>
                </c:pt>
                <c:pt idx="68">
                  <c:v>4.2999999999999997E-2</c:v>
                </c:pt>
                <c:pt idx="69">
                  <c:v>4.3159999999999997E-2</c:v>
                </c:pt>
                <c:pt idx="70">
                  <c:v>4.3570000000000005E-2</c:v>
                </c:pt>
                <c:pt idx="71">
                  <c:v>4.4080000000000001E-2</c:v>
                </c:pt>
                <c:pt idx="72">
                  <c:v>4.3819999999999998E-2</c:v>
                </c:pt>
                <c:pt idx="73">
                  <c:v>4.351E-2</c:v>
                </c:pt>
                <c:pt idx="74">
                  <c:v>4.3230000000000005E-2</c:v>
                </c:pt>
                <c:pt idx="75">
                  <c:v>4.3680000000000004E-2</c:v>
                </c:pt>
                <c:pt idx="76">
                  <c:v>4.3710000000000006E-2</c:v>
                </c:pt>
                <c:pt idx="77">
                  <c:v>4.3419999999999993E-2</c:v>
                </c:pt>
                <c:pt idx="78">
                  <c:v>4.333E-2</c:v>
                </c:pt>
                <c:pt idx="79">
                  <c:v>4.36E-2</c:v>
                </c:pt>
                <c:pt idx="80">
                  <c:v>4.394E-2</c:v>
                </c:pt>
                <c:pt idx="81">
                  <c:v>4.3870000000000006E-2</c:v>
                </c:pt>
                <c:pt idx="82">
                  <c:v>4.3189999999999999E-2</c:v>
                </c:pt>
                <c:pt idx="83">
                  <c:v>4.3819999999999998E-2</c:v>
                </c:pt>
                <c:pt idx="84">
                  <c:v>4.3990000000000001E-2</c:v>
                </c:pt>
                <c:pt idx="85">
                  <c:v>4.3650000000000001E-2</c:v>
                </c:pt>
                <c:pt idx="86">
                  <c:v>4.3779999999999999E-2</c:v>
                </c:pt>
                <c:pt idx="87">
                  <c:v>4.3659999999999997E-2</c:v>
                </c:pt>
                <c:pt idx="88">
                  <c:v>4.3749999999999997E-2</c:v>
                </c:pt>
                <c:pt idx="89">
                  <c:v>4.3810000000000002E-2</c:v>
                </c:pt>
                <c:pt idx="90">
                  <c:v>4.3909999999999998E-2</c:v>
                </c:pt>
                <c:pt idx="91">
                  <c:v>4.4379999999999996E-2</c:v>
                </c:pt>
                <c:pt idx="92">
                  <c:v>4.4669999999999994E-2</c:v>
                </c:pt>
                <c:pt idx="93">
                  <c:v>4.471E-2</c:v>
                </c:pt>
                <c:pt idx="94">
                  <c:v>4.4760000000000001E-2</c:v>
                </c:pt>
                <c:pt idx="95">
                  <c:v>4.4800000000000006E-2</c:v>
                </c:pt>
                <c:pt idx="96">
                  <c:v>4.4900000000000002E-2</c:v>
                </c:pt>
                <c:pt idx="97">
                  <c:v>4.5069999999999999E-2</c:v>
                </c:pt>
                <c:pt idx="98">
                  <c:v>4.5350000000000001E-2</c:v>
                </c:pt>
                <c:pt idx="99">
                  <c:v>4.521E-2</c:v>
                </c:pt>
                <c:pt idx="100">
                  <c:v>4.5449999999999997E-2</c:v>
                </c:pt>
                <c:pt idx="101">
                  <c:v>4.5469999999999997E-2</c:v>
                </c:pt>
                <c:pt idx="102">
                  <c:v>4.5570000000000006E-2</c:v>
                </c:pt>
                <c:pt idx="103">
                  <c:v>4.5530000000000001E-2</c:v>
                </c:pt>
                <c:pt idx="104">
                  <c:v>4.5759999999999995E-2</c:v>
                </c:pt>
                <c:pt idx="105">
                  <c:v>4.6129999999999997E-2</c:v>
                </c:pt>
                <c:pt idx="106">
                  <c:v>4.6150000000000004E-2</c:v>
                </c:pt>
                <c:pt idx="107">
                  <c:v>4.6500000000000007E-2</c:v>
                </c:pt>
                <c:pt idx="108">
                  <c:v>4.6170000000000003E-2</c:v>
                </c:pt>
                <c:pt idx="109">
                  <c:v>4.6959999999999995E-2</c:v>
                </c:pt>
                <c:pt idx="110">
                  <c:v>4.7199999999999999E-2</c:v>
                </c:pt>
                <c:pt idx="111">
                  <c:v>4.7249999999999993E-2</c:v>
                </c:pt>
                <c:pt idx="112">
                  <c:v>4.7720000000000005E-2</c:v>
                </c:pt>
                <c:pt idx="113">
                  <c:v>4.8079999999999998E-2</c:v>
                </c:pt>
                <c:pt idx="114">
                  <c:v>4.8179999999999994E-2</c:v>
                </c:pt>
                <c:pt idx="115">
                  <c:v>4.829E-2</c:v>
                </c:pt>
                <c:pt idx="116">
                  <c:v>4.827E-2</c:v>
                </c:pt>
                <c:pt idx="117">
                  <c:v>4.7830000000000004E-2</c:v>
                </c:pt>
                <c:pt idx="118">
                  <c:v>4.8120000000000003E-2</c:v>
                </c:pt>
                <c:pt idx="119">
                  <c:v>4.8230000000000002E-2</c:v>
                </c:pt>
                <c:pt idx="120">
                  <c:v>4.8280000000000003E-2</c:v>
                </c:pt>
                <c:pt idx="121">
                  <c:v>4.795E-2</c:v>
                </c:pt>
                <c:pt idx="122">
                  <c:v>4.7750000000000001E-2</c:v>
                </c:pt>
                <c:pt idx="123">
                  <c:v>4.7230000000000001E-2</c:v>
                </c:pt>
                <c:pt idx="124">
                  <c:v>4.7460000000000002E-2</c:v>
                </c:pt>
                <c:pt idx="125">
                  <c:v>4.7480000000000001E-2</c:v>
                </c:pt>
                <c:pt idx="126">
                  <c:v>4.6879999999999998E-2</c:v>
                </c:pt>
                <c:pt idx="127">
                  <c:v>4.7409999999999994E-2</c:v>
                </c:pt>
                <c:pt idx="128">
                  <c:v>4.7850000000000004E-2</c:v>
                </c:pt>
                <c:pt idx="129">
                  <c:v>4.8300000000000003E-2</c:v>
                </c:pt>
                <c:pt idx="130">
                  <c:v>4.8629999999999993E-2</c:v>
                </c:pt>
                <c:pt idx="131">
                  <c:v>4.8559999999999999E-2</c:v>
                </c:pt>
                <c:pt idx="132">
                  <c:v>4.7729999999999995E-2</c:v>
                </c:pt>
                <c:pt idx="133">
                  <c:v>4.7699999999999992E-2</c:v>
                </c:pt>
                <c:pt idx="134">
                  <c:v>4.8049999999999995E-2</c:v>
                </c:pt>
                <c:pt idx="135">
                  <c:v>4.8000000000000001E-2</c:v>
                </c:pt>
                <c:pt idx="136">
                  <c:v>4.7660000000000001E-2</c:v>
                </c:pt>
                <c:pt idx="137">
                  <c:v>4.7830000000000004E-2</c:v>
                </c:pt>
                <c:pt idx="138">
                  <c:v>4.7359999999999999E-2</c:v>
                </c:pt>
                <c:pt idx="139">
                  <c:v>4.7370000000000002E-2</c:v>
                </c:pt>
                <c:pt idx="140">
                  <c:v>4.6379999999999998E-2</c:v>
                </c:pt>
                <c:pt idx="141">
                  <c:v>4.6449999999999998E-2</c:v>
                </c:pt>
                <c:pt idx="142">
                  <c:v>4.6390000000000001E-2</c:v>
                </c:pt>
                <c:pt idx="143">
                  <c:v>4.6120000000000001E-2</c:v>
                </c:pt>
                <c:pt idx="144">
                  <c:v>4.5720000000000004E-2</c:v>
                </c:pt>
                <c:pt idx="145">
                  <c:v>4.5629999999999997E-2</c:v>
                </c:pt>
                <c:pt idx="146">
                  <c:v>4.5530000000000001E-2</c:v>
                </c:pt>
                <c:pt idx="147">
                  <c:v>4.5949999999999998E-2</c:v>
                </c:pt>
                <c:pt idx="148">
                  <c:v>4.6059999999999997E-2</c:v>
                </c:pt>
                <c:pt idx="149">
                  <c:v>4.623E-2</c:v>
                </c:pt>
                <c:pt idx="150">
                  <c:v>4.5720000000000004E-2</c:v>
                </c:pt>
                <c:pt idx="151">
                  <c:v>4.5759999999999995E-2</c:v>
                </c:pt>
                <c:pt idx="152">
                  <c:v>4.5869999999999994E-2</c:v>
                </c:pt>
                <c:pt idx="153">
                  <c:v>4.6519999999999999E-2</c:v>
                </c:pt>
                <c:pt idx="154">
                  <c:v>4.6210000000000001E-2</c:v>
                </c:pt>
                <c:pt idx="155">
                  <c:v>4.5919999999999996E-2</c:v>
                </c:pt>
                <c:pt idx="156">
                  <c:v>4.6059999999999997E-2</c:v>
                </c:pt>
                <c:pt idx="157">
                  <c:v>4.5960000000000001E-2</c:v>
                </c:pt>
                <c:pt idx="158">
                  <c:v>4.5759999999999995E-2</c:v>
                </c:pt>
                <c:pt idx="159">
                  <c:v>4.5039999999999997E-2</c:v>
                </c:pt>
                <c:pt idx="160">
                  <c:v>4.5380000000000004E-2</c:v>
                </c:pt>
                <c:pt idx="161">
                  <c:v>4.5419999999999995E-2</c:v>
                </c:pt>
                <c:pt idx="162">
                  <c:v>4.5030000000000001E-2</c:v>
                </c:pt>
                <c:pt idx="163">
                  <c:v>4.5589999999999999E-2</c:v>
                </c:pt>
                <c:pt idx="164">
                  <c:v>4.5410000000000006E-2</c:v>
                </c:pt>
                <c:pt idx="165">
                  <c:v>4.5259999999999995E-2</c:v>
                </c:pt>
                <c:pt idx="166">
                  <c:v>4.5199999999999997E-2</c:v>
                </c:pt>
                <c:pt idx="167">
                  <c:v>4.4909999999999999E-2</c:v>
                </c:pt>
                <c:pt idx="168">
                  <c:v>4.4909999999999999E-2</c:v>
                </c:pt>
                <c:pt idx="169">
                  <c:v>4.5060000000000003E-2</c:v>
                </c:pt>
                <c:pt idx="170">
                  <c:v>4.5170000000000002E-2</c:v>
                </c:pt>
                <c:pt idx="171">
                  <c:v>4.5370000000000001E-2</c:v>
                </c:pt>
                <c:pt idx="172">
                  <c:v>4.5490000000000003E-2</c:v>
                </c:pt>
                <c:pt idx="173">
                  <c:v>4.4889999999999999E-2</c:v>
                </c:pt>
                <c:pt idx="174">
                  <c:v>4.4839999999999998E-2</c:v>
                </c:pt>
                <c:pt idx="175">
                  <c:v>4.4109999999999996E-2</c:v>
                </c:pt>
                <c:pt idx="176">
                  <c:v>4.3560000000000001E-2</c:v>
                </c:pt>
                <c:pt idx="177">
                  <c:v>4.3739999999999994E-2</c:v>
                </c:pt>
                <c:pt idx="178">
                  <c:v>4.3990000000000001E-2</c:v>
                </c:pt>
                <c:pt idx="179">
                  <c:v>4.4389999999999999E-2</c:v>
                </c:pt>
                <c:pt idx="180">
                  <c:v>4.4330000000000001E-2</c:v>
                </c:pt>
                <c:pt idx="181">
                  <c:v>4.4130000000000003E-2</c:v>
                </c:pt>
                <c:pt idx="182">
                  <c:v>4.4770000000000004E-2</c:v>
                </c:pt>
                <c:pt idx="183">
                  <c:v>4.5280000000000008E-2</c:v>
                </c:pt>
                <c:pt idx="184">
                  <c:v>4.5899999999999996E-2</c:v>
                </c:pt>
                <c:pt idx="185">
                  <c:v>4.6059999999999997E-2</c:v>
                </c:pt>
                <c:pt idx="186">
                  <c:v>4.6109999999999998E-2</c:v>
                </c:pt>
                <c:pt idx="187">
                  <c:v>4.5710000000000001E-2</c:v>
                </c:pt>
                <c:pt idx="188">
                  <c:v>4.6300000000000001E-2</c:v>
                </c:pt>
                <c:pt idx="189">
                  <c:v>4.6249999999999999E-2</c:v>
                </c:pt>
                <c:pt idx="190">
                  <c:v>4.5789999999999997E-2</c:v>
                </c:pt>
                <c:pt idx="191">
                  <c:v>4.5720000000000004E-2</c:v>
                </c:pt>
                <c:pt idx="192">
                  <c:v>4.5540000000000004E-2</c:v>
                </c:pt>
                <c:pt idx="193">
                  <c:v>4.5749999999999999E-2</c:v>
                </c:pt>
                <c:pt idx="194">
                  <c:v>4.5240000000000002E-2</c:v>
                </c:pt>
                <c:pt idx="195">
                  <c:v>4.5850000000000002E-2</c:v>
                </c:pt>
                <c:pt idx="196">
                  <c:v>4.5809999999999997E-2</c:v>
                </c:pt>
                <c:pt idx="197">
                  <c:v>4.5530000000000001E-2</c:v>
                </c:pt>
                <c:pt idx="198">
                  <c:v>4.5759999999999995E-2</c:v>
                </c:pt>
                <c:pt idx="199">
                  <c:v>4.616E-2</c:v>
                </c:pt>
                <c:pt idx="200">
                  <c:v>4.6470000000000004E-2</c:v>
                </c:pt>
                <c:pt idx="201">
                  <c:v>4.6550000000000001E-2</c:v>
                </c:pt>
                <c:pt idx="202">
                  <c:v>4.6609999999999999E-2</c:v>
                </c:pt>
                <c:pt idx="203">
                  <c:v>4.6210000000000001E-2</c:v>
                </c:pt>
                <c:pt idx="204">
                  <c:v>4.5609999999999998E-2</c:v>
                </c:pt>
                <c:pt idx="205">
                  <c:v>4.4729999999999999E-2</c:v>
                </c:pt>
                <c:pt idx="206">
                  <c:v>4.4409999999999998E-2</c:v>
                </c:pt>
                <c:pt idx="207">
                  <c:v>4.446E-2</c:v>
                </c:pt>
                <c:pt idx="208">
                  <c:v>4.4000000000000004E-2</c:v>
                </c:pt>
                <c:pt idx="209">
                  <c:v>4.4050000000000006E-2</c:v>
                </c:pt>
                <c:pt idx="210">
                  <c:v>4.4229999999999998E-2</c:v>
                </c:pt>
                <c:pt idx="211">
                  <c:v>4.4180000000000004E-2</c:v>
                </c:pt>
                <c:pt idx="212">
                  <c:v>4.4359999999999997E-2</c:v>
                </c:pt>
                <c:pt idx="213">
                  <c:v>4.487E-2</c:v>
                </c:pt>
                <c:pt idx="214">
                  <c:v>4.4549999999999999E-2</c:v>
                </c:pt>
                <c:pt idx="215">
                  <c:v>4.4330000000000001E-2</c:v>
                </c:pt>
                <c:pt idx="216">
                  <c:v>4.4249999999999998E-2</c:v>
                </c:pt>
                <c:pt idx="217">
                  <c:v>4.437E-2</c:v>
                </c:pt>
                <c:pt idx="218">
                  <c:v>4.4139999999999999E-2</c:v>
                </c:pt>
                <c:pt idx="219">
                  <c:v>4.3920000000000001E-2</c:v>
                </c:pt>
                <c:pt idx="220">
                  <c:v>4.36E-2</c:v>
                </c:pt>
                <c:pt idx="221">
                  <c:v>4.367E-2</c:v>
                </c:pt>
                <c:pt idx="222">
                  <c:v>4.3970000000000002E-2</c:v>
                </c:pt>
                <c:pt idx="223">
                  <c:v>4.4139999999999999E-2</c:v>
                </c:pt>
                <c:pt idx="224">
                  <c:v>4.3929999999999997E-2</c:v>
                </c:pt>
                <c:pt idx="225">
                  <c:v>4.3929999999999997E-2</c:v>
                </c:pt>
                <c:pt idx="226">
                  <c:v>4.3440000000000006E-2</c:v>
                </c:pt>
                <c:pt idx="227">
                  <c:v>4.3570000000000005E-2</c:v>
                </c:pt>
                <c:pt idx="228">
                  <c:v>4.3380000000000002E-2</c:v>
                </c:pt>
                <c:pt idx="229">
                  <c:v>4.3390000000000005E-2</c:v>
                </c:pt>
                <c:pt idx="230">
                  <c:v>4.3609999999999996E-2</c:v>
                </c:pt>
                <c:pt idx="231">
                  <c:v>4.3739999999999994E-2</c:v>
                </c:pt>
                <c:pt idx="232">
                  <c:v>4.3970000000000002E-2</c:v>
                </c:pt>
                <c:pt idx="233">
                  <c:v>4.4640000000000006E-2</c:v>
                </c:pt>
                <c:pt idx="234">
                  <c:v>4.4260000000000001E-2</c:v>
                </c:pt>
                <c:pt idx="235">
                  <c:v>4.471E-2</c:v>
                </c:pt>
                <c:pt idx="236">
                  <c:v>4.4119999999999999E-2</c:v>
                </c:pt>
                <c:pt idx="237">
                  <c:v>4.3769999999999996E-2</c:v>
                </c:pt>
                <c:pt idx="238">
                  <c:v>4.3779999999999999E-2</c:v>
                </c:pt>
                <c:pt idx="239">
                  <c:v>4.4180000000000004E-2</c:v>
                </c:pt>
                <c:pt idx="240">
                  <c:v>4.5229999999999999E-2</c:v>
                </c:pt>
                <c:pt idx="241">
                  <c:v>4.58E-2</c:v>
                </c:pt>
                <c:pt idx="242">
                  <c:v>4.5629999999999997E-2</c:v>
                </c:pt>
                <c:pt idx="243">
                  <c:v>4.614E-2</c:v>
                </c:pt>
                <c:pt idx="244">
                  <c:v>4.6050000000000008E-2</c:v>
                </c:pt>
                <c:pt idx="245">
                  <c:v>4.6280000000000002E-2</c:v>
                </c:pt>
                <c:pt idx="246">
                  <c:v>4.6059999999999997E-2</c:v>
                </c:pt>
                <c:pt idx="247">
                  <c:v>4.5940000000000002E-2</c:v>
                </c:pt>
                <c:pt idx="248">
                  <c:v>4.5899999999999996E-2</c:v>
                </c:pt>
                <c:pt idx="249">
                  <c:v>4.5629999999999997E-2</c:v>
                </c:pt>
                <c:pt idx="250">
                  <c:v>4.623E-2</c:v>
                </c:pt>
                <c:pt idx="251">
                  <c:v>4.6310000000000004E-2</c:v>
                </c:pt>
                <c:pt idx="252">
                  <c:v>4.6620000000000002E-2</c:v>
                </c:pt>
                <c:pt idx="253">
                  <c:v>4.623E-2</c:v>
                </c:pt>
                <c:pt idx="254">
                  <c:v>4.6089999999999999E-2</c:v>
                </c:pt>
                <c:pt idx="255">
                  <c:v>4.4770000000000004E-2</c:v>
                </c:pt>
                <c:pt idx="256">
                  <c:v>4.4669999999999994E-2</c:v>
                </c:pt>
                <c:pt idx="257">
                  <c:v>4.4229999999999998E-2</c:v>
                </c:pt>
                <c:pt idx="258">
                  <c:v>4.4269999999999997E-2</c:v>
                </c:pt>
                <c:pt idx="259">
                  <c:v>4.4519999999999997E-2</c:v>
                </c:pt>
                <c:pt idx="260">
                  <c:v>4.3970000000000002E-2</c:v>
                </c:pt>
                <c:pt idx="261">
                  <c:v>4.41E-2</c:v>
                </c:pt>
                <c:pt idx="262">
                  <c:v>4.4130000000000003E-2</c:v>
                </c:pt>
                <c:pt idx="263">
                  <c:v>4.3700000000000003E-2</c:v>
                </c:pt>
                <c:pt idx="264">
                  <c:v>4.3440000000000006E-2</c:v>
                </c:pt>
                <c:pt idx="265">
                  <c:v>4.2950000000000002E-2</c:v>
                </c:pt>
                <c:pt idx="266">
                  <c:v>4.2839999999999996E-2</c:v>
                </c:pt>
                <c:pt idx="267">
                  <c:v>4.2750000000000003E-2</c:v>
                </c:pt>
                <c:pt idx="268">
                  <c:v>4.2389999999999997E-2</c:v>
                </c:pt>
                <c:pt idx="269">
                  <c:v>4.3220000000000001E-2</c:v>
                </c:pt>
                <c:pt idx="270">
                  <c:v>4.231E-2</c:v>
                </c:pt>
                <c:pt idx="271">
                  <c:v>4.3570000000000005E-2</c:v>
                </c:pt>
                <c:pt idx="272">
                  <c:v>4.3560000000000001E-2</c:v>
                </c:pt>
                <c:pt idx="273">
                  <c:v>4.3360000000000003E-2</c:v>
                </c:pt>
                <c:pt idx="274">
                  <c:v>4.3710000000000006E-2</c:v>
                </c:pt>
                <c:pt idx="275">
                  <c:v>4.3899999999999995E-2</c:v>
                </c:pt>
                <c:pt idx="276">
                  <c:v>4.2979999999999997E-2</c:v>
                </c:pt>
                <c:pt idx="277">
                  <c:v>4.2819999999999997E-2</c:v>
                </c:pt>
                <c:pt idx="278">
                  <c:v>4.2910000000000004E-2</c:v>
                </c:pt>
                <c:pt idx="279">
                  <c:v>4.2220000000000008E-2</c:v>
                </c:pt>
                <c:pt idx="280">
                  <c:v>4.2670000000000007E-2</c:v>
                </c:pt>
                <c:pt idx="281">
                  <c:v>4.2320000000000003E-2</c:v>
                </c:pt>
                <c:pt idx="282">
                  <c:v>4.215E-2</c:v>
                </c:pt>
                <c:pt idx="283">
                  <c:v>4.2290000000000001E-2</c:v>
                </c:pt>
                <c:pt idx="284">
                  <c:v>4.3179999999999996E-2</c:v>
                </c:pt>
                <c:pt idx="285">
                  <c:v>4.333E-2</c:v>
                </c:pt>
                <c:pt idx="286">
                  <c:v>4.3899999999999995E-2</c:v>
                </c:pt>
                <c:pt idx="287">
                  <c:v>4.3380000000000002E-2</c:v>
                </c:pt>
                <c:pt idx="288">
                  <c:v>4.3949999999999996E-2</c:v>
                </c:pt>
                <c:pt idx="289">
                  <c:v>4.3680000000000004E-2</c:v>
                </c:pt>
                <c:pt idx="290">
                  <c:v>4.3920000000000001E-2</c:v>
                </c:pt>
                <c:pt idx="291">
                  <c:v>4.3899999999999995E-2</c:v>
                </c:pt>
                <c:pt idx="292">
                  <c:v>4.3799999999999999E-2</c:v>
                </c:pt>
                <c:pt idx="293">
                  <c:v>4.3949999999999996E-2</c:v>
                </c:pt>
                <c:pt idx="294">
                  <c:v>4.4330000000000001E-2</c:v>
                </c:pt>
                <c:pt idx="295">
                  <c:v>4.446E-2</c:v>
                </c:pt>
                <c:pt idx="296">
                  <c:v>4.369E-2</c:v>
                </c:pt>
                <c:pt idx="297">
                  <c:v>4.249E-2</c:v>
                </c:pt>
                <c:pt idx="298">
                  <c:v>4.2279999999999998E-2</c:v>
                </c:pt>
                <c:pt idx="299">
                  <c:v>4.2099999999999999E-2</c:v>
                </c:pt>
                <c:pt idx="300">
                  <c:v>4.2900000000000001E-2</c:v>
                </c:pt>
                <c:pt idx="301">
                  <c:v>4.292E-2</c:v>
                </c:pt>
                <c:pt idx="302">
                  <c:v>4.3189999999999999E-2</c:v>
                </c:pt>
                <c:pt idx="303">
                  <c:v>4.2859999999999995E-2</c:v>
                </c:pt>
                <c:pt idx="304">
                  <c:v>4.3110000000000002E-2</c:v>
                </c:pt>
                <c:pt idx="305">
                  <c:v>4.3070000000000004E-2</c:v>
                </c:pt>
                <c:pt idx="306">
                  <c:v>4.2900000000000001E-2</c:v>
                </c:pt>
                <c:pt idx="307">
                  <c:v>4.2900000000000001E-2</c:v>
                </c:pt>
                <c:pt idx="308">
                  <c:v>4.2439999999999999E-2</c:v>
                </c:pt>
                <c:pt idx="309">
                  <c:v>4.3159999999999997E-2</c:v>
                </c:pt>
                <c:pt idx="310">
                  <c:v>4.2889999999999998E-2</c:v>
                </c:pt>
                <c:pt idx="311">
                  <c:v>4.2480000000000004E-2</c:v>
                </c:pt>
                <c:pt idx="312">
                  <c:v>4.3769999999999996E-2</c:v>
                </c:pt>
                <c:pt idx="313">
                  <c:v>4.3899999999999995E-2</c:v>
                </c:pt>
                <c:pt idx="314">
                  <c:v>4.428E-2</c:v>
                </c:pt>
                <c:pt idx="315">
                  <c:v>4.3970000000000002E-2</c:v>
                </c:pt>
                <c:pt idx="316">
                  <c:v>4.3819999999999998E-2</c:v>
                </c:pt>
                <c:pt idx="317">
                  <c:v>4.4180000000000004E-2</c:v>
                </c:pt>
                <c:pt idx="318">
                  <c:v>4.4199999999999996E-2</c:v>
                </c:pt>
                <c:pt idx="319">
                  <c:v>4.4199999999999996E-2</c:v>
                </c:pt>
                <c:pt idx="320">
                  <c:v>4.3929999999999997E-2</c:v>
                </c:pt>
                <c:pt idx="321">
                  <c:v>4.4400000000000002E-2</c:v>
                </c:pt>
                <c:pt idx="322">
                  <c:v>4.4409999999999998E-2</c:v>
                </c:pt>
                <c:pt idx="323">
                  <c:v>4.4330000000000001E-2</c:v>
                </c:pt>
                <c:pt idx="324">
                  <c:v>4.4269999999999997E-2</c:v>
                </c:pt>
                <c:pt idx="325">
                  <c:v>4.3700000000000003E-2</c:v>
                </c:pt>
                <c:pt idx="326">
                  <c:v>4.3520000000000003E-2</c:v>
                </c:pt>
                <c:pt idx="327">
                  <c:v>4.4059999999999995E-2</c:v>
                </c:pt>
                <c:pt idx="328">
                  <c:v>4.4749999999999998E-2</c:v>
                </c:pt>
                <c:pt idx="329">
                  <c:v>4.5259999999999995E-2</c:v>
                </c:pt>
                <c:pt idx="330">
                  <c:v>4.5780000000000001E-2</c:v>
                </c:pt>
                <c:pt idx="331">
                  <c:v>4.5490000000000003E-2</c:v>
                </c:pt>
                <c:pt idx="332">
                  <c:v>4.5670000000000002E-2</c:v>
                </c:pt>
                <c:pt idx="333">
                  <c:v>4.5759999999999995E-2</c:v>
                </c:pt>
                <c:pt idx="334">
                  <c:v>4.598E-2</c:v>
                </c:pt>
                <c:pt idx="335">
                  <c:v>4.6089999999999999E-2</c:v>
                </c:pt>
                <c:pt idx="336">
                  <c:v>4.6199999999999998E-2</c:v>
                </c:pt>
                <c:pt idx="337">
                  <c:v>4.564E-2</c:v>
                </c:pt>
                <c:pt idx="338">
                  <c:v>4.548E-2</c:v>
                </c:pt>
                <c:pt idx="339">
                  <c:v>4.6059999999999997E-2</c:v>
                </c:pt>
                <c:pt idx="340">
                  <c:v>4.5830000000000003E-2</c:v>
                </c:pt>
                <c:pt idx="341">
                  <c:v>4.5510000000000002E-2</c:v>
                </c:pt>
                <c:pt idx="342">
                  <c:v>4.5929999999999999E-2</c:v>
                </c:pt>
                <c:pt idx="343">
                  <c:v>4.5080000000000002E-2</c:v>
                </c:pt>
                <c:pt idx="344">
                  <c:v>4.4409999999999998E-2</c:v>
                </c:pt>
                <c:pt idx="345">
                  <c:v>4.4569999999999999E-2</c:v>
                </c:pt>
                <c:pt idx="346">
                  <c:v>4.5240000000000002E-2</c:v>
                </c:pt>
                <c:pt idx="347">
                  <c:v>4.6089999999999999E-2</c:v>
                </c:pt>
                <c:pt idx="348">
                  <c:v>4.6359999999999998E-2</c:v>
                </c:pt>
                <c:pt idx="349">
                  <c:v>4.5869999999999994E-2</c:v>
                </c:pt>
                <c:pt idx="350">
                  <c:v>4.6170000000000003E-2</c:v>
                </c:pt>
                <c:pt idx="351">
                  <c:v>4.5909999999999999E-2</c:v>
                </c:pt>
                <c:pt idx="352">
                  <c:v>4.6550000000000001E-2</c:v>
                </c:pt>
                <c:pt idx="353">
                  <c:v>4.6850000000000003E-2</c:v>
                </c:pt>
                <c:pt idx="354">
                  <c:v>4.6660000000000007E-2</c:v>
                </c:pt>
                <c:pt idx="355">
                  <c:v>4.6719999999999998E-2</c:v>
                </c:pt>
                <c:pt idx="356">
                  <c:v>4.6890000000000001E-2</c:v>
                </c:pt>
                <c:pt idx="357">
                  <c:v>4.7320000000000001E-2</c:v>
                </c:pt>
                <c:pt idx="358">
                  <c:v>4.8140000000000002E-2</c:v>
                </c:pt>
                <c:pt idx="359">
                  <c:v>4.7880000000000006E-2</c:v>
                </c:pt>
                <c:pt idx="360">
                  <c:v>4.7530000000000003E-2</c:v>
                </c:pt>
                <c:pt idx="361">
                  <c:v>4.8010000000000004E-2</c:v>
                </c:pt>
                <c:pt idx="362">
                  <c:v>4.7759999999999997E-2</c:v>
                </c:pt>
                <c:pt idx="363">
                  <c:v>4.8379999999999999E-2</c:v>
                </c:pt>
                <c:pt idx="364">
                  <c:v>4.8070000000000002E-2</c:v>
                </c:pt>
                <c:pt idx="365">
                  <c:v>4.8770000000000001E-2</c:v>
                </c:pt>
                <c:pt idx="366">
                  <c:v>4.9249999999999995E-2</c:v>
                </c:pt>
                <c:pt idx="367">
                  <c:v>4.9660000000000003E-2</c:v>
                </c:pt>
                <c:pt idx="368">
                  <c:v>5.0039999999999994E-2</c:v>
                </c:pt>
                <c:pt idx="369">
                  <c:v>5.0620000000000005E-2</c:v>
                </c:pt>
                <c:pt idx="370">
                  <c:v>5.0469999999999994E-2</c:v>
                </c:pt>
                <c:pt idx="371">
                  <c:v>5.0199999999999995E-2</c:v>
                </c:pt>
                <c:pt idx="372">
                  <c:v>4.8919328859060404E-2</c:v>
                </c:pt>
                <c:pt idx="373">
                  <c:v>4.9595033557046982E-2</c:v>
                </c:pt>
                <c:pt idx="374">
                  <c:v>4.9222751677852353E-2</c:v>
                </c:pt>
                <c:pt idx="375">
                  <c:v>4.9130033557046981E-2</c:v>
                </c:pt>
                <c:pt idx="376">
                  <c:v>4.9004563758389262E-2</c:v>
                </c:pt>
                <c:pt idx="377">
                  <c:v>4.9106442953020135E-2</c:v>
                </c:pt>
                <c:pt idx="378">
                  <c:v>4.8221342281879194E-2</c:v>
                </c:pt>
                <c:pt idx="379">
                  <c:v>4.8543926174496647E-2</c:v>
                </c:pt>
                <c:pt idx="380">
                  <c:v>4.9490536912751681E-2</c:v>
                </c:pt>
                <c:pt idx="381">
                  <c:v>4.9478557046979871E-2</c:v>
                </c:pt>
                <c:pt idx="382">
                  <c:v>4.966711409395972E-2</c:v>
                </c:pt>
                <c:pt idx="383">
                  <c:v>4.8676140939597309E-2</c:v>
                </c:pt>
                <c:pt idx="384">
                  <c:v>4.8187583892617444E-2</c:v>
                </c:pt>
                <c:pt idx="385">
                  <c:v>4.8157718120805368E-2</c:v>
                </c:pt>
                <c:pt idx="386">
                  <c:v>4.7432214765100671E-2</c:v>
                </c:pt>
                <c:pt idx="387">
                  <c:v>4.9139999999999996E-2</c:v>
                </c:pt>
                <c:pt idx="388">
                  <c:v>5.2773758389261738E-2</c:v>
                </c:pt>
                <c:pt idx="389">
                  <c:v>4.9269999999999994E-2</c:v>
                </c:pt>
                <c:pt idx="390">
                  <c:v>4.9059999999999999E-2</c:v>
                </c:pt>
                <c:pt idx="391">
                  <c:v>4.7625402684563757E-2</c:v>
                </c:pt>
                <c:pt idx="392">
                  <c:v>4.819617449664429E-2</c:v>
                </c:pt>
                <c:pt idx="393">
                  <c:v>4.8801610738255036E-2</c:v>
                </c:pt>
                <c:pt idx="394">
                  <c:v>4.9933624161073824E-2</c:v>
                </c:pt>
                <c:pt idx="395">
                  <c:v>5.0323020134228187E-2</c:v>
                </c:pt>
                <c:pt idx="396">
                  <c:v>5.0444362416107384E-2</c:v>
                </c:pt>
                <c:pt idx="397">
                  <c:v>5.0314429530201342E-2</c:v>
                </c:pt>
                <c:pt idx="398">
                  <c:v>4.9572013422818785E-2</c:v>
                </c:pt>
                <c:pt idx="399">
                  <c:v>5.0146275167785241E-2</c:v>
                </c:pt>
                <c:pt idx="400">
                  <c:v>4.9157852348993288E-2</c:v>
                </c:pt>
                <c:pt idx="401">
                  <c:v>4.8684999999999999E-2</c:v>
                </c:pt>
                <c:pt idx="402">
                  <c:v>4.8012684563758387E-2</c:v>
                </c:pt>
                <c:pt idx="403">
                  <c:v>4.7480067114093964E-2</c:v>
                </c:pt>
                <c:pt idx="404">
                  <c:v>4.7472214765100676E-2</c:v>
                </c:pt>
                <c:pt idx="405">
                  <c:v>4.7381610738255038E-2</c:v>
                </c:pt>
                <c:pt idx="406">
                  <c:v>4.7126107382550339E-2</c:v>
                </c:pt>
                <c:pt idx="407">
                  <c:v>4.7200402684563762E-2</c:v>
                </c:pt>
                <c:pt idx="408">
                  <c:v>4.6364999999999996E-2</c:v>
                </c:pt>
                <c:pt idx="409">
                  <c:v>4.6329463087248321E-2</c:v>
                </c:pt>
                <c:pt idx="410">
                  <c:v>4.6445939597315439E-2</c:v>
                </c:pt>
                <c:pt idx="411">
                  <c:v>4.6050134228187919E-2</c:v>
                </c:pt>
                <c:pt idx="412">
                  <c:v>4.594043624161074E-2</c:v>
                </c:pt>
                <c:pt idx="413">
                  <c:v>4.5916241610738255E-2</c:v>
                </c:pt>
                <c:pt idx="414">
                  <c:v>4.5585838926174495E-2</c:v>
                </c:pt>
                <c:pt idx="415">
                  <c:v>4.538040268456376E-2</c:v>
                </c:pt>
                <c:pt idx="416">
                  <c:v>4.5679832214765098E-2</c:v>
                </c:pt>
                <c:pt idx="417">
                  <c:v>4.526328859060403E-2</c:v>
                </c:pt>
                <c:pt idx="418">
                  <c:v>4.5915570469798661E-2</c:v>
                </c:pt>
                <c:pt idx="419">
                  <c:v>4.625758389261745E-2</c:v>
                </c:pt>
                <c:pt idx="420">
                  <c:v>4.5399832214765103E-2</c:v>
                </c:pt>
                <c:pt idx="421">
                  <c:v>4.5201476510067111E-2</c:v>
                </c:pt>
                <c:pt idx="422">
                  <c:v>4.5689630872483226E-2</c:v>
                </c:pt>
                <c:pt idx="423">
                  <c:v>4.5790604026845642E-2</c:v>
                </c:pt>
                <c:pt idx="424">
                  <c:v>4.5876711409395969E-2</c:v>
                </c:pt>
                <c:pt idx="425">
                  <c:v>4.5277818791946312E-2</c:v>
                </c:pt>
                <c:pt idx="426">
                  <c:v>4.5235033557046986E-2</c:v>
                </c:pt>
                <c:pt idx="427">
                  <c:v>4.5409832214765099E-2</c:v>
                </c:pt>
                <c:pt idx="428">
                  <c:v>4.4726711409395978E-2</c:v>
                </c:pt>
                <c:pt idx="429">
                  <c:v>4.4658087248322147E-2</c:v>
                </c:pt>
                <c:pt idx="430">
                  <c:v>4.4905838926174502E-2</c:v>
                </c:pt>
                <c:pt idx="431">
                  <c:v>4.4850201342281883E-2</c:v>
                </c:pt>
                <c:pt idx="432">
                  <c:v>4.5247583892617446E-2</c:v>
                </c:pt>
                <c:pt idx="433">
                  <c:v>4.5671208053691278E-2</c:v>
                </c:pt>
                <c:pt idx="434">
                  <c:v>4.6382684563758388E-2</c:v>
                </c:pt>
                <c:pt idx="435">
                  <c:v>4.5359463087248322E-2</c:v>
                </c:pt>
                <c:pt idx="436">
                  <c:v>4.559825503355705E-2</c:v>
                </c:pt>
                <c:pt idx="437">
                  <c:v>4.5587080536912745E-2</c:v>
                </c:pt>
                <c:pt idx="438">
                  <c:v>4.6601275167785235E-2</c:v>
                </c:pt>
                <c:pt idx="439">
                  <c:v>4.7786610738255034E-2</c:v>
                </c:pt>
                <c:pt idx="440">
                  <c:v>4.808241610738255E-2</c:v>
                </c:pt>
                <c:pt idx="441">
                  <c:v>4.791093959731544E-2</c:v>
                </c:pt>
                <c:pt idx="442">
                  <c:v>4.7196979865771808E-2</c:v>
                </c:pt>
                <c:pt idx="443">
                  <c:v>4.7806073825503351E-2</c:v>
                </c:pt>
                <c:pt idx="444">
                  <c:v>4.7353489932885899E-2</c:v>
                </c:pt>
                <c:pt idx="445">
                  <c:v>4.5787986577181208E-2</c:v>
                </c:pt>
                <c:pt idx="446">
                  <c:v>4.6711140939597315E-2</c:v>
                </c:pt>
                <c:pt idx="447">
                  <c:v>4.6248859060402686E-2</c:v>
                </c:pt>
                <c:pt idx="448">
                  <c:v>4.5510000000000002E-2</c:v>
                </c:pt>
                <c:pt idx="449">
                  <c:v>4.5076409395973148E-2</c:v>
                </c:pt>
                <c:pt idx="450">
                  <c:v>4.3856107382550337E-2</c:v>
                </c:pt>
                <c:pt idx="451">
                  <c:v>4.3549060402684567E-2</c:v>
                </c:pt>
                <c:pt idx="452">
                  <c:v>4.4488993288590607E-2</c:v>
                </c:pt>
                <c:pt idx="453">
                  <c:v>4.5046610738255034E-2</c:v>
                </c:pt>
                <c:pt idx="454">
                  <c:v>4.7211409395973153E-2</c:v>
                </c:pt>
                <c:pt idx="455">
                  <c:v>4.774127516778523E-2</c:v>
                </c:pt>
                <c:pt idx="456">
                  <c:v>4.7148523489932884E-2</c:v>
                </c:pt>
                <c:pt idx="457">
                  <c:v>4.6234999999999998E-2</c:v>
                </c:pt>
                <c:pt idx="458">
                  <c:v>4.5856577181208051E-2</c:v>
                </c:pt>
                <c:pt idx="459">
                  <c:v>4.5321107382550331E-2</c:v>
                </c:pt>
                <c:pt idx="460">
                  <c:v>4.5146644295302012E-2</c:v>
                </c:pt>
                <c:pt idx="461">
                  <c:v>4.451395973154363E-2</c:v>
                </c:pt>
                <c:pt idx="462">
                  <c:v>4.367154362416107E-2</c:v>
                </c:pt>
                <c:pt idx="463">
                  <c:v>4.4658523489932885E-2</c:v>
                </c:pt>
                <c:pt idx="464">
                  <c:v>4.5291744966442955E-2</c:v>
                </c:pt>
                <c:pt idx="465">
                  <c:v>4.5633993288590607E-2</c:v>
                </c:pt>
                <c:pt idx="466">
                  <c:v>4.5688187919463087E-2</c:v>
                </c:pt>
                <c:pt idx="467">
                  <c:v>4.6220503355704698E-2</c:v>
                </c:pt>
                <c:pt idx="468">
                  <c:v>4.6402550335570468E-2</c:v>
                </c:pt>
                <c:pt idx="469">
                  <c:v>4.8037986577181203E-2</c:v>
                </c:pt>
                <c:pt idx="470">
                  <c:v>4.736694630872483E-2</c:v>
                </c:pt>
                <c:pt idx="471">
                  <c:v>4.7275906040268455E-2</c:v>
                </c:pt>
                <c:pt idx="472">
                  <c:v>4.6797785234899331E-2</c:v>
                </c:pt>
                <c:pt idx="473">
                  <c:v>4.6144697986577173E-2</c:v>
                </c:pt>
                <c:pt idx="474">
                  <c:v>4.5357013422818789E-2</c:v>
                </c:pt>
                <c:pt idx="475">
                  <c:v>4.5128657718120808E-2</c:v>
                </c:pt>
                <c:pt idx="476">
                  <c:v>4.5238590604026845E-2</c:v>
                </c:pt>
                <c:pt idx="477">
                  <c:v>4.4686442953020135E-2</c:v>
                </c:pt>
                <c:pt idx="478">
                  <c:v>4.522114093959731E-2</c:v>
                </c:pt>
                <c:pt idx="479">
                  <c:v>4.4863154362416099E-2</c:v>
                </c:pt>
                <c:pt idx="480">
                  <c:v>4.491442953020134E-2</c:v>
                </c:pt>
                <c:pt idx="481">
                  <c:v>4.5101879194630871E-2</c:v>
                </c:pt>
                <c:pt idx="482">
                  <c:v>4.440140939597316E-2</c:v>
                </c:pt>
                <c:pt idx="483">
                  <c:v>4.3298926174496648E-2</c:v>
                </c:pt>
                <c:pt idx="484">
                  <c:v>4.3460234899328862E-2</c:v>
                </c:pt>
                <c:pt idx="485">
                  <c:v>4.4248389261744965E-2</c:v>
                </c:pt>
                <c:pt idx="486">
                  <c:v>4.3155536912751681E-2</c:v>
                </c:pt>
                <c:pt idx="487">
                  <c:v>4.3041812080536916E-2</c:v>
                </c:pt>
                <c:pt idx="488">
                  <c:v>4.3426812080536913E-2</c:v>
                </c:pt>
                <c:pt idx="489">
                  <c:v>4.4007046979865773E-2</c:v>
                </c:pt>
                <c:pt idx="490">
                  <c:v>4.3425838926174506E-2</c:v>
                </c:pt>
                <c:pt idx="491">
                  <c:v>4.3061744966442959E-2</c:v>
                </c:pt>
                <c:pt idx="492">
                  <c:v>4.2808087248322149E-2</c:v>
                </c:pt>
                <c:pt idx="493">
                  <c:v>4.578013422818792E-2</c:v>
                </c:pt>
                <c:pt idx="494">
                  <c:v>4.5254697986577178E-2</c:v>
                </c:pt>
                <c:pt idx="495">
                  <c:v>4.6299932885906038E-2</c:v>
                </c:pt>
                <c:pt idx="496">
                  <c:v>4.6963456375838923E-2</c:v>
                </c:pt>
                <c:pt idx="497">
                  <c:v>4.7045906040268468E-2</c:v>
                </c:pt>
                <c:pt idx="498">
                  <c:v>4.0010000000000004E-2</c:v>
                </c:pt>
                <c:pt idx="499">
                  <c:v>4.5620000000000001E-2</c:v>
                </c:pt>
                <c:pt idx="500">
                  <c:v>4.5780000000000001E-2</c:v>
                </c:pt>
                <c:pt idx="501">
                  <c:v>4.5386577181208053E-2</c:v>
                </c:pt>
                <c:pt idx="502">
                  <c:v>4.4169429530201344E-2</c:v>
                </c:pt>
                <c:pt idx="503">
                  <c:v>4.4117114093959735E-2</c:v>
                </c:pt>
                <c:pt idx="504">
                  <c:v>4.520577181208054E-2</c:v>
                </c:pt>
                <c:pt idx="505">
                  <c:v>4.5536510067114094E-2</c:v>
                </c:pt>
                <c:pt idx="506">
                  <c:v>4.4961778523489933E-2</c:v>
                </c:pt>
                <c:pt idx="507">
                  <c:v>4.5018657718120803E-2</c:v>
                </c:pt>
                <c:pt idx="508">
                  <c:v>4.3759932885906044E-2</c:v>
                </c:pt>
                <c:pt idx="509">
                  <c:v>4.4279127516778524E-2</c:v>
                </c:pt>
                <c:pt idx="510">
                  <c:v>4.4328255033557043E-2</c:v>
                </c:pt>
                <c:pt idx="511">
                  <c:v>4.4017986577181201E-2</c:v>
                </c:pt>
                <c:pt idx="512">
                  <c:v>4.4706308724832215E-2</c:v>
                </c:pt>
                <c:pt idx="513">
                  <c:v>4.609489932885906E-2</c:v>
                </c:pt>
                <c:pt idx="514">
                  <c:v>4.6115939597315442E-2</c:v>
                </c:pt>
                <c:pt idx="515">
                  <c:v>4.5384295302013419E-2</c:v>
                </c:pt>
                <c:pt idx="516">
                  <c:v>4.4509194630872481E-2</c:v>
                </c:pt>
                <c:pt idx="517">
                  <c:v>4.4290201342281878E-2</c:v>
                </c:pt>
                <c:pt idx="518">
                  <c:v>4.4415234899328852E-2</c:v>
                </c:pt>
                <c:pt idx="519">
                  <c:v>4.4198590604026845E-2</c:v>
                </c:pt>
                <c:pt idx="520">
                  <c:v>4.4548020134228192E-2</c:v>
                </c:pt>
                <c:pt idx="521">
                  <c:v>4.5821543624161076E-2</c:v>
                </c:pt>
                <c:pt idx="522">
                  <c:v>4.622006711409396E-2</c:v>
                </c:pt>
                <c:pt idx="523">
                  <c:v>4.6379328859060404E-2</c:v>
                </c:pt>
                <c:pt idx="524">
                  <c:v>4.634375838926174E-2</c:v>
                </c:pt>
                <c:pt idx="525">
                  <c:v>4.80610067114094E-2</c:v>
                </c:pt>
                <c:pt idx="526">
                  <c:v>4.8952885906040272E-2</c:v>
                </c:pt>
                <c:pt idx="527">
                  <c:v>5.0406510067114094E-2</c:v>
                </c:pt>
                <c:pt idx="528">
                  <c:v>5.0678590604026838E-2</c:v>
                </c:pt>
                <c:pt idx="529">
                  <c:v>5.078255033557047E-2</c:v>
                </c:pt>
                <c:pt idx="530">
                  <c:v>5.0568724832214765E-2</c:v>
                </c:pt>
                <c:pt idx="531">
                  <c:v>5.0674697986577179E-2</c:v>
                </c:pt>
                <c:pt idx="532">
                  <c:v>5.0601140939597312E-2</c:v>
                </c:pt>
                <c:pt idx="533">
                  <c:v>5.0802651006711413E-2</c:v>
                </c:pt>
                <c:pt idx="534">
                  <c:v>4.917060402684563E-2</c:v>
                </c:pt>
                <c:pt idx="535">
                  <c:v>4.8780604026845635E-2</c:v>
                </c:pt>
                <c:pt idx="536">
                  <c:v>5.0010000000000006E-2</c:v>
                </c:pt>
                <c:pt idx="537">
                  <c:v>4.9509999999999998E-2</c:v>
                </c:pt>
                <c:pt idx="538">
                  <c:v>4.8659999999999995E-2</c:v>
                </c:pt>
                <c:pt idx="539">
                  <c:v>4.854E-2</c:v>
                </c:pt>
                <c:pt idx="540">
                  <c:v>4.8219999999999999E-2</c:v>
                </c:pt>
                <c:pt idx="541">
                  <c:v>4.8750000000000002E-2</c:v>
                </c:pt>
                <c:pt idx="542">
                  <c:v>4.8730000000000002E-2</c:v>
                </c:pt>
                <c:pt idx="543">
                  <c:v>4.7910000000000001E-2</c:v>
                </c:pt>
                <c:pt idx="544">
                  <c:v>4.7990000000000005E-2</c:v>
                </c:pt>
                <c:pt idx="545">
                  <c:v>4.8629999999999993E-2</c:v>
                </c:pt>
                <c:pt idx="546">
                  <c:v>4.7750000000000001E-2</c:v>
                </c:pt>
                <c:pt idx="547">
                  <c:v>4.7750000000000001E-2</c:v>
                </c:pt>
                <c:pt idx="548">
                  <c:v>4.7309999999999998E-2</c:v>
                </c:pt>
                <c:pt idx="549">
                  <c:v>4.7149999999999997E-2</c:v>
                </c:pt>
                <c:pt idx="550">
                  <c:v>4.8440000000000004E-2</c:v>
                </c:pt>
                <c:pt idx="551">
                  <c:v>4.8239999999999998E-2</c:v>
                </c:pt>
                <c:pt idx="552">
                  <c:v>4.7379999999999999E-2</c:v>
                </c:pt>
                <c:pt idx="553">
                  <c:v>4.7640000000000002E-2</c:v>
                </c:pt>
                <c:pt idx="554">
                  <c:v>4.8250000000000001E-2</c:v>
                </c:pt>
                <c:pt idx="555">
                  <c:v>4.6809999999999997E-2</c:v>
                </c:pt>
                <c:pt idx="556">
                  <c:v>4.6170000000000003E-2</c:v>
                </c:pt>
                <c:pt idx="557">
                  <c:v>4.6370000000000001E-2</c:v>
                </c:pt>
                <c:pt idx="558">
                  <c:v>4.6809999999999997E-2</c:v>
                </c:pt>
                <c:pt idx="559">
                  <c:v>4.759E-2</c:v>
                </c:pt>
                <c:pt idx="560">
                  <c:v>4.7009999999999996E-2</c:v>
                </c:pt>
                <c:pt idx="561">
                  <c:v>4.7419999999999997E-2</c:v>
                </c:pt>
                <c:pt idx="562">
                  <c:v>4.7960000000000003E-2</c:v>
                </c:pt>
                <c:pt idx="563">
                  <c:v>4.8090000000000001E-2</c:v>
                </c:pt>
                <c:pt idx="564">
                  <c:v>4.8550000000000003E-2</c:v>
                </c:pt>
                <c:pt idx="565">
                  <c:v>4.7059999999999998E-2</c:v>
                </c:pt>
                <c:pt idx="566">
                  <c:v>4.6429999999999999E-2</c:v>
                </c:pt>
                <c:pt idx="567">
                  <c:v>4.6790000000000005E-2</c:v>
                </c:pt>
                <c:pt idx="568">
                  <c:v>4.7359999999999999E-2</c:v>
                </c:pt>
                <c:pt idx="569">
                  <c:v>4.7820000000000001E-2</c:v>
                </c:pt>
                <c:pt idx="570">
                  <c:v>4.768E-2</c:v>
                </c:pt>
                <c:pt idx="571">
                  <c:v>4.7259999999999996E-2</c:v>
                </c:pt>
                <c:pt idx="572">
                  <c:v>4.6429999999999999E-2</c:v>
                </c:pt>
                <c:pt idx="573">
                  <c:v>4.6349999999999995E-2</c:v>
                </c:pt>
                <c:pt idx="574">
                  <c:v>4.6340000000000006E-2</c:v>
                </c:pt>
                <c:pt idx="575">
                  <c:v>4.7910000000000001E-2</c:v>
                </c:pt>
                <c:pt idx="576">
                  <c:v>4.793E-2</c:v>
                </c:pt>
                <c:pt idx="577">
                  <c:v>4.7880000000000006E-2</c:v>
                </c:pt>
                <c:pt idx="578">
                  <c:v>4.7980000000000002E-2</c:v>
                </c:pt>
                <c:pt idx="579">
                  <c:v>4.8079999999999998E-2</c:v>
                </c:pt>
                <c:pt idx="580">
                  <c:v>4.8280000000000003E-2</c:v>
                </c:pt>
                <c:pt idx="581">
                  <c:v>4.7830000000000004E-2</c:v>
                </c:pt>
                <c:pt idx="582">
                  <c:v>4.759E-2</c:v>
                </c:pt>
                <c:pt idx="583">
                  <c:v>4.777E-2</c:v>
                </c:pt>
                <c:pt idx="584">
                  <c:v>4.8620000000000003E-2</c:v>
                </c:pt>
                <c:pt idx="585">
                  <c:v>4.7670000000000004E-2</c:v>
                </c:pt>
                <c:pt idx="586">
                  <c:v>4.7889999999999995E-2</c:v>
                </c:pt>
                <c:pt idx="587">
                  <c:v>4.8339999999999994E-2</c:v>
                </c:pt>
                <c:pt idx="588">
                  <c:v>4.8250000000000001E-2</c:v>
                </c:pt>
                <c:pt idx="589">
                  <c:v>4.8120000000000003E-2</c:v>
                </c:pt>
                <c:pt idx="590">
                  <c:v>4.795E-2</c:v>
                </c:pt>
                <c:pt idx="591">
                  <c:v>4.7710000000000002E-2</c:v>
                </c:pt>
                <c:pt idx="592">
                  <c:v>4.7480000000000001E-2</c:v>
                </c:pt>
                <c:pt idx="593">
                  <c:v>4.7969999999999999E-2</c:v>
                </c:pt>
                <c:pt idx="594">
                  <c:v>4.8399999999999999E-2</c:v>
                </c:pt>
                <c:pt idx="595">
                  <c:v>4.7579999999999997E-2</c:v>
                </c:pt>
                <c:pt idx="596">
                  <c:v>4.7370000000000002E-2</c:v>
                </c:pt>
                <c:pt idx="597">
                  <c:v>4.8469999999999992E-2</c:v>
                </c:pt>
                <c:pt idx="598">
                  <c:v>4.82E-2</c:v>
                </c:pt>
                <c:pt idx="599">
                  <c:v>4.7289999999999999E-2</c:v>
                </c:pt>
                <c:pt idx="600">
                  <c:v>4.7129999999999998E-2</c:v>
                </c:pt>
                <c:pt idx="601">
                  <c:v>4.6559999999999997E-2</c:v>
                </c:pt>
                <c:pt idx="602">
                  <c:v>4.6539999999999998E-2</c:v>
                </c:pt>
                <c:pt idx="603">
                  <c:v>4.7030000000000002E-2</c:v>
                </c:pt>
                <c:pt idx="604">
                  <c:v>4.6580000000000003E-2</c:v>
                </c:pt>
                <c:pt idx="605">
                  <c:v>4.7320000000000001E-2</c:v>
                </c:pt>
                <c:pt idx="606">
                  <c:v>4.7289999999999999E-2</c:v>
                </c:pt>
                <c:pt idx="607">
                  <c:v>4.7240000000000004E-2</c:v>
                </c:pt>
                <c:pt idx="608">
                  <c:v>4.7869999999999996E-2</c:v>
                </c:pt>
                <c:pt idx="609">
                  <c:v>4.8300000000000003E-2</c:v>
                </c:pt>
                <c:pt idx="610">
                  <c:v>4.854E-2</c:v>
                </c:pt>
                <c:pt idx="611">
                  <c:v>4.8300000000000003E-2</c:v>
                </c:pt>
                <c:pt idx="612">
                  <c:v>4.8760000000000005E-2</c:v>
                </c:pt>
                <c:pt idx="613">
                  <c:v>4.8320000000000002E-2</c:v>
                </c:pt>
                <c:pt idx="614">
                  <c:v>4.8620000000000003E-2</c:v>
                </c:pt>
                <c:pt idx="615">
                  <c:v>4.8680000000000001E-2</c:v>
                </c:pt>
                <c:pt idx="616">
                  <c:v>4.7990000000000005E-2</c:v>
                </c:pt>
                <c:pt idx="617">
                  <c:v>4.913E-2</c:v>
                </c:pt>
                <c:pt idx="618">
                  <c:v>4.999E-2</c:v>
                </c:pt>
                <c:pt idx="619">
                  <c:v>4.929E-2</c:v>
                </c:pt>
                <c:pt idx="620">
                  <c:v>4.8959999999999997E-2</c:v>
                </c:pt>
                <c:pt idx="621">
                  <c:v>4.9259999999999998E-2</c:v>
                </c:pt>
                <c:pt idx="622">
                  <c:v>4.9080000000000006E-2</c:v>
                </c:pt>
                <c:pt idx="623">
                  <c:v>4.8239999999999998E-2</c:v>
                </c:pt>
                <c:pt idx="624">
                  <c:v>4.657E-2</c:v>
                </c:pt>
                <c:pt idx="625">
                  <c:v>4.623E-2</c:v>
                </c:pt>
                <c:pt idx="626">
                  <c:v>4.5960000000000001E-2</c:v>
                </c:pt>
                <c:pt idx="627">
                  <c:v>4.6530000000000002E-2</c:v>
                </c:pt>
                <c:pt idx="628">
                  <c:v>4.5359999999999998E-2</c:v>
                </c:pt>
                <c:pt idx="629">
                  <c:v>4.5010000000000001E-2</c:v>
                </c:pt>
                <c:pt idx="630">
                  <c:v>4.514E-2</c:v>
                </c:pt>
                <c:pt idx="631">
                  <c:v>4.4960000000000007E-2</c:v>
                </c:pt>
                <c:pt idx="632">
                  <c:v>4.4420000000000001E-2</c:v>
                </c:pt>
                <c:pt idx="633">
                  <c:v>4.4069999999999998E-2</c:v>
                </c:pt>
                <c:pt idx="634">
                  <c:v>4.4069999999999998E-2</c:v>
                </c:pt>
                <c:pt idx="635">
                  <c:v>4.4010000000000001E-2</c:v>
                </c:pt>
                <c:pt idx="636">
                  <c:v>4.3899999999999995E-2</c:v>
                </c:pt>
                <c:pt idx="637">
                  <c:v>4.3369999999999999E-2</c:v>
                </c:pt>
                <c:pt idx="638">
                  <c:v>4.3459999999999999E-2</c:v>
                </c:pt>
                <c:pt idx="639">
                  <c:v>4.2869999999999998E-2</c:v>
                </c:pt>
                <c:pt idx="640">
                  <c:v>4.2979999999999997E-2</c:v>
                </c:pt>
                <c:pt idx="641">
                  <c:v>4.2950000000000002E-2</c:v>
                </c:pt>
                <c:pt idx="642">
                  <c:v>4.3189999999999999E-2</c:v>
                </c:pt>
                <c:pt idx="643">
                  <c:v>4.2819999999999997E-2</c:v>
                </c:pt>
                <c:pt idx="644">
                  <c:v>4.299E-2</c:v>
                </c:pt>
                <c:pt idx="645">
                  <c:v>4.3560000000000001E-2</c:v>
                </c:pt>
                <c:pt idx="646">
                  <c:v>4.335E-2</c:v>
                </c:pt>
                <c:pt idx="647">
                  <c:v>4.3099999999999999E-2</c:v>
                </c:pt>
                <c:pt idx="648">
                  <c:v>4.3579999999999994E-2</c:v>
                </c:pt>
                <c:pt idx="649">
                  <c:v>4.3390000000000005E-2</c:v>
                </c:pt>
                <c:pt idx="650">
                  <c:v>4.2910000000000004E-2</c:v>
                </c:pt>
                <c:pt idx="651">
                  <c:v>4.2930000000000003E-2</c:v>
                </c:pt>
                <c:pt idx="652">
                  <c:v>4.3490000000000001E-2</c:v>
                </c:pt>
                <c:pt idx="653">
                  <c:v>4.3579999999999994E-2</c:v>
                </c:pt>
                <c:pt idx="654">
                  <c:v>4.3870000000000006E-2</c:v>
                </c:pt>
                <c:pt idx="655">
                  <c:v>4.299E-2</c:v>
                </c:pt>
                <c:pt idx="656">
                  <c:v>4.2590000000000003E-2</c:v>
                </c:pt>
                <c:pt idx="657">
                  <c:v>4.172E-2</c:v>
                </c:pt>
                <c:pt idx="658">
                  <c:v>4.0640000000000003E-2</c:v>
                </c:pt>
                <c:pt idx="659">
                  <c:v>4.0519999999999994E-2</c:v>
                </c:pt>
                <c:pt idx="660">
                  <c:v>4.0640000000000003E-2</c:v>
                </c:pt>
                <c:pt idx="661">
                  <c:v>4.0160000000000001E-2</c:v>
                </c:pt>
                <c:pt idx="662">
                  <c:v>4.045E-2</c:v>
                </c:pt>
                <c:pt idx="663">
                  <c:v>4.1230000000000003E-2</c:v>
                </c:pt>
                <c:pt idx="664">
                  <c:v>4.0410000000000001E-2</c:v>
                </c:pt>
                <c:pt idx="665">
                  <c:v>4.0300000000000002E-2</c:v>
                </c:pt>
                <c:pt idx="666">
                  <c:v>4.0410000000000001E-2</c:v>
                </c:pt>
                <c:pt idx="667">
                  <c:v>4.0239999999999998E-2</c:v>
                </c:pt>
                <c:pt idx="668">
                  <c:v>3.984E-2</c:v>
                </c:pt>
                <c:pt idx="669">
                  <c:v>4.0090000000000001E-2</c:v>
                </c:pt>
                <c:pt idx="670">
                  <c:v>4.0379999999999999E-2</c:v>
                </c:pt>
                <c:pt idx="671">
                  <c:v>4.0309999999999999E-2</c:v>
                </c:pt>
                <c:pt idx="672">
                  <c:v>4.0419999999999998E-2</c:v>
                </c:pt>
                <c:pt idx="673">
                  <c:v>4.1070000000000002E-2</c:v>
                </c:pt>
                <c:pt idx="674">
                  <c:v>4.1020000000000001E-2</c:v>
                </c:pt>
                <c:pt idx="675">
                  <c:v>4.0590000000000001E-2</c:v>
                </c:pt>
                <c:pt idx="676">
                  <c:v>4.054E-2</c:v>
                </c:pt>
                <c:pt idx="677">
                  <c:v>4.0679999999999994E-2</c:v>
                </c:pt>
                <c:pt idx="678">
                  <c:v>4.0709999999999996E-2</c:v>
                </c:pt>
                <c:pt idx="679">
                  <c:v>4.0730000000000002E-2</c:v>
                </c:pt>
                <c:pt idx="680">
                  <c:v>4.0910000000000002E-2</c:v>
                </c:pt>
                <c:pt idx="681">
                  <c:v>4.0750000000000001E-2</c:v>
                </c:pt>
                <c:pt idx="682">
                  <c:v>4.0800000000000003E-2</c:v>
                </c:pt>
                <c:pt idx="683">
                  <c:v>4.0689999999999997E-2</c:v>
                </c:pt>
                <c:pt idx="684">
                  <c:v>4.0559999999999999E-2</c:v>
                </c:pt>
                <c:pt idx="685">
                  <c:v>4.0500000000000001E-2</c:v>
                </c:pt>
                <c:pt idx="686">
                  <c:v>4.0730000000000002E-2</c:v>
                </c:pt>
                <c:pt idx="687">
                  <c:v>3.9989999999999998E-2</c:v>
                </c:pt>
                <c:pt idx="688">
                  <c:v>3.9280000000000002E-2</c:v>
                </c:pt>
                <c:pt idx="689">
                  <c:v>3.9580000000000004E-2</c:v>
                </c:pt>
                <c:pt idx="690">
                  <c:v>3.9550000000000002E-2</c:v>
                </c:pt>
                <c:pt idx="691">
                  <c:v>3.9900000000000005E-2</c:v>
                </c:pt>
                <c:pt idx="692">
                  <c:v>3.9809999999999998E-2</c:v>
                </c:pt>
                <c:pt idx="693">
                  <c:v>3.9779999999999996E-2</c:v>
                </c:pt>
                <c:pt idx="694">
                  <c:v>3.916E-2</c:v>
                </c:pt>
                <c:pt idx="695">
                  <c:v>3.8849999999999996E-2</c:v>
                </c:pt>
                <c:pt idx="696">
                  <c:v>3.8589999999999999E-2</c:v>
                </c:pt>
                <c:pt idx="697">
                  <c:v>3.814E-2</c:v>
                </c:pt>
                <c:pt idx="698">
                  <c:v>3.798E-2</c:v>
                </c:pt>
                <c:pt idx="699">
                  <c:v>3.7850000000000002E-2</c:v>
                </c:pt>
                <c:pt idx="700">
                  <c:v>3.7599999999999995E-2</c:v>
                </c:pt>
                <c:pt idx="701">
                  <c:v>3.8040000000000004E-2</c:v>
                </c:pt>
                <c:pt idx="702">
                  <c:v>3.789E-2</c:v>
                </c:pt>
                <c:pt idx="703">
                  <c:v>3.805E-2</c:v>
                </c:pt>
                <c:pt idx="704">
                  <c:v>3.7900000000000003E-2</c:v>
                </c:pt>
                <c:pt idx="705">
                  <c:v>3.8019999999999998E-2</c:v>
                </c:pt>
                <c:pt idx="706">
                  <c:v>3.7629999999999997E-2</c:v>
                </c:pt>
                <c:pt idx="707">
                  <c:v>3.7650000000000003E-2</c:v>
                </c:pt>
                <c:pt idx="708">
                  <c:v>3.8170000000000003E-2</c:v>
                </c:pt>
                <c:pt idx="709">
                  <c:v>3.7960000000000001E-2</c:v>
                </c:pt>
                <c:pt idx="710">
                  <c:v>3.7999999999999999E-2</c:v>
                </c:pt>
                <c:pt idx="711">
                  <c:v>3.8550000000000001E-2</c:v>
                </c:pt>
                <c:pt idx="712">
                  <c:v>3.916E-2</c:v>
                </c:pt>
                <c:pt idx="713">
                  <c:v>3.8960000000000002E-2</c:v>
                </c:pt>
                <c:pt idx="714">
                  <c:v>3.9039999999999998E-2</c:v>
                </c:pt>
                <c:pt idx="715">
                  <c:v>3.8399999999999997E-2</c:v>
                </c:pt>
                <c:pt idx="716">
                  <c:v>3.8800000000000001E-2</c:v>
                </c:pt>
                <c:pt idx="717">
                  <c:v>3.8789999999999998E-2</c:v>
                </c:pt>
                <c:pt idx="718">
                  <c:v>3.9359999999999999E-2</c:v>
                </c:pt>
                <c:pt idx="719">
                  <c:v>3.9239999999999997E-2</c:v>
                </c:pt>
                <c:pt idx="720">
                  <c:v>3.8449999999999998E-2</c:v>
                </c:pt>
                <c:pt idx="721">
                  <c:v>3.814E-2</c:v>
                </c:pt>
                <c:pt idx="722">
                  <c:v>3.8859999999999999E-2</c:v>
                </c:pt>
                <c:pt idx="723">
                  <c:v>3.7949999999999998E-2</c:v>
                </c:pt>
                <c:pt idx="724">
                  <c:v>3.805E-2</c:v>
                </c:pt>
                <c:pt idx="725">
                  <c:v>3.841E-2</c:v>
                </c:pt>
                <c:pt idx="726">
                  <c:v>3.8740000000000004E-2</c:v>
                </c:pt>
                <c:pt idx="727">
                  <c:v>3.884E-2</c:v>
                </c:pt>
                <c:pt idx="728">
                  <c:v>3.9039999999999998E-2</c:v>
                </c:pt>
                <c:pt idx="729">
                  <c:v>3.85E-2</c:v>
                </c:pt>
                <c:pt idx="730">
                  <c:v>3.8019999999999998E-2</c:v>
                </c:pt>
                <c:pt idx="731">
                  <c:v>3.8010000000000002E-2</c:v>
                </c:pt>
                <c:pt idx="732">
                  <c:v>3.8199999999999998E-2</c:v>
                </c:pt>
                <c:pt idx="733">
                  <c:v>3.8529999999999995E-2</c:v>
                </c:pt>
                <c:pt idx="734">
                  <c:v>3.8379999999999997E-2</c:v>
                </c:pt>
                <c:pt idx="735">
                  <c:v>3.7999999999999999E-2</c:v>
                </c:pt>
                <c:pt idx="736">
                  <c:v>3.8079999999999996E-2</c:v>
                </c:pt>
                <c:pt idx="737">
                  <c:v>3.8149999999999996E-2</c:v>
                </c:pt>
                <c:pt idx="738">
                  <c:v>3.8519999999999999E-2</c:v>
                </c:pt>
                <c:pt idx="739">
                  <c:v>3.8780000000000002E-2</c:v>
                </c:pt>
                <c:pt idx="740">
                  <c:v>3.8519999999999999E-2</c:v>
                </c:pt>
                <c:pt idx="741">
                  <c:v>3.875E-2</c:v>
                </c:pt>
                <c:pt idx="742">
                  <c:v>3.8539999999999998E-2</c:v>
                </c:pt>
                <c:pt idx="743">
                  <c:v>3.8490000000000003E-2</c:v>
                </c:pt>
                <c:pt idx="744">
                  <c:v>3.8399999999999997E-2</c:v>
                </c:pt>
                <c:pt idx="745">
                  <c:v>3.7999999999999999E-2</c:v>
                </c:pt>
                <c:pt idx="746">
                  <c:v>3.823E-2</c:v>
                </c:pt>
                <c:pt idx="747">
                  <c:v>3.8399999999999997E-2</c:v>
                </c:pt>
                <c:pt idx="748">
                  <c:v>3.8929999999999999E-2</c:v>
                </c:pt>
                <c:pt idx="749">
                  <c:v>3.8550000000000001E-2</c:v>
                </c:pt>
                <c:pt idx="750">
                  <c:v>3.8440000000000002E-2</c:v>
                </c:pt>
                <c:pt idx="751">
                  <c:v>3.8949999999999999E-2</c:v>
                </c:pt>
                <c:pt idx="752">
                  <c:v>3.9169999999999996E-2</c:v>
                </c:pt>
                <c:pt idx="753">
                  <c:v>3.9220000000000005E-2</c:v>
                </c:pt>
                <c:pt idx="754">
                  <c:v>3.8919999999999996E-2</c:v>
                </c:pt>
                <c:pt idx="755">
                  <c:v>3.9410000000000001E-2</c:v>
                </c:pt>
                <c:pt idx="756">
                  <c:v>3.8830000000000003E-2</c:v>
                </c:pt>
                <c:pt idx="757">
                  <c:v>3.8460000000000001E-2</c:v>
                </c:pt>
                <c:pt idx="758">
                  <c:v>3.8469999999999997E-2</c:v>
                </c:pt>
                <c:pt idx="759">
                  <c:v>3.8900000000000004E-2</c:v>
                </c:pt>
                <c:pt idx="760">
                  <c:v>3.9359999999999999E-2</c:v>
                </c:pt>
                <c:pt idx="761">
                  <c:v>3.9900000000000005E-2</c:v>
                </c:pt>
                <c:pt idx="762">
                  <c:v>3.9919999999999997E-2</c:v>
                </c:pt>
                <c:pt idx="763">
                  <c:v>4.0209999999999996E-2</c:v>
                </c:pt>
                <c:pt idx="764">
                  <c:v>4.011E-2</c:v>
                </c:pt>
                <c:pt idx="765">
                  <c:v>4.0250000000000001E-2</c:v>
                </c:pt>
                <c:pt idx="766">
                  <c:v>4.0369999999999996E-2</c:v>
                </c:pt>
                <c:pt idx="767">
                  <c:v>3.9919999999999997E-2</c:v>
                </c:pt>
                <c:pt idx="768">
                  <c:v>3.952E-2</c:v>
                </c:pt>
                <c:pt idx="769">
                  <c:v>3.977E-2</c:v>
                </c:pt>
                <c:pt idx="770">
                  <c:v>3.959E-2</c:v>
                </c:pt>
                <c:pt idx="771">
                  <c:v>3.9599999999999996E-2</c:v>
                </c:pt>
                <c:pt idx="772">
                  <c:v>3.9269999999999999E-2</c:v>
                </c:pt>
                <c:pt idx="773">
                  <c:v>3.9379999999999998E-2</c:v>
                </c:pt>
                <c:pt idx="774">
                  <c:v>3.9510000000000003E-2</c:v>
                </c:pt>
                <c:pt idx="775">
                  <c:v>3.9750000000000001E-2</c:v>
                </c:pt>
                <c:pt idx="776">
                  <c:v>3.943E-2</c:v>
                </c:pt>
                <c:pt idx="777">
                  <c:v>3.9670000000000004E-2</c:v>
                </c:pt>
                <c:pt idx="778">
                  <c:v>3.9820000000000001E-2</c:v>
                </c:pt>
                <c:pt idx="779">
                  <c:v>4.131188571428572E-2</c:v>
                </c:pt>
                <c:pt idx="780">
                  <c:v>4.1298285714285711E-2</c:v>
                </c:pt>
                <c:pt idx="781">
                  <c:v>4.1572514285714283E-2</c:v>
                </c:pt>
                <c:pt idx="782">
                  <c:v>4.1265399999999994E-2</c:v>
                </c:pt>
                <c:pt idx="783">
                  <c:v>4.1149999999999999E-2</c:v>
                </c:pt>
                <c:pt idx="784">
                  <c:v>4.1210000000000004E-2</c:v>
                </c:pt>
                <c:pt idx="785">
                  <c:v>4.1570000000000003E-2</c:v>
                </c:pt>
                <c:pt idx="786">
                  <c:v>4.1399999999999999E-2</c:v>
                </c:pt>
                <c:pt idx="787">
                  <c:v>4.1239999999999999E-2</c:v>
                </c:pt>
                <c:pt idx="788">
                  <c:v>4.1200000000000001E-2</c:v>
                </c:pt>
                <c:pt idx="789">
                  <c:v>4.1289999999999993E-2</c:v>
                </c:pt>
                <c:pt idx="790">
                  <c:v>4.0910000000000002E-2</c:v>
                </c:pt>
                <c:pt idx="791">
                  <c:v>4.0989999999999999E-2</c:v>
                </c:pt>
                <c:pt idx="792">
                  <c:v>4.1349999999999998E-2</c:v>
                </c:pt>
                <c:pt idx="793">
                  <c:v>4.1360000000000001E-2</c:v>
                </c:pt>
                <c:pt idx="794">
                  <c:v>4.0780000000000004E-2</c:v>
                </c:pt>
                <c:pt idx="795">
                  <c:v>4.1050000000000003E-2</c:v>
                </c:pt>
                <c:pt idx="796">
                  <c:v>4.086E-2</c:v>
                </c:pt>
                <c:pt idx="797">
                  <c:v>4.1079999999999998E-2</c:v>
                </c:pt>
                <c:pt idx="798">
                  <c:v>4.1100000000000005E-2</c:v>
                </c:pt>
                <c:pt idx="799">
                  <c:v>4.088E-2</c:v>
                </c:pt>
                <c:pt idx="800">
                  <c:v>4.1159999999999995E-2</c:v>
                </c:pt>
                <c:pt idx="801">
                  <c:v>4.1309999999999999E-2</c:v>
                </c:pt>
                <c:pt idx="802">
                  <c:v>4.088E-2</c:v>
                </c:pt>
                <c:pt idx="803">
                  <c:v>4.0050000000000002E-2</c:v>
                </c:pt>
                <c:pt idx="804">
                  <c:v>3.9529999999999996E-2</c:v>
                </c:pt>
                <c:pt idx="805">
                  <c:v>3.9559999999999998E-2</c:v>
                </c:pt>
                <c:pt idx="806">
                  <c:v>3.9390000000000001E-2</c:v>
                </c:pt>
                <c:pt idx="807">
                  <c:v>3.9030000000000002E-2</c:v>
                </c:pt>
                <c:pt idx="808">
                  <c:v>3.9130000000000005E-2</c:v>
                </c:pt>
                <c:pt idx="809">
                  <c:v>3.934E-2</c:v>
                </c:pt>
                <c:pt idx="810">
                  <c:v>3.909E-2</c:v>
                </c:pt>
                <c:pt idx="811">
                  <c:v>3.9359999999999999E-2</c:v>
                </c:pt>
                <c:pt idx="812">
                  <c:v>3.9480000000000001E-2</c:v>
                </c:pt>
                <c:pt idx="813">
                  <c:v>3.9779999999999996E-2</c:v>
                </c:pt>
                <c:pt idx="814">
                  <c:v>3.9529999999999996E-2</c:v>
                </c:pt>
                <c:pt idx="815">
                  <c:v>3.986E-2</c:v>
                </c:pt>
                <c:pt idx="816">
                  <c:v>3.952E-2</c:v>
                </c:pt>
                <c:pt idx="817">
                  <c:v>3.9489999999999997E-2</c:v>
                </c:pt>
                <c:pt idx="818">
                  <c:v>3.9300000000000002E-2</c:v>
                </c:pt>
                <c:pt idx="819">
                  <c:v>3.9239999999999997E-2</c:v>
                </c:pt>
                <c:pt idx="820">
                  <c:v>3.9510000000000003E-2</c:v>
                </c:pt>
                <c:pt idx="821">
                  <c:v>3.952E-2</c:v>
                </c:pt>
                <c:pt idx="822">
                  <c:v>3.9359999999999999E-2</c:v>
                </c:pt>
                <c:pt idx="823">
                  <c:v>3.9130000000000005E-2</c:v>
                </c:pt>
                <c:pt idx="824">
                  <c:v>3.9280000000000002E-2</c:v>
                </c:pt>
                <c:pt idx="825">
                  <c:v>3.9779999999999996E-2</c:v>
                </c:pt>
                <c:pt idx="826">
                  <c:v>3.9820000000000001E-2</c:v>
                </c:pt>
                <c:pt idx="827">
                  <c:v>3.9779999999999996E-2</c:v>
                </c:pt>
                <c:pt idx="828">
                  <c:v>3.9420000000000004E-2</c:v>
                </c:pt>
                <c:pt idx="829">
                  <c:v>3.9149999999999997E-2</c:v>
                </c:pt>
                <c:pt idx="830">
                  <c:v>3.9E-2</c:v>
                </c:pt>
                <c:pt idx="831">
                  <c:v>3.9510000000000003E-2</c:v>
                </c:pt>
                <c:pt idx="832">
                  <c:v>3.9370000000000002E-2</c:v>
                </c:pt>
                <c:pt idx="833">
                  <c:v>3.9440000000000003E-2</c:v>
                </c:pt>
                <c:pt idx="834">
                  <c:v>3.9539999999999999E-2</c:v>
                </c:pt>
                <c:pt idx="835">
                  <c:v>3.9390000000000001E-2</c:v>
                </c:pt>
                <c:pt idx="836">
                  <c:v>3.9100000000000003E-2</c:v>
                </c:pt>
                <c:pt idx="837">
                  <c:v>3.9050000000000001E-2</c:v>
                </c:pt>
                <c:pt idx="838">
                  <c:v>3.8989999999999997E-2</c:v>
                </c:pt>
                <c:pt idx="839">
                  <c:v>3.8609999999999998E-2</c:v>
                </c:pt>
                <c:pt idx="840">
                  <c:v>3.8629999999999998E-2</c:v>
                </c:pt>
                <c:pt idx="841">
                  <c:v>3.8919999999999996E-2</c:v>
                </c:pt>
                <c:pt idx="842">
                  <c:v>3.8960000000000002E-2</c:v>
                </c:pt>
                <c:pt idx="843">
                  <c:v>3.9130000000000005E-2</c:v>
                </c:pt>
                <c:pt idx="844">
                  <c:v>3.9759999999999997E-2</c:v>
                </c:pt>
                <c:pt idx="845">
                  <c:v>4.0229999999999995E-2</c:v>
                </c:pt>
                <c:pt idx="846">
                  <c:v>3.9980000000000002E-2</c:v>
                </c:pt>
                <c:pt idx="847">
                  <c:v>4.0500000000000001E-2</c:v>
                </c:pt>
                <c:pt idx="848">
                  <c:v>4.0149999999999998E-2</c:v>
                </c:pt>
                <c:pt idx="849">
                  <c:v>3.943E-2</c:v>
                </c:pt>
                <c:pt idx="850">
                  <c:v>3.9879999999999999E-2</c:v>
                </c:pt>
                <c:pt idx="851">
                  <c:v>3.9079999999999997E-2</c:v>
                </c:pt>
                <c:pt idx="852">
                  <c:v>3.8960000000000002E-2</c:v>
                </c:pt>
                <c:pt idx="853">
                  <c:v>3.993E-2</c:v>
                </c:pt>
                <c:pt idx="854">
                  <c:v>4.0709999999999996E-2</c:v>
                </c:pt>
                <c:pt idx="855">
                  <c:v>3.9039999999999998E-2</c:v>
                </c:pt>
                <c:pt idx="856">
                  <c:v>3.8740000000000004E-2</c:v>
                </c:pt>
                <c:pt idx="857">
                  <c:v>3.8490000000000003E-2</c:v>
                </c:pt>
                <c:pt idx="858">
                  <c:v>3.8399999999999997E-2</c:v>
                </c:pt>
                <c:pt idx="859">
                  <c:v>3.8060000000000004E-2</c:v>
                </c:pt>
                <c:pt idx="860">
                  <c:v>3.7919999999999995E-2</c:v>
                </c:pt>
                <c:pt idx="861">
                  <c:v>3.7199999999999997E-2</c:v>
                </c:pt>
                <c:pt idx="862">
                  <c:v>3.6889999999999999E-2</c:v>
                </c:pt>
                <c:pt idx="863">
                  <c:v>3.6539999999999996E-2</c:v>
                </c:pt>
                <c:pt idx="864">
                  <c:v>3.6760000000000001E-2</c:v>
                </c:pt>
                <c:pt idx="865">
                  <c:v>3.6830000000000002E-2</c:v>
                </c:pt>
                <c:pt idx="866">
                  <c:v>3.6560000000000002E-2</c:v>
                </c:pt>
                <c:pt idx="867">
                  <c:v>3.712E-2</c:v>
                </c:pt>
                <c:pt idx="868">
                  <c:v>3.7560000000000003E-2</c:v>
                </c:pt>
                <c:pt idx="869">
                  <c:v>3.789E-2</c:v>
                </c:pt>
                <c:pt idx="870">
                  <c:v>3.7490000000000002E-2</c:v>
                </c:pt>
                <c:pt idx="871">
                  <c:v>3.8269999999999998E-2</c:v>
                </c:pt>
                <c:pt idx="872">
                  <c:v>3.832E-2</c:v>
                </c:pt>
                <c:pt idx="873">
                  <c:v>3.8260000000000002E-2</c:v>
                </c:pt>
                <c:pt idx="874">
                  <c:v>3.8429999999999999E-2</c:v>
                </c:pt>
                <c:pt idx="875">
                  <c:v>3.8629999999999998E-2</c:v>
                </c:pt>
                <c:pt idx="876">
                  <c:v>3.8890000000000001E-2</c:v>
                </c:pt>
                <c:pt idx="877">
                  <c:v>3.8640000000000001E-2</c:v>
                </c:pt>
                <c:pt idx="878">
                  <c:v>3.8539999999999998E-2</c:v>
                </c:pt>
                <c:pt idx="879">
                  <c:v>3.8199999999999998E-2</c:v>
                </c:pt>
                <c:pt idx="880">
                  <c:v>3.8589999999999999E-2</c:v>
                </c:pt>
                <c:pt idx="881">
                  <c:v>3.8260000000000002E-2</c:v>
                </c:pt>
                <c:pt idx="882">
                  <c:v>3.8449999999999998E-2</c:v>
                </c:pt>
                <c:pt idx="883">
                  <c:v>3.8249999999999999E-2</c:v>
                </c:pt>
                <c:pt idx="884">
                  <c:v>3.8719999999999997E-2</c:v>
                </c:pt>
                <c:pt idx="885">
                  <c:v>3.8260000000000002E-2</c:v>
                </c:pt>
                <c:pt idx="886">
                  <c:v>3.8260000000000002E-2</c:v>
                </c:pt>
                <c:pt idx="887">
                  <c:v>3.8199999999999998E-2</c:v>
                </c:pt>
                <c:pt idx="888">
                  <c:v>3.8209999999999994E-2</c:v>
                </c:pt>
                <c:pt idx="889">
                  <c:v>3.8429999999999999E-2</c:v>
                </c:pt>
                <c:pt idx="890">
                  <c:v>3.9030000000000002E-2</c:v>
                </c:pt>
                <c:pt idx="891">
                  <c:v>3.9539999999999999E-2</c:v>
                </c:pt>
                <c:pt idx="892">
                  <c:v>3.9120000000000002E-2</c:v>
                </c:pt>
                <c:pt idx="893">
                  <c:v>3.8890000000000001E-2</c:v>
                </c:pt>
                <c:pt idx="894">
                  <c:v>3.8940000000000002E-2</c:v>
                </c:pt>
                <c:pt idx="895">
                  <c:v>3.8490000000000003E-2</c:v>
                </c:pt>
                <c:pt idx="896">
                  <c:v>3.8679999999999999E-2</c:v>
                </c:pt>
                <c:pt idx="897">
                  <c:v>3.8759999999999996E-2</c:v>
                </c:pt>
                <c:pt idx="898">
                  <c:v>3.8449999999999998E-2</c:v>
                </c:pt>
                <c:pt idx="899">
                  <c:v>3.8550000000000001E-2</c:v>
                </c:pt>
                <c:pt idx="900">
                  <c:v>3.8199999999999998E-2</c:v>
                </c:pt>
                <c:pt idx="901">
                  <c:v>3.8679999999999999E-2</c:v>
                </c:pt>
                <c:pt idx="902">
                  <c:v>3.9109999999999999E-2</c:v>
                </c:pt>
                <c:pt idx="903">
                  <c:v>3.8929999999999999E-2</c:v>
                </c:pt>
                <c:pt idx="904">
                  <c:v>3.8719999999999997E-2</c:v>
                </c:pt>
                <c:pt idx="905">
                  <c:v>3.9379999999999998E-2</c:v>
                </c:pt>
                <c:pt idx="906">
                  <c:v>3.952E-2</c:v>
                </c:pt>
                <c:pt idx="907">
                  <c:v>3.9210000000000002E-2</c:v>
                </c:pt>
                <c:pt idx="908">
                  <c:v>3.9529999999999996E-2</c:v>
                </c:pt>
                <c:pt idx="909">
                  <c:v>3.9619999999999995E-2</c:v>
                </c:pt>
                <c:pt idx="910">
                  <c:v>3.9599999999999996E-2</c:v>
                </c:pt>
                <c:pt idx="911">
                  <c:v>3.8989999999999997E-2</c:v>
                </c:pt>
                <c:pt idx="912">
                  <c:v>3.866E-2</c:v>
                </c:pt>
                <c:pt idx="913">
                  <c:v>3.857E-2</c:v>
                </c:pt>
                <c:pt idx="914">
                  <c:v>3.832E-2</c:v>
                </c:pt>
                <c:pt idx="915">
                  <c:v>3.8109999999999998E-2</c:v>
                </c:pt>
                <c:pt idx="916">
                  <c:v>3.7170000000000002E-2</c:v>
                </c:pt>
                <c:pt idx="917">
                  <c:v>3.7100000000000001E-2</c:v>
                </c:pt>
                <c:pt idx="918">
                  <c:v>3.6749999999999998E-2</c:v>
                </c:pt>
                <c:pt idx="919">
                  <c:v>3.6589999999999998E-2</c:v>
                </c:pt>
                <c:pt idx="920">
                  <c:v>3.6740000000000002E-2</c:v>
                </c:pt>
                <c:pt idx="921">
                  <c:v>3.6819999999999999E-2</c:v>
                </c:pt>
                <c:pt idx="922">
                  <c:v>3.6310000000000002E-2</c:v>
                </c:pt>
                <c:pt idx="923">
                  <c:v>3.6549999999999999E-2</c:v>
                </c:pt>
                <c:pt idx="924">
                  <c:v>3.6749999999999998E-2</c:v>
                </c:pt>
                <c:pt idx="925">
                  <c:v>3.6339999999999997E-2</c:v>
                </c:pt>
                <c:pt idx="926">
                  <c:v>3.6549999999999999E-2</c:v>
                </c:pt>
                <c:pt idx="927">
                  <c:v>3.5990000000000001E-2</c:v>
                </c:pt>
                <c:pt idx="928">
                  <c:v>3.5819999999999998E-2</c:v>
                </c:pt>
                <c:pt idx="929">
                  <c:v>3.5560000000000001E-2</c:v>
                </c:pt>
                <c:pt idx="930">
                  <c:v>3.576E-2</c:v>
                </c:pt>
                <c:pt idx="931">
                  <c:v>3.5230000000000004E-2</c:v>
                </c:pt>
                <c:pt idx="932">
                  <c:v>3.5540000000000002E-2</c:v>
                </c:pt>
                <c:pt idx="933">
                  <c:v>3.5629999999999995E-2</c:v>
                </c:pt>
                <c:pt idx="934">
                  <c:v>3.5869999999999999E-2</c:v>
                </c:pt>
                <c:pt idx="935">
                  <c:v>3.5029999999999999E-2</c:v>
                </c:pt>
                <c:pt idx="936">
                  <c:v>3.5220000000000001E-2</c:v>
                </c:pt>
                <c:pt idx="937">
                  <c:v>3.5499999999999997E-2</c:v>
                </c:pt>
                <c:pt idx="938">
                  <c:v>3.569E-2</c:v>
                </c:pt>
                <c:pt idx="939">
                  <c:v>3.5830000000000001E-2</c:v>
                </c:pt>
                <c:pt idx="940">
                  <c:v>3.6429999999999997E-2</c:v>
                </c:pt>
                <c:pt idx="941">
                  <c:v>3.603E-2</c:v>
                </c:pt>
                <c:pt idx="942">
                  <c:v>3.5910000000000004E-2</c:v>
                </c:pt>
                <c:pt idx="943">
                  <c:v>3.6330000000000001E-2</c:v>
                </c:pt>
                <c:pt idx="944">
                  <c:v>3.6760000000000001E-2</c:v>
                </c:pt>
                <c:pt idx="945">
                  <c:v>3.6490000000000002E-2</c:v>
                </c:pt>
                <c:pt idx="946">
                  <c:v>3.678E-2</c:v>
                </c:pt>
                <c:pt idx="947">
                  <c:v>3.6650000000000002E-2</c:v>
                </c:pt>
                <c:pt idx="948">
                  <c:v>3.7039999999999997E-2</c:v>
                </c:pt>
                <c:pt idx="949">
                  <c:v>3.73E-2</c:v>
                </c:pt>
                <c:pt idx="950">
                  <c:v>3.7989999999999996E-2</c:v>
                </c:pt>
                <c:pt idx="951">
                  <c:v>3.7149999999999996E-2</c:v>
                </c:pt>
                <c:pt idx="952">
                  <c:v>3.635E-2</c:v>
                </c:pt>
                <c:pt idx="953">
                  <c:v>3.6290000000000003E-2</c:v>
                </c:pt>
                <c:pt idx="954">
                  <c:v>3.6600000000000001E-2</c:v>
                </c:pt>
                <c:pt idx="955">
                  <c:v>3.6459999999999999E-2</c:v>
                </c:pt>
                <c:pt idx="956">
                  <c:v>3.637E-2</c:v>
                </c:pt>
                <c:pt idx="957">
                  <c:v>3.6230000000000005E-2</c:v>
                </c:pt>
                <c:pt idx="958">
                  <c:v>3.6109999999999996E-2</c:v>
                </c:pt>
                <c:pt idx="959">
                  <c:v>3.6089999999999997E-2</c:v>
                </c:pt>
                <c:pt idx="960">
                  <c:v>3.5929999999999997E-2</c:v>
                </c:pt>
                <c:pt idx="961">
                  <c:v>3.6159999999999998E-2</c:v>
                </c:pt>
                <c:pt idx="962">
                  <c:v>3.5499999999999997E-2</c:v>
                </c:pt>
                <c:pt idx="963">
                  <c:v>3.5859999999999996E-2</c:v>
                </c:pt>
                <c:pt idx="964">
                  <c:v>3.5430000000000003E-2</c:v>
                </c:pt>
                <c:pt idx="965">
                  <c:v>3.5140000000000005E-2</c:v>
                </c:pt>
                <c:pt idx="966">
                  <c:v>3.4820000000000004E-2</c:v>
                </c:pt>
                <c:pt idx="967">
                  <c:v>3.4680000000000002E-2</c:v>
                </c:pt>
                <c:pt idx="968">
                  <c:v>3.4799999999999998E-2</c:v>
                </c:pt>
                <c:pt idx="969">
                  <c:v>3.5249999999999997E-2</c:v>
                </c:pt>
                <c:pt idx="970">
                  <c:v>3.4680000000000002E-2</c:v>
                </c:pt>
                <c:pt idx="971">
                  <c:v>3.5529999999999999E-2</c:v>
                </c:pt>
                <c:pt idx="972">
                  <c:v>3.5740000000000001E-2</c:v>
                </c:pt>
                <c:pt idx="973">
                  <c:v>3.6520000000000004E-2</c:v>
                </c:pt>
                <c:pt idx="974">
                  <c:v>3.6520000000000004E-2</c:v>
                </c:pt>
                <c:pt idx="975">
                  <c:v>3.6319999999999998E-2</c:v>
                </c:pt>
                <c:pt idx="976">
                  <c:v>3.5799999999999998E-2</c:v>
                </c:pt>
                <c:pt idx="977">
                  <c:v>3.635E-2</c:v>
                </c:pt>
                <c:pt idx="978">
                  <c:v>3.6450000000000003E-2</c:v>
                </c:pt>
                <c:pt idx="979">
                  <c:v>3.5949999999999996E-2</c:v>
                </c:pt>
                <c:pt idx="980">
                  <c:v>3.5720000000000002E-2</c:v>
                </c:pt>
                <c:pt idx="981">
                  <c:v>3.6549999999999999E-2</c:v>
                </c:pt>
                <c:pt idx="982">
                  <c:v>3.6339999999999997E-2</c:v>
                </c:pt>
                <c:pt idx="983">
                  <c:v>3.6580000000000001E-2</c:v>
                </c:pt>
                <c:pt idx="984">
                  <c:v>3.669E-2</c:v>
                </c:pt>
                <c:pt idx="985">
                  <c:v>3.6549999999999999E-2</c:v>
                </c:pt>
                <c:pt idx="986">
                  <c:v>3.669E-2</c:v>
                </c:pt>
                <c:pt idx="987">
                  <c:v>3.7130000000000003E-2</c:v>
                </c:pt>
                <c:pt idx="988">
                  <c:v>3.7249999999999998E-2</c:v>
                </c:pt>
                <c:pt idx="989">
                  <c:v>3.739E-2</c:v>
                </c:pt>
                <c:pt idx="990">
                  <c:v>3.78E-2</c:v>
                </c:pt>
                <c:pt idx="991">
                  <c:v>3.7839999999999999E-2</c:v>
                </c:pt>
                <c:pt idx="992">
                  <c:v>3.7749999999999999E-2</c:v>
                </c:pt>
                <c:pt idx="993">
                  <c:v>3.8350000000000002E-2</c:v>
                </c:pt>
                <c:pt idx="994">
                  <c:v>3.8120000000000001E-2</c:v>
                </c:pt>
                <c:pt idx="995">
                  <c:v>3.7769999999999998E-2</c:v>
                </c:pt>
                <c:pt idx="996">
                  <c:v>3.7139999999999999E-2</c:v>
                </c:pt>
                <c:pt idx="997">
                  <c:v>3.8449999999999998E-2</c:v>
                </c:pt>
                <c:pt idx="998">
                  <c:v>3.884E-2</c:v>
                </c:pt>
                <c:pt idx="999">
                  <c:v>3.8960000000000002E-2</c:v>
                </c:pt>
                <c:pt idx="1000">
                  <c:v>3.9870000000000003E-2</c:v>
                </c:pt>
                <c:pt idx="1001">
                  <c:v>4.0030000000000003E-2</c:v>
                </c:pt>
                <c:pt idx="1002">
                  <c:v>3.9660000000000001E-2</c:v>
                </c:pt>
                <c:pt idx="1003">
                  <c:v>3.952E-2</c:v>
                </c:pt>
                <c:pt idx="1004">
                  <c:v>3.984E-2</c:v>
                </c:pt>
                <c:pt idx="1005">
                  <c:v>3.9820000000000001E-2</c:v>
                </c:pt>
                <c:pt idx="1006">
                  <c:v>4.0320000000000002E-2</c:v>
                </c:pt>
                <c:pt idx="1007">
                  <c:v>4.0750000000000001E-2</c:v>
                </c:pt>
                <c:pt idx="1008">
                  <c:v>4.0579999999999998E-2</c:v>
                </c:pt>
                <c:pt idx="1009">
                  <c:v>4.07E-2</c:v>
                </c:pt>
                <c:pt idx="1010">
                  <c:v>4.0910000000000002E-2</c:v>
                </c:pt>
                <c:pt idx="1011">
                  <c:v>4.147E-2</c:v>
                </c:pt>
                <c:pt idx="1012">
                  <c:v>4.1570000000000003E-2</c:v>
                </c:pt>
                <c:pt idx="1013">
                  <c:v>4.199E-2</c:v>
                </c:pt>
                <c:pt idx="1014">
                  <c:v>4.1799999999999997E-2</c:v>
                </c:pt>
                <c:pt idx="1015">
                  <c:v>4.1489999999999999E-2</c:v>
                </c:pt>
                <c:pt idx="1016">
                  <c:v>4.1939999999999998E-2</c:v>
                </c:pt>
                <c:pt idx="1017">
                  <c:v>4.1779999999999998E-2</c:v>
                </c:pt>
                <c:pt idx="1018">
                  <c:v>4.2290000000000001E-2</c:v>
                </c:pt>
                <c:pt idx="1019">
                  <c:v>4.2130000000000001E-2</c:v>
                </c:pt>
                <c:pt idx="1020">
                  <c:v>4.2830000000000007E-2</c:v>
                </c:pt>
                <c:pt idx="1021">
                  <c:v>4.2569999999999997E-2</c:v>
                </c:pt>
                <c:pt idx="1022">
                  <c:v>4.2529999999999998E-2</c:v>
                </c:pt>
                <c:pt idx="1023">
                  <c:v>4.2089999999999995E-2</c:v>
                </c:pt>
                <c:pt idx="1024">
                  <c:v>4.1860000000000001E-2</c:v>
                </c:pt>
                <c:pt idx="1025">
                  <c:v>4.1909999999999996E-2</c:v>
                </c:pt>
                <c:pt idx="1026">
                  <c:v>4.1570000000000003E-2</c:v>
                </c:pt>
                <c:pt idx="1027">
                  <c:v>4.1950000000000001E-2</c:v>
                </c:pt>
                <c:pt idx="1028">
                  <c:v>4.1849999999999998E-2</c:v>
                </c:pt>
                <c:pt idx="1029">
                  <c:v>4.1829999999999999E-2</c:v>
                </c:pt>
                <c:pt idx="1030">
                  <c:v>4.2369999999999998E-2</c:v>
                </c:pt>
                <c:pt idx="1031">
                  <c:v>4.2640000000000004E-2</c:v>
                </c:pt>
                <c:pt idx="1032">
                  <c:v>4.4856590909090908E-2</c:v>
                </c:pt>
                <c:pt idx="1033">
                  <c:v>4.4059971590909096E-2</c:v>
                </c:pt>
                <c:pt idx="1034">
                  <c:v>4.3953636363636368E-2</c:v>
                </c:pt>
                <c:pt idx="1035">
                  <c:v>4.4165710227272725E-2</c:v>
                </c:pt>
                <c:pt idx="1036">
                  <c:v>4.4719999999999996E-2</c:v>
                </c:pt>
                <c:pt idx="1037">
                  <c:v>4.4249999999999998E-2</c:v>
                </c:pt>
                <c:pt idx="1038">
                  <c:v>4.4509999999999994E-2</c:v>
                </c:pt>
                <c:pt idx="1039">
                  <c:v>4.3929999999999997E-2</c:v>
                </c:pt>
                <c:pt idx="1040">
                  <c:v>4.3629999999999995E-2</c:v>
                </c:pt>
                <c:pt idx="1041">
                  <c:v>4.3909999999999998E-2</c:v>
                </c:pt>
                <c:pt idx="1042">
                  <c:v>4.4429999999999997E-2</c:v>
                </c:pt>
                <c:pt idx="1043">
                  <c:v>4.4950000000000004E-2</c:v>
                </c:pt>
                <c:pt idx="1044">
                  <c:v>4.4859999999999997E-2</c:v>
                </c:pt>
                <c:pt idx="1045">
                  <c:v>4.4809999999999996E-2</c:v>
                </c:pt>
                <c:pt idx="1046">
                  <c:v>4.4850000000000001E-2</c:v>
                </c:pt>
                <c:pt idx="1047">
                  <c:v>4.428E-2</c:v>
                </c:pt>
                <c:pt idx="1048">
                  <c:v>4.4240000000000002E-2</c:v>
                </c:pt>
                <c:pt idx="1049">
                  <c:v>4.4640000000000006E-2</c:v>
                </c:pt>
                <c:pt idx="1050">
                  <c:v>4.4630000000000003E-2</c:v>
                </c:pt>
                <c:pt idx="1051">
                  <c:v>4.4829999999999995E-2</c:v>
                </c:pt>
                <c:pt idx="1052">
                  <c:v>4.5270000000000005E-2</c:v>
                </c:pt>
                <c:pt idx="1053">
                  <c:v>4.5359999999999998E-2</c:v>
                </c:pt>
                <c:pt idx="1054">
                  <c:v>4.5560000000000003E-2</c:v>
                </c:pt>
                <c:pt idx="1055">
                  <c:v>4.5609999999999998E-2</c:v>
                </c:pt>
                <c:pt idx="1056">
                  <c:v>4.5359999999999998E-2</c:v>
                </c:pt>
                <c:pt idx="1057">
                  <c:v>4.4800000000000006E-2</c:v>
                </c:pt>
                <c:pt idx="1058">
                  <c:v>4.4470000000000003E-2</c:v>
                </c:pt>
                <c:pt idx="1059">
                  <c:v>4.4850000000000001E-2</c:v>
                </c:pt>
                <c:pt idx="1060">
                  <c:v>4.4379999999999996E-2</c:v>
                </c:pt>
                <c:pt idx="1061">
                  <c:v>4.4080000000000001E-2</c:v>
                </c:pt>
                <c:pt idx="1062">
                  <c:v>4.4069999999999998E-2</c:v>
                </c:pt>
                <c:pt idx="1063">
                  <c:v>4.4069999999999998E-2</c:v>
                </c:pt>
                <c:pt idx="1064">
                  <c:v>4.4189999999999993E-2</c:v>
                </c:pt>
                <c:pt idx="1065">
                  <c:v>4.4349999999999994E-2</c:v>
                </c:pt>
                <c:pt idx="1066">
                  <c:v>4.4349999999999994E-2</c:v>
                </c:pt>
                <c:pt idx="1067">
                  <c:v>4.4409999999999998E-2</c:v>
                </c:pt>
                <c:pt idx="1068">
                  <c:v>4.5339999999999998E-2</c:v>
                </c:pt>
                <c:pt idx="1069">
                  <c:v>4.4969999999999996E-2</c:v>
                </c:pt>
                <c:pt idx="1070">
                  <c:v>4.5080000000000002E-2</c:v>
                </c:pt>
                <c:pt idx="1071">
                  <c:v>4.5530000000000001E-2</c:v>
                </c:pt>
                <c:pt idx="1072">
                  <c:v>4.5749999999999999E-2</c:v>
                </c:pt>
                <c:pt idx="1073">
                  <c:v>4.5449999999999997E-2</c:v>
                </c:pt>
                <c:pt idx="1074">
                  <c:v>4.471E-2</c:v>
                </c:pt>
                <c:pt idx="1075">
                  <c:v>4.4359999999999997E-2</c:v>
                </c:pt>
                <c:pt idx="1076">
                  <c:v>4.3890000000000005E-2</c:v>
                </c:pt>
                <c:pt idx="1077">
                  <c:v>4.3429999999999996E-2</c:v>
                </c:pt>
                <c:pt idx="1078">
                  <c:v>4.4069999999999998E-2</c:v>
                </c:pt>
                <c:pt idx="1079">
                  <c:v>4.3920000000000001E-2</c:v>
                </c:pt>
                <c:pt idx="1080">
                  <c:v>4.4420000000000001E-2</c:v>
                </c:pt>
                <c:pt idx="1081">
                  <c:v>4.5179999999999998E-2</c:v>
                </c:pt>
                <c:pt idx="1082">
                  <c:v>4.5670000000000002E-2</c:v>
                </c:pt>
                <c:pt idx="1083">
                  <c:v>4.5899999999999996E-2</c:v>
                </c:pt>
                <c:pt idx="1084">
                  <c:v>4.5990000000000003E-2</c:v>
                </c:pt>
                <c:pt idx="1085">
                  <c:v>4.5999999999999999E-2</c:v>
                </c:pt>
                <c:pt idx="1086">
                  <c:v>4.6349999999999995E-2</c:v>
                </c:pt>
                <c:pt idx="1087">
                  <c:v>4.614E-2</c:v>
                </c:pt>
                <c:pt idx="1088">
                  <c:v>4.6399999999999997E-2</c:v>
                </c:pt>
                <c:pt idx="1089">
                  <c:v>4.6559999999999997E-2</c:v>
                </c:pt>
                <c:pt idx="1090">
                  <c:v>4.6300000000000001E-2</c:v>
                </c:pt>
                <c:pt idx="1091">
                  <c:v>4.6460000000000001E-2</c:v>
                </c:pt>
                <c:pt idx="1092">
                  <c:v>4.6550000000000001E-2</c:v>
                </c:pt>
                <c:pt idx="1093">
                  <c:v>4.6399999999999997E-2</c:v>
                </c:pt>
                <c:pt idx="1094">
                  <c:v>4.6799999999999994E-2</c:v>
                </c:pt>
                <c:pt idx="1095">
                  <c:v>4.6829999999999997E-2</c:v>
                </c:pt>
                <c:pt idx="1096">
                  <c:v>4.6310000000000004E-2</c:v>
                </c:pt>
                <c:pt idx="1097">
                  <c:v>4.6280000000000002E-2</c:v>
                </c:pt>
                <c:pt idx="1098">
                  <c:v>4.6660000000000007E-2</c:v>
                </c:pt>
                <c:pt idx="1099">
                  <c:v>4.6980000000000001E-2</c:v>
                </c:pt>
                <c:pt idx="1100">
                  <c:v>4.6639999999999994E-2</c:v>
                </c:pt>
                <c:pt idx="1101">
                  <c:v>4.6740000000000004E-2</c:v>
                </c:pt>
                <c:pt idx="1102">
                  <c:v>4.6879999999999998E-2</c:v>
                </c:pt>
                <c:pt idx="1103">
                  <c:v>4.6760000000000003E-2</c:v>
                </c:pt>
                <c:pt idx="1104">
                  <c:v>4.6580000000000003E-2</c:v>
                </c:pt>
                <c:pt idx="1105">
                  <c:v>4.6969999999999998E-2</c:v>
                </c:pt>
                <c:pt idx="1106">
                  <c:v>4.6359999999999998E-2</c:v>
                </c:pt>
                <c:pt idx="1107">
                  <c:v>4.6120000000000001E-2</c:v>
                </c:pt>
                <c:pt idx="1108">
                  <c:v>4.6079999999999996E-2</c:v>
                </c:pt>
                <c:pt idx="1109">
                  <c:v>4.6010000000000002E-2</c:v>
                </c:pt>
                <c:pt idx="1110">
                  <c:v>4.582E-2</c:v>
                </c:pt>
                <c:pt idx="1111">
                  <c:v>4.53E-2</c:v>
                </c:pt>
                <c:pt idx="1112">
                  <c:v>4.4729999999999999E-2</c:v>
                </c:pt>
                <c:pt idx="1113">
                  <c:v>4.4580000000000002E-2</c:v>
                </c:pt>
                <c:pt idx="1114">
                  <c:v>4.4580000000000002E-2</c:v>
                </c:pt>
                <c:pt idx="1115">
                  <c:v>4.4310000000000002E-2</c:v>
                </c:pt>
                <c:pt idx="1116">
                  <c:v>4.4389999999999999E-2</c:v>
                </c:pt>
                <c:pt idx="1117">
                  <c:v>4.3890000000000005E-2</c:v>
                </c:pt>
                <c:pt idx="1118">
                  <c:v>4.4080000000000001E-2</c:v>
                </c:pt>
                <c:pt idx="1119">
                  <c:v>4.3769999999999996E-2</c:v>
                </c:pt>
                <c:pt idx="1120">
                  <c:v>4.4010000000000001E-2</c:v>
                </c:pt>
                <c:pt idx="1121">
                  <c:v>4.3920000000000001E-2</c:v>
                </c:pt>
                <c:pt idx="1122">
                  <c:v>4.3749999999999997E-2</c:v>
                </c:pt>
                <c:pt idx="1123">
                  <c:v>4.376E-2</c:v>
                </c:pt>
                <c:pt idx="1124">
                  <c:v>4.4050000000000006E-2</c:v>
                </c:pt>
                <c:pt idx="1125">
                  <c:v>4.385E-2</c:v>
                </c:pt>
                <c:pt idx="1126">
                  <c:v>4.3259999999999993E-2</c:v>
                </c:pt>
                <c:pt idx="1127">
                  <c:v>4.3890000000000005E-2</c:v>
                </c:pt>
                <c:pt idx="1128">
                  <c:v>4.4130000000000003E-2</c:v>
                </c:pt>
                <c:pt idx="1129">
                  <c:v>4.4310000000000002E-2</c:v>
                </c:pt>
                <c:pt idx="1130">
                  <c:v>4.4219999999999995E-2</c:v>
                </c:pt>
                <c:pt idx="1131">
                  <c:v>4.4509999999999994E-2</c:v>
                </c:pt>
                <c:pt idx="1132">
                  <c:v>4.4690000000000001E-2</c:v>
                </c:pt>
                <c:pt idx="1133">
                  <c:v>4.487E-2</c:v>
                </c:pt>
                <c:pt idx="1134">
                  <c:v>4.5589999999999999E-2</c:v>
                </c:pt>
                <c:pt idx="1135">
                  <c:v>4.5749999999999999E-2</c:v>
                </c:pt>
                <c:pt idx="1136">
                  <c:v>4.5909999999999999E-2</c:v>
                </c:pt>
                <c:pt idx="1137">
                  <c:v>4.5730000000000007E-2</c:v>
                </c:pt>
                <c:pt idx="1138">
                  <c:v>4.5850000000000002E-2</c:v>
                </c:pt>
                <c:pt idx="1139">
                  <c:v>4.6129999999999997E-2</c:v>
                </c:pt>
                <c:pt idx="1140">
                  <c:v>4.616E-2</c:v>
                </c:pt>
                <c:pt idx="1141">
                  <c:v>4.6559999999999997E-2</c:v>
                </c:pt>
                <c:pt idx="1142">
                  <c:v>4.6620000000000002E-2</c:v>
                </c:pt>
                <c:pt idx="1143">
                  <c:v>4.7460000000000002E-2</c:v>
                </c:pt>
                <c:pt idx="1144">
                  <c:v>4.7439999999999996E-2</c:v>
                </c:pt>
                <c:pt idx="1145">
                  <c:v>4.7169999999999997E-2</c:v>
                </c:pt>
                <c:pt idx="1146">
                  <c:v>4.7050000000000002E-2</c:v>
                </c:pt>
                <c:pt idx="1147">
                  <c:v>4.734E-2</c:v>
                </c:pt>
                <c:pt idx="1148">
                  <c:v>4.7859999999999993E-2</c:v>
                </c:pt>
                <c:pt idx="1149">
                  <c:v>4.7850000000000004E-2</c:v>
                </c:pt>
                <c:pt idx="1150">
                  <c:v>4.7660000000000001E-2</c:v>
                </c:pt>
                <c:pt idx="1151">
                  <c:v>4.6989999999999997E-2</c:v>
                </c:pt>
                <c:pt idx="1152">
                  <c:v>4.6790000000000005E-2</c:v>
                </c:pt>
                <c:pt idx="1153">
                  <c:v>4.6690000000000002E-2</c:v>
                </c:pt>
                <c:pt idx="1154">
                  <c:v>4.6710000000000002E-2</c:v>
                </c:pt>
                <c:pt idx="1155">
                  <c:v>4.7379999999999999E-2</c:v>
                </c:pt>
                <c:pt idx="1156">
                  <c:v>4.7660000000000001E-2</c:v>
                </c:pt>
                <c:pt idx="1157">
                  <c:v>4.7300000000000002E-2</c:v>
                </c:pt>
                <c:pt idx="1158">
                  <c:v>5.0049999999999997E-2</c:v>
                </c:pt>
                <c:pt idx="1159">
                  <c:v>5.1070000000000004E-2</c:v>
                </c:pt>
                <c:pt idx="1160">
                  <c:v>5.0700000000000002E-2</c:v>
                </c:pt>
                <c:pt idx="1161">
                  <c:v>5.1040000000000002E-2</c:v>
                </c:pt>
                <c:pt idx="1162">
                  <c:v>5.4690000000000003E-2</c:v>
                </c:pt>
                <c:pt idx="1163">
                  <c:v>5.5239999999999997E-2</c:v>
                </c:pt>
                <c:pt idx="1164">
                  <c:v>5.4329999999999996E-2</c:v>
                </c:pt>
                <c:pt idx="1165">
                  <c:v>5.4139999999999994E-2</c:v>
                </c:pt>
                <c:pt idx="1166">
                  <c:v>5.3429999999999998E-2</c:v>
                </c:pt>
                <c:pt idx="1167">
                  <c:v>5.2580000000000002E-2</c:v>
                </c:pt>
                <c:pt idx="1168">
                  <c:v>5.2789999999999997E-2</c:v>
                </c:pt>
                <c:pt idx="1169">
                  <c:v>5.2900000000000003E-2</c:v>
                </c:pt>
                <c:pt idx="1170">
                  <c:v>5.3089999999999998E-2</c:v>
                </c:pt>
                <c:pt idx="1171">
                  <c:v>5.3559999999999997E-2</c:v>
                </c:pt>
                <c:pt idx="1172">
                  <c:v>5.3949999999999998E-2</c:v>
                </c:pt>
                <c:pt idx="1173">
                  <c:v>5.4019999999999999E-2</c:v>
                </c:pt>
                <c:pt idx="1174">
                  <c:v>5.4749999999999993E-2</c:v>
                </c:pt>
                <c:pt idx="1175">
                  <c:v>5.4890000000000001E-2</c:v>
                </c:pt>
                <c:pt idx="1176">
                  <c:v>5.4909999999999994E-2</c:v>
                </c:pt>
                <c:pt idx="1177">
                  <c:v>5.5370000000000003E-2</c:v>
                </c:pt>
                <c:pt idx="1178">
                  <c:v>5.3559999999999997E-2</c:v>
                </c:pt>
                <c:pt idx="1179">
                  <c:v>5.364E-2</c:v>
                </c:pt>
                <c:pt idx="1180">
                  <c:v>5.1959999999999999E-2</c:v>
                </c:pt>
                <c:pt idx="1181">
                  <c:v>5.2450000000000004E-2</c:v>
                </c:pt>
                <c:pt idx="1182">
                  <c:v>5.2649999999999995E-2</c:v>
                </c:pt>
                <c:pt idx="1183">
                  <c:v>5.2400000000000002E-2</c:v>
                </c:pt>
                <c:pt idx="1184">
                  <c:v>5.1950000000000003E-2</c:v>
                </c:pt>
                <c:pt idx="1185">
                  <c:v>5.1249999999999997E-2</c:v>
                </c:pt>
                <c:pt idx="1186">
                  <c:v>4.9879999999999994E-2</c:v>
                </c:pt>
                <c:pt idx="1187">
                  <c:v>4.9840000000000002E-2</c:v>
                </c:pt>
                <c:pt idx="1188">
                  <c:v>4.9840000000000002E-2</c:v>
                </c:pt>
                <c:pt idx="1189">
                  <c:v>4.9669999999999999E-2</c:v>
                </c:pt>
                <c:pt idx="1190">
                  <c:v>5.008E-2</c:v>
                </c:pt>
                <c:pt idx="1191">
                  <c:v>4.9889999999999997E-2</c:v>
                </c:pt>
                <c:pt idx="1192">
                  <c:v>4.9889999999999997E-2</c:v>
                </c:pt>
                <c:pt idx="1193">
                  <c:v>5.0039999999999994E-2</c:v>
                </c:pt>
                <c:pt idx="1194">
                  <c:v>4.9889999999999997E-2</c:v>
                </c:pt>
                <c:pt idx="1195">
                  <c:v>5.008E-2</c:v>
                </c:pt>
                <c:pt idx="1196">
                  <c:v>5.0320000000000004E-2</c:v>
                </c:pt>
                <c:pt idx="1197">
                  <c:v>5.015E-2</c:v>
                </c:pt>
                <c:pt idx="1198">
                  <c:v>5.0130000000000001E-2</c:v>
                </c:pt>
                <c:pt idx="1199">
                  <c:v>5.0140000000000004E-2</c:v>
                </c:pt>
                <c:pt idx="1200">
                  <c:v>5.0359999999999995E-2</c:v>
                </c:pt>
                <c:pt idx="1201">
                  <c:v>5.0099999999999999E-2</c:v>
                </c:pt>
                <c:pt idx="1202">
                  <c:v>4.9800000000000004E-2</c:v>
                </c:pt>
                <c:pt idx="1203">
                  <c:v>5.0199999999999995E-2</c:v>
                </c:pt>
                <c:pt idx="1204">
                  <c:v>5.1159999999999997E-2</c:v>
                </c:pt>
                <c:pt idx="1205">
                  <c:v>5.1769999999999997E-2</c:v>
                </c:pt>
                <c:pt idx="1206">
                  <c:v>5.1479999999999998E-2</c:v>
                </c:pt>
                <c:pt idx="1207">
                  <c:v>5.0410000000000003E-2</c:v>
                </c:pt>
                <c:pt idx="1208">
                  <c:v>4.9970000000000001E-2</c:v>
                </c:pt>
                <c:pt idx="1209">
                  <c:v>4.9909999999999996E-2</c:v>
                </c:pt>
                <c:pt idx="1210">
                  <c:v>5.074E-2</c:v>
                </c:pt>
                <c:pt idx="1211">
                  <c:v>5.083E-2</c:v>
                </c:pt>
                <c:pt idx="1212">
                  <c:v>5.1889999999999999E-2</c:v>
                </c:pt>
                <c:pt idx="1213">
                  <c:v>5.212E-2</c:v>
                </c:pt>
                <c:pt idx="1214">
                  <c:v>5.2600000000000001E-2</c:v>
                </c:pt>
                <c:pt idx="1215">
                  <c:v>5.3089999999999998E-2</c:v>
                </c:pt>
                <c:pt idx="1216">
                  <c:v>5.3390000000000007E-2</c:v>
                </c:pt>
                <c:pt idx="1217">
                  <c:v>5.2939999999999994E-2</c:v>
                </c:pt>
                <c:pt idx="1218">
                  <c:v>5.3269999999999998E-2</c:v>
                </c:pt>
                <c:pt idx="1219">
                  <c:v>5.3800000000000001E-2</c:v>
                </c:pt>
                <c:pt idx="1220">
                  <c:v>5.4760000000000003E-2</c:v>
                </c:pt>
                <c:pt idx="1221">
                  <c:v>5.5210000000000002E-2</c:v>
                </c:pt>
                <c:pt idx="1222">
                  <c:v>5.5570000000000001E-2</c:v>
                </c:pt>
                <c:pt idx="1223">
                  <c:v>5.5820000000000002E-2</c:v>
                </c:pt>
                <c:pt idx="1224">
                  <c:v>5.5739999999999998E-2</c:v>
                </c:pt>
                <c:pt idx="1225">
                  <c:v>5.6509999999999998E-2</c:v>
                </c:pt>
                <c:pt idx="1226">
                  <c:v>5.6050000000000003E-2</c:v>
                </c:pt>
                <c:pt idx="1227">
                  <c:v>5.6860000000000001E-2</c:v>
                </c:pt>
                <c:pt idx="1228">
                  <c:v>5.6530000000000004E-2</c:v>
                </c:pt>
                <c:pt idx="1229">
                  <c:v>5.6280000000000004E-2</c:v>
                </c:pt>
                <c:pt idx="1230">
                  <c:v>5.6799999999999996E-2</c:v>
                </c:pt>
                <c:pt idx="1231">
                  <c:v>5.688E-2</c:v>
                </c:pt>
                <c:pt idx="1232">
                  <c:v>5.7620000000000005E-2</c:v>
                </c:pt>
                <c:pt idx="1233">
                  <c:v>5.7859999999999995E-2</c:v>
                </c:pt>
                <c:pt idx="1234">
                  <c:v>5.7419999999999999E-2</c:v>
                </c:pt>
                <c:pt idx="1235">
                  <c:v>5.6929999999999994E-2</c:v>
                </c:pt>
                <c:pt idx="1236">
                  <c:v>5.672E-2</c:v>
                </c:pt>
                <c:pt idx="1237">
                  <c:v>5.7219999999999993E-2</c:v>
                </c:pt>
                <c:pt idx="1238">
                  <c:v>5.7249999999999995E-2</c:v>
                </c:pt>
                <c:pt idx="1239">
                  <c:v>5.7549999999999997E-2</c:v>
                </c:pt>
                <c:pt idx="1240">
                  <c:v>5.6820000000000002E-2</c:v>
                </c:pt>
                <c:pt idx="1241">
                  <c:v>5.7839999999999996E-2</c:v>
                </c:pt>
                <c:pt idx="1242">
                  <c:v>5.824E-2</c:v>
                </c:pt>
                <c:pt idx="1243">
                  <c:v>5.9000000000000004E-2</c:v>
                </c:pt>
                <c:pt idx="1244">
                  <c:v>6.0090000000000005E-2</c:v>
                </c:pt>
                <c:pt idx="1245">
                  <c:v>6.4710000000000004E-2</c:v>
                </c:pt>
                <c:pt idx="1246">
                  <c:v>6.8989999999999996E-2</c:v>
                </c:pt>
                <c:pt idx="1247">
                  <c:v>7.2430000000000008E-2</c:v>
                </c:pt>
                <c:pt idx="1248">
                  <c:v>7.2969999999999993E-2</c:v>
                </c:pt>
                <c:pt idx="1249">
                  <c:v>7.4099999999999999E-2</c:v>
                </c:pt>
                <c:pt idx="1250">
                  <c:v>7.4349999999999999E-2</c:v>
                </c:pt>
                <c:pt idx="1251">
                  <c:v>7.4429999999999996E-2</c:v>
                </c:pt>
                <c:pt idx="1252">
                  <c:v>7.442E-2</c:v>
                </c:pt>
                <c:pt idx="1253">
                  <c:v>7.3859999999999995E-2</c:v>
                </c:pt>
                <c:pt idx="1254">
                  <c:v>7.3300000000000004E-2</c:v>
                </c:pt>
                <c:pt idx="1255">
                  <c:v>7.3550000000000004E-2</c:v>
                </c:pt>
                <c:pt idx="1256">
                  <c:v>7.356E-2</c:v>
                </c:pt>
                <c:pt idx="1257">
                  <c:v>7.3349999999999999E-2</c:v>
                </c:pt>
                <c:pt idx="1258">
                  <c:v>7.2859999999999994E-2</c:v>
                </c:pt>
                <c:pt idx="1259">
                  <c:v>7.2309999999999999E-2</c:v>
                </c:pt>
                <c:pt idx="1260">
                  <c:v>7.1550000000000002E-2</c:v>
                </c:pt>
                <c:pt idx="1261">
                  <c:v>6.923E-2</c:v>
                </c:pt>
                <c:pt idx="1262">
                  <c:v>6.9249999999999992E-2</c:v>
                </c:pt>
                <c:pt idx="1263">
                  <c:v>6.9539999999999991E-2</c:v>
                </c:pt>
                <c:pt idx="1264">
                  <c:v>6.9210000000000008E-2</c:v>
                </c:pt>
                <c:pt idx="1265">
                  <c:v>6.8769999999999998E-2</c:v>
                </c:pt>
                <c:pt idx="1266">
                  <c:v>6.8449999999999997E-2</c:v>
                </c:pt>
                <c:pt idx="1267">
                  <c:v>6.9120000000000001E-2</c:v>
                </c:pt>
                <c:pt idx="1268">
                  <c:v>6.7379999999999995E-2</c:v>
                </c:pt>
                <c:pt idx="1269">
                  <c:v>6.726E-2</c:v>
                </c:pt>
                <c:pt idx="1270">
                  <c:v>6.719E-2</c:v>
                </c:pt>
                <c:pt idx="1271">
                  <c:v>6.7350000000000007E-2</c:v>
                </c:pt>
                <c:pt idx="1272">
                  <c:v>6.7240000000000008E-2</c:v>
                </c:pt>
                <c:pt idx="1273">
                  <c:v>6.7150000000000001E-2</c:v>
                </c:pt>
                <c:pt idx="1274">
                  <c:v>6.7080000000000001E-2</c:v>
                </c:pt>
                <c:pt idx="1275">
                  <c:v>6.7360000000000003E-2</c:v>
                </c:pt>
                <c:pt idx="1276">
                  <c:v>6.6860000000000003E-2</c:v>
                </c:pt>
                <c:pt idx="1277">
                  <c:v>6.6600000000000006E-2</c:v>
                </c:pt>
                <c:pt idx="1278">
                  <c:v>6.6799999999999998E-2</c:v>
                </c:pt>
                <c:pt idx="1279">
                  <c:v>6.6680000000000003E-2</c:v>
                </c:pt>
                <c:pt idx="1280">
                  <c:v>6.6540000000000002E-2</c:v>
                </c:pt>
                <c:pt idx="1281">
                  <c:v>6.6659999999999997E-2</c:v>
                </c:pt>
                <c:pt idx="1282">
                  <c:v>6.6710000000000005E-2</c:v>
                </c:pt>
                <c:pt idx="1283">
                  <c:v>6.6750000000000004E-2</c:v>
                </c:pt>
                <c:pt idx="1284">
                  <c:v>6.692999999999999E-2</c:v>
                </c:pt>
                <c:pt idx="1285">
                  <c:v>6.7049999999999998E-2</c:v>
                </c:pt>
                <c:pt idx="1286">
                  <c:v>6.726E-2</c:v>
                </c:pt>
                <c:pt idx="1287">
                  <c:v>6.8769999999999998E-2</c:v>
                </c:pt>
                <c:pt idx="1288">
                  <c:v>7.0400000000000004E-2</c:v>
                </c:pt>
                <c:pt idx="1289">
                  <c:v>7.0849999999999996E-2</c:v>
                </c:pt>
                <c:pt idx="1290">
                  <c:v>7.1870000000000003E-2</c:v>
                </c:pt>
                <c:pt idx="1291">
                  <c:v>7.1429999999999993E-2</c:v>
                </c:pt>
                <c:pt idx="1292">
                  <c:v>7.1330000000000005E-2</c:v>
                </c:pt>
                <c:pt idx="1293">
                  <c:v>7.0460000000000009E-2</c:v>
                </c:pt>
                <c:pt idx="1294">
                  <c:v>7.0330000000000004E-2</c:v>
                </c:pt>
                <c:pt idx="1295">
                  <c:v>7.0029999999999995E-2</c:v>
                </c:pt>
                <c:pt idx="1296">
                  <c:v>6.7949999999999997E-2</c:v>
                </c:pt>
                <c:pt idx="1297">
                  <c:v>6.6830000000000001E-2</c:v>
                </c:pt>
                <c:pt idx="1298">
                  <c:v>6.6799999999999998E-2</c:v>
                </c:pt>
                <c:pt idx="1299">
                  <c:v>6.6780000000000006E-2</c:v>
                </c:pt>
                <c:pt idx="1300">
                  <c:v>6.5730000000000011E-2</c:v>
                </c:pt>
                <c:pt idx="1301">
                  <c:v>6.4809999999999993E-2</c:v>
                </c:pt>
                <c:pt idx="1302">
                  <c:v>6.4619999999999997E-2</c:v>
                </c:pt>
                <c:pt idx="1303">
                  <c:v>6.3909999999999995E-2</c:v>
                </c:pt>
                <c:pt idx="1304">
                  <c:v>6.3E-2</c:v>
                </c:pt>
                <c:pt idx="1305">
                  <c:v>6.1310000000000003E-2</c:v>
                </c:pt>
                <c:pt idx="1306">
                  <c:v>6.1079999999999995E-2</c:v>
                </c:pt>
                <c:pt idx="1307">
                  <c:v>5.9790000000000003E-2</c:v>
                </c:pt>
                <c:pt idx="1308">
                  <c:v>5.9559999999999995E-2</c:v>
                </c:pt>
                <c:pt idx="1309">
                  <c:v>5.9080000000000001E-2</c:v>
                </c:pt>
                <c:pt idx="1310">
                  <c:v>5.8799999999999998E-2</c:v>
                </c:pt>
                <c:pt idx="1311">
                  <c:v>5.8360000000000002E-2</c:v>
                </c:pt>
                <c:pt idx="1312">
                  <c:v>5.8019999999999995E-2</c:v>
                </c:pt>
                <c:pt idx="1313">
                  <c:v>5.808E-2</c:v>
                </c:pt>
                <c:pt idx="1314">
                  <c:v>5.8230000000000004E-2</c:v>
                </c:pt>
                <c:pt idx="1315">
                  <c:v>5.9229999999999998E-2</c:v>
                </c:pt>
                <c:pt idx="1316">
                  <c:v>5.9359999999999996E-2</c:v>
                </c:pt>
                <c:pt idx="1317">
                  <c:v>5.944E-2</c:v>
                </c:pt>
                <c:pt idx="1318">
                  <c:v>5.9269999999999996E-2</c:v>
                </c:pt>
                <c:pt idx="1319">
                  <c:v>5.8440000000000006E-2</c:v>
                </c:pt>
                <c:pt idx="1320">
                  <c:v>5.8339999999999996E-2</c:v>
                </c:pt>
                <c:pt idx="1321">
                  <c:v>5.7519999999999995E-2</c:v>
                </c:pt>
                <c:pt idx="1322">
                  <c:v>5.7050000000000003E-2</c:v>
                </c:pt>
                <c:pt idx="1323">
                  <c:v>5.5559999999999998E-2</c:v>
                </c:pt>
                <c:pt idx="1324">
                  <c:v>5.441E-2</c:v>
                </c:pt>
                <c:pt idx="1325">
                  <c:v>5.3419999999999995E-2</c:v>
                </c:pt>
                <c:pt idx="1326">
                  <c:v>5.2930000000000005E-2</c:v>
                </c:pt>
                <c:pt idx="1327">
                  <c:v>5.2060000000000002E-2</c:v>
                </c:pt>
                <c:pt idx="1328">
                  <c:v>5.2260000000000001E-2</c:v>
                </c:pt>
                <c:pt idx="1329">
                  <c:v>5.2209999999999999E-2</c:v>
                </c:pt>
                <c:pt idx="1330">
                  <c:v>5.1670000000000001E-2</c:v>
                </c:pt>
                <c:pt idx="1331">
                  <c:v>5.1429999999999997E-2</c:v>
                </c:pt>
                <c:pt idx="1332">
                  <c:v>5.1249999999999997E-2</c:v>
                </c:pt>
                <c:pt idx="1333">
                  <c:v>5.1340000000000004E-2</c:v>
                </c:pt>
                <c:pt idx="1334">
                  <c:v>5.1729999999999998E-2</c:v>
                </c:pt>
                <c:pt idx="1335">
                  <c:v>5.1810000000000002E-2</c:v>
                </c:pt>
                <c:pt idx="1336">
                  <c:v>5.1970000000000002E-2</c:v>
                </c:pt>
                <c:pt idx="1337">
                  <c:v>5.1849999999999993E-2</c:v>
                </c:pt>
                <c:pt idx="1338">
                  <c:v>5.1769999999999997E-2</c:v>
                </c:pt>
                <c:pt idx="1339">
                  <c:v>5.176E-2</c:v>
                </c:pt>
                <c:pt idx="1340">
                  <c:v>5.1869999999999999E-2</c:v>
                </c:pt>
                <c:pt idx="1341">
                  <c:v>5.2670000000000002E-2</c:v>
                </c:pt>
                <c:pt idx="1342">
                  <c:v>5.3360000000000005E-2</c:v>
                </c:pt>
                <c:pt idx="1343">
                  <c:v>5.382E-2</c:v>
                </c:pt>
                <c:pt idx="1344">
                  <c:v>5.3749999999999999E-2</c:v>
                </c:pt>
                <c:pt idx="1345">
                  <c:v>5.4039999999999998E-2</c:v>
                </c:pt>
                <c:pt idx="1346">
                  <c:v>5.4089999999999999E-2</c:v>
                </c:pt>
                <c:pt idx="1347">
                  <c:v>5.4240000000000003E-2</c:v>
                </c:pt>
                <c:pt idx="1348">
                  <c:v>5.4329999999999996E-2</c:v>
                </c:pt>
                <c:pt idx="1349">
                  <c:v>5.4280000000000002E-2</c:v>
                </c:pt>
                <c:pt idx="1350">
                  <c:v>5.4269999999999999E-2</c:v>
                </c:pt>
                <c:pt idx="1351">
                  <c:v>5.4713076923076927E-2</c:v>
                </c:pt>
                <c:pt idx="1352">
                  <c:v>5.5893703703703702E-2</c:v>
                </c:pt>
                <c:pt idx="1353">
                  <c:v>5.6211566951566955E-2</c:v>
                </c:pt>
                <c:pt idx="1354">
                  <c:v>5.6261965811965818E-2</c:v>
                </c:pt>
                <c:pt idx="1355">
                  <c:v>5.6423333333333332E-2</c:v>
                </c:pt>
                <c:pt idx="1356">
                  <c:v>5.6354985754985751E-2</c:v>
                </c:pt>
                <c:pt idx="1357">
                  <c:v>5.5998319088319086E-2</c:v>
                </c:pt>
                <c:pt idx="1358">
                  <c:v>5.6013076923076922E-2</c:v>
                </c:pt>
                <c:pt idx="1359">
                  <c:v>5.6100284900284902E-2</c:v>
                </c:pt>
                <c:pt idx="1360">
                  <c:v>5.6319686609686608E-2</c:v>
                </c:pt>
                <c:pt idx="1361">
                  <c:v>5.6271111111111105E-2</c:v>
                </c:pt>
                <c:pt idx="1362">
                  <c:v>5.6274529914529914E-2</c:v>
                </c:pt>
                <c:pt idx="1363">
                  <c:v>5.6106923076923075E-2</c:v>
                </c:pt>
                <c:pt idx="1364">
                  <c:v>5.6210626780626785E-2</c:v>
                </c:pt>
                <c:pt idx="1365">
                  <c:v>5.6037142857142862E-2</c:v>
                </c:pt>
                <c:pt idx="1366">
                  <c:v>5.5920455840455838E-2</c:v>
                </c:pt>
                <c:pt idx="1367">
                  <c:v>5.56180056980057E-2</c:v>
                </c:pt>
                <c:pt idx="1368">
                  <c:v>5.4986324786324786E-2</c:v>
                </c:pt>
                <c:pt idx="1369">
                  <c:v>5.5093333333333334E-2</c:v>
                </c:pt>
                <c:pt idx="1370">
                  <c:v>5.4898803418803412E-2</c:v>
                </c:pt>
                <c:pt idx="1371">
                  <c:v>5.5244045584045588E-2</c:v>
                </c:pt>
                <c:pt idx="1372">
                  <c:v>5.5016923076923074E-2</c:v>
                </c:pt>
                <c:pt idx="1373">
                  <c:v>5.4912792022792027E-2</c:v>
                </c:pt>
                <c:pt idx="1374">
                  <c:v>5.4947549857549856E-2</c:v>
                </c:pt>
                <c:pt idx="1375">
                  <c:v>5.4963162393162387E-2</c:v>
                </c:pt>
                <c:pt idx="1376">
                  <c:v>5.5042307692307696E-2</c:v>
                </c:pt>
                <c:pt idx="1377">
                  <c:v>5.5087834757834749E-2</c:v>
                </c:pt>
                <c:pt idx="1378">
                  <c:v>5.5071538461538463E-2</c:v>
                </c:pt>
                <c:pt idx="1379">
                  <c:v>5.5060569800569795E-2</c:v>
                </c:pt>
                <c:pt idx="1380">
                  <c:v>5.4951025641025636E-2</c:v>
                </c:pt>
                <c:pt idx="1381">
                  <c:v>5.4688319088319087E-2</c:v>
                </c:pt>
                <c:pt idx="1382">
                  <c:v>5.4816552706552703E-2</c:v>
                </c:pt>
                <c:pt idx="1383">
                  <c:v>5.468615384615385E-2</c:v>
                </c:pt>
                <c:pt idx="1384">
                  <c:v>5.4621025641025646E-2</c:v>
                </c:pt>
                <c:pt idx="1385">
                  <c:v>5.4688319088319087E-2</c:v>
                </c:pt>
                <c:pt idx="1386">
                  <c:v>5.4646E-2</c:v>
                </c:pt>
                <c:pt idx="1387">
                  <c:v>5.5036000000000002E-2</c:v>
                </c:pt>
                <c:pt idx="1388">
                  <c:v>5.5645897435897436E-2</c:v>
                </c:pt>
                <c:pt idx="1389">
                  <c:v>5.56676923076923E-2</c:v>
                </c:pt>
                <c:pt idx="1390">
                  <c:v>5.5621082621082618E-2</c:v>
                </c:pt>
                <c:pt idx="1391">
                  <c:v>5.5337521367521368E-2</c:v>
                </c:pt>
                <c:pt idx="1392">
                  <c:v>5.5232564102564101E-2</c:v>
                </c:pt>
                <c:pt idx="1393">
                  <c:v>5.5933133903133897E-2</c:v>
                </c:pt>
                <c:pt idx="1394">
                  <c:v>5.5994301994301991E-2</c:v>
                </c:pt>
                <c:pt idx="1395">
                  <c:v>5.6958660968660972E-2</c:v>
                </c:pt>
                <c:pt idx="1396">
                  <c:v>5.8073076923076929E-2</c:v>
                </c:pt>
                <c:pt idx="1397">
                  <c:v>5.9011737891737887E-2</c:v>
                </c:pt>
                <c:pt idx="1398">
                  <c:v>5.8682592592592585E-2</c:v>
                </c:pt>
                <c:pt idx="1399">
                  <c:v>6.0928945868945872E-2</c:v>
                </c:pt>
                <c:pt idx="1400">
                  <c:v>6.1852905982905985E-2</c:v>
                </c:pt>
                <c:pt idx="1401">
                  <c:v>6.1810028490028486E-2</c:v>
                </c:pt>
                <c:pt idx="1402">
                  <c:v>6.1554786324786323E-2</c:v>
                </c:pt>
                <c:pt idx="1403">
                  <c:v>6.1331538461538465E-2</c:v>
                </c:pt>
                <c:pt idx="1404">
                  <c:v>6.1147948717948715E-2</c:v>
                </c:pt>
                <c:pt idx="1405">
                  <c:v>6.162096866096866E-2</c:v>
                </c:pt>
                <c:pt idx="1406">
                  <c:v>6.1272193732193732E-2</c:v>
                </c:pt>
                <c:pt idx="1407">
                  <c:v>6.2321965811965814E-2</c:v>
                </c:pt>
                <c:pt idx="1408">
                  <c:v>6.2252222222222216E-2</c:v>
                </c:pt>
                <c:pt idx="1409">
                  <c:v>6.1976980056980054E-2</c:v>
                </c:pt>
                <c:pt idx="1410">
                  <c:v>6.209962962962963E-2</c:v>
                </c:pt>
                <c:pt idx="1411">
                  <c:v>6.3002991452991444E-2</c:v>
                </c:pt>
                <c:pt idx="1412">
                  <c:v>6.5605726495726491E-2</c:v>
                </c:pt>
                <c:pt idx="1413">
                  <c:v>6.6853846153846153E-2</c:v>
                </c:pt>
                <c:pt idx="1414">
                  <c:v>7.0081225071225065E-2</c:v>
                </c:pt>
                <c:pt idx="1415">
                  <c:v>6.8703846153846157E-2</c:v>
                </c:pt>
                <c:pt idx="1416">
                  <c:v>6.7650883190883193E-2</c:v>
                </c:pt>
                <c:pt idx="1417">
                  <c:v>6.7201851851851846E-2</c:v>
                </c:pt>
                <c:pt idx="1418">
                  <c:v>6.7484358974358977E-2</c:v>
                </c:pt>
                <c:pt idx="1419">
                  <c:v>6.7665897435897432E-2</c:v>
                </c:pt>
                <c:pt idx="1420">
                  <c:v>6.623452991452991E-2</c:v>
                </c:pt>
                <c:pt idx="1421">
                  <c:v>6.611794871794871E-2</c:v>
                </c:pt>
                <c:pt idx="1422">
                  <c:v>6.5881538461538464E-2</c:v>
                </c:pt>
                <c:pt idx="1423">
                  <c:v>6.6058689458689465E-2</c:v>
                </c:pt>
                <c:pt idx="1424">
                  <c:v>6.6720142450142447E-2</c:v>
                </c:pt>
                <c:pt idx="1425">
                  <c:v>6.720834757834758E-2</c:v>
                </c:pt>
                <c:pt idx="1426">
                  <c:v>6.7331111111111105E-2</c:v>
                </c:pt>
                <c:pt idx="1427">
                  <c:v>6.7444586894586905E-2</c:v>
                </c:pt>
                <c:pt idx="1428">
                  <c:v>6.7106096866096865E-2</c:v>
                </c:pt>
                <c:pt idx="1429">
                  <c:v>6.597571428571429E-2</c:v>
                </c:pt>
                <c:pt idx="1430">
                  <c:v>6.5545714285714277E-2</c:v>
                </c:pt>
                <c:pt idx="1431">
                  <c:v>6.5256153846153839E-2</c:v>
                </c:pt>
                <c:pt idx="1432">
                  <c:v>6.4864131054131052E-2</c:v>
                </c:pt>
                <c:pt idx="1433">
                  <c:v>6.9129971509971522E-2</c:v>
                </c:pt>
                <c:pt idx="1434">
                  <c:v>6.9893988603988599E-2</c:v>
                </c:pt>
                <c:pt idx="1435">
                  <c:v>6.9552307692307691E-2</c:v>
                </c:pt>
                <c:pt idx="1436">
                  <c:v>6.9562592592592593E-2</c:v>
                </c:pt>
                <c:pt idx="1437">
                  <c:v>6.9620655270655266E-2</c:v>
                </c:pt>
                <c:pt idx="1438">
                  <c:v>7.3250683760683763E-2</c:v>
                </c:pt>
                <c:pt idx="1439">
                  <c:v>7.5027777777777777E-2</c:v>
                </c:pt>
                <c:pt idx="1440">
                  <c:v>7.5618205128205135E-2</c:v>
                </c:pt>
                <c:pt idx="1441">
                  <c:v>7.5395669515669506E-2</c:v>
                </c:pt>
                <c:pt idx="1442">
                  <c:v>7.5005384615384613E-2</c:v>
                </c:pt>
                <c:pt idx="1443">
                  <c:v>7.4589886039886033E-2</c:v>
                </c:pt>
                <c:pt idx="1444">
                  <c:v>7.2915242165242158E-2</c:v>
                </c:pt>
                <c:pt idx="1445">
                  <c:v>7.2725925925925916E-2</c:v>
                </c:pt>
                <c:pt idx="1446">
                  <c:v>7.1318632478632474E-2</c:v>
                </c:pt>
                <c:pt idx="1447">
                  <c:v>6.9385014245014254E-2</c:v>
                </c:pt>
                <c:pt idx="1448">
                  <c:v>6.9019715099715107E-2</c:v>
                </c:pt>
                <c:pt idx="1449">
                  <c:v>6.8917464387464392E-2</c:v>
                </c:pt>
                <c:pt idx="1450">
                  <c:v>6.8315470085470092E-2</c:v>
                </c:pt>
                <c:pt idx="1451">
                  <c:v>6.8521481481481475E-2</c:v>
                </c:pt>
                <c:pt idx="1452">
                  <c:v>6.8483714285714287E-2</c:v>
                </c:pt>
                <c:pt idx="1453">
                  <c:v>6.8573714285714293E-2</c:v>
                </c:pt>
                <c:pt idx="1454">
                  <c:v>6.8646609686609683E-2</c:v>
                </c:pt>
                <c:pt idx="1455">
                  <c:v>6.9000000000000006E-2</c:v>
                </c:pt>
                <c:pt idx="1456">
                  <c:v>6.9660142450142459E-2</c:v>
                </c:pt>
                <c:pt idx="1457">
                  <c:v>6.8572478632478631E-2</c:v>
                </c:pt>
                <c:pt idx="1458">
                  <c:v>6.4872735042735039E-2</c:v>
                </c:pt>
                <c:pt idx="1459">
                  <c:v>6.5084615384615394E-2</c:v>
                </c:pt>
                <c:pt idx="1460">
                  <c:v>6.4993390313390312E-2</c:v>
                </c:pt>
                <c:pt idx="1461">
                  <c:v>6.5268490028490028E-2</c:v>
                </c:pt>
                <c:pt idx="1462">
                  <c:v>6.5299230769230776E-2</c:v>
                </c:pt>
                <c:pt idx="1463">
                  <c:v>6.4926182336182331E-2</c:v>
                </c:pt>
                <c:pt idx="1464">
                  <c:v>6.4904814814814818E-2</c:v>
                </c:pt>
                <c:pt idx="1465">
                  <c:v>6.4578233618233616E-2</c:v>
                </c:pt>
                <c:pt idx="1466">
                  <c:v>6.4373760683760689E-2</c:v>
                </c:pt>
                <c:pt idx="1467">
                  <c:v>6.4471424501424499E-2</c:v>
                </c:pt>
                <c:pt idx="1468">
                  <c:v>6.4599373219373216E-2</c:v>
                </c:pt>
                <c:pt idx="1469">
                  <c:v>6.4578974358974361E-2</c:v>
                </c:pt>
                <c:pt idx="1470">
                  <c:v>6.4633333333333334E-2</c:v>
                </c:pt>
                <c:pt idx="1471">
                  <c:v>6.4985698005698006E-2</c:v>
                </c:pt>
                <c:pt idx="1472">
                  <c:v>6.5330854700854701E-2</c:v>
                </c:pt>
                <c:pt idx="1473">
                  <c:v>6.4395470085470086E-2</c:v>
                </c:pt>
                <c:pt idx="1474">
                  <c:v>6.4143589743589746E-2</c:v>
                </c:pt>
                <c:pt idx="1475">
                  <c:v>6.3861566951566945E-2</c:v>
                </c:pt>
                <c:pt idx="1476">
                  <c:v>6.3765299145299145E-2</c:v>
                </c:pt>
                <c:pt idx="1477">
                  <c:v>6.3723931623931626E-2</c:v>
                </c:pt>
                <c:pt idx="1478">
                  <c:v>6.3632905982905982E-2</c:v>
                </c:pt>
                <c:pt idx="1479">
                  <c:v>6.3062222222222214E-2</c:v>
                </c:pt>
                <c:pt idx="1480">
                  <c:v>6.2888119658119648E-2</c:v>
                </c:pt>
                <c:pt idx="1481">
                  <c:v>6.2886923076923076E-2</c:v>
                </c:pt>
                <c:pt idx="1482">
                  <c:v>6.3252934472934466E-2</c:v>
                </c:pt>
                <c:pt idx="1483">
                  <c:v>6.235102564102564E-2</c:v>
                </c:pt>
                <c:pt idx="1484">
                  <c:v>6.220980056980057E-2</c:v>
                </c:pt>
                <c:pt idx="1485">
                  <c:v>6.2036324786324787E-2</c:v>
                </c:pt>
                <c:pt idx="1486">
                  <c:v>6.023367521367521E-2</c:v>
                </c:pt>
                <c:pt idx="1487">
                  <c:v>5.9976324786324788E-2</c:v>
                </c:pt>
                <c:pt idx="1488">
                  <c:v>5.8495897435897434E-2</c:v>
                </c:pt>
                <c:pt idx="1489">
                  <c:v>5.7464273504273508E-2</c:v>
                </c:pt>
                <c:pt idx="1490">
                  <c:v>5.7110940170940171E-2</c:v>
                </c:pt>
                <c:pt idx="1491">
                  <c:v>5.7107549857549858E-2</c:v>
                </c:pt>
                <c:pt idx="1492">
                  <c:v>5.7074957264957267E-2</c:v>
                </c:pt>
                <c:pt idx="1493">
                  <c:v>5.6766296296296301E-2</c:v>
                </c:pt>
                <c:pt idx="1494">
                  <c:v>5.6547008547008552E-2</c:v>
                </c:pt>
                <c:pt idx="1495">
                  <c:v>5.6743714285714286E-2</c:v>
                </c:pt>
                <c:pt idx="1496">
                  <c:v>5.6775428571428567E-2</c:v>
                </c:pt>
                <c:pt idx="1497">
                  <c:v>5.7017264957264953E-2</c:v>
                </c:pt>
                <c:pt idx="1498">
                  <c:v>5.7092934472934474E-2</c:v>
                </c:pt>
                <c:pt idx="1499">
                  <c:v>5.7151709401709411E-2</c:v>
                </c:pt>
                <c:pt idx="1500">
                  <c:v>5.6946125356125359E-2</c:v>
                </c:pt>
                <c:pt idx="1501">
                  <c:v>5.7126923076923075E-2</c:v>
                </c:pt>
                <c:pt idx="1502">
                  <c:v>5.7301680911680919E-2</c:v>
                </c:pt>
                <c:pt idx="1503">
                  <c:v>5.7584074074074072E-2</c:v>
                </c:pt>
                <c:pt idx="1504">
                  <c:v>5.7866723646723649E-2</c:v>
                </c:pt>
                <c:pt idx="1505">
                  <c:v>5.8440341880341883E-2</c:v>
                </c:pt>
                <c:pt idx="1506">
                  <c:v>5.8687863247863251E-2</c:v>
                </c:pt>
                <c:pt idx="1507">
                  <c:v>5.8989373219373226E-2</c:v>
                </c:pt>
                <c:pt idx="1508">
                  <c:v>5.8905128205128207E-2</c:v>
                </c:pt>
                <c:pt idx="1509">
                  <c:v>5.8803333333333326E-2</c:v>
                </c:pt>
                <c:pt idx="1510">
                  <c:v>5.9045612535612531E-2</c:v>
                </c:pt>
                <c:pt idx="1511">
                  <c:v>5.824441595441595E-2</c:v>
                </c:pt>
                <c:pt idx="1512">
                  <c:v>5.7148888888888888E-2</c:v>
                </c:pt>
                <c:pt idx="1513">
                  <c:v>5.6916951566951562E-2</c:v>
                </c:pt>
                <c:pt idx="1514">
                  <c:v>5.6778148148148147E-2</c:v>
                </c:pt>
                <c:pt idx="1515">
                  <c:v>5.6747692307692305E-2</c:v>
                </c:pt>
                <c:pt idx="1516">
                  <c:v>5.6602991452991455E-2</c:v>
                </c:pt>
                <c:pt idx="1517">
                  <c:v>5.6450769230769235E-2</c:v>
                </c:pt>
                <c:pt idx="1518">
                  <c:v>5.6632857142857145E-2</c:v>
                </c:pt>
                <c:pt idx="1519">
                  <c:v>5.6411339031339026E-2</c:v>
                </c:pt>
                <c:pt idx="1520">
                  <c:v>5.6332307692307688E-2</c:v>
                </c:pt>
                <c:pt idx="1521">
                  <c:v>5.6844074074074075E-2</c:v>
                </c:pt>
                <c:pt idx="1522">
                  <c:v>5.7394387464387471E-2</c:v>
                </c:pt>
                <c:pt idx="1523">
                  <c:v>5.7851025641025643E-2</c:v>
                </c:pt>
                <c:pt idx="1524">
                  <c:v>5.9314700854700864E-2</c:v>
                </c:pt>
                <c:pt idx="1525">
                  <c:v>5.9569487179487179E-2</c:v>
                </c:pt>
                <c:pt idx="1526">
                  <c:v>5.8651310541310543E-2</c:v>
                </c:pt>
                <c:pt idx="1527">
                  <c:v>5.8480256410256413E-2</c:v>
                </c:pt>
                <c:pt idx="1528">
                  <c:v>5.8360455840455849E-2</c:v>
                </c:pt>
                <c:pt idx="1529">
                  <c:v>5.805247863247863E-2</c:v>
                </c:pt>
                <c:pt idx="1530">
                  <c:v>5.7895925925925927E-2</c:v>
                </c:pt>
                <c:pt idx="1531">
                  <c:v>5.6164358974358973E-2</c:v>
                </c:pt>
                <c:pt idx="1532">
                  <c:v>5.5538034188034185E-2</c:v>
                </c:pt>
                <c:pt idx="1533">
                  <c:v>5.5324928774928776E-2</c:v>
                </c:pt>
                <c:pt idx="1534">
                  <c:v>5.533245014245014E-2</c:v>
                </c:pt>
                <c:pt idx="1535">
                  <c:v>5.5148945868945871E-2</c:v>
                </c:pt>
                <c:pt idx="1536">
                  <c:v>5.5101452991452991E-2</c:v>
                </c:pt>
                <c:pt idx="1537">
                  <c:v>5.509E-2</c:v>
                </c:pt>
                <c:pt idx="1538">
                  <c:v>5.4528695652173914E-2</c:v>
                </c:pt>
                <c:pt idx="1539">
                  <c:v>5.2677292143401978E-2</c:v>
                </c:pt>
                <c:pt idx="1540">
                  <c:v>5.1873729977116707E-2</c:v>
                </c:pt>
                <c:pt idx="1541">
                  <c:v>5.1128062547673526E-2</c:v>
                </c:pt>
                <c:pt idx="1542">
                  <c:v>5.1094645308924484E-2</c:v>
                </c:pt>
                <c:pt idx="1543">
                  <c:v>5.0277719298245621E-2</c:v>
                </c:pt>
                <c:pt idx="1544">
                  <c:v>5.0060091533180778E-2</c:v>
                </c:pt>
                <c:pt idx="1545">
                  <c:v>4.9725301296720065E-2</c:v>
                </c:pt>
                <c:pt idx="1546">
                  <c:v>4.9714912280701753E-2</c:v>
                </c:pt>
                <c:pt idx="1547">
                  <c:v>4.9794729214340201E-2</c:v>
                </c:pt>
                <c:pt idx="1548">
                  <c:v>5.0731967963386727E-2</c:v>
                </c:pt>
                <c:pt idx="1549">
                  <c:v>5.2220610221205187E-2</c:v>
                </c:pt>
                <c:pt idx="1550">
                  <c:v>5.3311334858886346E-2</c:v>
                </c:pt>
                <c:pt idx="1551">
                  <c:v>5.3416933638443936E-2</c:v>
                </c:pt>
                <c:pt idx="1552">
                  <c:v>5.3561739130434785E-2</c:v>
                </c:pt>
                <c:pt idx="1553">
                  <c:v>5.3905896262395121E-2</c:v>
                </c:pt>
                <c:pt idx="1554">
                  <c:v>5.4175415713196035E-2</c:v>
                </c:pt>
                <c:pt idx="1555">
                  <c:v>5.3991052631578954E-2</c:v>
                </c:pt>
                <c:pt idx="1556">
                  <c:v>5.3297406559877955E-2</c:v>
                </c:pt>
                <c:pt idx="1557">
                  <c:v>5.265426392067124E-2</c:v>
                </c:pt>
                <c:pt idx="1558">
                  <c:v>5.2600091533180772E-2</c:v>
                </c:pt>
                <c:pt idx="1559">
                  <c:v>5.269471395881007E-2</c:v>
                </c:pt>
                <c:pt idx="1560">
                  <c:v>5.2943798627002291E-2</c:v>
                </c:pt>
                <c:pt idx="1561">
                  <c:v>5.3088535469107558E-2</c:v>
                </c:pt>
                <c:pt idx="1562">
                  <c:v>5.4002807017543855E-2</c:v>
                </c:pt>
                <c:pt idx="1563">
                  <c:v>5.3990137299771174E-2</c:v>
                </c:pt>
                <c:pt idx="1564">
                  <c:v>5.4026132723112123E-2</c:v>
                </c:pt>
                <c:pt idx="1565">
                  <c:v>5.4022753623188403E-2</c:v>
                </c:pt>
                <c:pt idx="1566">
                  <c:v>5.4612959572845156E-2</c:v>
                </c:pt>
                <c:pt idx="1567">
                  <c:v>5.4972868039664384E-2</c:v>
                </c:pt>
                <c:pt idx="1568">
                  <c:v>5.4459290617848967E-2</c:v>
                </c:pt>
                <c:pt idx="1569">
                  <c:v>5.359633104500381E-2</c:v>
                </c:pt>
                <c:pt idx="1570">
                  <c:v>5.3339282990083906E-2</c:v>
                </c:pt>
                <c:pt idx="1571">
                  <c:v>5.2983684210526322E-2</c:v>
                </c:pt>
                <c:pt idx="1572">
                  <c:v>5.2877734553775743E-2</c:v>
                </c:pt>
                <c:pt idx="1573">
                  <c:v>5.2657498093058731E-2</c:v>
                </c:pt>
                <c:pt idx="1574">
                  <c:v>5.2620282227307406E-2</c:v>
                </c:pt>
                <c:pt idx="1575">
                  <c:v>5.3013363844393598E-2</c:v>
                </c:pt>
                <c:pt idx="1576">
                  <c:v>5.2929458428680395E-2</c:v>
                </c:pt>
                <c:pt idx="1577">
                  <c:v>5.2710533943554537E-2</c:v>
                </c:pt>
                <c:pt idx="1578">
                  <c:v>5.404696414950419E-2</c:v>
                </c:pt>
                <c:pt idx="1579">
                  <c:v>5.4038947368421048E-2</c:v>
                </c:pt>
                <c:pt idx="1580">
                  <c:v>5.398814645308924E-2</c:v>
                </c:pt>
                <c:pt idx="1581">
                  <c:v>5.4130389016018306E-2</c:v>
                </c:pt>
                <c:pt idx="1582">
                  <c:v>5.4521693363844388E-2</c:v>
                </c:pt>
                <c:pt idx="1583">
                  <c:v>5.4518749046529369E-2</c:v>
                </c:pt>
                <c:pt idx="1584">
                  <c:v>5.424512585812357E-2</c:v>
                </c:pt>
                <c:pt idx="1585">
                  <c:v>5.442178489702517E-2</c:v>
                </c:pt>
                <c:pt idx="1586">
                  <c:v>5.4317063310450039E-2</c:v>
                </c:pt>
                <c:pt idx="1587">
                  <c:v>5.433846681922197E-2</c:v>
                </c:pt>
                <c:pt idx="1588">
                  <c:v>5.4143432494279178E-2</c:v>
                </c:pt>
                <c:pt idx="1589">
                  <c:v>5.3887513348588864E-2</c:v>
                </c:pt>
                <c:pt idx="1590">
                  <c:v>5.1522555301296721E-2</c:v>
                </c:pt>
                <c:pt idx="1591">
                  <c:v>5.1489816933638445E-2</c:v>
                </c:pt>
                <c:pt idx="1592">
                  <c:v>5.2292974828375291E-2</c:v>
                </c:pt>
                <c:pt idx="1593">
                  <c:v>5.2767978642257816E-2</c:v>
                </c:pt>
                <c:pt idx="1594">
                  <c:v>5.4394035087719297E-2</c:v>
                </c:pt>
                <c:pt idx="1595">
                  <c:v>5.5202997711670483E-2</c:v>
                </c:pt>
                <c:pt idx="1596">
                  <c:v>5.775073226544622E-2</c:v>
                </c:pt>
                <c:pt idx="1597">
                  <c:v>5.6646086956521735E-2</c:v>
                </c:pt>
                <c:pt idx="1598">
                  <c:v>6.0467787948131201E-2</c:v>
                </c:pt>
                <c:pt idx="1599">
                  <c:v>6.5602974828375279E-2</c:v>
                </c:pt>
                <c:pt idx="1600">
                  <c:v>6.3780457665903886E-2</c:v>
                </c:pt>
                <c:pt idx="1601">
                  <c:v>6.2996384439359274E-2</c:v>
                </c:pt>
                <c:pt idx="1602">
                  <c:v>6.2415720823798627E-2</c:v>
                </c:pt>
                <c:pt idx="1603">
                  <c:v>6.3127498093058731E-2</c:v>
                </c:pt>
                <c:pt idx="1604">
                  <c:v>6.2739748283752853E-2</c:v>
                </c:pt>
                <c:pt idx="1605">
                  <c:v>6.1166506483600308E-2</c:v>
                </c:pt>
                <c:pt idx="1606">
                  <c:v>6.0445247902364614E-2</c:v>
                </c:pt>
                <c:pt idx="1607">
                  <c:v>5.9726254767353167E-2</c:v>
                </c:pt>
                <c:pt idx="1608">
                  <c:v>6.0936956521739132E-2</c:v>
                </c:pt>
                <c:pt idx="1609">
                  <c:v>6.4330701754385974E-2</c:v>
                </c:pt>
                <c:pt idx="1610">
                  <c:v>6.5153249427917614E-2</c:v>
                </c:pt>
                <c:pt idx="1611">
                  <c:v>6.5546636155606408E-2</c:v>
                </c:pt>
                <c:pt idx="1612">
                  <c:v>6.5440091533180783E-2</c:v>
                </c:pt>
                <c:pt idx="1613">
                  <c:v>6.6758283752860414E-2</c:v>
                </c:pt>
                <c:pt idx="1614">
                  <c:v>6.1646353928299008E-2</c:v>
                </c:pt>
                <c:pt idx="1615">
                  <c:v>6.1841510297482839E-2</c:v>
                </c:pt>
                <c:pt idx="1616">
                  <c:v>6.0947932875667431E-2</c:v>
                </c:pt>
                <c:pt idx="1617">
                  <c:v>5.8699420289855073E-2</c:v>
                </c:pt>
                <c:pt idx="1618">
                  <c:v>5.6316918382913805E-2</c:v>
                </c:pt>
                <c:pt idx="1619">
                  <c:v>5.6153363844393588E-2</c:v>
                </c:pt>
                <c:pt idx="1620">
                  <c:v>5.6237246376811593E-2</c:v>
                </c:pt>
                <c:pt idx="1621">
                  <c:v>5.6246582761250954E-2</c:v>
                </c:pt>
                <c:pt idx="1622">
                  <c:v>5.6053325705568265E-2</c:v>
                </c:pt>
                <c:pt idx="1623">
                  <c:v>5.6085881006864992E-2</c:v>
                </c:pt>
                <c:pt idx="1624">
                  <c:v>5.7241601830663617E-2</c:v>
                </c:pt>
                <c:pt idx="1625">
                  <c:v>5.593578947368421E-2</c:v>
                </c:pt>
                <c:pt idx="1626">
                  <c:v>5.5044736842105264E-2</c:v>
                </c:pt>
                <c:pt idx="1627">
                  <c:v>5.5048947368421051E-2</c:v>
                </c:pt>
                <c:pt idx="1628">
                  <c:v>5.5179069412662089E-2</c:v>
                </c:pt>
                <c:pt idx="1629">
                  <c:v>5.5228611746758201E-2</c:v>
                </c:pt>
                <c:pt idx="1630">
                  <c:v>5.4797757437070944E-2</c:v>
                </c:pt>
                <c:pt idx="1631">
                  <c:v>5.4751029748283747E-2</c:v>
                </c:pt>
                <c:pt idx="1632">
                  <c:v>5.5573699466056448E-2</c:v>
                </c:pt>
                <c:pt idx="1633">
                  <c:v>5.5567391304347832E-2</c:v>
                </c:pt>
                <c:pt idx="1634">
                  <c:v>5.5906224256292908E-2</c:v>
                </c:pt>
                <c:pt idx="1635">
                  <c:v>5.6755011441647601E-2</c:v>
                </c:pt>
                <c:pt idx="1636">
                  <c:v>5.6960251716247141E-2</c:v>
                </c:pt>
                <c:pt idx="1637">
                  <c:v>5.7127063310450039E-2</c:v>
                </c:pt>
                <c:pt idx="1638">
                  <c:v>5.7247917620137298E-2</c:v>
                </c:pt>
                <c:pt idx="1639">
                  <c:v>5.7093722349351637E-2</c:v>
                </c:pt>
                <c:pt idx="1640">
                  <c:v>5.7309794050343248E-2</c:v>
                </c:pt>
                <c:pt idx="1641">
                  <c:v>5.722546910755149E-2</c:v>
                </c:pt>
                <c:pt idx="1642">
                  <c:v>5.7203432494279179E-2</c:v>
                </c:pt>
                <c:pt idx="1643">
                  <c:v>5.7249595728451563E-2</c:v>
                </c:pt>
                <c:pt idx="1644">
                  <c:v>5.7340350877192983E-2</c:v>
                </c:pt>
                <c:pt idx="1645">
                  <c:v>5.7271006864988559E-2</c:v>
                </c:pt>
                <c:pt idx="1646">
                  <c:v>5.8714439359267734E-2</c:v>
                </c:pt>
                <c:pt idx="1647">
                  <c:v>5.9536956521739126E-2</c:v>
                </c:pt>
                <c:pt idx="1648">
                  <c:v>5.9555507246376808E-2</c:v>
                </c:pt>
                <c:pt idx="1649">
                  <c:v>5.9936979405034327E-2</c:v>
                </c:pt>
                <c:pt idx="1650">
                  <c:v>6.0577437070938218E-2</c:v>
                </c:pt>
                <c:pt idx="1651">
                  <c:v>6.2110198321891685E-2</c:v>
                </c:pt>
                <c:pt idx="1652">
                  <c:v>6.1929649122807018E-2</c:v>
                </c:pt>
                <c:pt idx="1653">
                  <c:v>6.3496163234172384E-2</c:v>
                </c:pt>
                <c:pt idx="1654">
                  <c:v>6.3529336384439361E-2</c:v>
                </c:pt>
                <c:pt idx="1655">
                  <c:v>6.3757765064836006E-2</c:v>
                </c:pt>
                <c:pt idx="1656">
                  <c:v>6.1792173913043473E-2</c:v>
                </c:pt>
                <c:pt idx="1657">
                  <c:v>6.160072463768116E-2</c:v>
                </c:pt>
                <c:pt idx="1658">
                  <c:v>6.1670091533180774E-2</c:v>
                </c:pt>
                <c:pt idx="1659">
                  <c:v>6.1570183066361556E-2</c:v>
                </c:pt>
                <c:pt idx="1660">
                  <c:v>6.3683272311212805E-2</c:v>
                </c:pt>
                <c:pt idx="1661">
                  <c:v>6.3776704805491982E-2</c:v>
                </c:pt>
                <c:pt idx="1662">
                  <c:v>6.5336910755148747E-2</c:v>
                </c:pt>
                <c:pt idx="1663">
                  <c:v>6.6344019832189169E-2</c:v>
                </c:pt>
                <c:pt idx="1664">
                  <c:v>6.6067490465293671E-2</c:v>
                </c:pt>
                <c:pt idx="1665">
                  <c:v>6.5440457665903895E-2</c:v>
                </c:pt>
                <c:pt idx="1666">
                  <c:v>6.4878131197559114E-2</c:v>
                </c:pt>
                <c:pt idx="1667">
                  <c:v>6.4599450800915323E-2</c:v>
                </c:pt>
                <c:pt idx="1668">
                  <c:v>6.4075293668954994E-2</c:v>
                </c:pt>
                <c:pt idx="1669">
                  <c:v>6.5296201372997714E-2</c:v>
                </c:pt>
                <c:pt idx="1670">
                  <c:v>6.5365591151792524E-2</c:v>
                </c:pt>
                <c:pt idx="1671">
                  <c:v>6.500510297482838E-2</c:v>
                </c:pt>
                <c:pt idx="1672">
                  <c:v>6.4823569794050337E-2</c:v>
                </c:pt>
                <c:pt idx="1673">
                  <c:v>6.4591441647597253E-2</c:v>
                </c:pt>
                <c:pt idx="1674">
                  <c:v>6.4717879481311968E-2</c:v>
                </c:pt>
                <c:pt idx="1675">
                  <c:v>6.472246376811594E-2</c:v>
                </c:pt>
                <c:pt idx="1676">
                  <c:v>6.4766315789473686E-2</c:v>
                </c:pt>
                <c:pt idx="1677">
                  <c:v>6.4815263157894737E-2</c:v>
                </c:pt>
                <c:pt idx="1678">
                  <c:v>6.4623447749809312E-2</c:v>
                </c:pt>
                <c:pt idx="1679">
                  <c:v>6.4233798627002292E-2</c:v>
                </c:pt>
                <c:pt idx="1680">
                  <c:v>6.3717780320366138E-2</c:v>
                </c:pt>
                <c:pt idx="1681">
                  <c:v>6.3174721586575139E-2</c:v>
                </c:pt>
                <c:pt idx="1682">
                  <c:v>6.2958916857360797E-2</c:v>
                </c:pt>
                <c:pt idx="1683">
                  <c:v>6.2821769641495037E-2</c:v>
                </c:pt>
                <c:pt idx="1684">
                  <c:v>6.2764141876430202E-2</c:v>
                </c:pt>
                <c:pt idx="1685">
                  <c:v>6.2575781845919151E-2</c:v>
                </c:pt>
                <c:pt idx="1686">
                  <c:v>6.2538848207475212E-2</c:v>
                </c:pt>
                <c:pt idx="1687">
                  <c:v>6.2448710907704041E-2</c:v>
                </c:pt>
                <c:pt idx="1688">
                  <c:v>6.2344782608695651E-2</c:v>
                </c:pt>
                <c:pt idx="1689">
                  <c:v>6.2466956521739128E-2</c:v>
                </c:pt>
                <c:pt idx="1690">
                  <c:v>6.2480297482837531E-2</c:v>
                </c:pt>
                <c:pt idx="1691">
                  <c:v>6.2476384439359267E-2</c:v>
                </c:pt>
                <c:pt idx="1692">
                  <c:v>6.2536559877955755E-2</c:v>
                </c:pt>
                <c:pt idx="1693">
                  <c:v>6.2637025171624713E-2</c:v>
                </c:pt>
                <c:pt idx="1694">
                  <c:v>6.2514363081617091E-2</c:v>
                </c:pt>
                <c:pt idx="1695">
                  <c:v>6.2373859649122815E-2</c:v>
                </c:pt>
                <c:pt idx="1696">
                  <c:v>6.2463546910755154E-2</c:v>
                </c:pt>
                <c:pt idx="1697">
                  <c:v>6.2576750572082382E-2</c:v>
                </c:pt>
                <c:pt idx="1698">
                  <c:v>6.2573440122044244E-2</c:v>
                </c:pt>
                <c:pt idx="1699">
                  <c:v>6.2526514111365381E-2</c:v>
                </c:pt>
                <c:pt idx="1700">
                  <c:v>6.2783432494279173E-2</c:v>
                </c:pt>
                <c:pt idx="1701">
                  <c:v>6.3027154843630806E-2</c:v>
                </c:pt>
                <c:pt idx="1702">
                  <c:v>6.3239275362318839E-2</c:v>
                </c:pt>
                <c:pt idx="1703">
                  <c:v>6.345784897025171E-2</c:v>
                </c:pt>
                <c:pt idx="1704">
                  <c:v>6.379343249427917E-2</c:v>
                </c:pt>
                <c:pt idx="1705">
                  <c:v>6.4720976353928303E-2</c:v>
                </c:pt>
                <c:pt idx="1706">
                  <c:v>6.48410831426392E-2</c:v>
                </c:pt>
                <c:pt idx="1707">
                  <c:v>6.467235697940503E-2</c:v>
                </c:pt>
                <c:pt idx="1708">
                  <c:v>6.4783913043478247E-2</c:v>
                </c:pt>
                <c:pt idx="1709">
                  <c:v>6.4860122044241034E-2</c:v>
                </c:pt>
                <c:pt idx="1710">
                  <c:v>6.4620045766590389E-2</c:v>
                </c:pt>
                <c:pt idx="1711">
                  <c:v>6.4921922196796336E-2</c:v>
                </c:pt>
                <c:pt idx="1712">
                  <c:v>6.5131861174675815E-2</c:v>
                </c:pt>
                <c:pt idx="1713">
                  <c:v>6.5235835240274598E-2</c:v>
                </c:pt>
                <c:pt idx="1714">
                  <c:v>6.5258390541571315E-2</c:v>
                </c:pt>
                <c:pt idx="1715">
                  <c:v>6.5481090770404274E-2</c:v>
                </c:pt>
                <c:pt idx="1716">
                  <c:v>6.5310915331807773E-2</c:v>
                </c:pt>
                <c:pt idx="1717">
                  <c:v>6.5483935926773457E-2</c:v>
                </c:pt>
                <c:pt idx="1718">
                  <c:v>6.5539885583524027E-2</c:v>
                </c:pt>
                <c:pt idx="1719">
                  <c:v>6.5635781845919144E-2</c:v>
                </c:pt>
                <c:pt idx="1720">
                  <c:v>6.5649061784897031E-2</c:v>
                </c:pt>
                <c:pt idx="1721">
                  <c:v>6.5581479786422578E-2</c:v>
                </c:pt>
                <c:pt idx="1722">
                  <c:v>6.5508718535469107E-2</c:v>
                </c:pt>
                <c:pt idx="1723">
                  <c:v>6.578472158657514E-2</c:v>
                </c:pt>
                <c:pt idx="1724">
                  <c:v>6.5681418764302058E-2</c:v>
                </c:pt>
                <c:pt idx="1725">
                  <c:v>6.4754103737604887E-2</c:v>
                </c:pt>
                <c:pt idx="1726">
                  <c:v>6.4835881006864993E-2</c:v>
                </c:pt>
                <c:pt idx="1727">
                  <c:v>6.48847292143402E-2</c:v>
                </c:pt>
                <c:pt idx="1728">
                  <c:v>6.5076842105263155E-2</c:v>
                </c:pt>
                <c:pt idx="1729">
                  <c:v>6.497091533180778E-2</c:v>
                </c:pt>
                <c:pt idx="1730">
                  <c:v>6.5239633867276894E-2</c:v>
                </c:pt>
                <c:pt idx="1731">
                  <c:v>6.535478260869565E-2</c:v>
                </c:pt>
                <c:pt idx="1732">
                  <c:v>6.5715675057208239E-2</c:v>
                </c:pt>
                <c:pt idx="1733">
                  <c:v>6.5400991609458434E-2</c:v>
                </c:pt>
                <c:pt idx="1734">
                  <c:v>6.5168360030511061E-2</c:v>
                </c:pt>
                <c:pt idx="1735">
                  <c:v>6.5646887871853549E-2</c:v>
                </c:pt>
                <c:pt idx="1736">
                  <c:v>6.6056552250190692E-2</c:v>
                </c:pt>
                <c:pt idx="1737">
                  <c:v>6.5758268497330283E-2</c:v>
                </c:pt>
                <c:pt idx="1738">
                  <c:v>6.5641815408085433E-2</c:v>
                </c:pt>
                <c:pt idx="1739">
                  <c:v>6.5577757437070935E-2</c:v>
                </c:pt>
                <c:pt idx="1740">
                  <c:v>6.5623333333333325E-2</c:v>
                </c:pt>
                <c:pt idx="1741">
                  <c:v>6.5551670480549204E-2</c:v>
                </c:pt>
                <c:pt idx="1742">
                  <c:v>6.5521540808543097E-2</c:v>
                </c:pt>
                <c:pt idx="1743">
                  <c:v>6.5424370709382146E-2</c:v>
                </c:pt>
                <c:pt idx="1744">
                  <c:v>6.3641014492753625E-2</c:v>
                </c:pt>
                <c:pt idx="1745">
                  <c:v>6.3210701754385965E-2</c:v>
                </c:pt>
                <c:pt idx="1746">
                  <c:v>6.1850205949656747E-2</c:v>
                </c:pt>
                <c:pt idx="1747">
                  <c:v>6.1207826086956525E-2</c:v>
                </c:pt>
                <c:pt idx="1748">
                  <c:v>6.0981777269260108E-2</c:v>
                </c:pt>
                <c:pt idx="1749">
                  <c:v>6.040132723112128E-2</c:v>
                </c:pt>
                <c:pt idx="1750">
                  <c:v>6.0361876430205949E-2</c:v>
                </c:pt>
                <c:pt idx="1751">
                  <c:v>6.0416270022883294E-2</c:v>
                </c:pt>
                <c:pt idx="1752">
                  <c:v>6.0476910755148744E-2</c:v>
                </c:pt>
                <c:pt idx="1753">
                  <c:v>6.0712822273073987E-2</c:v>
                </c:pt>
                <c:pt idx="1754">
                  <c:v>6.065750572082379E-2</c:v>
                </c:pt>
                <c:pt idx="1755">
                  <c:v>6.0708077803203662E-2</c:v>
                </c:pt>
                <c:pt idx="1756">
                  <c:v>6.0724660564454608E-2</c:v>
                </c:pt>
                <c:pt idx="1757">
                  <c:v>6.0446559877955754E-2</c:v>
                </c:pt>
                <c:pt idx="1758">
                  <c:v>6.0467246376811598E-2</c:v>
                </c:pt>
                <c:pt idx="1759">
                  <c:v>6.0339199084668192E-2</c:v>
                </c:pt>
                <c:pt idx="1760">
                  <c:v>5.9668619374523273E-2</c:v>
                </c:pt>
                <c:pt idx="1761">
                  <c:v>5.9524881769641498E-2</c:v>
                </c:pt>
                <c:pt idx="1762">
                  <c:v>5.982166285278414E-2</c:v>
                </c:pt>
                <c:pt idx="1763">
                  <c:v>5.9646018306636163E-2</c:v>
                </c:pt>
                <c:pt idx="1764">
                  <c:v>5.9629786422578185E-2</c:v>
                </c:pt>
                <c:pt idx="1765">
                  <c:v>5.8956918382913809E-2</c:v>
                </c:pt>
                <c:pt idx="1766">
                  <c:v>5.6503821510297481E-2</c:v>
                </c:pt>
                <c:pt idx="1767">
                  <c:v>5.5682242562929057E-2</c:v>
                </c:pt>
                <c:pt idx="1768">
                  <c:v>5.5171395881006863E-2</c:v>
                </c:pt>
                <c:pt idx="1769">
                  <c:v>5.5246987032799393E-2</c:v>
                </c:pt>
                <c:pt idx="1770">
                  <c:v>5.5290228832951947E-2</c:v>
                </c:pt>
                <c:pt idx="1771">
                  <c:v>5.5284576659038895E-2</c:v>
                </c:pt>
                <c:pt idx="1772">
                  <c:v>5.5539984744469868E-2</c:v>
                </c:pt>
                <c:pt idx="1773">
                  <c:v>5.5483142639206715E-2</c:v>
                </c:pt>
                <c:pt idx="1774">
                  <c:v>5.5228604118993135E-2</c:v>
                </c:pt>
                <c:pt idx="1775">
                  <c:v>5.5172662090007624E-2</c:v>
                </c:pt>
                <c:pt idx="1776">
                  <c:v>5.5064233409610981E-2</c:v>
                </c:pt>
                <c:pt idx="1777">
                  <c:v>5.4937520976353932E-2</c:v>
                </c:pt>
                <c:pt idx="1778">
                  <c:v>5.4671578947368425E-2</c:v>
                </c:pt>
                <c:pt idx="1779">
                  <c:v>5.4751434019832193E-2</c:v>
                </c:pt>
                <c:pt idx="1780">
                  <c:v>5.4682356979405038E-2</c:v>
                </c:pt>
                <c:pt idx="1781">
                  <c:v>5.4506201372997706E-2</c:v>
                </c:pt>
                <c:pt idx="1782">
                  <c:v>5.448093821510297E-2</c:v>
                </c:pt>
                <c:pt idx="1783">
                  <c:v>5.433512585812357E-2</c:v>
                </c:pt>
                <c:pt idx="1784">
                  <c:v>5.41291533180778E-2</c:v>
                </c:pt>
                <c:pt idx="1785">
                  <c:v>5.2332951945080086E-2</c:v>
                </c:pt>
                <c:pt idx="1786">
                  <c:v>5.1433623188405803E-2</c:v>
                </c:pt>
                <c:pt idx="1787">
                  <c:v>4.9519290617848967E-2</c:v>
                </c:pt>
                <c:pt idx="1788">
                  <c:v>4.8902669717772691E-2</c:v>
                </c:pt>
                <c:pt idx="1789">
                  <c:v>4.8479542334096112E-2</c:v>
                </c:pt>
                <c:pt idx="1790">
                  <c:v>4.8577299771167051E-2</c:v>
                </c:pt>
                <c:pt idx="1791">
                  <c:v>4.8897032799389777E-2</c:v>
                </c:pt>
                <c:pt idx="1792">
                  <c:v>4.8897376048817699E-2</c:v>
                </c:pt>
                <c:pt idx="1793">
                  <c:v>4.8900823798627001E-2</c:v>
                </c:pt>
                <c:pt idx="1794">
                  <c:v>4.8904271548436302E-2</c:v>
                </c:pt>
                <c:pt idx="1795">
                  <c:v>4.8907719298245611E-2</c:v>
                </c:pt>
                <c:pt idx="1796">
                  <c:v>4.8413569794050343E-2</c:v>
                </c:pt>
                <c:pt idx="1797">
                  <c:v>4.8419679633867278E-2</c:v>
                </c:pt>
                <c:pt idx="1798">
                  <c:v>4.8419679633867278E-2</c:v>
                </c:pt>
                <c:pt idx="1799">
                  <c:v>4.8423897787948131E-2</c:v>
                </c:pt>
                <c:pt idx="1800">
                  <c:v>4.8298260869565214E-2</c:v>
                </c:pt>
                <c:pt idx="1801">
                  <c:v>4.7723592677345536E-2</c:v>
                </c:pt>
                <c:pt idx="1802">
                  <c:v>4.7825766590389014E-2</c:v>
                </c:pt>
                <c:pt idx="1803">
                  <c:v>4.7505964912280707E-2</c:v>
                </c:pt>
                <c:pt idx="1804">
                  <c:v>4.6962768878718537E-2</c:v>
                </c:pt>
                <c:pt idx="1805">
                  <c:v>4.6708581235697946E-2</c:v>
                </c:pt>
                <c:pt idx="1806">
                  <c:v>4.5990007627765062E-2</c:v>
                </c:pt>
                <c:pt idx="1807">
                  <c:v>4.5705934401220442E-2</c:v>
                </c:pt>
                <c:pt idx="1808">
                  <c:v>4.4576575133485889E-2</c:v>
                </c:pt>
                <c:pt idx="1809">
                  <c:v>4.4484988558352395E-2</c:v>
                </c:pt>
                <c:pt idx="1810">
                  <c:v>4.4692219679633868E-2</c:v>
                </c:pt>
                <c:pt idx="1811">
                  <c:v>4.4694363081617089E-2</c:v>
                </c:pt>
                <c:pt idx="1812">
                  <c:v>4.4515095347063313E-2</c:v>
                </c:pt>
                <c:pt idx="1813">
                  <c:v>4.4549565217391306E-2</c:v>
                </c:pt>
                <c:pt idx="1814">
                  <c:v>4.4544462242562928E-2</c:v>
                </c:pt>
                <c:pt idx="1815">
                  <c:v>4.4588733790999237E-2</c:v>
                </c:pt>
                <c:pt idx="1816">
                  <c:v>4.6719038901601832E-2</c:v>
                </c:pt>
                <c:pt idx="1817">
                  <c:v>4.7311784897025165E-2</c:v>
                </c:pt>
                <c:pt idx="1818">
                  <c:v>4.6598161708619371E-2</c:v>
                </c:pt>
                <c:pt idx="1819">
                  <c:v>4.6706392067124333E-2</c:v>
                </c:pt>
                <c:pt idx="1820">
                  <c:v>4.7279977116704799E-2</c:v>
                </c:pt>
                <c:pt idx="1821">
                  <c:v>4.7388237986270017E-2</c:v>
                </c:pt>
                <c:pt idx="1822">
                  <c:v>4.7239153318077799E-2</c:v>
                </c:pt>
                <c:pt idx="1823">
                  <c:v>4.6695293668954994E-2</c:v>
                </c:pt>
                <c:pt idx="1824">
                  <c:v>4.633178489702517E-2</c:v>
                </c:pt>
                <c:pt idx="1825">
                  <c:v>4.6127894736842111E-2</c:v>
                </c:pt>
                <c:pt idx="1826">
                  <c:v>4.6255453852021358E-2</c:v>
                </c:pt>
                <c:pt idx="1827">
                  <c:v>4.4866666666666666E-2</c:v>
                </c:pt>
                <c:pt idx="1828">
                  <c:v>4.2970411899313506E-2</c:v>
                </c:pt>
                <c:pt idx="1829">
                  <c:v>4.1846842105263155E-2</c:v>
                </c:pt>
                <c:pt idx="1830">
                  <c:v>4.1836353928299007E-2</c:v>
                </c:pt>
                <c:pt idx="1831">
                  <c:v>4.1684256292906181E-2</c:v>
                </c:pt>
                <c:pt idx="1832">
                  <c:v>4.1343249427917624E-2</c:v>
                </c:pt>
                <c:pt idx="1833">
                  <c:v>4.1358558352402743E-2</c:v>
                </c:pt>
                <c:pt idx="1834">
                  <c:v>4.1325347063310452E-2</c:v>
                </c:pt>
                <c:pt idx="1835">
                  <c:v>4.1005850495804734E-2</c:v>
                </c:pt>
                <c:pt idx="1836">
                  <c:v>3.9782105263157896E-2</c:v>
                </c:pt>
                <c:pt idx="1837">
                  <c:v>3.9689954233409611E-2</c:v>
                </c:pt>
                <c:pt idx="1838">
                  <c:v>3.9688451563691836E-2</c:v>
                </c:pt>
                <c:pt idx="1839">
                  <c:v>3.9469092295957284E-2</c:v>
                </c:pt>
                <c:pt idx="1840">
                  <c:v>3.9214462242562934E-2</c:v>
                </c:pt>
                <c:pt idx="1841">
                  <c:v>3.9047894736842108E-2</c:v>
                </c:pt>
                <c:pt idx="1842">
                  <c:v>3.9571372997711664E-2</c:v>
                </c:pt>
                <c:pt idx="1843">
                  <c:v>3.9279763539282989E-2</c:v>
                </c:pt>
                <c:pt idx="1844">
                  <c:v>3.795157894736842E-2</c:v>
                </c:pt>
                <c:pt idx="1845">
                  <c:v>3.7766430205949657E-2</c:v>
                </c:pt>
                <c:pt idx="1846">
                  <c:v>3.7702883295194507E-2</c:v>
                </c:pt>
                <c:pt idx="1847">
                  <c:v>3.7707604881769635E-2</c:v>
                </c:pt>
                <c:pt idx="1848">
                  <c:v>3.7569794050343247E-2</c:v>
                </c:pt>
                <c:pt idx="1849">
                  <c:v>3.7865331807780317E-2</c:v>
                </c:pt>
                <c:pt idx="1850">
                  <c:v>3.7800480549199086E-2</c:v>
                </c:pt>
                <c:pt idx="1851">
                  <c:v>3.8193745232646834E-2</c:v>
                </c:pt>
                <c:pt idx="1852">
                  <c:v>3.7985118230358508E-2</c:v>
                </c:pt>
                <c:pt idx="1853">
                  <c:v>3.8113913043478262E-2</c:v>
                </c:pt>
                <c:pt idx="1854">
                  <c:v>3.7872890922959576E-2</c:v>
                </c:pt>
                <c:pt idx="1855">
                  <c:v>3.7879786422578186E-2</c:v>
                </c:pt>
                <c:pt idx="1856">
                  <c:v>3.770986270022883E-2</c:v>
                </c:pt>
                <c:pt idx="1857">
                  <c:v>3.767556064073227E-2</c:v>
                </c:pt>
                <c:pt idx="1858">
                  <c:v>3.739184591914569E-2</c:v>
                </c:pt>
                <c:pt idx="1859">
                  <c:v>3.6085568268497334E-2</c:v>
                </c:pt>
                <c:pt idx="1860">
                  <c:v>3.5841967963386727E-2</c:v>
                </c:pt>
                <c:pt idx="1861">
                  <c:v>3.4968070175438598E-2</c:v>
                </c:pt>
                <c:pt idx="1862">
                  <c:v>3.520192219679634E-2</c:v>
                </c:pt>
                <c:pt idx="1863">
                  <c:v>3.4460701754385967E-2</c:v>
                </c:pt>
                <c:pt idx="1864">
                  <c:v>3.4016201372997712E-2</c:v>
                </c:pt>
                <c:pt idx="1865">
                  <c:v>3.3200389016018308E-2</c:v>
                </c:pt>
                <c:pt idx="1866">
                  <c:v>3.3060465293668954E-2</c:v>
                </c:pt>
                <c:pt idx="1867">
                  <c:v>3.2929420289855071E-2</c:v>
                </c:pt>
                <c:pt idx="1868">
                  <c:v>3.3448093058733794E-2</c:v>
                </c:pt>
                <c:pt idx="1869">
                  <c:v>3.3520434782608695E-2</c:v>
                </c:pt>
                <c:pt idx="1870">
                  <c:v>3.3377597254004576E-2</c:v>
                </c:pt>
                <c:pt idx="1871">
                  <c:v>3.4247833714721586E-2</c:v>
                </c:pt>
                <c:pt idx="1872">
                  <c:v>3.5563798627002291E-2</c:v>
                </c:pt>
                <c:pt idx="1873">
                  <c:v>3.5034233409610982E-2</c:v>
                </c:pt>
                <c:pt idx="1874">
                  <c:v>3.4553012967200612E-2</c:v>
                </c:pt>
                <c:pt idx="1875">
                  <c:v>3.4421472158657512E-2</c:v>
                </c:pt>
                <c:pt idx="1876">
                  <c:v>3.4427025171624714E-2</c:v>
                </c:pt>
                <c:pt idx="1877">
                  <c:v>3.4443684210526321E-2</c:v>
                </c:pt>
                <c:pt idx="1878">
                  <c:v>3.39277421815408E-2</c:v>
                </c:pt>
                <c:pt idx="1879">
                  <c:v>3.3934126620900076E-2</c:v>
                </c:pt>
                <c:pt idx="1880">
                  <c:v>3.4499908466819225E-2</c:v>
                </c:pt>
                <c:pt idx="1881">
                  <c:v>3.5623493516399693E-2</c:v>
                </c:pt>
                <c:pt idx="1882">
                  <c:v>3.7425553012967197E-2</c:v>
                </c:pt>
                <c:pt idx="1883">
                  <c:v>3.6048680396643787E-2</c:v>
                </c:pt>
                <c:pt idx="1884">
                  <c:v>3.5266453089244851E-2</c:v>
                </c:pt>
                <c:pt idx="1885">
                  <c:v>3.5219183829138058E-2</c:v>
                </c:pt>
                <c:pt idx="1886">
                  <c:v>3.3499328756674294E-2</c:v>
                </c:pt>
                <c:pt idx="1887">
                  <c:v>3.4181151792524789E-2</c:v>
                </c:pt>
                <c:pt idx="1888">
                  <c:v>3.3967322654462243E-2</c:v>
                </c:pt>
                <c:pt idx="1889">
                  <c:v>3.3140922959572848E-2</c:v>
                </c:pt>
                <c:pt idx="1890">
                  <c:v>3.2956079328756681E-2</c:v>
                </c:pt>
                <c:pt idx="1891">
                  <c:v>3.3152219679633867E-2</c:v>
                </c:pt>
                <c:pt idx="1892">
                  <c:v>3.2894370709382149E-2</c:v>
                </c:pt>
                <c:pt idx="1893">
                  <c:v>3.3129557589626241E-2</c:v>
                </c:pt>
                <c:pt idx="1894">
                  <c:v>3.2726315789473687E-2</c:v>
                </c:pt>
                <c:pt idx="1895">
                  <c:v>3.3599130434782604E-2</c:v>
                </c:pt>
                <c:pt idx="1896">
                  <c:v>3.4331296720061022E-2</c:v>
                </c:pt>
                <c:pt idx="1897">
                  <c:v>3.4490213577421817E-2</c:v>
                </c:pt>
                <c:pt idx="1898">
                  <c:v>3.5195415713196038E-2</c:v>
                </c:pt>
                <c:pt idx="1899">
                  <c:v>3.5297231121281462E-2</c:v>
                </c:pt>
                <c:pt idx="1900">
                  <c:v>3.5088878718535464E-2</c:v>
                </c:pt>
                <c:pt idx="1901">
                  <c:v>3.4776872616323423E-2</c:v>
                </c:pt>
                <c:pt idx="1902">
                  <c:v>3.419567505720824E-2</c:v>
                </c:pt>
                <c:pt idx="1903">
                  <c:v>3.3736727688787188E-2</c:v>
                </c:pt>
                <c:pt idx="1904">
                  <c:v>3.2716140350877193E-2</c:v>
                </c:pt>
                <c:pt idx="1905">
                  <c:v>3.277580472921434E-2</c:v>
                </c:pt>
                <c:pt idx="1906">
                  <c:v>3.261E-2</c:v>
                </c:pt>
                <c:pt idx="1907">
                  <c:v>3.2710000000000003E-2</c:v>
                </c:pt>
                <c:pt idx="1908">
                  <c:v>3.2620000000000003E-2</c:v>
                </c:pt>
                <c:pt idx="1909">
                  <c:v>3.2689999999999997E-2</c:v>
                </c:pt>
                <c:pt idx="1910">
                  <c:v>3.2379999999999999E-2</c:v>
                </c:pt>
                <c:pt idx="1911">
                  <c:v>3.1629999999999998E-2</c:v>
                </c:pt>
                <c:pt idx="1912">
                  <c:v>3.0328915537017727E-2</c:v>
                </c:pt>
                <c:pt idx="1913">
                  <c:v>2.9340312825860269E-2</c:v>
                </c:pt>
                <c:pt idx="1914">
                  <c:v>2.9691376433785194E-2</c:v>
                </c:pt>
                <c:pt idx="1915">
                  <c:v>2.9647247132429614E-2</c:v>
                </c:pt>
                <c:pt idx="1916">
                  <c:v>2.9729551616266944E-2</c:v>
                </c:pt>
                <c:pt idx="1917">
                  <c:v>2.9354087591240873E-2</c:v>
                </c:pt>
                <c:pt idx="1918">
                  <c:v>3.0206485922836288E-2</c:v>
                </c:pt>
                <c:pt idx="1919">
                  <c:v>2.9995286757038581E-2</c:v>
                </c:pt>
                <c:pt idx="1920">
                  <c:v>2.987288842544317E-2</c:v>
                </c:pt>
                <c:pt idx="1921">
                  <c:v>3.0209165797705943E-2</c:v>
                </c:pt>
                <c:pt idx="1922">
                  <c:v>3.034760166840459E-2</c:v>
                </c:pt>
                <c:pt idx="1923">
                  <c:v>3.0315505735140767E-2</c:v>
                </c:pt>
                <c:pt idx="1924">
                  <c:v>3.0260229405630869E-2</c:v>
                </c:pt>
                <c:pt idx="1925">
                  <c:v>3.0151991657977061E-2</c:v>
                </c:pt>
                <c:pt idx="1926">
                  <c:v>3.0224098018769553E-2</c:v>
                </c:pt>
                <c:pt idx="1927">
                  <c:v>3.1199885297184569E-2</c:v>
                </c:pt>
                <c:pt idx="1928">
                  <c:v>3.1259301355578729E-2</c:v>
                </c:pt>
                <c:pt idx="1929">
                  <c:v>3.151758081334724E-2</c:v>
                </c:pt>
                <c:pt idx="1930">
                  <c:v>3.1766339937434829E-2</c:v>
                </c:pt>
                <c:pt idx="1931">
                  <c:v>3.1485182481751826E-2</c:v>
                </c:pt>
                <c:pt idx="1932">
                  <c:v>3.1606319082377474E-2</c:v>
                </c:pt>
                <c:pt idx="1933">
                  <c:v>3.1661251303441086E-2</c:v>
                </c:pt>
                <c:pt idx="1934">
                  <c:v>3.2120271115745565E-2</c:v>
                </c:pt>
                <c:pt idx="1935">
                  <c:v>3.3056392075078204E-2</c:v>
                </c:pt>
                <c:pt idx="1936">
                  <c:v>3.2496757038581854E-2</c:v>
                </c:pt>
                <c:pt idx="1937">
                  <c:v>3.1260052137643379E-2</c:v>
                </c:pt>
                <c:pt idx="1938">
                  <c:v>3.0887622523461937E-2</c:v>
                </c:pt>
                <c:pt idx="1939">
                  <c:v>3.0774880083420234E-2</c:v>
                </c:pt>
                <c:pt idx="1940">
                  <c:v>3.1012857142857148E-2</c:v>
                </c:pt>
                <c:pt idx="1941">
                  <c:v>3.1356339937434828E-2</c:v>
                </c:pt>
                <c:pt idx="1942">
                  <c:v>3.1375203336809182E-2</c:v>
                </c:pt>
                <c:pt idx="1943">
                  <c:v>3.1177997914494261E-2</c:v>
                </c:pt>
                <c:pt idx="1944">
                  <c:v>3.1184744525547443E-2</c:v>
                </c:pt>
                <c:pt idx="1945">
                  <c:v>3.1051449426485921E-2</c:v>
                </c:pt>
                <c:pt idx="1946">
                  <c:v>3.1065818561001043E-2</c:v>
                </c:pt>
                <c:pt idx="1947">
                  <c:v>3.0952127215849844E-2</c:v>
                </c:pt>
                <c:pt idx="1948">
                  <c:v>3.0979760166840464E-2</c:v>
                </c:pt>
                <c:pt idx="1949">
                  <c:v>3.0925109489051097E-2</c:v>
                </c:pt>
                <c:pt idx="1950">
                  <c:v>3.1904942648592283E-2</c:v>
                </c:pt>
                <c:pt idx="1951">
                  <c:v>3.2739989572471324E-2</c:v>
                </c:pt>
                <c:pt idx="1952">
                  <c:v>3.2241459854014602E-2</c:v>
                </c:pt>
                <c:pt idx="1953">
                  <c:v>3.2248905109489051E-2</c:v>
                </c:pt>
                <c:pt idx="1954">
                  <c:v>3.2504869655891555E-2</c:v>
                </c:pt>
                <c:pt idx="1955">
                  <c:v>3.2654139728884257E-2</c:v>
                </c:pt>
                <c:pt idx="1956">
                  <c:v>3.2756715328467155E-2</c:v>
                </c:pt>
                <c:pt idx="1957">
                  <c:v>3.2170291970802921E-2</c:v>
                </c:pt>
                <c:pt idx="1958">
                  <c:v>3.1674025026068822E-2</c:v>
                </c:pt>
                <c:pt idx="1959">
                  <c:v>3.1115464025026063E-2</c:v>
                </c:pt>
                <c:pt idx="1960">
                  <c:v>3.0323753910323256E-2</c:v>
                </c:pt>
                <c:pt idx="1961">
                  <c:v>3.0146600625651717E-2</c:v>
                </c:pt>
                <c:pt idx="1962">
                  <c:v>2.9971678832116787E-2</c:v>
                </c:pt>
                <c:pt idx="1963">
                  <c:v>2.9816538060479666E-2</c:v>
                </c:pt>
                <c:pt idx="1964">
                  <c:v>2.9503899895724713E-2</c:v>
                </c:pt>
                <c:pt idx="1965">
                  <c:v>2.9190948905109489E-2</c:v>
                </c:pt>
                <c:pt idx="1966">
                  <c:v>2.9127361835245048E-2</c:v>
                </c:pt>
                <c:pt idx="1967">
                  <c:v>2.7900875912408755E-2</c:v>
                </c:pt>
                <c:pt idx="1968">
                  <c:v>2.7447612095933261E-2</c:v>
                </c:pt>
                <c:pt idx="1969">
                  <c:v>2.6195557872784148E-2</c:v>
                </c:pt>
                <c:pt idx="1970">
                  <c:v>2.6410698644421277E-2</c:v>
                </c:pt>
                <c:pt idx="1971">
                  <c:v>2.6465672575599584E-2</c:v>
                </c:pt>
                <c:pt idx="1972">
                  <c:v>2.6516704900938479E-2</c:v>
                </c:pt>
                <c:pt idx="1973">
                  <c:v>2.71307299270073E-2</c:v>
                </c:pt>
                <c:pt idx="1974">
                  <c:v>2.7167778936392072E-2</c:v>
                </c:pt>
                <c:pt idx="1975">
                  <c:v>2.6604973931178312E-2</c:v>
                </c:pt>
                <c:pt idx="1976">
                  <c:v>2.6189144942648596E-2</c:v>
                </c:pt>
                <c:pt idx="1977">
                  <c:v>2.6164786235662145E-2</c:v>
                </c:pt>
                <c:pt idx="1978">
                  <c:v>2.6200000000000001E-2</c:v>
                </c:pt>
                <c:pt idx="1979">
                  <c:v>2.6584834912431812E-2</c:v>
                </c:pt>
                <c:pt idx="1980">
                  <c:v>2.6549589009599351E-2</c:v>
                </c:pt>
                <c:pt idx="1981">
                  <c:v>2.6834759192128431E-2</c:v>
                </c:pt>
                <c:pt idx="1982">
                  <c:v>2.6879257142857139E-2</c:v>
                </c:pt>
                <c:pt idx="1983">
                  <c:v>2.6813740105159765E-2</c:v>
                </c:pt>
                <c:pt idx="1984">
                  <c:v>2.6758151425762041E-2</c:v>
                </c:pt>
                <c:pt idx="1985">
                  <c:v>2.7098181818181816E-2</c:v>
                </c:pt>
                <c:pt idx="1986">
                  <c:v>2.6414385026737968E-2</c:v>
                </c:pt>
                <c:pt idx="1987">
                  <c:v>2.6124224598930487E-2</c:v>
                </c:pt>
                <c:pt idx="1988">
                  <c:v>2.5999893048128345E-2</c:v>
                </c:pt>
                <c:pt idx="1989">
                  <c:v>2.5546042780748662E-2</c:v>
                </c:pt>
                <c:pt idx="1990">
                  <c:v>2.5511301247771838E-2</c:v>
                </c:pt>
                <c:pt idx="1991">
                  <c:v>2.5667878787878792E-2</c:v>
                </c:pt>
                <c:pt idx="1992">
                  <c:v>2.7455204991087345E-2</c:v>
                </c:pt>
                <c:pt idx="1993">
                  <c:v>2.6937219251336901E-2</c:v>
                </c:pt>
                <c:pt idx="1994">
                  <c:v>2.515176470588236E-2</c:v>
                </c:pt>
                <c:pt idx="1995">
                  <c:v>2.5088146167557931E-2</c:v>
                </c:pt>
                <c:pt idx="1996">
                  <c:v>2.4984705882352944E-2</c:v>
                </c:pt>
                <c:pt idx="1997">
                  <c:v>2.4639625668449197E-2</c:v>
                </c:pt>
                <c:pt idx="1998">
                  <c:v>2.4640320855614975E-2</c:v>
                </c:pt>
                <c:pt idx="1999">
                  <c:v>2.5197361853832444E-2</c:v>
                </c:pt>
                <c:pt idx="2000">
                  <c:v>2.4624117647058821E-2</c:v>
                </c:pt>
                <c:pt idx="2001">
                  <c:v>2.5086648841354725E-2</c:v>
                </c:pt>
                <c:pt idx="2002">
                  <c:v>2.5381515151515151E-2</c:v>
                </c:pt>
                <c:pt idx="2003">
                  <c:v>2.538916221033868E-2</c:v>
                </c:pt>
                <c:pt idx="2004">
                  <c:v>2.588E-2</c:v>
                </c:pt>
                <c:pt idx="2005">
                  <c:v>2.7890000000000002E-2</c:v>
                </c:pt>
                <c:pt idx="2006">
                  <c:v>2.7389999999999998E-2</c:v>
                </c:pt>
                <c:pt idx="2007">
                  <c:v>2.7789999999999999E-2</c:v>
                </c:pt>
                <c:pt idx="2008">
                  <c:v>2.8900000000000002E-2</c:v>
                </c:pt>
                <c:pt idx="2009">
                  <c:v>2.8399999999999998E-2</c:v>
                </c:pt>
                <c:pt idx="2010">
                  <c:v>2.7999999999999997E-2</c:v>
                </c:pt>
                <c:pt idx="2011">
                  <c:v>2.7954385026737971E-2</c:v>
                </c:pt>
                <c:pt idx="2012">
                  <c:v>2.791716577540107E-2</c:v>
                </c:pt>
                <c:pt idx="2013">
                  <c:v>2.8231586452762924E-2</c:v>
                </c:pt>
                <c:pt idx="2014">
                  <c:v>2.8486363636363636E-2</c:v>
                </c:pt>
                <c:pt idx="2015">
                  <c:v>2.8529090909090907E-2</c:v>
                </c:pt>
                <c:pt idx="2016">
                  <c:v>2.7998181818181821E-2</c:v>
                </c:pt>
                <c:pt idx="2017">
                  <c:v>2.7951122994652411E-2</c:v>
                </c:pt>
                <c:pt idx="2018">
                  <c:v>2.7695490196078431E-2</c:v>
                </c:pt>
                <c:pt idx="2019">
                  <c:v>2.7184652406417112E-2</c:v>
                </c:pt>
                <c:pt idx="2020">
                  <c:v>2.6738128342245992E-2</c:v>
                </c:pt>
                <c:pt idx="2021">
                  <c:v>2.6715739750445631E-2</c:v>
                </c:pt>
                <c:pt idx="2022">
                  <c:v>2.6580730837789664E-2</c:v>
                </c:pt>
                <c:pt idx="2023">
                  <c:v>2.6459875222816402E-2</c:v>
                </c:pt>
                <c:pt idx="2024">
                  <c:v>2.6145026737967914E-2</c:v>
                </c:pt>
                <c:pt idx="2025">
                  <c:v>2.5997825311942956E-2</c:v>
                </c:pt>
                <c:pt idx="2026">
                  <c:v>2.5945632798573971E-2</c:v>
                </c:pt>
                <c:pt idx="2027">
                  <c:v>2.583727272727273E-2</c:v>
                </c:pt>
                <c:pt idx="2028">
                  <c:v>2.5377967914438502E-2</c:v>
                </c:pt>
                <c:pt idx="2029">
                  <c:v>2.5732049910873443E-2</c:v>
                </c:pt>
                <c:pt idx="2030">
                  <c:v>2.523691622103387E-2</c:v>
                </c:pt>
                <c:pt idx="2031">
                  <c:v>2.48279679144385E-2</c:v>
                </c:pt>
                <c:pt idx="2032">
                  <c:v>2.3736684491978612E-2</c:v>
                </c:pt>
                <c:pt idx="2033">
                  <c:v>2.3260623885918003E-2</c:v>
                </c:pt>
                <c:pt idx="2034">
                  <c:v>2.3397254901960783E-2</c:v>
                </c:pt>
                <c:pt idx="2035">
                  <c:v>2.2671122994652411E-2</c:v>
                </c:pt>
                <c:pt idx="2036">
                  <c:v>2.1641354723707665E-2</c:v>
                </c:pt>
                <c:pt idx="2037">
                  <c:v>2.090379679144385E-2</c:v>
                </c:pt>
                <c:pt idx="2038">
                  <c:v>2.0951461675579323E-2</c:v>
                </c:pt>
                <c:pt idx="2039">
                  <c:v>2.1059465240641711E-2</c:v>
                </c:pt>
                <c:pt idx="2040">
                  <c:v>2.1156969696969695E-2</c:v>
                </c:pt>
                <c:pt idx="2041">
                  <c:v>2.0962798573975046E-2</c:v>
                </c:pt>
                <c:pt idx="2042">
                  <c:v>2.1037771836007128E-2</c:v>
                </c:pt>
                <c:pt idx="2043">
                  <c:v>2.1214438502673794E-2</c:v>
                </c:pt>
                <c:pt idx="2044">
                  <c:v>2.1843065953654192E-2</c:v>
                </c:pt>
                <c:pt idx="2045">
                  <c:v>2.2715187165775405E-2</c:v>
                </c:pt>
                <c:pt idx="2046">
                  <c:v>2.3061764705882351E-2</c:v>
                </c:pt>
                <c:pt idx="2047">
                  <c:v>2.3308288770053479E-2</c:v>
                </c:pt>
                <c:pt idx="2048">
                  <c:v>2.4199126559714793E-2</c:v>
                </c:pt>
                <c:pt idx="2049">
                  <c:v>2.2793654188948308E-2</c:v>
                </c:pt>
                <c:pt idx="2050">
                  <c:v>2.1909411764705879E-2</c:v>
                </c:pt>
                <c:pt idx="2051">
                  <c:v>2.152650623885918E-2</c:v>
                </c:pt>
                <c:pt idx="2052">
                  <c:v>2.1645757575757579E-2</c:v>
                </c:pt>
                <c:pt idx="2053">
                  <c:v>2.2037397504456328E-2</c:v>
                </c:pt>
                <c:pt idx="2054">
                  <c:v>2.2493048128342245E-2</c:v>
                </c:pt>
                <c:pt idx="2055">
                  <c:v>2.2496791443850264E-2</c:v>
                </c:pt>
                <c:pt idx="2056">
                  <c:v>2.2500534759358287E-2</c:v>
                </c:pt>
                <c:pt idx="2057">
                  <c:v>2.2017647058823527E-2</c:v>
                </c:pt>
                <c:pt idx="2058">
                  <c:v>2.2019679144385025E-2</c:v>
                </c:pt>
                <c:pt idx="2059">
                  <c:v>2.2485508021390373E-2</c:v>
                </c:pt>
                <c:pt idx="2060">
                  <c:v>2.2489251336898396E-2</c:v>
                </c:pt>
                <c:pt idx="2061">
                  <c:v>2.1302852049910871E-2</c:v>
                </c:pt>
                <c:pt idx="2062">
                  <c:v>2.03721568627451E-2</c:v>
                </c:pt>
                <c:pt idx="2063">
                  <c:v>2.0341283422459892E-2</c:v>
                </c:pt>
                <c:pt idx="2064">
                  <c:v>2.063385026737968E-2</c:v>
                </c:pt>
                <c:pt idx="2065">
                  <c:v>2.0713333333333334E-2</c:v>
                </c:pt>
                <c:pt idx="2066">
                  <c:v>2.0848449197860962E-2</c:v>
                </c:pt>
                <c:pt idx="2067">
                  <c:v>2.0811657754010695E-2</c:v>
                </c:pt>
                <c:pt idx="2068">
                  <c:v>2.042090909090909E-2</c:v>
                </c:pt>
                <c:pt idx="2069">
                  <c:v>1.9442370766488411E-2</c:v>
                </c:pt>
                <c:pt idx="2070">
                  <c:v>1.9399625668449196E-2</c:v>
                </c:pt>
                <c:pt idx="2071">
                  <c:v>1.8716720142602495E-2</c:v>
                </c:pt>
                <c:pt idx="2072">
                  <c:v>1.860187165775401E-2</c:v>
                </c:pt>
                <c:pt idx="2073">
                  <c:v>1.8457379679144386E-2</c:v>
                </c:pt>
                <c:pt idx="2074">
                  <c:v>1.8581176470588236E-2</c:v>
                </c:pt>
                <c:pt idx="2075">
                  <c:v>1.7135490196078431E-2</c:v>
                </c:pt>
                <c:pt idx="2076">
                  <c:v>1.4802014260249553E-2</c:v>
                </c:pt>
                <c:pt idx="2077">
                  <c:v>1.4514456327985741E-2</c:v>
                </c:pt>
                <c:pt idx="2078">
                  <c:v>1.485754010695187E-2</c:v>
                </c:pt>
                <c:pt idx="2079">
                  <c:v>1.5361212121212123E-2</c:v>
                </c:pt>
                <c:pt idx="2080">
                  <c:v>1.5374260249554367E-2</c:v>
                </c:pt>
                <c:pt idx="2081">
                  <c:v>1.5284866310160428E-2</c:v>
                </c:pt>
                <c:pt idx="2082">
                  <c:v>1.5311568627450979E-2</c:v>
                </c:pt>
                <c:pt idx="2083">
                  <c:v>1.5204598930481284E-2</c:v>
                </c:pt>
                <c:pt idx="2084">
                  <c:v>1.5095918003565063E-2</c:v>
                </c:pt>
                <c:pt idx="2085">
                  <c:v>1.5154064171122994E-2</c:v>
                </c:pt>
                <c:pt idx="2086">
                  <c:v>1.4832406417112301E-2</c:v>
                </c:pt>
                <c:pt idx="2087">
                  <c:v>1.5123368983957219E-2</c:v>
                </c:pt>
                <c:pt idx="2088">
                  <c:v>1.5549875222816398E-2</c:v>
                </c:pt>
                <c:pt idx="2089">
                  <c:v>1.5540213903743317E-2</c:v>
                </c:pt>
                <c:pt idx="2090">
                  <c:v>1.541818181818182E-2</c:v>
                </c:pt>
                <c:pt idx="2091">
                  <c:v>1.5401764705882351E-2</c:v>
                </c:pt>
                <c:pt idx="2092">
                  <c:v>1.543650623885918E-2</c:v>
                </c:pt>
                <c:pt idx="2093">
                  <c:v>1.570017825311943E-2</c:v>
                </c:pt>
                <c:pt idx="2094">
                  <c:v>1.5825187165775401E-2</c:v>
                </c:pt>
                <c:pt idx="2095">
                  <c:v>1.542878787878788E-2</c:v>
                </c:pt>
                <c:pt idx="2096">
                  <c:v>1.5254420677361855E-2</c:v>
                </c:pt>
                <c:pt idx="2097">
                  <c:v>1.4816987522281642E-2</c:v>
                </c:pt>
                <c:pt idx="2098">
                  <c:v>1.4311764705882352E-2</c:v>
                </c:pt>
                <c:pt idx="2099">
                  <c:v>1.3177611408199643E-2</c:v>
                </c:pt>
                <c:pt idx="2100">
                  <c:v>1.2719786096256685E-2</c:v>
                </c:pt>
                <c:pt idx="2101">
                  <c:v>1.2458877005347596E-2</c:v>
                </c:pt>
                <c:pt idx="2102">
                  <c:v>1.133235294117647E-2</c:v>
                </c:pt>
                <c:pt idx="2103">
                  <c:v>1.1318235294117646E-2</c:v>
                </c:pt>
                <c:pt idx="2104">
                  <c:v>1.1382602495543672E-2</c:v>
                </c:pt>
                <c:pt idx="2105">
                  <c:v>1.0632352941176471E-2</c:v>
                </c:pt>
                <c:pt idx="2106">
                  <c:v>9.8142245989304815E-3</c:v>
                </c:pt>
                <c:pt idx="2107">
                  <c:v>9.5490374331550793E-3</c:v>
                </c:pt>
                <c:pt idx="2108">
                  <c:v>9.2975222816399292E-3</c:v>
                </c:pt>
                <c:pt idx="2109">
                  <c:v>9.0028877005347615E-3</c:v>
                </c:pt>
                <c:pt idx="2110">
                  <c:v>8.4386631016042778E-3</c:v>
                </c:pt>
                <c:pt idx="2111">
                  <c:v>8.5152584670231731E-3</c:v>
                </c:pt>
                <c:pt idx="2112">
                  <c:v>8.526666666666665E-3</c:v>
                </c:pt>
                <c:pt idx="2113">
                  <c:v>9.3820855614973261E-3</c:v>
                </c:pt>
                <c:pt idx="2114">
                  <c:v>1.0091016042780749E-2</c:v>
                </c:pt>
                <c:pt idx="2115">
                  <c:v>1.0958502673796793E-2</c:v>
                </c:pt>
                <c:pt idx="2116">
                  <c:v>1.1176648841354725E-2</c:v>
                </c:pt>
                <c:pt idx="2117">
                  <c:v>1.116114081996435E-2</c:v>
                </c:pt>
                <c:pt idx="2118">
                  <c:v>1.1381871657754011E-2</c:v>
                </c:pt>
                <c:pt idx="2119">
                  <c:v>1.1511176470588236E-2</c:v>
                </c:pt>
                <c:pt idx="2120">
                  <c:v>1.2322994652406417E-2</c:v>
                </c:pt>
                <c:pt idx="2121">
                  <c:v>1.1941764705882353E-2</c:v>
                </c:pt>
                <c:pt idx="2122">
                  <c:v>1.189994652406417E-2</c:v>
                </c:pt>
                <c:pt idx="2123">
                  <c:v>1.18E-2</c:v>
                </c:pt>
                <c:pt idx="2124">
                  <c:v>1.0783297682709447E-2</c:v>
                </c:pt>
                <c:pt idx="2125">
                  <c:v>1.0994028520499109E-2</c:v>
                </c:pt>
                <c:pt idx="2126">
                  <c:v>1.0996363636363637E-2</c:v>
                </c:pt>
                <c:pt idx="2127">
                  <c:v>1.1003368983957221E-2</c:v>
                </c:pt>
                <c:pt idx="2128">
                  <c:v>1.0931550802139039E-2</c:v>
                </c:pt>
                <c:pt idx="2129">
                  <c:v>1.0590980392156861E-2</c:v>
                </c:pt>
                <c:pt idx="2130">
                  <c:v>1.0682994652406417E-2</c:v>
                </c:pt>
                <c:pt idx="2131">
                  <c:v>1.0556292335115864E-2</c:v>
                </c:pt>
                <c:pt idx="2132">
                  <c:v>1.0596310160427809E-2</c:v>
                </c:pt>
                <c:pt idx="2133">
                  <c:v>1.0676238859180035E-2</c:v>
                </c:pt>
                <c:pt idx="2134">
                  <c:v>1.0891229946524063E-2</c:v>
                </c:pt>
                <c:pt idx="2135">
                  <c:v>1.0960303030303032E-2</c:v>
                </c:pt>
                <c:pt idx="2136">
                  <c:v>1.1356880570409981E-2</c:v>
                </c:pt>
                <c:pt idx="2137">
                  <c:v>1.1410909090909091E-2</c:v>
                </c:pt>
                <c:pt idx="2138">
                  <c:v>1.1591122994652408E-2</c:v>
                </c:pt>
                <c:pt idx="2139">
                  <c:v>1.1733030303030302E-2</c:v>
                </c:pt>
                <c:pt idx="2140">
                  <c:v>1.1881087344028519E-2</c:v>
                </c:pt>
                <c:pt idx="2141">
                  <c:v>1.2021336898395723E-2</c:v>
                </c:pt>
                <c:pt idx="2142">
                  <c:v>1.2036791443850265E-2</c:v>
                </c:pt>
                <c:pt idx="2143">
                  <c:v>1.1824135472370765E-2</c:v>
                </c:pt>
                <c:pt idx="2144">
                  <c:v>1.2648573975044564E-2</c:v>
                </c:pt>
                <c:pt idx="2145">
                  <c:v>1.2543529411764707E-2</c:v>
                </c:pt>
                <c:pt idx="2146">
                  <c:v>1.2904670231729056E-2</c:v>
                </c:pt>
                <c:pt idx="2147">
                  <c:v>1.3094830659536543E-2</c:v>
                </c:pt>
                <c:pt idx="2148">
                  <c:v>1.3186327985739751E-2</c:v>
                </c:pt>
                <c:pt idx="2149">
                  <c:v>1.5390320855614974E-2</c:v>
                </c:pt>
                <c:pt idx="2150">
                  <c:v>1.7009696969696966E-2</c:v>
                </c:pt>
                <c:pt idx="2151">
                  <c:v>1.6207860962566843E-2</c:v>
                </c:pt>
                <c:pt idx="2152">
                  <c:v>1.6561176470588235E-2</c:v>
                </c:pt>
                <c:pt idx="2153">
                  <c:v>1.7513155080213904E-2</c:v>
                </c:pt>
                <c:pt idx="2154">
                  <c:v>1.710233511586453E-2</c:v>
                </c:pt>
                <c:pt idx="2155">
                  <c:v>1.7103493761140821E-2</c:v>
                </c:pt>
                <c:pt idx="2156">
                  <c:v>1.6721657754010695E-2</c:v>
                </c:pt>
                <c:pt idx="2157">
                  <c:v>1.7212673796791443E-2</c:v>
                </c:pt>
                <c:pt idx="2158">
                  <c:v>1.6383778966131909E-2</c:v>
                </c:pt>
                <c:pt idx="2159">
                  <c:v>1.7121639928698754E-2</c:v>
                </c:pt>
                <c:pt idx="2160">
                  <c:v>1.7533796791443849E-2</c:v>
                </c:pt>
                <c:pt idx="2161">
                  <c:v>1.7569411764705879E-2</c:v>
                </c:pt>
                <c:pt idx="2162">
                  <c:v>1.7654295900178252E-2</c:v>
                </c:pt>
                <c:pt idx="2163">
                  <c:v>1.8215882352941179E-2</c:v>
                </c:pt>
                <c:pt idx="2164">
                  <c:v>1.8167219251336898E-2</c:v>
                </c:pt>
                <c:pt idx="2165">
                  <c:v>1.8035614973262032E-2</c:v>
                </c:pt>
                <c:pt idx="2166">
                  <c:v>1.8365187165775402E-2</c:v>
                </c:pt>
                <c:pt idx="2167">
                  <c:v>1.8699875222816398E-2</c:v>
                </c:pt>
                <c:pt idx="2168">
                  <c:v>2.0416381461675581E-2</c:v>
                </c:pt>
                <c:pt idx="2169">
                  <c:v>2.029294117647059E-2</c:v>
                </c:pt>
                <c:pt idx="2170">
                  <c:v>2.1050926916221034E-2</c:v>
                </c:pt>
                <c:pt idx="2171">
                  <c:v>2.1586417112299462E-2</c:v>
                </c:pt>
                <c:pt idx="2172">
                  <c:v>2.2377522281639931E-2</c:v>
                </c:pt>
                <c:pt idx="2173">
                  <c:v>2.3293208556149733E-2</c:v>
                </c:pt>
                <c:pt idx="2174">
                  <c:v>2.3936987522281638E-2</c:v>
                </c:pt>
                <c:pt idx="2175">
                  <c:v>2.3471818181818184E-2</c:v>
                </c:pt>
                <c:pt idx="2176">
                  <c:v>2.3767647058823525E-2</c:v>
                </c:pt>
                <c:pt idx="2177">
                  <c:v>2.591010695187166E-2</c:v>
                </c:pt>
                <c:pt idx="2178">
                  <c:v>2.7080338680926914E-2</c:v>
                </c:pt>
                <c:pt idx="2179">
                  <c:v>2.6798502673796794E-2</c:v>
                </c:pt>
                <c:pt idx="2180">
                  <c:v>2.5668716577540107E-2</c:v>
                </c:pt>
                <c:pt idx="2181">
                  <c:v>2.4908039215686278E-2</c:v>
                </c:pt>
                <c:pt idx="2182">
                  <c:v>2.2955026737967916E-2</c:v>
                </c:pt>
                <c:pt idx="2183">
                  <c:v>2.2685472370766489E-2</c:v>
                </c:pt>
                <c:pt idx="2184">
                  <c:v>2.2698930481283422E-2</c:v>
                </c:pt>
                <c:pt idx="2185">
                  <c:v>2.2955882352941173E-2</c:v>
                </c:pt>
                <c:pt idx="2186">
                  <c:v>2.2624099821746881E-2</c:v>
                </c:pt>
                <c:pt idx="2187">
                  <c:v>2.52396256684492E-2</c:v>
                </c:pt>
                <c:pt idx="2188">
                  <c:v>2.4233743315508025E-2</c:v>
                </c:pt>
                <c:pt idx="2189">
                  <c:v>2.3667843137254906E-2</c:v>
                </c:pt>
                <c:pt idx="2190">
                  <c:v>2.4096666666666669E-2</c:v>
                </c:pt>
                <c:pt idx="2191">
                  <c:v>2.3834331550802137E-2</c:v>
                </c:pt>
                <c:pt idx="2192">
                  <c:v>2.4267647058823529E-2</c:v>
                </c:pt>
                <c:pt idx="2193">
                  <c:v>2.3820499108734402E-2</c:v>
                </c:pt>
                <c:pt idx="2194">
                  <c:v>2.3200570409982177E-2</c:v>
                </c:pt>
                <c:pt idx="2195">
                  <c:v>2.2444385026737967E-2</c:v>
                </c:pt>
                <c:pt idx="2196">
                  <c:v>2.1996007130124777E-2</c:v>
                </c:pt>
                <c:pt idx="2197">
                  <c:v>2.15621568627451E-2</c:v>
                </c:pt>
                <c:pt idx="2198">
                  <c:v>2.1825597147950088E-2</c:v>
                </c:pt>
                <c:pt idx="2199">
                  <c:v>2.1458181818181817E-2</c:v>
                </c:pt>
                <c:pt idx="2200">
                  <c:v>2.0890926916221034E-2</c:v>
                </c:pt>
                <c:pt idx="2201">
                  <c:v>2.0367647058823532E-2</c:v>
                </c:pt>
                <c:pt idx="2202">
                  <c:v>2.0770802139037432E-2</c:v>
                </c:pt>
                <c:pt idx="2203">
                  <c:v>2.1162406417112301E-2</c:v>
                </c:pt>
                <c:pt idx="2204">
                  <c:v>2.0825864527629231E-2</c:v>
                </c:pt>
                <c:pt idx="2205">
                  <c:v>2.0750998217468807E-2</c:v>
                </c:pt>
                <c:pt idx="2206">
                  <c:v>2.0606684491978607E-2</c:v>
                </c:pt>
                <c:pt idx="2207">
                  <c:v>2.0797058823529412E-2</c:v>
                </c:pt>
                <c:pt idx="2208">
                  <c:v>2.1360000000000001E-2</c:v>
                </c:pt>
                <c:pt idx="2209">
                  <c:v>2.128214876033058E-2</c:v>
                </c:pt>
                <c:pt idx="2210">
                  <c:v>2.1243884297520662E-2</c:v>
                </c:pt>
                <c:pt idx="2211">
                  <c:v>2.1105206611570247E-2</c:v>
                </c:pt>
                <c:pt idx="2212">
                  <c:v>2.0884669421487607E-2</c:v>
                </c:pt>
                <c:pt idx="2213">
                  <c:v>2.0676115702479337E-2</c:v>
                </c:pt>
                <c:pt idx="2214">
                  <c:v>2.1109669421487603E-2</c:v>
                </c:pt>
                <c:pt idx="2215">
                  <c:v>2.095479338842975E-2</c:v>
                </c:pt>
                <c:pt idx="2216">
                  <c:v>2.0963429752066113E-2</c:v>
                </c:pt>
                <c:pt idx="2217">
                  <c:v>2.0947190082644628E-2</c:v>
                </c:pt>
                <c:pt idx="2218">
                  <c:v>2.0353512396694216E-2</c:v>
                </c:pt>
                <c:pt idx="2219">
                  <c:v>2.023876033057851E-2</c:v>
                </c:pt>
                <c:pt idx="2220">
                  <c:v>2.0062066115702479E-2</c:v>
                </c:pt>
                <c:pt idx="2221">
                  <c:v>1.9610826446280993E-2</c:v>
                </c:pt>
                <c:pt idx="2222">
                  <c:v>1.8875950413223139E-2</c:v>
                </c:pt>
                <c:pt idx="2223">
                  <c:v>1.8899421487603305E-2</c:v>
                </c:pt>
                <c:pt idx="2224">
                  <c:v>1.8849834710743803E-2</c:v>
                </c:pt>
                <c:pt idx="2225">
                  <c:v>1.8925454545454544E-2</c:v>
                </c:pt>
                <c:pt idx="2226">
                  <c:v>1.8957892561983471E-2</c:v>
                </c:pt>
                <c:pt idx="2227">
                  <c:v>1.9670991735537189E-2</c:v>
                </c:pt>
                <c:pt idx="2228">
                  <c:v>2.03149173553719E-2</c:v>
                </c:pt>
                <c:pt idx="2229">
                  <c:v>2.0492975206611572E-2</c:v>
                </c:pt>
                <c:pt idx="2230">
                  <c:v>2.0317066115702481E-2</c:v>
                </c:pt>
                <c:pt idx="2231">
                  <c:v>1.9957685950413223E-2</c:v>
                </c:pt>
                <c:pt idx="2232">
                  <c:v>2.028595041322314E-2</c:v>
                </c:pt>
                <c:pt idx="2233">
                  <c:v>2.0329090909090904E-2</c:v>
                </c:pt>
                <c:pt idx="2234">
                  <c:v>2.0519586776859503E-2</c:v>
                </c:pt>
                <c:pt idx="2235">
                  <c:v>2.01999173553719E-2</c:v>
                </c:pt>
                <c:pt idx="2236">
                  <c:v>1.9654297520661158E-2</c:v>
                </c:pt>
                <c:pt idx="2237">
                  <c:v>1.9534710743801652E-2</c:v>
                </c:pt>
                <c:pt idx="2238">
                  <c:v>1.9352066115702476E-2</c:v>
                </c:pt>
                <c:pt idx="2239">
                  <c:v>1.9172314049586778E-2</c:v>
                </c:pt>
                <c:pt idx="2240">
                  <c:v>1.9296198347107441E-2</c:v>
                </c:pt>
                <c:pt idx="2241">
                  <c:v>1.9345909090909091E-2</c:v>
                </c:pt>
                <c:pt idx="2242">
                  <c:v>1.933818181818182E-2</c:v>
                </c:pt>
                <c:pt idx="2243">
                  <c:v>1.9452851239669423E-2</c:v>
                </c:pt>
                <c:pt idx="2244">
                  <c:v>1.9552479338842976E-2</c:v>
                </c:pt>
                <c:pt idx="2245">
                  <c:v>1.9304380165289257E-2</c:v>
                </c:pt>
                <c:pt idx="2246">
                  <c:v>1.8307685950413224E-2</c:v>
                </c:pt>
                <c:pt idx="2247">
                  <c:v>1.8228347107438016E-2</c:v>
                </c:pt>
                <c:pt idx="2248">
                  <c:v>1.8036280991735539E-2</c:v>
                </c:pt>
                <c:pt idx="2249">
                  <c:v>1.8007727272727272E-2</c:v>
                </c:pt>
                <c:pt idx="2250">
                  <c:v>1.8135206611570247E-2</c:v>
                </c:pt>
                <c:pt idx="2251">
                  <c:v>1.8421404958677685E-2</c:v>
                </c:pt>
                <c:pt idx="2252">
                  <c:v>1.8380330578512395E-2</c:v>
                </c:pt>
                <c:pt idx="2253">
                  <c:v>1.8497024793388429E-2</c:v>
                </c:pt>
                <c:pt idx="2254">
                  <c:v>1.8473636363636366E-2</c:v>
                </c:pt>
                <c:pt idx="2255">
                  <c:v>1.8078016528925621E-2</c:v>
                </c:pt>
                <c:pt idx="2256">
                  <c:v>1.785710743801653E-2</c:v>
                </c:pt>
                <c:pt idx="2257">
                  <c:v>1.7774545454545453E-2</c:v>
                </c:pt>
                <c:pt idx="2258">
                  <c:v>1.783504132231405E-2</c:v>
                </c:pt>
                <c:pt idx="2259">
                  <c:v>1.7833677685950414E-2</c:v>
                </c:pt>
                <c:pt idx="2260">
                  <c:v>1.7610000000000001E-2</c:v>
                </c:pt>
                <c:pt idx="2261">
                  <c:v>1.7630454545454546E-2</c:v>
                </c:pt>
                <c:pt idx="2262">
                  <c:v>1.76896694214876E-2</c:v>
                </c:pt>
                <c:pt idx="2263">
                  <c:v>1.7485413223140497E-2</c:v>
                </c:pt>
                <c:pt idx="2264">
                  <c:v>1.7468016528925618E-2</c:v>
                </c:pt>
                <c:pt idx="2265">
                  <c:v>1.752181818181818E-2</c:v>
                </c:pt>
                <c:pt idx="2266">
                  <c:v>1.7399752066115701E-2</c:v>
                </c:pt>
                <c:pt idx="2267">
                  <c:v>1.7014628099173552E-2</c:v>
                </c:pt>
                <c:pt idx="2268">
                  <c:v>1.7391735537190083E-2</c:v>
                </c:pt>
                <c:pt idx="2269">
                  <c:v>1.7292685950413226E-2</c:v>
                </c:pt>
                <c:pt idx="2270">
                  <c:v>1.6485702479338841E-2</c:v>
                </c:pt>
                <c:pt idx="2271">
                  <c:v>1.6305289256198344E-2</c:v>
                </c:pt>
                <c:pt idx="2272">
                  <c:v>1.6415454545454546E-2</c:v>
                </c:pt>
                <c:pt idx="2273">
                  <c:v>1.617396694214876E-2</c:v>
                </c:pt>
                <c:pt idx="2274">
                  <c:v>1.5329090909090909E-2</c:v>
                </c:pt>
                <c:pt idx="2275">
                  <c:v>1.6027231404958677E-2</c:v>
                </c:pt>
                <c:pt idx="2276">
                  <c:v>1.6143140495867771E-2</c:v>
                </c:pt>
                <c:pt idx="2277">
                  <c:v>1.6289090909090909E-2</c:v>
                </c:pt>
                <c:pt idx="2278">
                  <c:v>1.6195826446280991E-2</c:v>
                </c:pt>
                <c:pt idx="2279">
                  <c:v>1.6151322314049588E-2</c:v>
                </c:pt>
                <c:pt idx="2280">
                  <c:v>1.6340661157024792E-2</c:v>
                </c:pt>
                <c:pt idx="2281">
                  <c:v>1.7126115702479339E-2</c:v>
                </c:pt>
                <c:pt idx="2282">
                  <c:v>1.771223140495868E-2</c:v>
                </c:pt>
                <c:pt idx="2283">
                  <c:v>1.7114628099173551E-2</c:v>
                </c:pt>
                <c:pt idx="2284">
                  <c:v>1.6562644628099175E-2</c:v>
                </c:pt>
                <c:pt idx="2285">
                  <c:v>1.646115702479339E-2</c:v>
                </c:pt>
                <c:pt idx="2286">
                  <c:v>1.6325206611570248E-2</c:v>
                </c:pt>
                <c:pt idx="2287">
                  <c:v>1.6099504132231407E-2</c:v>
                </c:pt>
                <c:pt idx="2288">
                  <c:v>1.6217438016528925E-2</c:v>
                </c:pt>
                <c:pt idx="2289">
                  <c:v>1.5952727272727275E-2</c:v>
                </c:pt>
                <c:pt idx="2290">
                  <c:v>1.575785123966942E-2</c:v>
                </c:pt>
                <c:pt idx="2291">
                  <c:v>1.5605206611570248E-2</c:v>
                </c:pt>
                <c:pt idx="2292">
                  <c:v>1.5717685950413222E-2</c:v>
                </c:pt>
                <c:pt idx="2293">
                  <c:v>1.5382892561983472E-2</c:v>
                </c:pt>
                <c:pt idx="2294">
                  <c:v>1.4847314049586778E-2</c:v>
                </c:pt>
                <c:pt idx="2295">
                  <c:v>1.4756363636363637E-2</c:v>
                </c:pt>
                <c:pt idx="2296">
                  <c:v>1.4574669421487602E-2</c:v>
                </c:pt>
                <c:pt idx="2297">
                  <c:v>1.4514380165289255E-2</c:v>
                </c:pt>
                <c:pt idx="2298">
                  <c:v>1.464809917355372E-2</c:v>
                </c:pt>
                <c:pt idx="2299">
                  <c:v>1.4435123966942149E-2</c:v>
                </c:pt>
                <c:pt idx="2300">
                  <c:v>1.5351900826446281E-2</c:v>
                </c:pt>
                <c:pt idx="2301">
                  <c:v>1.5945702479338842E-2</c:v>
                </c:pt>
                <c:pt idx="2302">
                  <c:v>1.5481157024793388E-2</c:v>
                </c:pt>
                <c:pt idx="2303">
                  <c:v>1.5459917355371899E-2</c:v>
                </c:pt>
                <c:pt idx="2304">
                  <c:v>1.5479752066115703E-2</c:v>
                </c:pt>
                <c:pt idx="2305">
                  <c:v>1.516909090909091E-2</c:v>
                </c:pt>
                <c:pt idx="2306">
                  <c:v>1.5345165289256198E-2</c:v>
                </c:pt>
                <c:pt idx="2307">
                  <c:v>1.5664628099173555E-2</c:v>
                </c:pt>
                <c:pt idx="2308">
                  <c:v>1.6226074380165288E-2</c:v>
                </c:pt>
                <c:pt idx="2309">
                  <c:v>1.6600495867768593E-2</c:v>
                </c:pt>
                <c:pt idx="2310">
                  <c:v>1.6122272727272728E-2</c:v>
                </c:pt>
                <c:pt idx="2311">
                  <c:v>1.6097024793388429E-2</c:v>
                </c:pt>
                <c:pt idx="2312">
                  <c:v>1.6408636363636361E-2</c:v>
                </c:pt>
                <c:pt idx="2313">
                  <c:v>1.6344628099173551E-2</c:v>
                </c:pt>
                <c:pt idx="2314">
                  <c:v>1.6589380165289255E-2</c:v>
                </c:pt>
                <c:pt idx="2315">
                  <c:v>1.6695041322314048E-2</c:v>
                </c:pt>
                <c:pt idx="2316">
                  <c:v>1.6698842975206612E-2</c:v>
                </c:pt>
                <c:pt idx="2317">
                  <c:v>1.9383140495867764E-2</c:v>
                </c:pt>
                <c:pt idx="2318">
                  <c:v>1.6482933884297519E-2</c:v>
                </c:pt>
                <c:pt idx="2319">
                  <c:v>1.6550661157024794E-2</c:v>
                </c:pt>
                <c:pt idx="2320">
                  <c:v>1.6550661157024794E-2</c:v>
                </c:pt>
                <c:pt idx="2321">
                  <c:v>1.6554876033057851E-2</c:v>
                </c:pt>
                <c:pt idx="2322">
                  <c:v>1.6119256198347108E-2</c:v>
                </c:pt>
                <c:pt idx="2323">
                  <c:v>1.5773595041322315E-2</c:v>
                </c:pt>
                <c:pt idx="2324">
                  <c:v>1.5432561983471076E-2</c:v>
                </c:pt>
                <c:pt idx="2325">
                  <c:v>1.5621652892561984E-2</c:v>
                </c:pt>
                <c:pt idx="2326">
                  <c:v>1.5570413223140496E-2</c:v>
                </c:pt>
                <c:pt idx="2327">
                  <c:v>1.597413223140496E-2</c:v>
                </c:pt>
                <c:pt idx="2328">
                  <c:v>1.6300495867768595E-2</c:v>
                </c:pt>
                <c:pt idx="2329">
                  <c:v>1.5946363636363637E-2</c:v>
                </c:pt>
                <c:pt idx="2330">
                  <c:v>1.6018677685950413E-2</c:v>
                </c:pt>
                <c:pt idx="2331">
                  <c:v>1.6074338842975204E-2</c:v>
                </c:pt>
                <c:pt idx="2332">
                  <c:v>1.6242314049586776E-2</c:v>
                </c:pt>
                <c:pt idx="2333">
                  <c:v>1.6485041322314049E-2</c:v>
                </c:pt>
                <c:pt idx="2334">
                  <c:v>1.7090413223140498E-2</c:v>
                </c:pt>
                <c:pt idx="2335">
                  <c:v>1.6590413223140497E-2</c:v>
                </c:pt>
                <c:pt idx="2336">
                  <c:v>1.6256363636363635E-2</c:v>
                </c:pt>
                <c:pt idx="2337">
                  <c:v>1.6543471074380166E-2</c:v>
                </c:pt>
                <c:pt idx="2338">
                  <c:v>1.6214297520661156E-2</c:v>
                </c:pt>
                <c:pt idx="2339">
                  <c:v>1.6175578512396694E-2</c:v>
                </c:pt>
                <c:pt idx="2340">
                  <c:v>1.5931404958677686E-2</c:v>
                </c:pt>
                <c:pt idx="2341">
                  <c:v>1.5435991735537192E-2</c:v>
                </c:pt>
                <c:pt idx="2342">
                  <c:v>1.5493719008264462E-2</c:v>
                </c:pt>
                <c:pt idx="2343">
                  <c:v>1.5432231404958679E-2</c:v>
                </c:pt>
                <c:pt idx="2344">
                  <c:v>1.5274545454545456E-2</c:v>
                </c:pt>
                <c:pt idx="2345">
                  <c:v>1.5564958677685951E-2</c:v>
                </c:pt>
                <c:pt idx="2346">
                  <c:v>1.5769545454545453E-2</c:v>
                </c:pt>
                <c:pt idx="2347">
                  <c:v>1.6747355371900828E-2</c:v>
                </c:pt>
                <c:pt idx="2348">
                  <c:v>1.7000000000000001E-2</c:v>
                </c:pt>
                <c:pt idx="2349">
                  <c:v>1.6399999999999998E-2</c:v>
                </c:pt>
                <c:pt idx="2350">
                  <c:v>1.6899999999999998E-2</c:v>
                </c:pt>
                <c:pt idx="2351">
                  <c:v>1.67E-2</c:v>
                </c:pt>
                <c:pt idx="2352">
                  <c:v>1.6399999999999998E-2</c:v>
                </c:pt>
                <c:pt idx="2353">
                  <c:v>1.6500000000000001E-2</c:v>
                </c:pt>
                <c:pt idx="2354">
                  <c:v>1.6500000000000001E-2</c:v>
                </c:pt>
                <c:pt idx="2355">
                  <c:v>1.6500000000000001E-2</c:v>
                </c:pt>
                <c:pt idx="2356">
                  <c:v>1.6200000000000003E-2</c:v>
                </c:pt>
                <c:pt idx="2357">
                  <c:v>1.6200000000000003E-2</c:v>
                </c:pt>
                <c:pt idx="2358">
                  <c:v>1.5900000000000001E-2</c:v>
                </c:pt>
                <c:pt idx="2359">
                  <c:v>1.5896115702479337E-2</c:v>
                </c:pt>
                <c:pt idx="2360">
                  <c:v>1.6498140495867772E-2</c:v>
                </c:pt>
                <c:pt idx="2361">
                  <c:v>1.6398760330578511E-2</c:v>
                </c:pt>
                <c:pt idx="2362">
                  <c:v>1.6046280991735537E-2</c:v>
                </c:pt>
                <c:pt idx="2363">
                  <c:v>1.5503388429752065E-2</c:v>
                </c:pt>
                <c:pt idx="2364">
                  <c:v>1.5584628099173554E-2</c:v>
                </c:pt>
                <c:pt idx="2365">
                  <c:v>1.5300206611570248E-2</c:v>
                </c:pt>
                <c:pt idx="2366">
                  <c:v>1.5043636363636363E-2</c:v>
                </c:pt>
                <c:pt idx="2367">
                  <c:v>1.5009297520661156E-2</c:v>
                </c:pt>
                <c:pt idx="2368">
                  <c:v>1.4732396694214875E-2</c:v>
                </c:pt>
                <c:pt idx="2369">
                  <c:v>1.4274628099173554E-2</c:v>
                </c:pt>
                <c:pt idx="2370">
                  <c:v>1.4199999999999999E-2</c:v>
                </c:pt>
                <c:pt idx="2371">
                  <c:v>1.44E-2</c:v>
                </c:pt>
                <c:pt idx="2372">
                  <c:v>1.44E-2</c:v>
                </c:pt>
                <c:pt idx="2373">
                  <c:v>1.41E-2</c:v>
                </c:pt>
                <c:pt idx="2374">
                  <c:v>1.3899999999999999E-2</c:v>
                </c:pt>
                <c:pt idx="2375">
                  <c:v>1.3556942148760331E-2</c:v>
                </c:pt>
                <c:pt idx="2376">
                  <c:v>1.3502561983471075E-2</c:v>
                </c:pt>
                <c:pt idx="2377">
                  <c:v>1.3483223140495867E-2</c:v>
                </c:pt>
                <c:pt idx="2378">
                  <c:v>1.3844380165289256E-2</c:v>
                </c:pt>
                <c:pt idx="2379">
                  <c:v>1.3846983471074381E-2</c:v>
                </c:pt>
                <c:pt idx="2380">
                  <c:v>1.3687107438016528E-2</c:v>
                </c:pt>
                <c:pt idx="2381">
                  <c:v>1.359E-2</c:v>
                </c:pt>
                <c:pt idx="2382">
                  <c:v>1.34E-2</c:v>
                </c:pt>
                <c:pt idx="2383">
                  <c:v>1.3094482421874991E-2</c:v>
                </c:pt>
                <c:pt idx="2384">
                  <c:v>1.3384195968120018E-2</c:v>
                </c:pt>
                <c:pt idx="2385">
                  <c:v>1.3477557430848573E-2</c:v>
                </c:pt>
                <c:pt idx="2386">
                  <c:v>1.3511153305203938E-2</c:v>
                </c:pt>
                <c:pt idx="2387">
                  <c:v>1.3993333333333333E-2</c:v>
                </c:pt>
                <c:pt idx="2388">
                  <c:v>1.3817229254571026E-2</c:v>
                </c:pt>
                <c:pt idx="2389">
                  <c:v>1.338749179559306E-2</c:v>
                </c:pt>
                <c:pt idx="2390">
                  <c:v>1.345084388185654E-2</c:v>
                </c:pt>
                <c:pt idx="2391">
                  <c:v>1.3212784810126584E-2</c:v>
                </c:pt>
                <c:pt idx="2392">
                  <c:v>1.3476338490389124E-2</c:v>
                </c:pt>
                <c:pt idx="2393">
                  <c:v>1.3489507735583684E-2</c:v>
                </c:pt>
                <c:pt idx="2394">
                  <c:v>1.3639324894514771E-2</c:v>
                </c:pt>
                <c:pt idx="2395">
                  <c:v>1.4043244256915144E-2</c:v>
                </c:pt>
                <c:pt idx="2396">
                  <c:v>1.38671354899203E-2</c:v>
                </c:pt>
                <c:pt idx="2397">
                  <c:v>1.439E-2</c:v>
                </c:pt>
                <c:pt idx="2398">
                  <c:v>1.4306118143459915E-2</c:v>
                </c:pt>
                <c:pt idx="2399">
                  <c:v>1.4597083919362401E-2</c:v>
                </c:pt>
                <c:pt idx="2400">
                  <c:v>1.459117674636662E-2</c:v>
                </c:pt>
                <c:pt idx="2401">
                  <c:v>1.4355569620253163E-2</c:v>
                </c:pt>
                <c:pt idx="2402">
                  <c:v>1.4137140178152836E-2</c:v>
                </c:pt>
                <c:pt idx="2403">
                  <c:v>1.4002376933895923E-2</c:v>
                </c:pt>
                <c:pt idx="2404">
                  <c:v>1.41E-2</c:v>
                </c:pt>
                <c:pt idx="2405">
                  <c:v>1.4199999999999999E-2</c:v>
                </c:pt>
                <c:pt idx="2406">
                  <c:v>1.43E-2</c:v>
                </c:pt>
                <c:pt idx="2407">
                  <c:v>1.43E-2</c:v>
                </c:pt>
                <c:pt idx="2408">
                  <c:v>1.3794022503516174E-2</c:v>
                </c:pt>
                <c:pt idx="2409">
                  <c:v>1.36714580403188E-2</c:v>
                </c:pt>
                <c:pt idx="2410">
                  <c:v>1.4521476793248946E-2</c:v>
                </c:pt>
                <c:pt idx="2411">
                  <c:v>1.5026694796061885E-2</c:v>
                </c:pt>
                <c:pt idx="2412">
                  <c:v>1.4990590717299577E-2</c:v>
                </c:pt>
                <c:pt idx="2413">
                  <c:v>1.4990881387716832E-2</c:v>
                </c:pt>
                <c:pt idx="2414">
                  <c:v>1.4854158462259728E-2</c:v>
                </c:pt>
                <c:pt idx="2415">
                  <c:v>1.5046976090014064E-2</c:v>
                </c:pt>
                <c:pt idx="2416">
                  <c:v>1.4980684481950304E-2</c:v>
                </c:pt>
                <c:pt idx="2417">
                  <c:v>1.4894636661978435E-2</c:v>
                </c:pt>
                <c:pt idx="2418">
                  <c:v>1.4930890764181904E-2</c:v>
                </c:pt>
                <c:pt idx="2419">
                  <c:v>1.4968987341772154E-2</c:v>
                </c:pt>
                <c:pt idx="2420">
                  <c:v>1.4657974683544305E-2</c:v>
                </c:pt>
                <c:pt idx="2421">
                  <c:v>1.4603230192217534E-2</c:v>
                </c:pt>
                <c:pt idx="2422">
                  <c:v>1.4602137834036568E-2</c:v>
                </c:pt>
                <c:pt idx="2423">
                  <c:v>1.4249282700421939E-2</c:v>
                </c:pt>
                <c:pt idx="2424">
                  <c:v>1.417450070323488E-2</c:v>
                </c:pt>
                <c:pt idx="2425">
                  <c:v>1.4307623066104079E-2</c:v>
                </c:pt>
                <c:pt idx="2426">
                  <c:v>1.4229864041256448E-2</c:v>
                </c:pt>
                <c:pt idx="2427">
                  <c:v>1.403354430379747E-2</c:v>
                </c:pt>
                <c:pt idx="2428">
                  <c:v>1.4167735583684954E-2</c:v>
                </c:pt>
                <c:pt idx="2429">
                  <c:v>1.3927416783872482E-2</c:v>
                </c:pt>
                <c:pt idx="2430">
                  <c:v>1.3774753867791843E-2</c:v>
                </c:pt>
                <c:pt idx="2431">
                  <c:v>1.3432883263009844E-2</c:v>
                </c:pt>
                <c:pt idx="2432">
                  <c:v>1.356300515705579E-2</c:v>
                </c:pt>
                <c:pt idx="2433">
                  <c:v>1.3807097984060008E-2</c:v>
                </c:pt>
                <c:pt idx="2434">
                  <c:v>1.4121523675574309E-2</c:v>
                </c:pt>
                <c:pt idx="2435">
                  <c:v>1.4171561181434599E-2</c:v>
                </c:pt>
                <c:pt idx="2436">
                  <c:v>1.4546230661040787E-2</c:v>
                </c:pt>
                <c:pt idx="2437">
                  <c:v>1.4255007032348806E-2</c:v>
                </c:pt>
                <c:pt idx="2438">
                  <c:v>1.364678856071261E-2</c:v>
                </c:pt>
                <c:pt idx="2439">
                  <c:v>1.3522151898734175E-2</c:v>
                </c:pt>
                <c:pt idx="2440">
                  <c:v>1.3209878105954054E-2</c:v>
                </c:pt>
                <c:pt idx="2441">
                  <c:v>1.3017210501640881E-2</c:v>
                </c:pt>
                <c:pt idx="2442">
                  <c:v>1.3782278481012655E-2</c:v>
                </c:pt>
                <c:pt idx="2443">
                  <c:v>1.3326962025316455E-2</c:v>
                </c:pt>
                <c:pt idx="2444">
                  <c:v>1.2305593061415845E-2</c:v>
                </c:pt>
                <c:pt idx="2445">
                  <c:v>1.1828307548054385E-2</c:v>
                </c:pt>
                <c:pt idx="2446">
                  <c:v>1.1398059071729957E-2</c:v>
                </c:pt>
                <c:pt idx="2447">
                  <c:v>1.0813281762775432E-2</c:v>
                </c:pt>
                <c:pt idx="2448">
                  <c:v>1.0781875293014533E-2</c:v>
                </c:pt>
                <c:pt idx="2449">
                  <c:v>1.0933061415846226E-2</c:v>
                </c:pt>
                <c:pt idx="2450">
                  <c:v>1.0686793248945147E-2</c:v>
                </c:pt>
                <c:pt idx="2451">
                  <c:v>1.0280131270511018E-2</c:v>
                </c:pt>
                <c:pt idx="2452">
                  <c:v>1.0018776371308016E-2</c:v>
                </c:pt>
                <c:pt idx="2453">
                  <c:v>9.9207923112986391E-3</c:v>
                </c:pt>
                <c:pt idx="2454">
                  <c:v>1.0084050632911392E-2</c:v>
                </c:pt>
                <c:pt idx="2455">
                  <c:v>9.9368354430379741E-3</c:v>
                </c:pt>
                <c:pt idx="2456">
                  <c:v>9.5544960150023457E-3</c:v>
                </c:pt>
                <c:pt idx="2457">
                  <c:v>9.1612658227848091E-3</c:v>
                </c:pt>
                <c:pt idx="2458">
                  <c:v>8.6E-3</c:v>
                </c:pt>
                <c:pt idx="2459">
                  <c:v>8.5000000000000006E-3</c:v>
                </c:pt>
                <c:pt idx="2460">
                  <c:v>8.6E-3</c:v>
                </c:pt>
                <c:pt idx="2461">
                  <c:v>8.6999999999999994E-3</c:v>
                </c:pt>
                <c:pt idx="2462">
                  <c:v>8.6999999999999994E-3</c:v>
                </c:pt>
                <c:pt idx="2463">
                  <c:v>8.8864275668073135E-3</c:v>
                </c:pt>
                <c:pt idx="2464">
                  <c:v>9.0750023441162689E-3</c:v>
                </c:pt>
                <c:pt idx="2465">
                  <c:v>9.1162447257383955E-3</c:v>
                </c:pt>
                <c:pt idx="2466">
                  <c:v>9.0418846694796055E-3</c:v>
                </c:pt>
                <c:pt idx="2467">
                  <c:v>9.0936661978434138E-3</c:v>
                </c:pt>
                <c:pt idx="2468">
                  <c:v>9.1300093764650724E-3</c:v>
                </c:pt>
                <c:pt idx="2469">
                  <c:v>9.5843225503985004E-3</c:v>
                </c:pt>
                <c:pt idx="2470">
                  <c:v>9.5677215189873422E-3</c:v>
                </c:pt>
                <c:pt idx="2471">
                  <c:v>9.2740365682137844E-3</c:v>
                </c:pt>
                <c:pt idx="2472">
                  <c:v>9.2533380215658687E-3</c:v>
                </c:pt>
                <c:pt idx="2473">
                  <c:v>9.1526582278481025E-3</c:v>
                </c:pt>
                <c:pt idx="2474">
                  <c:v>8.9573839662447259E-3</c:v>
                </c:pt>
                <c:pt idx="2475">
                  <c:v>8.4722503516174406E-3</c:v>
                </c:pt>
                <c:pt idx="2476">
                  <c:v>8.300431317393343E-3</c:v>
                </c:pt>
                <c:pt idx="2477">
                  <c:v>8.2072995780590723E-3</c:v>
                </c:pt>
                <c:pt idx="2478">
                  <c:v>8.2205063291139243E-3</c:v>
                </c:pt>
                <c:pt idx="2479">
                  <c:v>8.5502109704641352E-3</c:v>
                </c:pt>
                <c:pt idx="2480">
                  <c:v>8.0907876230661042E-3</c:v>
                </c:pt>
                <c:pt idx="2481">
                  <c:v>7.6904781997187057E-3</c:v>
                </c:pt>
                <c:pt idx="2482">
                  <c:v>7.9229535864978901E-3</c:v>
                </c:pt>
                <c:pt idx="2483">
                  <c:v>7.6240834505391462E-3</c:v>
                </c:pt>
                <c:pt idx="2484">
                  <c:v>7.8390107829348337E-3</c:v>
                </c:pt>
                <c:pt idx="2485">
                  <c:v>7.9477637130801696E-3</c:v>
                </c:pt>
                <c:pt idx="2486">
                  <c:v>7.8301125175808724E-3</c:v>
                </c:pt>
                <c:pt idx="2487">
                  <c:v>7.8816408813877151E-3</c:v>
                </c:pt>
                <c:pt idx="2488">
                  <c:v>8.491664322550399E-3</c:v>
                </c:pt>
                <c:pt idx="2489">
                  <c:v>8.3519409282700411E-3</c:v>
                </c:pt>
                <c:pt idx="2490">
                  <c:v>8.3779606188466946E-3</c:v>
                </c:pt>
                <c:pt idx="2491">
                  <c:v>8.3708579465541482E-3</c:v>
                </c:pt>
                <c:pt idx="2492">
                  <c:v>8.237496483825598E-3</c:v>
                </c:pt>
                <c:pt idx="2493">
                  <c:v>8.1408860759493665E-3</c:v>
                </c:pt>
                <c:pt idx="2494">
                  <c:v>7.9239240506329117E-3</c:v>
                </c:pt>
                <c:pt idx="2495">
                  <c:v>7.7484341303328654E-3</c:v>
                </c:pt>
                <c:pt idx="2496">
                  <c:v>7.8529629629629626E-3</c:v>
                </c:pt>
                <c:pt idx="2497">
                  <c:v>8.0854008438818563E-3</c:v>
                </c:pt>
                <c:pt idx="2498">
                  <c:v>8.4288607594936709E-3</c:v>
                </c:pt>
                <c:pt idx="2499">
                  <c:v>8.891237693389592E-3</c:v>
                </c:pt>
                <c:pt idx="2500">
                  <c:v>8.6228363806844822E-3</c:v>
                </c:pt>
                <c:pt idx="2501">
                  <c:v>8.5798312236286933E-3</c:v>
                </c:pt>
                <c:pt idx="2502">
                  <c:v>8.4451992498827937E-3</c:v>
                </c:pt>
                <c:pt idx="2503">
                  <c:v>8.4948101265822796E-3</c:v>
                </c:pt>
                <c:pt idx="2504">
                  <c:v>8.2399296765119541E-3</c:v>
                </c:pt>
                <c:pt idx="2505">
                  <c:v>8.2547679324894499E-3</c:v>
                </c:pt>
                <c:pt idx="2506">
                  <c:v>7.7047866854195969E-3</c:v>
                </c:pt>
                <c:pt idx="2507">
                  <c:v>7.7712564463197379E-3</c:v>
                </c:pt>
                <c:pt idx="2508">
                  <c:v>6.9519127988748241E-3</c:v>
                </c:pt>
                <c:pt idx="2509">
                  <c:v>6.7885935302390999E-3</c:v>
                </c:pt>
                <c:pt idx="2510">
                  <c:v>6.7324003750586026E-3</c:v>
                </c:pt>
                <c:pt idx="2511">
                  <c:v>6.6921190811064226E-3</c:v>
                </c:pt>
                <c:pt idx="2512">
                  <c:v>6.6410548523206745E-3</c:v>
                </c:pt>
                <c:pt idx="2513">
                  <c:v>6.6622503516174407E-3</c:v>
                </c:pt>
                <c:pt idx="2514">
                  <c:v>6.9415752461322077E-3</c:v>
                </c:pt>
                <c:pt idx="2515">
                  <c:v>6.800239099859353E-3</c:v>
                </c:pt>
                <c:pt idx="2516">
                  <c:v>6.7019831223628697E-3</c:v>
                </c:pt>
                <c:pt idx="2517">
                  <c:v>6.7821284575714947E-3</c:v>
                </c:pt>
                <c:pt idx="2518">
                  <c:v>6.7963244256915153E-3</c:v>
                </c:pt>
                <c:pt idx="2519">
                  <c:v>6.6257759024847627E-3</c:v>
                </c:pt>
                <c:pt idx="2520">
                  <c:v>6.6316877637130796E-3</c:v>
                </c:pt>
                <c:pt idx="2521">
                  <c:v>6.259184247538678E-3</c:v>
                </c:pt>
                <c:pt idx="2522">
                  <c:v>6.076629160806377E-3</c:v>
                </c:pt>
                <c:pt idx="2523">
                  <c:v>6.205232067510549E-3</c:v>
                </c:pt>
                <c:pt idx="2524">
                  <c:v>6.5943881856540092E-3</c:v>
                </c:pt>
                <c:pt idx="2525">
                  <c:v>6.5647022972339418E-3</c:v>
                </c:pt>
                <c:pt idx="2526">
                  <c:v>6.5504031879981238E-3</c:v>
                </c:pt>
                <c:pt idx="2527">
                  <c:v>6.683305203938116E-3</c:v>
                </c:pt>
                <c:pt idx="2528">
                  <c:v>6.7262728551336151E-3</c:v>
                </c:pt>
                <c:pt idx="2529">
                  <c:v>6.9597187060478202E-3</c:v>
                </c:pt>
                <c:pt idx="2530">
                  <c:v>7.8958227848101269E-3</c:v>
                </c:pt>
                <c:pt idx="2531">
                  <c:v>8.2050632911392397E-3</c:v>
                </c:pt>
                <c:pt idx="2532">
                  <c:v>8.2843272386310361E-3</c:v>
                </c:pt>
                <c:pt idx="2533">
                  <c:v>8.2886497890295365E-3</c:v>
                </c:pt>
                <c:pt idx="2534">
                  <c:v>8.4395921237693378E-3</c:v>
                </c:pt>
                <c:pt idx="2535">
                  <c:v>8.4567885607126116E-3</c:v>
                </c:pt>
                <c:pt idx="2536">
                  <c:v>8.5240506329113935E-3</c:v>
                </c:pt>
                <c:pt idx="2537">
                  <c:v>8.3892545710267247E-3</c:v>
                </c:pt>
                <c:pt idx="2538">
                  <c:v>8.2650210970464134E-3</c:v>
                </c:pt>
                <c:pt idx="2539">
                  <c:v>8.4744022503516186E-3</c:v>
                </c:pt>
                <c:pt idx="2540">
                  <c:v>8.499240506329114E-3</c:v>
                </c:pt>
                <c:pt idx="2541">
                  <c:v>9.4460243788091879E-3</c:v>
                </c:pt>
                <c:pt idx="2542">
                  <c:v>1.0590857946554148E-2</c:v>
                </c:pt>
                <c:pt idx="2543">
                  <c:v>1.1296572902015941E-2</c:v>
                </c:pt>
                <c:pt idx="2544">
                  <c:v>1.0871603375527426E-2</c:v>
                </c:pt>
                <c:pt idx="2545">
                  <c:v>1.1019226441631504E-2</c:v>
                </c:pt>
                <c:pt idx="2546">
                  <c:v>1.1174135021097048E-2</c:v>
                </c:pt>
                <c:pt idx="2547">
                  <c:v>1.1746652601969056E-2</c:v>
                </c:pt>
                <c:pt idx="2548">
                  <c:v>1.1634978902953588E-2</c:v>
                </c:pt>
                <c:pt idx="2549">
                  <c:v>1.1309924988279416E-2</c:v>
                </c:pt>
                <c:pt idx="2550">
                  <c:v>1.1501870604781996E-2</c:v>
                </c:pt>
                <c:pt idx="2551">
                  <c:v>1.1228607594936711E-2</c:v>
                </c:pt>
                <c:pt idx="2552">
                  <c:v>1.1160201593999062E-2</c:v>
                </c:pt>
                <c:pt idx="2553">
                  <c:v>1.1041608063759962E-2</c:v>
                </c:pt>
                <c:pt idx="2554">
                  <c:v>1.0504486638537272E-2</c:v>
                </c:pt>
                <c:pt idx="2555">
                  <c:v>1.1160393811533052E-2</c:v>
                </c:pt>
                <c:pt idx="2556">
                  <c:v>1.1290215658696671E-2</c:v>
                </c:pt>
                <c:pt idx="2557">
                  <c:v>1.1790201593999064E-2</c:v>
                </c:pt>
                <c:pt idx="2558">
                  <c:v>1.219429910923582E-2</c:v>
                </c:pt>
                <c:pt idx="2559">
                  <c:v>1.1553023909985936E-2</c:v>
                </c:pt>
                <c:pt idx="2560">
                  <c:v>1.1043342709798405E-2</c:v>
                </c:pt>
                <c:pt idx="2561">
                  <c:v>1.0863398968588843E-2</c:v>
                </c:pt>
                <c:pt idx="2562">
                  <c:v>1.0769423347398031E-2</c:v>
                </c:pt>
                <c:pt idx="2563">
                  <c:v>1.0840590717299576E-2</c:v>
                </c:pt>
                <c:pt idx="2564">
                  <c:v>1.0831945616502579E-2</c:v>
                </c:pt>
                <c:pt idx="2565">
                  <c:v>1.0743366150961086E-2</c:v>
                </c:pt>
                <c:pt idx="2566">
                  <c:v>1.017607594936709E-2</c:v>
                </c:pt>
                <c:pt idx="2567">
                  <c:v>9.7109470229723386E-3</c:v>
                </c:pt>
                <c:pt idx="2568">
                  <c:v>9.7182606657290199E-3</c:v>
                </c:pt>
                <c:pt idx="2569">
                  <c:v>9.7561462728551328E-3</c:v>
                </c:pt>
                <c:pt idx="2570">
                  <c:v>9.6548523206751065E-3</c:v>
                </c:pt>
                <c:pt idx="2571">
                  <c:v>9.7826394749179549E-3</c:v>
                </c:pt>
                <c:pt idx="2572">
                  <c:v>9.322015939990623E-3</c:v>
                </c:pt>
                <c:pt idx="2573">
                  <c:v>9.5474824191279888E-3</c:v>
                </c:pt>
                <c:pt idx="2574">
                  <c:v>9.3558977965307061E-3</c:v>
                </c:pt>
                <c:pt idx="2575">
                  <c:v>9.3368448195030474E-3</c:v>
                </c:pt>
                <c:pt idx="2576">
                  <c:v>9.5072151898734168E-3</c:v>
                </c:pt>
                <c:pt idx="2577">
                  <c:v>9.3706938584153781E-3</c:v>
                </c:pt>
                <c:pt idx="2578">
                  <c:v>9.777679324894515E-3</c:v>
                </c:pt>
                <c:pt idx="2579">
                  <c:v>9.9195780590717302E-3</c:v>
                </c:pt>
                <c:pt idx="2580">
                  <c:v>9.8469807782466008E-3</c:v>
                </c:pt>
                <c:pt idx="2581">
                  <c:v>1.0490464135021098E-2</c:v>
                </c:pt>
                <c:pt idx="2582">
                  <c:v>1.0915461052631579E-2</c:v>
                </c:pt>
                <c:pt idx="2583">
                  <c:v>1.0981722105263159E-2</c:v>
                </c:pt>
                <c:pt idx="2584">
                  <c:v>1.086709894736842E-2</c:v>
                </c:pt>
                <c:pt idx="2585">
                  <c:v>1.0754909473684212E-2</c:v>
                </c:pt>
                <c:pt idx="2586">
                  <c:v>1.0852842105263159E-2</c:v>
                </c:pt>
                <c:pt idx="2587">
                  <c:v>1.1628534736842104E-2</c:v>
                </c:pt>
                <c:pt idx="2588">
                  <c:v>1.1927625263157896E-2</c:v>
                </c:pt>
                <c:pt idx="2589">
                  <c:v>1.2151305263157894E-2</c:v>
                </c:pt>
                <c:pt idx="2590">
                  <c:v>1.2387128421052631E-2</c:v>
                </c:pt>
                <c:pt idx="2591">
                  <c:v>1.227584E-2</c:v>
                </c:pt>
                <c:pt idx="2592">
                  <c:v>1.218682105263158E-2</c:v>
                </c:pt>
                <c:pt idx="2593">
                  <c:v>1.35516835016835E-2</c:v>
                </c:pt>
                <c:pt idx="2594">
                  <c:v>1.3715656565656565E-2</c:v>
                </c:pt>
                <c:pt idx="2595">
                  <c:v>1.4233434343434347E-2</c:v>
                </c:pt>
                <c:pt idx="2596">
                  <c:v>1.4456111111111109E-2</c:v>
                </c:pt>
                <c:pt idx="2597">
                  <c:v>1.4835959595959599E-2</c:v>
                </c:pt>
                <c:pt idx="2598">
                  <c:v>1.4858956228956229E-2</c:v>
                </c:pt>
                <c:pt idx="2599">
                  <c:v>1.4975959595959593E-2</c:v>
                </c:pt>
                <c:pt idx="2600">
                  <c:v>1.4658350168350169E-2</c:v>
                </c:pt>
                <c:pt idx="2601">
                  <c:v>1.4647558922558923E-2</c:v>
                </c:pt>
                <c:pt idx="2602">
                  <c:v>1.4648619528619527E-2</c:v>
                </c:pt>
                <c:pt idx="2603">
                  <c:v>1.4713484848484847E-2</c:v>
                </c:pt>
                <c:pt idx="2604">
                  <c:v>1.4618888888888888E-2</c:v>
                </c:pt>
                <c:pt idx="2605">
                  <c:v>1.475740740740741E-2</c:v>
                </c:pt>
                <c:pt idx="2606">
                  <c:v>1.4646565656565656E-2</c:v>
                </c:pt>
                <c:pt idx="2607">
                  <c:v>1.4658181818181818E-2</c:v>
                </c:pt>
                <c:pt idx="2608">
                  <c:v>1.4629629629629628E-2</c:v>
                </c:pt>
                <c:pt idx="2609">
                  <c:v>1.4536481481481482E-2</c:v>
                </c:pt>
                <c:pt idx="2610">
                  <c:v>1.432878787878788E-2</c:v>
                </c:pt>
                <c:pt idx="2611">
                  <c:v>1.4119629629629631E-2</c:v>
                </c:pt>
                <c:pt idx="2612">
                  <c:v>1.4052289562289565E-2</c:v>
                </c:pt>
                <c:pt idx="2613">
                  <c:v>1.4291683501683503E-2</c:v>
                </c:pt>
                <c:pt idx="2614">
                  <c:v>1.4256060606060605E-2</c:v>
                </c:pt>
                <c:pt idx="2615">
                  <c:v>1.412131313131313E-2</c:v>
                </c:pt>
                <c:pt idx="2616">
                  <c:v>1.3884646464646466E-2</c:v>
                </c:pt>
                <c:pt idx="2617">
                  <c:v>1.385175084175084E-2</c:v>
                </c:pt>
                <c:pt idx="2618">
                  <c:v>1.4499259259259257E-2</c:v>
                </c:pt>
                <c:pt idx="2619">
                  <c:v>1.5255808080808082E-2</c:v>
                </c:pt>
                <c:pt idx="2620">
                  <c:v>1.4874680134680136E-2</c:v>
                </c:pt>
                <c:pt idx="2621">
                  <c:v>1.4503265993265995E-2</c:v>
                </c:pt>
                <c:pt idx="2622">
                  <c:v>1.4440707070707073E-2</c:v>
                </c:pt>
                <c:pt idx="2623">
                  <c:v>1.3966010101010102E-2</c:v>
                </c:pt>
                <c:pt idx="2624">
                  <c:v>1.4040269360269357E-2</c:v>
                </c:pt>
                <c:pt idx="2625">
                  <c:v>1.4582037037037034E-2</c:v>
                </c:pt>
                <c:pt idx="2626">
                  <c:v>1.4929090909090909E-2</c:v>
                </c:pt>
                <c:pt idx="2627">
                  <c:v>1.4671666666666664E-2</c:v>
                </c:pt>
                <c:pt idx="2628">
                  <c:v>1.4938754208754209E-2</c:v>
                </c:pt>
                <c:pt idx="2629">
                  <c:v>1.4986952861952863E-2</c:v>
                </c:pt>
                <c:pt idx="2630">
                  <c:v>1.4934141414141414E-2</c:v>
                </c:pt>
                <c:pt idx="2631">
                  <c:v>1.4793872053872052E-2</c:v>
                </c:pt>
                <c:pt idx="2632">
                  <c:v>1.4821616161616161E-2</c:v>
                </c:pt>
                <c:pt idx="2633">
                  <c:v>1.4880538720538716E-2</c:v>
                </c:pt>
                <c:pt idx="2634">
                  <c:v>1.4849999999999999E-2</c:v>
                </c:pt>
                <c:pt idx="2635">
                  <c:v>1.4852245929253226E-2</c:v>
                </c:pt>
                <c:pt idx="2636">
                  <c:v>1.4624413250982595E-2</c:v>
                </c:pt>
                <c:pt idx="2637">
                  <c:v>1.4431285794497473E-2</c:v>
                </c:pt>
                <c:pt idx="2638">
                  <c:v>1.4413644020213364E-2</c:v>
                </c:pt>
                <c:pt idx="2639">
                  <c:v>1.422599663110612E-2</c:v>
                </c:pt>
                <c:pt idx="2640">
                  <c:v>1.4127832678270636E-2</c:v>
                </c:pt>
                <c:pt idx="2641">
                  <c:v>1.4078057271195958E-2</c:v>
                </c:pt>
                <c:pt idx="2642">
                  <c:v>1.3775075800112295E-2</c:v>
                </c:pt>
                <c:pt idx="2643">
                  <c:v>1.3537961819202695E-2</c:v>
                </c:pt>
                <c:pt idx="2644">
                  <c:v>1.3599635036496352E-2</c:v>
                </c:pt>
                <c:pt idx="2645">
                  <c:v>1.3650971364402022E-2</c:v>
                </c:pt>
                <c:pt idx="2646">
                  <c:v>1.3592930937675463E-2</c:v>
                </c:pt>
                <c:pt idx="2647">
                  <c:v>1.3450022459292532E-2</c:v>
                </c:pt>
                <c:pt idx="2648">
                  <c:v>1.3114272880404265E-2</c:v>
                </c:pt>
                <c:pt idx="2649">
                  <c:v>1.2795480067377876E-2</c:v>
                </c:pt>
                <c:pt idx="2650">
                  <c:v>1.282563166760247E-2</c:v>
                </c:pt>
                <c:pt idx="2651">
                  <c:v>1.2827804604154971E-2</c:v>
                </c:pt>
                <c:pt idx="2652">
                  <c:v>1.2834323413812465E-2</c:v>
                </c:pt>
                <c:pt idx="2653">
                  <c:v>1.2499416058394162E-2</c:v>
                </c:pt>
                <c:pt idx="2654">
                  <c:v>1.2768366086468275E-2</c:v>
                </c:pt>
                <c:pt idx="2655">
                  <c:v>1.249162829870859E-2</c:v>
                </c:pt>
                <c:pt idx="2656">
                  <c:v>1.2654154969118472E-2</c:v>
                </c:pt>
                <c:pt idx="2657">
                  <c:v>1.2985182481751824E-2</c:v>
                </c:pt>
                <c:pt idx="2658">
                  <c:v>1.2939387984278494E-2</c:v>
                </c:pt>
                <c:pt idx="2659">
                  <c:v>1.3159781021897809E-2</c:v>
                </c:pt>
                <c:pt idx="2660">
                  <c:v>1.3251263335204941E-2</c:v>
                </c:pt>
                <c:pt idx="2661">
                  <c:v>1.3332229084783829E-2</c:v>
                </c:pt>
                <c:pt idx="2662">
                  <c:v>1.3085637282425604E-2</c:v>
                </c:pt>
                <c:pt idx="2663">
                  <c:v>1.3876614261650759E-2</c:v>
                </c:pt>
                <c:pt idx="2664">
                  <c:v>1.3834570466030321E-2</c:v>
                </c:pt>
                <c:pt idx="2665">
                  <c:v>1.4096473891072431E-2</c:v>
                </c:pt>
                <c:pt idx="2666">
                  <c:v>1.4158085345311624E-2</c:v>
                </c:pt>
                <c:pt idx="2667">
                  <c:v>1.4281892195395844E-2</c:v>
                </c:pt>
                <c:pt idx="2668">
                  <c:v>1.5036114542391914E-2</c:v>
                </c:pt>
                <c:pt idx="2669">
                  <c:v>1.4788394160583942E-2</c:v>
                </c:pt>
                <c:pt idx="2670">
                  <c:v>1.4373509264458168E-2</c:v>
                </c:pt>
                <c:pt idx="2671">
                  <c:v>1.3614497473329591E-2</c:v>
                </c:pt>
                <c:pt idx="2672">
                  <c:v>1.3604418865805728E-2</c:v>
                </c:pt>
                <c:pt idx="2673">
                  <c:v>1.3389056709713642E-2</c:v>
                </c:pt>
                <c:pt idx="2674">
                  <c:v>1.3527507018528917E-2</c:v>
                </c:pt>
                <c:pt idx="2675">
                  <c:v>1.3304323413812467E-2</c:v>
                </c:pt>
                <c:pt idx="2676">
                  <c:v>1.3113380123526109E-2</c:v>
                </c:pt>
                <c:pt idx="2677">
                  <c:v>1.3720915216170691E-2</c:v>
                </c:pt>
                <c:pt idx="2678">
                  <c:v>1.3284705221785513E-2</c:v>
                </c:pt>
                <c:pt idx="2679">
                  <c:v>1.2816614261650755E-2</c:v>
                </c:pt>
                <c:pt idx="2680">
                  <c:v>1.3206833239752948E-2</c:v>
                </c:pt>
                <c:pt idx="2681">
                  <c:v>1.2663284671532847E-2</c:v>
                </c:pt>
                <c:pt idx="2682">
                  <c:v>1.2566822010106681E-2</c:v>
                </c:pt>
                <c:pt idx="2683">
                  <c:v>1.2503262212240317E-2</c:v>
                </c:pt>
                <c:pt idx="2684">
                  <c:v>1.2424761370016846E-2</c:v>
                </c:pt>
                <c:pt idx="2685">
                  <c:v>1.2161785513756317E-2</c:v>
                </c:pt>
                <c:pt idx="2686">
                  <c:v>1.2276019090398653E-2</c:v>
                </c:pt>
                <c:pt idx="2687">
                  <c:v>1.1789225154407636E-2</c:v>
                </c:pt>
                <c:pt idx="2688">
                  <c:v>1.1778736664795057E-2</c:v>
                </c:pt>
                <c:pt idx="2689">
                  <c:v>1.1498180797304887E-2</c:v>
                </c:pt>
                <c:pt idx="2690">
                  <c:v>1.150268388545761E-2</c:v>
                </c:pt>
                <c:pt idx="2691">
                  <c:v>1.1505828186412128E-2</c:v>
                </c:pt>
                <c:pt idx="2692">
                  <c:v>1.1203700168444694E-2</c:v>
                </c:pt>
                <c:pt idx="2693">
                  <c:v>1.1304795058955644E-2</c:v>
                </c:pt>
                <c:pt idx="2694">
                  <c:v>1.1141392476137001E-2</c:v>
                </c:pt>
                <c:pt idx="2695">
                  <c:v>1.095606962380685E-2</c:v>
                </c:pt>
                <c:pt idx="2696">
                  <c:v>1.0737007299270074E-2</c:v>
                </c:pt>
                <c:pt idx="2697">
                  <c:v>1.0536866928691746E-2</c:v>
                </c:pt>
                <c:pt idx="2698">
                  <c:v>1.1490291970802919E-2</c:v>
                </c:pt>
                <c:pt idx="2699">
                  <c:v>1.1447040988208873E-2</c:v>
                </c:pt>
                <c:pt idx="2700">
                  <c:v>1.1798444693992138E-2</c:v>
                </c:pt>
                <c:pt idx="2701">
                  <c:v>1.1859191465468837E-2</c:v>
                </c:pt>
                <c:pt idx="2702">
                  <c:v>1.1872453677709151E-2</c:v>
                </c:pt>
                <c:pt idx="2703">
                  <c:v>1.1936749017405952E-2</c:v>
                </c:pt>
                <c:pt idx="2704">
                  <c:v>1.1782992700729926E-2</c:v>
                </c:pt>
                <c:pt idx="2705">
                  <c:v>1.2454452554744526E-2</c:v>
                </c:pt>
                <c:pt idx="2706">
                  <c:v>1.2512807411566535E-2</c:v>
                </c:pt>
                <c:pt idx="2707">
                  <c:v>1.24E-2</c:v>
                </c:pt>
                <c:pt idx="2708">
                  <c:v>1.2500000000000001E-2</c:v>
                </c:pt>
                <c:pt idx="2709">
                  <c:v>1.24E-2</c:v>
                </c:pt>
                <c:pt idx="2710">
                  <c:v>1.24E-2</c:v>
                </c:pt>
                <c:pt idx="2711">
                  <c:v>1.24E-2</c:v>
                </c:pt>
                <c:pt idx="2712">
                  <c:v>1.23E-2</c:v>
                </c:pt>
                <c:pt idx="2713">
                  <c:v>1.21E-2</c:v>
                </c:pt>
                <c:pt idx="2714">
                  <c:v>1.2199999999999999E-2</c:v>
                </c:pt>
                <c:pt idx="2715">
                  <c:v>1.1899999999999999E-2</c:v>
                </c:pt>
                <c:pt idx="2716">
                  <c:v>1.21E-2</c:v>
                </c:pt>
                <c:pt idx="2717">
                  <c:v>1.21E-2</c:v>
                </c:pt>
                <c:pt idx="2718">
                  <c:v>1.21E-2</c:v>
                </c:pt>
                <c:pt idx="2719">
                  <c:v>1.2E-2</c:v>
                </c:pt>
                <c:pt idx="2720">
                  <c:v>1.18E-2</c:v>
                </c:pt>
                <c:pt idx="2721">
                  <c:v>1.2199999999999999E-2</c:v>
                </c:pt>
                <c:pt idx="2722">
                  <c:v>1.1980825379000561E-2</c:v>
                </c:pt>
                <c:pt idx="2723">
                  <c:v>1.1537574396406512E-2</c:v>
                </c:pt>
                <c:pt idx="2724">
                  <c:v>1.1531094890510948E-2</c:v>
                </c:pt>
                <c:pt idx="2725">
                  <c:v>1.1434935429533969E-2</c:v>
                </c:pt>
                <c:pt idx="2726">
                  <c:v>1.1516064008983718E-2</c:v>
                </c:pt>
                <c:pt idx="2727">
                  <c:v>1.1406962380685009E-2</c:v>
                </c:pt>
                <c:pt idx="2728">
                  <c:v>1.1412756878158339E-2</c:v>
                </c:pt>
                <c:pt idx="2729">
                  <c:v>1.129E-2</c:v>
                </c:pt>
                <c:pt idx="2730">
                  <c:v>1.1345699045480067E-2</c:v>
                </c:pt>
                <c:pt idx="2731">
                  <c:v>1.1346771476698483E-2</c:v>
                </c:pt>
                <c:pt idx="2732">
                  <c:v>1.1099191465468838E-2</c:v>
                </c:pt>
                <c:pt idx="2733">
                  <c:v>1.1045328467153283E-2</c:v>
                </c:pt>
                <c:pt idx="2734">
                  <c:v>1.0964390791690062E-2</c:v>
                </c:pt>
                <c:pt idx="2735">
                  <c:v>1.0764368332397529E-2</c:v>
                </c:pt>
                <c:pt idx="2736">
                  <c:v>1.0950028074115666E-2</c:v>
                </c:pt>
                <c:pt idx="2737">
                  <c:v>1.0590263896687253E-2</c:v>
                </c:pt>
                <c:pt idx="2738">
                  <c:v>1.0474671532846713E-2</c:v>
                </c:pt>
                <c:pt idx="2739">
                  <c:v>1.048469960696238E-2</c:v>
                </c:pt>
                <c:pt idx="2740">
                  <c:v>1.0326518809657494E-2</c:v>
                </c:pt>
                <c:pt idx="2741">
                  <c:v>1.0374351487928131E-2</c:v>
                </c:pt>
                <c:pt idx="2742">
                  <c:v>1.044978102189781E-2</c:v>
                </c:pt>
                <c:pt idx="2743">
                  <c:v>1.0106496350364964E-2</c:v>
                </c:pt>
                <c:pt idx="2744">
                  <c:v>1.0236788321167882E-2</c:v>
                </c:pt>
                <c:pt idx="2745">
                  <c:v>1.0214772599663111E-2</c:v>
                </c:pt>
                <c:pt idx="2746">
                  <c:v>1.0221218416619876E-2</c:v>
                </c:pt>
                <c:pt idx="2747">
                  <c:v>1.007561482313307E-2</c:v>
                </c:pt>
                <c:pt idx="2748">
                  <c:v>1.0055682201010668E-2</c:v>
                </c:pt>
                <c:pt idx="2749">
                  <c:v>1.0018220101066818E-2</c:v>
                </c:pt>
                <c:pt idx="2750">
                  <c:v>9.8125659741718149E-3</c:v>
                </c:pt>
                <c:pt idx="2751">
                  <c:v>9.6877540707467694E-3</c:v>
                </c:pt>
                <c:pt idx="2752">
                  <c:v>9.7670802919708026E-3</c:v>
                </c:pt>
                <c:pt idx="2753">
                  <c:v>9.9244469399213924E-3</c:v>
                </c:pt>
                <c:pt idx="2754">
                  <c:v>1.0450920830993825E-2</c:v>
                </c:pt>
                <c:pt idx="2755">
                  <c:v>1.0548759124087592E-2</c:v>
                </c:pt>
                <c:pt idx="2756">
                  <c:v>1.0592380685008422E-2</c:v>
                </c:pt>
                <c:pt idx="2757">
                  <c:v>1.0731403705783267E-2</c:v>
                </c:pt>
                <c:pt idx="2758">
                  <c:v>1.064305446378439E-2</c:v>
                </c:pt>
                <c:pt idx="2759">
                  <c:v>1.0536816395283548E-2</c:v>
                </c:pt>
                <c:pt idx="2760">
                  <c:v>1.05507130825379E-2</c:v>
                </c:pt>
                <c:pt idx="2761">
                  <c:v>1.0522616507580011E-2</c:v>
                </c:pt>
                <c:pt idx="2762">
                  <c:v>1.0239354295339696E-2</c:v>
                </c:pt>
                <c:pt idx="2763">
                  <c:v>1.0208495227400336E-2</c:v>
                </c:pt>
                <c:pt idx="2764">
                  <c:v>1.0329404828747895E-2</c:v>
                </c:pt>
                <c:pt idx="2765">
                  <c:v>1.0398214486243684E-2</c:v>
                </c:pt>
                <c:pt idx="2766">
                  <c:v>1.0302240314430096E-2</c:v>
                </c:pt>
                <c:pt idx="2767">
                  <c:v>1.03E-2</c:v>
                </c:pt>
                <c:pt idx="2768">
                  <c:v>1.03E-2</c:v>
                </c:pt>
                <c:pt idx="2769">
                  <c:v>1.03E-2</c:v>
                </c:pt>
                <c:pt idx="2770">
                  <c:v>1.01E-2</c:v>
                </c:pt>
                <c:pt idx="2771">
                  <c:v>1.01E-2</c:v>
                </c:pt>
                <c:pt idx="2772">
                  <c:v>0.01</c:v>
                </c:pt>
                <c:pt idx="2773">
                  <c:v>0.01</c:v>
                </c:pt>
                <c:pt idx="2774">
                  <c:v>0.01</c:v>
                </c:pt>
                <c:pt idx="2775">
                  <c:v>9.8999999999999991E-3</c:v>
                </c:pt>
                <c:pt idx="2776">
                  <c:v>9.5999999999999992E-3</c:v>
                </c:pt>
                <c:pt idx="2777">
                  <c:v>9.4999999999999998E-3</c:v>
                </c:pt>
                <c:pt idx="2778">
                  <c:v>9.3999999999999986E-3</c:v>
                </c:pt>
                <c:pt idx="2779">
                  <c:v>9.4999999999999998E-3</c:v>
                </c:pt>
                <c:pt idx="2780">
                  <c:v>9.300000000000001E-3</c:v>
                </c:pt>
                <c:pt idx="2781">
                  <c:v>9.3999999999999986E-3</c:v>
                </c:pt>
                <c:pt idx="2782">
                  <c:v>9.3800561482313312E-3</c:v>
                </c:pt>
                <c:pt idx="2783">
                  <c:v>9.5337619314991573E-3</c:v>
                </c:pt>
                <c:pt idx="2784">
                  <c:v>9.7473891072431228E-3</c:v>
                </c:pt>
                <c:pt idx="2785">
                  <c:v>9.8289219539584513E-3</c:v>
                </c:pt>
                <c:pt idx="2786">
                  <c:v>9.6307860752386301E-3</c:v>
                </c:pt>
                <c:pt idx="2787">
                  <c:v>9.5224985962942179E-3</c:v>
                </c:pt>
                <c:pt idx="2788">
                  <c:v>9.4424985962942177E-3</c:v>
                </c:pt>
                <c:pt idx="2789">
                  <c:v>9.4107018528916345E-3</c:v>
                </c:pt>
                <c:pt idx="2790">
                  <c:v>9.2761650758001121E-3</c:v>
                </c:pt>
                <c:pt idx="2791">
                  <c:v>9.2030656934306565E-3</c:v>
                </c:pt>
                <c:pt idx="2792">
                  <c:v>8.8999999999999999E-3</c:v>
                </c:pt>
                <c:pt idx="2793">
                  <c:v>8.6E-3</c:v>
                </c:pt>
                <c:pt idx="2794">
                  <c:v>8.6E-3</c:v>
                </c:pt>
                <c:pt idx="2795">
                  <c:v>8.8000000000000005E-3</c:v>
                </c:pt>
                <c:pt idx="2796">
                  <c:v>9.1999999999999998E-3</c:v>
                </c:pt>
                <c:pt idx="2797">
                  <c:v>9.0000000000000011E-3</c:v>
                </c:pt>
                <c:pt idx="2798">
                  <c:v>8.8000000000000005E-3</c:v>
                </c:pt>
                <c:pt idx="2799">
                  <c:v>8.8000000000000005E-3</c:v>
                </c:pt>
                <c:pt idx="2800">
                  <c:v>8.6E-3</c:v>
                </c:pt>
                <c:pt idx="2801">
                  <c:v>8.5000000000000006E-3</c:v>
                </c:pt>
                <c:pt idx="2802">
                  <c:v>8.3999999999999995E-3</c:v>
                </c:pt>
                <c:pt idx="2803">
                  <c:v>8.3999999999999995E-3</c:v>
                </c:pt>
                <c:pt idx="2804">
                  <c:v>8.5000000000000006E-3</c:v>
                </c:pt>
                <c:pt idx="2805">
                  <c:v>8.3999999999999995E-3</c:v>
                </c:pt>
                <c:pt idx="2806">
                  <c:v>8.3999999999999995E-3</c:v>
                </c:pt>
                <c:pt idx="2807">
                  <c:v>8.5000000000000006E-3</c:v>
                </c:pt>
                <c:pt idx="2808">
                  <c:v>8.3000000000000001E-3</c:v>
                </c:pt>
                <c:pt idx="2809">
                  <c:v>8.0000000000000002E-3</c:v>
                </c:pt>
                <c:pt idx="2810">
                  <c:v>7.8000000000000005E-3</c:v>
                </c:pt>
                <c:pt idx="2811">
                  <c:v>7.3000000000000001E-3</c:v>
                </c:pt>
                <c:pt idx="2812">
                  <c:v>6.8999999999999999E-3</c:v>
                </c:pt>
                <c:pt idx="2813">
                  <c:v>6.8999999999999999E-3</c:v>
                </c:pt>
                <c:pt idx="2814">
                  <c:v>6.8999999999999999E-3</c:v>
                </c:pt>
                <c:pt idx="2815">
                  <c:v>6.8745873104997203E-3</c:v>
                </c:pt>
                <c:pt idx="2816">
                  <c:v>6.9999999999999993E-3</c:v>
                </c:pt>
                <c:pt idx="2817">
                  <c:v>7.4999999999999997E-3</c:v>
                </c:pt>
                <c:pt idx="2818">
                  <c:v>7.9000000000000008E-3</c:v>
                </c:pt>
                <c:pt idx="2819">
                  <c:v>7.9000000000000008E-3</c:v>
                </c:pt>
                <c:pt idx="2820">
                  <c:v>7.8000000000000005E-3</c:v>
                </c:pt>
                <c:pt idx="2821">
                  <c:v>7.9000000000000008E-3</c:v>
                </c:pt>
                <c:pt idx="2822">
                  <c:v>8.3000000000000001E-3</c:v>
                </c:pt>
                <c:pt idx="2823">
                  <c:v>8.6E-3</c:v>
                </c:pt>
                <c:pt idx="2824">
                  <c:v>8.6999999999999994E-3</c:v>
                </c:pt>
                <c:pt idx="2825">
                  <c:v>8.6999999999999994E-3</c:v>
                </c:pt>
                <c:pt idx="2826">
                  <c:v>8.6999999999999994E-3</c:v>
                </c:pt>
                <c:pt idx="2827">
                  <c:v>8.6999999999999994E-3</c:v>
                </c:pt>
                <c:pt idx="2828">
                  <c:v>9.0000000000000011E-3</c:v>
                </c:pt>
                <c:pt idx="2829">
                  <c:v>9.300000000000001E-3</c:v>
                </c:pt>
                <c:pt idx="2830">
                  <c:v>9.300000000000001E-3</c:v>
                </c:pt>
                <c:pt idx="2831">
                  <c:v>9.3999999999999986E-3</c:v>
                </c:pt>
                <c:pt idx="2832">
                  <c:v>9.8999999999999991E-3</c:v>
                </c:pt>
                <c:pt idx="2833">
                  <c:v>9.3999999999999986E-3</c:v>
                </c:pt>
                <c:pt idx="2834">
                  <c:v>8.8999999999999999E-3</c:v>
                </c:pt>
                <c:pt idx="2835">
                  <c:v>9.1999999999999998E-3</c:v>
                </c:pt>
                <c:pt idx="2836">
                  <c:v>9.4999999999999998E-3</c:v>
                </c:pt>
                <c:pt idx="2837">
                  <c:v>9.4999999999999998E-3</c:v>
                </c:pt>
                <c:pt idx="2838">
                  <c:v>9.7999999999999997E-3</c:v>
                </c:pt>
                <c:pt idx="2839">
                  <c:v>1.0200000000000001E-2</c:v>
                </c:pt>
                <c:pt idx="2840">
                  <c:v>1.03E-2</c:v>
                </c:pt>
                <c:pt idx="2841">
                  <c:v>1.01E-2</c:v>
                </c:pt>
                <c:pt idx="2842">
                  <c:v>1.0200000000000001E-2</c:v>
                </c:pt>
                <c:pt idx="2843">
                  <c:v>1.04E-2</c:v>
                </c:pt>
                <c:pt idx="2844">
                  <c:v>1.04E-2</c:v>
                </c:pt>
                <c:pt idx="2845">
                  <c:v>1.0500000000000001E-2</c:v>
                </c:pt>
                <c:pt idx="2846">
                  <c:v>1.0500000000000001E-2</c:v>
                </c:pt>
                <c:pt idx="2847">
                  <c:v>1.0500000000000001E-2</c:v>
                </c:pt>
                <c:pt idx="2848">
                  <c:v>1.0700000000000001E-2</c:v>
                </c:pt>
                <c:pt idx="2849">
                  <c:v>1.0800000000000001E-2</c:v>
                </c:pt>
                <c:pt idx="2850">
                  <c:v>1.1399999999999999E-2</c:v>
                </c:pt>
                <c:pt idx="2851">
                  <c:v>1.15E-2</c:v>
                </c:pt>
                <c:pt idx="2852">
                  <c:v>1.1599999999999999E-2</c:v>
                </c:pt>
                <c:pt idx="2853">
                  <c:v>1.1699999999999999E-2</c:v>
                </c:pt>
                <c:pt idx="2854">
                  <c:v>1.2E-2</c:v>
                </c:pt>
                <c:pt idx="2855">
                  <c:v>1.1899999999999999E-2</c:v>
                </c:pt>
                <c:pt idx="2856">
                  <c:v>1.18E-2</c:v>
                </c:pt>
                <c:pt idx="2857">
                  <c:v>1.1899999999999999E-2</c:v>
                </c:pt>
                <c:pt idx="2858">
                  <c:v>1.2199999999999999E-2</c:v>
                </c:pt>
                <c:pt idx="2859">
                  <c:v>1.24E-2</c:v>
                </c:pt>
                <c:pt idx="2860">
                  <c:v>1.2699999999999999E-2</c:v>
                </c:pt>
                <c:pt idx="2861">
                  <c:v>1.3000000000000001E-2</c:v>
                </c:pt>
                <c:pt idx="2862">
                  <c:v>1.3300000000000001E-2</c:v>
                </c:pt>
                <c:pt idx="2863">
                  <c:v>1.3100000000000001E-2</c:v>
                </c:pt>
                <c:pt idx="2864">
                  <c:v>1.26E-2</c:v>
                </c:pt>
                <c:pt idx="2865">
                  <c:v>1.2800000000000001E-2</c:v>
                </c:pt>
                <c:pt idx="2866">
                  <c:v>1.3100000000000001E-2</c:v>
                </c:pt>
                <c:pt idx="2867">
                  <c:v>1.3000000000000001E-2</c:v>
                </c:pt>
                <c:pt idx="2868">
                  <c:v>1.29E-2</c:v>
                </c:pt>
                <c:pt idx="2869">
                  <c:v>1.26E-2</c:v>
                </c:pt>
                <c:pt idx="2870">
                  <c:v>1.26E-2</c:v>
                </c:pt>
                <c:pt idx="2871">
                  <c:v>1.3000000000000001E-2</c:v>
                </c:pt>
                <c:pt idx="2872">
                  <c:v>1.3300000000000001E-2</c:v>
                </c:pt>
                <c:pt idx="2873">
                  <c:v>1.3100000000000001E-2</c:v>
                </c:pt>
                <c:pt idx="2874">
                  <c:v>1.32E-2</c:v>
                </c:pt>
                <c:pt idx="2875">
                  <c:v>1.3000000000000001E-2</c:v>
                </c:pt>
                <c:pt idx="2876">
                  <c:v>1.29E-2</c:v>
                </c:pt>
                <c:pt idx="2877">
                  <c:v>1.2500000000000001E-2</c:v>
                </c:pt>
                <c:pt idx="2878">
                  <c:v>1.2500000000000001E-2</c:v>
                </c:pt>
                <c:pt idx="2879">
                  <c:v>1.2500000000000001E-2</c:v>
                </c:pt>
                <c:pt idx="2880">
                  <c:v>1.24E-2</c:v>
                </c:pt>
                <c:pt idx="2881">
                  <c:v>1.23E-2</c:v>
                </c:pt>
                <c:pt idx="2882">
                  <c:v>1.21E-2</c:v>
                </c:pt>
                <c:pt idx="2883">
                  <c:v>1.21E-2</c:v>
                </c:pt>
                <c:pt idx="2884">
                  <c:v>1.21E-2</c:v>
                </c:pt>
                <c:pt idx="2885">
                  <c:v>1.2199999999999999E-2</c:v>
                </c:pt>
                <c:pt idx="2886">
                  <c:v>1.2E-2</c:v>
                </c:pt>
                <c:pt idx="2887">
                  <c:v>1.1899999999999999E-2</c:v>
                </c:pt>
                <c:pt idx="2888">
                  <c:v>1.1399999999999999E-2</c:v>
                </c:pt>
                <c:pt idx="2889">
                  <c:v>1.1299999999999999E-2</c:v>
                </c:pt>
                <c:pt idx="2890">
                  <c:v>1.1000000000000001E-2</c:v>
                </c:pt>
                <c:pt idx="2891">
                  <c:v>1.04E-2</c:v>
                </c:pt>
                <c:pt idx="2892">
                  <c:v>1.01E-2</c:v>
                </c:pt>
                <c:pt idx="2893">
                  <c:v>1.01E-2</c:v>
                </c:pt>
                <c:pt idx="2894">
                  <c:v>9.8999999999999991E-3</c:v>
                </c:pt>
                <c:pt idx="2895">
                  <c:v>0.01</c:v>
                </c:pt>
                <c:pt idx="2896">
                  <c:v>1.0200000000000001E-2</c:v>
                </c:pt>
                <c:pt idx="2897">
                  <c:v>1.03E-2</c:v>
                </c:pt>
                <c:pt idx="2898">
                  <c:v>1.04E-2</c:v>
                </c:pt>
                <c:pt idx="2899">
                  <c:v>1.04E-2</c:v>
                </c:pt>
                <c:pt idx="2900">
                  <c:v>1.04E-2</c:v>
                </c:pt>
                <c:pt idx="2901">
                  <c:v>1.06E-2</c:v>
                </c:pt>
                <c:pt idx="2902">
                  <c:v>1.0700000000000001E-2</c:v>
                </c:pt>
                <c:pt idx="2903">
                  <c:v>1.0800000000000001E-2</c:v>
                </c:pt>
                <c:pt idx="2904">
                  <c:v>1.0700000000000001E-2</c:v>
                </c:pt>
                <c:pt idx="2905">
                  <c:v>1.0800000000000001E-2</c:v>
                </c:pt>
                <c:pt idx="2906">
                  <c:v>1.1299999999999999E-2</c:v>
                </c:pt>
                <c:pt idx="2907">
                  <c:v>1.1399999999999999E-2</c:v>
                </c:pt>
                <c:pt idx="2908">
                  <c:v>1.1599999999999999E-2</c:v>
                </c:pt>
                <c:pt idx="2909">
                  <c:v>1.1599999999999999E-2</c:v>
                </c:pt>
                <c:pt idx="2910">
                  <c:v>1.1699999999999999E-2</c:v>
                </c:pt>
                <c:pt idx="2911">
                  <c:v>1.15E-2</c:v>
                </c:pt>
                <c:pt idx="2912">
                  <c:v>1.1299999999999999E-2</c:v>
                </c:pt>
                <c:pt idx="2913">
                  <c:v>1.1299999999999999E-2</c:v>
                </c:pt>
                <c:pt idx="2914">
                  <c:v>1.1299999999999999E-2</c:v>
                </c:pt>
                <c:pt idx="2915">
                  <c:v>1.1299999999999999E-2</c:v>
                </c:pt>
                <c:pt idx="2916">
                  <c:v>1.09E-2</c:v>
                </c:pt>
                <c:pt idx="2917">
                  <c:v>1.0800000000000001E-2</c:v>
                </c:pt>
                <c:pt idx="2918">
                  <c:v>1.0700000000000001E-2</c:v>
                </c:pt>
                <c:pt idx="2919">
                  <c:v>1.09E-2</c:v>
                </c:pt>
                <c:pt idx="2920">
                  <c:v>1.09E-2</c:v>
                </c:pt>
                <c:pt idx="2921">
                  <c:v>1.0800000000000001E-2</c:v>
                </c:pt>
                <c:pt idx="2922">
                  <c:v>1.0800000000000001E-2</c:v>
                </c:pt>
                <c:pt idx="2923">
                  <c:v>1.1000000000000001E-2</c:v>
                </c:pt>
                <c:pt idx="2924">
                  <c:v>1.1299999999999999E-2</c:v>
                </c:pt>
                <c:pt idx="2925">
                  <c:v>1.1200000000000002E-2</c:v>
                </c:pt>
                <c:pt idx="2926">
                  <c:v>1.15E-2</c:v>
                </c:pt>
                <c:pt idx="2927">
                  <c:v>1.15E-2</c:v>
                </c:pt>
                <c:pt idx="2928">
                  <c:v>1.1399999999999999E-2</c:v>
                </c:pt>
                <c:pt idx="2929">
                  <c:v>1.1399999999999999E-2</c:v>
                </c:pt>
                <c:pt idx="2930">
                  <c:v>1.1399999999999999E-2</c:v>
                </c:pt>
                <c:pt idx="2931">
                  <c:v>1.1399999999999999E-2</c:v>
                </c:pt>
                <c:pt idx="2932">
                  <c:v>1.15E-2</c:v>
                </c:pt>
                <c:pt idx="2933">
                  <c:v>1.15E-2</c:v>
                </c:pt>
                <c:pt idx="2934">
                  <c:v>1.1699999999999999E-2</c:v>
                </c:pt>
                <c:pt idx="2935">
                  <c:v>1.1899999999999999E-2</c:v>
                </c:pt>
                <c:pt idx="2936">
                  <c:v>1.18E-2</c:v>
                </c:pt>
                <c:pt idx="2937">
                  <c:v>1.18E-2</c:v>
                </c:pt>
                <c:pt idx="2938">
                  <c:v>1.2E-2</c:v>
                </c:pt>
                <c:pt idx="2939">
                  <c:v>1.1899999999999999E-2</c:v>
                </c:pt>
                <c:pt idx="2940">
                  <c:v>1.23E-2</c:v>
                </c:pt>
                <c:pt idx="2941">
                  <c:v>1.24E-2</c:v>
                </c:pt>
                <c:pt idx="2942">
                  <c:v>1.21E-2</c:v>
                </c:pt>
                <c:pt idx="2943">
                  <c:v>1.24E-2</c:v>
                </c:pt>
                <c:pt idx="2944">
                  <c:v>1.24E-2</c:v>
                </c:pt>
                <c:pt idx="2945">
                  <c:v>1.2199999999999999E-2</c:v>
                </c:pt>
                <c:pt idx="2946">
                  <c:v>1.18E-2</c:v>
                </c:pt>
                <c:pt idx="2947">
                  <c:v>1.1599999999999999E-2</c:v>
                </c:pt>
                <c:pt idx="2948">
                  <c:v>1.1470354906054279E-2</c:v>
                </c:pt>
                <c:pt idx="2949">
                  <c:v>1.1279227557411273E-2</c:v>
                </c:pt>
                <c:pt idx="2950">
                  <c:v>1.1190208768267224E-2</c:v>
                </c:pt>
                <c:pt idx="2951">
                  <c:v>1.0899749478079333E-2</c:v>
                </c:pt>
                <c:pt idx="2952">
                  <c:v>1.0898837856645789E-2</c:v>
                </c:pt>
                <c:pt idx="2953">
                  <c:v>1.09E-2</c:v>
                </c:pt>
                <c:pt idx="2954">
                  <c:v>1.0500000000000001E-2</c:v>
                </c:pt>
                <c:pt idx="2955">
                  <c:v>1.04E-2</c:v>
                </c:pt>
                <c:pt idx="2956">
                  <c:v>1.0200000000000001E-2</c:v>
                </c:pt>
                <c:pt idx="2957">
                  <c:v>1.0056471816283925E-2</c:v>
                </c:pt>
                <c:pt idx="2958">
                  <c:v>9.8027348643006246E-3</c:v>
                </c:pt>
                <c:pt idx="2959">
                  <c:v>9.6869311064718151E-3</c:v>
                </c:pt>
                <c:pt idx="2960">
                  <c:v>9.7153096729297138E-3</c:v>
                </c:pt>
                <c:pt idx="2961">
                  <c:v>9.740459290187891E-3</c:v>
                </c:pt>
                <c:pt idx="2962">
                  <c:v>9.7293945720250512E-3</c:v>
                </c:pt>
                <c:pt idx="2963">
                  <c:v>9.71902574808629E-3</c:v>
                </c:pt>
                <c:pt idx="2964">
                  <c:v>9.6805149617258165E-3</c:v>
                </c:pt>
                <c:pt idx="2965">
                  <c:v>9.6498956158663877E-3</c:v>
                </c:pt>
                <c:pt idx="2966">
                  <c:v>9.555692414752957E-3</c:v>
                </c:pt>
                <c:pt idx="2967">
                  <c:v>9.5742101600556715E-3</c:v>
                </c:pt>
                <c:pt idx="2968">
                  <c:v>9.4999999999999998E-3</c:v>
                </c:pt>
                <c:pt idx="2969">
                  <c:v>9.4999999999999998E-3</c:v>
                </c:pt>
                <c:pt idx="2970">
                  <c:v>9.3999999999999986E-3</c:v>
                </c:pt>
                <c:pt idx="2971">
                  <c:v>9.4999999999999998E-3</c:v>
                </c:pt>
                <c:pt idx="2972">
                  <c:v>9.5999999999999992E-3</c:v>
                </c:pt>
                <c:pt idx="2973">
                  <c:v>9.5999999999999992E-3</c:v>
                </c:pt>
                <c:pt idx="2974">
                  <c:v>9.5999999999999992E-3</c:v>
                </c:pt>
                <c:pt idx="2975">
                  <c:v>9.4999999999999998E-3</c:v>
                </c:pt>
                <c:pt idx="2976">
                  <c:v>9.4999999999999998E-3</c:v>
                </c:pt>
                <c:pt idx="2977">
                  <c:v>9.8999999999999991E-3</c:v>
                </c:pt>
                <c:pt idx="2978">
                  <c:v>9.8999999999999991E-3</c:v>
                </c:pt>
                <c:pt idx="2979">
                  <c:v>1.01E-2</c:v>
                </c:pt>
                <c:pt idx="2980">
                  <c:v>1.01E-2</c:v>
                </c:pt>
                <c:pt idx="2981">
                  <c:v>1.01E-2</c:v>
                </c:pt>
                <c:pt idx="2982">
                  <c:v>9.8999999999999991E-3</c:v>
                </c:pt>
                <c:pt idx="2983">
                  <c:v>0.01</c:v>
                </c:pt>
                <c:pt idx="2984">
                  <c:v>9.8999999999999991E-3</c:v>
                </c:pt>
                <c:pt idx="2985">
                  <c:v>9.7999999999999997E-3</c:v>
                </c:pt>
                <c:pt idx="2986">
                  <c:v>9.5999999999999992E-3</c:v>
                </c:pt>
                <c:pt idx="2987">
                  <c:v>9.300000000000001E-3</c:v>
                </c:pt>
                <c:pt idx="2988">
                  <c:v>9.3999999999999986E-3</c:v>
                </c:pt>
                <c:pt idx="2989">
                  <c:v>9.1999999999999998E-3</c:v>
                </c:pt>
                <c:pt idx="2990">
                  <c:v>9.1999999999999998E-3</c:v>
                </c:pt>
                <c:pt idx="2991">
                  <c:v>9.4999999999999998E-3</c:v>
                </c:pt>
                <c:pt idx="2992">
                  <c:v>9.4999999999999998E-3</c:v>
                </c:pt>
                <c:pt idx="2993">
                  <c:v>9.4999999999999998E-3</c:v>
                </c:pt>
                <c:pt idx="2994">
                  <c:v>9.7000000000000003E-3</c:v>
                </c:pt>
                <c:pt idx="2995">
                  <c:v>9.7999999999999997E-3</c:v>
                </c:pt>
                <c:pt idx="2996">
                  <c:v>9.8999999999999991E-3</c:v>
                </c:pt>
                <c:pt idx="2997">
                  <c:v>1.2800000000000001E-2</c:v>
                </c:pt>
                <c:pt idx="2998">
                  <c:v>0.01</c:v>
                </c:pt>
                <c:pt idx="2999">
                  <c:v>1.0200000000000001E-2</c:v>
                </c:pt>
                <c:pt idx="3000">
                  <c:v>0.01</c:v>
                </c:pt>
                <c:pt idx="3001">
                  <c:v>9.8999999999999991E-3</c:v>
                </c:pt>
                <c:pt idx="3002">
                  <c:v>0.01</c:v>
                </c:pt>
                <c:pt idx="3003">
                  <c:v>0.01</c:v>
                </c:pt>
                <c:pt idx="3004">
                  <c:v>1.01E-2</c:v>
                </c:pt>
                <c:pt idx="3005">
                  <c:v>1.01E-2</c:v>
                </c:pt>
                <c:pt idx="3006">
                  <c:v>1.03E-2</c:v>
                </c:pt>
                <c:pt idx="3007">
                  <c:v>1.0500000000000001E-2</c:v>
                </c:pt>
                <c:pt idx="3008">
                  <c:v>1.06E-2</c:v>
                </c:pt>
                <c:pt idx="3009">
                  <c:v>1.0500000000000001E-2</c:v>
                </c:pt>
                <c:pt idx="3010">
                  <c:v>1.0500000000000001E-2</c:v>
                </c:pt>
                <c:pt idx="3011">
                  <c:v>1.0700000000000001E-2</c:v>
                </c:pt>
                <c:pt idx="3012">
                  <c:v>1.0713618649965206E-2</c:v>
                </c:pt>
                <c:pt idx="3013">
                  <c:v>1.0831356993736951E-2</c:v>
                </c:pt>
                <c:pt idx="3014">
                  <c:v>1.0815768963117606E-2</c:v>
                </c:pt>
                <c:pt idx="3015">
                  <c:v>1.0893458594293668E-2</c:v>
                </c:pt>
                <c:pt idx="3016">
                  <c:v>1.08819624217119E-2</c:v>
                </c:pt>
                <c:pt idx="3017">
                  <c:v>1.11E-2</c:v>
                </c:pt>
                <c:pt idx="3018">
                  <c:v>1.1399999999999999E-2</c:v>
                </c:pt>
                <c:pt idx="3019">
                  <c:v>1.1399999999999999E-2</c:v>
                </c:pt>
                <c:pt idx="3020">
                  <c:v>1.1299999999999999E-2</c:v>
                </c:pt>
                <c:pt idx="3021">
                  <c:v>1.11E-2</c:v>
                </c:pt>
                <c:pt idx="3022">
                  <c:v>1.1200000000000002E-2</c:v>
                </c:pt>
                <c:pt idx="3023">
                  <c:v>1.1000000000000001E-2</c:v>
                </c:pt>
                <c:pt idx="3024">
                  <c:v>1.1200000000000002E-2</c:v>
                </c:pt>
                <c:pt idx="3025">
                  <c:v>1.1599999999999999E-2</c:v>
                </c:pt>
                <c:pt idx="3026">
                  <c:v>1.18E-2</c:v>
                </c:pt>
                <c:pt idx="3027">
                  <c:v>1.18E-2</c:v>
                </c:pt>
                <c:pt idx="3028">
                  <c:v>1.1899999999999999E-2</c:v>
                </c:pt>
                <c:pt idx="3029">
                  <c:v>1.21E-2</c:v>
                </c:pt>
                <c:pt idx="3030">
                  <c:v>1.2E-2</c:v>
                </c:pt>
                <c:pt idx="3031">
                  <c:v>1.2E-2</c:v>
                </c:pt>
                <c:pt idx="3032">
                  <c:v>1.2E-2</c:v>
                </c:pt>
                <c:pt idx="3033">
                  <c:v>1.2E-2</c:v>
                </c:pt>
                <c:pt idx="3034">
                  <c:v>1.18E-2</c:v>
                </c:pt>
                <c:pt idx="3035">
                  <c:v>1.1899999999999999E-2</c:v>
                </c:pt>
                <c:pt idx="3036">
                  <c:v>1.2E-2</c:v>
                </c:pt>
                <c:pt idx="3037">
                  <c:v>1.2138580375782882E-2</c:v>
                </c:pt>
                <c:pt idx="3038">
                  <c:v>1.199016701461378E-2</c:v>
                </c:pt>
                <c:pt idx="3039">
                  <c:v>1.1934300626304802E-2</c:v>
                </c:pt>
                <c:pt idx="3040">
                  <c:v>1.1978559498956159E-2</c:v>
                </c:pt>
                <c:pt idx="3041">
                  <c:v>1.1871725817675713E-2</c:v>
                </c:pt>
                <c:pt idx="3042">
                  <c:v>1.1899999999999999E-2</c:v>
                </c:pt>
                <c:pt idx="3043">
                  <c:v>1.18E-2</c:v>
                </c:pt>
                <c:pt idx="3044">
                  <c:v>1.1899999999999999E-2</c:v>
                </c:pt>
                <c:pt idx="3045">
                  <c:v>1.2E-2</c:v>
                </c:pt>
                <c:pt idx="3046">
                  <c:v>1.21E-2</c:v>
                </c:pt>
                <c:pt idx="3047">
                  <c:v>1.2E-2</c:v>
                </c:pt>
                <c:pt idx="3048">
                  <c:v>1.1899999999999999E-2</c:v>
                </c:pt>
                <c:pt idx="3049">
                  <c:v>1.1899999999999999E-2</c:v>
                </c:pt>
                <c:pt idx="3050">
                  <c:v>1.1899999999999999E-2</c:v>
                </c:pt>
                <c:pt idx="3051">
                  <c:v>1.18E-2</c:v>
                </c:pt>
                <c:pt idx="3052">
                  <c:v>1.1699999999999999E-2</c:v>
                </c:pt>
                <c:pt idx="3053">
                  <c:v>1.1699999999999999E-2</c:v>
                </c:pt>
                <c:pt idx="3054">
                  <c:v>1.1699999999999999E-2</c:v>
                </c:pt>
                <c:pt idx="3055">
                  <c:v>1.1699999999999999E-2</c:v>
                </c:pt>
                <c:pt idx="3056">
                  <c:v>1.1599999999999999E-2</c:v>
                </c:pt>
                <c:pt idx="3057">
                  <c:v>1.1699999999999999E-2</c:v>
                </c:pt>
                <c:pt idx="3058">
                  <c:v>1.1699999999999999E-2</c:v>
                </c:pt>
                <c:pt idx="3059">
                  <c:v>1.18E-2</c:v>
                </c:pt>
                <c:pt idx="3060">
                  <c:v>1.18E-2</c:v>
                </c:pt>
                <c:pt idx="3061">
                  <c:v>1.1699999999999999E-2</c:v>
                </c:pt>
                <c:pt idx="3062">
                  <c:v>1.18E-2</c:v>
                </c:pt>
                <c:pt idx="3063">
                  <c:v>1.18E-2</c:v>
                </c:pt>
                <c:pt idx="3064">
                  <c:v>1.1699999999999999E-2</c:v>
                </c:pt>
                <c:pt idx="3065">
                  <c:v>1.1599999999999999E-2</c:v>
                </c:pt>
                <c:pt idx="3066">
                  <c:v>1.15E-2</c:v>
                </c:pt>
                <c:pt idx="3067">
                  <c:v>1.1599999999999999E-2</c:v>
                </c:pt>
                <c:pt idx="3068">
                  <c:v>1.1399999999999999E-2</c:v>
                </c:pt>
                <c:pt idx="3069">
                  <c:v>1.15E-2</c:v>
                </c:pt>
                <c:pt idx="3070">
                  <c:v>1.1299999999999999E-2</c:v>
                </c:pt>
                <c:pt idx="3071">
                  <c:v>1.15E-2</c:v>
                </c:pt>
                <c:pt idx="3072">
                  <c:v>1.1532449547668754E-2</c:v>
                </c:pt>
                <c:pt idx="3073">
                  <c:v>1.1398615170494087E-2</c:v>
                </c:pt>
                <c:pt idx="3074">
                  <c:v>1.1610897703549061E-2</c:v>
                </c:pt>
                <c:pt idx="3075">
                  <c:v>1.155973556019485E-2</c:v>
                </c:pt>
                <c:pt idx="3076">
                  <c:v>1.1157487821851077E-2</c:v>
                </c:pt>
                <c:pt idx="3077">
                  <c:v>1.1299999999999999E-2</c:v>
                </c:pt>
                <c:pt idx="3078">
                  <c:v>1.1200000000000002E-2</c:v>
                </c:pt>
                <c:pt idx="3079">
                  <c:v>1.11E-2</c:v>
                </c:pt>
                <c:pt idx="3080">
                  <c:v>1.09E-2</c:v>
                </c:pt>
                <c:pt idx="3081">
                  <c:v>1.1000000000000001E-2</c:v>
                </c:pt>
                <c:pt idx="3082">
                  <c:v>1.1000000000000001E-2</c:v>
                </c:pt>
                <c:pt idx="3083">
                  <c:v>1.0800000000000001E-2</c:v>
                </c:pt>
                <c:pt idx="3084">
                  <c:v>1.0800000000000001E-2</c:v>
                </c:pt>
                <c:pt idx="3085">
                  <c:v>1.0800000000000001E-2</c:v>
                </c:pt>
                <c:pt idx="3086">
                  <c:v>1.03E-2</c:v>
                </c:pt>
                <c:pt idx="3087">
                  <c:v>1.0200000000000001E-2</c:v>
                </c:pt>
                <c:pt idx="3088">
                  <c:v>1.06E-2</c:v>
                </c:pt>
                <c:pt idx="3089">
                  <c:v>1.1299999999999999E-2</c:v>
                </c:pt>
                <c:pt idx="3090">
                  <c:v>1.1200000000000002E-2</c:v>
                </c:pt>
                <c:pt idx="3091">
                  <c:v>1.09E-2</c:v>
                </c:pt>
                <c:pt idx="3092">
                  <c:v>1.0500000000000001E-2</c:v>
                </c:pt>
                <c:pt idx="3093">
                  <c:v>1.03E-2</c:v>
                </c:pt>
                <c:pt idx="3094">
                  <c:v>1.0800000000000001E-2</c:v>
                </c:pt>
                <c:pt idx="3095">
                  <c:v>1.06E-2</c:v>
                </c:pt>
                <c:pt idx="3096">
                  <c:v>1.0700000000000001E-2</c:v>
                </c:pt>
                <c:pt idx="3097">
                  <c:v>1.0800000000000001E-2</c:v>
                </c:pt>
                <c:pt idx="3098">
                  <c:v>1.09E-2</c:v>
                </c:pt>
                <c:pt idx="3099">
                  <c:v>1.09E-2</c:v>
                </c:pt>
                <c:pt idx="3100">
                  <c:v>1.0800000000000001E-2</c:v>
                </c:pt>
                <c:pt idx="3101">
                  <c:v>1.09E-2</c:v>
                </c:pt>
                <c:pt idx="3102">
                  <c:v>1.06E-2</c:v>
                </c:pt>
                <c:pt idx="3103">
                  <c:v>1.0700000000000001E-2</c:v>
                </c:pt>
                <c:pt idx="3104">
                  <c:v>1.0800000000000001E-2</c:v>
                </c:pt>
                <c:pt idx="3105">
                  <c:v>1.0700000000000001E-2</c:v>
                </c:pt>
                <c:pt idx="3106">
                  <c:v>1.0700000000000001E-2</c:v>
                </c:pt>
                <c:pt idx="3107">
                  <c:v>1.03E-2</c:v>
                </c:pt>
                <c:pt idx="3108">
                  <c:v>1.03E-2</c:v>
                </c:pt>
                <c:pt idx="3109">
                  <c:v>1.03E-2</c:v>
                </c:pt>
                <c:pt idx="3110">
                  <c:v>1.03E-2</c:v>
                </c:pt>
                <c:pt idx="3111">
                  <c:v>1.0200000000000001E-2</c:v>
                </c:pt>
                <c:pt idx="3112">
                  <c:v>0.01</c:v>
                </c:pt>
                <c:pt idx="3113">
                  <c:v>9.8999999999999991E-3</c:v>
                </c:pt>
                <c:pt idx="3114">
                  <c:v>0.01</c:v>
                </c:pt>
                <c:pt idx="3115">
                  <c:v>0.01</c:v>
                </c:pt>
                <c:pt idx="3116">
                  <c:v>0.01</c:v>
                </c:pt>
                <c:pt idx="3117">
                  <c:v>9.7999999999999997E-3</c:v>
                </c:pt>
                <c:pt idx="3118">
                  <c:v>9.7000000000000003E-3</c:v>
                </c:pt>
                <c:pt idx="3119">
                  <c:v>9.7000000000000003E-3</c:v>
                </c:pt>
                <c:pt idx="3120">
                  <c:v>9.5999999999999992E-3</c:v>
                </c:pt>
                <c:pt idx="3121">
                  <c:v>9.4999999999999998E-3</c:v>
                </c:pt>
                <c:pt idx="3122">
                  <c:v>9.5999999999999992E-3</c:v>
                </c:pt>
                <c:pt idx="3123">
                  <c:v>9.3999999999999986E-3</c:v>
                </c:pt>
                <c:pt idx="3124">
                  <c:v>9.300000000000001E-3</c:v>
                </c:pt>
                <c:pt idx="3125">
                  <c:v>9.1999999999999998E-3</c:v>
                </c:pt>
                <c:pt idx="3126">
                  <c:v>9.4999999999999998E-3</c:v>
                </c:pt>
                <c:pt idx="3127">
                  <c:v>9.5999999999999992E-3</c:v>
                </c:pt>
                <c:pt idx="3128">
                  <c:v>9.7000000000000003E-3</c:v>
                </c:pt>
                <c:pt idx="3129">
                  <c:v>9.4999999999999998E-3</c:v>
                </c:pt>
                <c:pt idx="3130">
                  <c:v>9.3999999999999986E-3</c:v>
                </c:pt>
                <c:pt idx="3131">
                  <c:v>8.6999999999999994E-3</c:v>
                </c:pt>
                <c:pt idx="3132">
                  <c:v>8.0000000000000002E-3</c:v>
                </c:pt>
                <c:pt idx="3133">
                  <c:v>7.8000000000000005E-3</c:v>
                </c:pt>
                <c:pt idx="3134">
                  <c:v>7.8000000000000005E-3</c:v>
                </c:pt>
                <c:pt idx="3135">
                  <c:v>7.9000000000000008E-3</c:v>
                </c:pt>
                <c:pt idx="3136">
                  <c:v>7.9000000000000008E-3</c:v>
                </c:pt>
                <c:pt idx="3137">
                  <c:v>7.9000000000000008E-3</c:v>
                </c:pt>
                <c:pt idx="3138">
                  <c:v>7.9000000000000008E-3</c:v>
                </c:pt>
                <c:pt idx="3139">
                  <c:v>8.0000000000000002E-3</c:v>
                </c:pt>
                <c:pt idx="3140">
                  <c:v>8.3000000000000001E-3</c:v>
                </c:pt>
                <c:pt idx="3141">
                  <c:v>8.3999999999999995E-3</c:v>
                </c:pt>
                <c:pt idx="3142">
                  <c:v>8.0000000000000002E-3</c:v>
                </c:pt>
                <c:pt idx="3143">
                  <c:v>7.7000000000000002E-3</c:v>
                </c:pt>
                <c:pt idx="3144">
                  <c:v>7.7999999999999996E-3</c:v>
                </c:pt>
              </c:numCache>
            </c:numRef>
          </c:val>
          <c:smooth val="0"/>
          <c:extLst xmlns:c16r2="http://schemas.microsoft.com/office/drawing/2015/06/chart">
            <c:ext xmlns:c16="http://schemas.microsoft.com/office/drawing/2014/chart" uri="{C3380CC4-5D6E-409C-BE32-E72D297353CC}">
              <c16:uniqueId val="{00000001-011E-48B9-9DA4-64387C0BE623}"/>
            </c:ext>
          </c:extLst>
        </c:ser>
        <c:dLbls>
          <c:showLegendKey val="0"/>
          <c:showVal val="0"/>
          <c:showCatName val="0"/>
          <c:showSerName val="0"/>
          <c:showPercent val="0"/>
          <c:showBubbleSize val="0"/>
        </c:dLbls>
        <c:marker val="1"/>
        <c:smooth val="0"/>
        <c:axId val="37190272"/>
        <c:axId val="37196160"/>
      </c:lineChart>
      <c:dateAx>
        <c:axId val="37190272"/>
        <c:scaling>
          <c:orientation val="minMax"/>
        </c:scaling>
        <c:delete val="0"/>
        <c:axPos val="b"/>
        <c:numFmt formatCode="dd/mm/yyyy;@" sourceLinked="1"/>
        <c:majorTickMark val="out"/>
        <c:minorTickMark val="none"/>
        <c:tickLblPos val="nextTo"/>
        <c:txPr>
          <a:bodyPr rot="-5400000" vert="horz"/>
          <a:lstStyle/>
          <a:p>
            <a:pPr>
              <a:defRPr/>
            </a:pPr>
            <a:endParaRPr lang="en-US"/>
          </a:p>
        </c:txPr>
        <c:crossAx val="37196160"/>
        <c:crossesAt val="-1.0000000000000002E-2"/>
        <c:auto val="0"/>
        <c:lblOffset val="100"/>
        <c:baseTimeUnit val="days"/>
        <c:majorUnit val="6"/>
        <c:majorTimeUnit val="months"/>
      </c:dateAx>
      <c:valAx>
        <c:axId val="37196160"/>
        <c:scaling>
          <c:orientation val="minMax"/>
          <c:max val="8.0000000000000016E-2"/>
          <c:min val="-1.0000000000000002E-2"/>
        </c:scaling>
        <c:delete val="0"/>
        <c:axPos val="l"/>
        <c:majorGridlines>
          <c:spPr>
            <a:ln w="6350">
              <a:prstDash val="dash"/>
            </a:ln>
          </c:spPr>
        </c:majorGridlines>
        <c:title>
          <c:tx>
            <c:rich>
              <a:bodyPr rot="0" vert="horz"/>
              <a:lstStyle/>
              <a:p>
                <a:pPr>
                  <a:defRPr sz="1000"/>
                </a:pPr>
                <a:r>
                  <a:rPr lang="sl-SI" sz="1000" dirty="0"/>
                  <a:t>%</a:t>
                </a:r>
              </a:p>
            </c:rich>
          </c:tx>
          <c:layout>
            <c:manualLayout>
              <c:xMode val="edge"/>
              <c:yMode val="edge"/>
              <c:x val="1.8510727808161549E-2"/>
              <c:y val="1.1014536121416689E-2"/>
            </c:manualLayout>
          </c:layout>
          <c:overlay val="0"/>
        </c:title>
        <c:numFmt formatCode="0%" sourceLinked="0"/>
        <c:majorTickMark val="out"/>
        <c:minorTickMark val="none"/>
        <c:tickLblPos val="nextTo"/>
        <c:crossAx val="37190272"/>
        <c:crosses val="autoZero"/>
        <c:crossBetween val="between"/>
        <c:majorUnit val="1.0000000000000002E-2"/>
        <c:minorUnit val="1.0000000000000002E-2"/>
      </c:valAx>
      <c:valAx>
        <c:axId val="37198080"/>
        <c:scaling>
          <c:orientation val="minMax"/>
          <c:max val="800"/>
          <c:min val="-100"/>
        </c:scaling>
        <c:delete val="0"/>
        <c:axPos val="r"/>
        <c:title>
          <c:tx>
            <c:rich>
              <a:bodyPr rot="0" vert="horz"/>
              <a:lstStyle/>
              <a:p>
                <a:pPr>
                  <a:defRPr/>
                </a:pPr>
                <a:r>
                  <a:rPr lang="sl-SI" sz="1000" dirty="0" err="1"/>
                  <a:t>bp</a:t>
                </a:r>
                <a:endParaRPr lang="sl-SI" sz="1000" dirty="0"/>
              </a:p>
            </c:rich>
          </c:tx>
          <c:layout>
            <c:manualLayout>
              <c:xMode val="edge"/>
              <c:yMode val="edge"/>
              <c:x val="0.96841396718552797"/>
              <c:y val="1.1014536121416651E-2"/>
            </c:manualLayout>
          </c:layout>
          <c:overlay val="0"/>
        </c:title>
        <c:numFmt formatCode="0" sourceLinked="0"/>
        <c:majorTickMark val="out"/>
        <c:minorTickMark val="none"/>
        <c:tickLblPos val="nextTo"/>
        <c:crossAx val="37208448"/>
        <c:crosses val="max"/>
        <c:crossBetween val="between"/>
        <c:majorUnit val="100"/>
        <c:minorUnit val="100"/>
      </c:valAx>
      <c:dateAx>
        <c:axId val="37208448"/>
        <c:scaling>
          <c:orientation val="minMax"/>
        </c:scaling>
        <c:delete val="1"/>
        <c:axPos val="b"/>
        <c:numFmt formatCode="dd/mm/yyyy;@" sourceLinked="1"/>
        <c:majorTickMark val="out"/>
        <c:minorTickMark val="none"/>
        <c:tickLblPos val="nextTo"/>
        <c:crossAx val="37198080"/>
        <c:crosses val="autoZero"/>
        <c:auto val="1"/>
        <c:lblOffset val="100"/>
        <c:baseTimeUnit val="days"/>
        <c:majorUnit val="1"/>
        <c:minorUnit val="1"/>
      </c:dateAx>
    </c:plotArea>
    <c:legend>
      <c:legendPos val="r"/>
      <c:layout>
        <c:manualLayout>
          <c:xMode val="edge"/>
          <c:yMode val="edge"/>
          <c:x val="0.15036568678746606"/>
          <c:y val="0.91655283624766914"/>
          <c:w val="0.63975041314280168"/>
          <c:h val="7.4607181152453336E-2"/>
        </c:manualLayout>
      </c:layout>
      <c:overlay val="1"/>
      <c:spPr>
        <a:noFill/>
      </c:spPr>
      <c:txPr>
        <a:bodyPr/>
        <a:lstStyle/>
        <a:p>
          <a:pPr>
            <a:defRPr sz="1000"/>
          </a:pPr>
          <a:endParaRPr lang="en-US"/>
        </a:p>
      </c:txPr>
    </c:legend>
    <c:plotVisOnly val="1"/>
    <c:dispBlanksAs val="gap"/>
    <c:showDLblsOverMax val="0"/>
  </c:chart>
  <c:spPr>
    <a:solidFill>
      <a:schemeClr val="bg1"/>
    </a:solidFill>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bdp!$A$3</c:f>
              <c:strCache>
                <c:ptCount val="1"/>
                <c:pt idx="0">
                  <c:v>Slovenija (napoved)</c:v>
                </c:pt>
              </c:strCache>
            </c:strRef>
          </c:tx>
          <c:spPr>
            <a:ln>
              <a:solidFill>
                <a:schemeClr val="accent1">
                  <a:lumMod val="60000"/>
                  <a:lumOff val="40000"/>
                </a:schemeClr>
              </a:solidFill>
              <a:prstDash val="dash"/>
            </a:ln>
          </c:spPr>
          <c:marker>
            <c:symbol val="none"/>
          </c:marker>
          <c:dLbls>
            <c:dLbl>
              <c:idx val="2"/>
              <c:layout>
                <c:manualLayout>
                  <c:x val="0"/>
                  <c:y val="-1.68243953732912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1BE-4D77-9CE1-0C5E5A1C90ED}"/>
                </c:ext>
              </c:extLst>
            </c:dLbl>
            <c:dLbl>
              <c:idx val="4"/>
              <c:layout>
                <c:manualLayout>
                  <c:x val="0"/>
                  <c:y val="-2.103049421661409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1BE-4D77-9CE1-0C5E5A1C90ED}"/>
                </c:ext>
              </c:extLst>
            </c:dLbl>
            <c:dLbl>
              <c:idx val="5"/>
              <c:layout>
                <c:manualLayout>
                  <c:x val="-1.9464720194647202E-2"/>
                  <c:y val="-2.52365930599369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1BE-4D77-9CE1-0C5E5A1C90ED}"/>
                </c:ext>
              </c:extLst>
            </c:dLbl>
            <c:spPr>
              <a:effectLst>
                <a:glow rad="127000">
                  <a:schemeClr val="tx2">
                    <a:lumMod val="60000"/>
                    <a:lumOff val="40000"/>
                  </a:schemeClr>
                </a:glow>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bdp!$G$2:$L$2</c:f>
              <c:numCache>
                <c:formatCode>General</c:formatCode>
                <c:ptCount val="6"/>
                <c:pt idx="0">
                  <c:v>2015</c:v>
                </c:pt>
                <c:pt idx="1">
                  <c:v>2016</c:v>
                </c:pt>
                <c:pt idx="2">
                  <c:v>2017</c:v>
                </c:pt>
                <c:pt idx="3">
                  <c:v>2018</c:v>
                </c:pt>
                <c:pt idx="4">
                  <c:v>2019</c:v>
                </c:pt>
                <c:pt idx="5">
                  <c:v>2020</c:v>
                </c:pt>
              </c:numCache>
            </c:numRef>
          </c:cat>
          <c:val>
            <c:numRef>
              <c:f>bdp!$G$3:$L$3</c:f>
              <c:numCache>
                <c:formatCode>General</c:formatCode>
                <c:ptCount val="6"/>
                <c:pt idx="0">
                  <c:v>2.2999999999999998</c:v>
                </c:pt>
                <c:pt idx="1">
                  <c:v>3.1</c:v>
                </c:pt>
                <c:pt idx="2">
                  <c:v>4.9000000000000004</c:v>
                </c:pt>
                <c:pt idx="3" formatCode="0.0">
                  <c:v>4.4870080488933723</c:v>
                </c:pt>
                <c:pt idx="4" formatCode="0.0">
                  <c:v>3.390765883805912</c:v>
                </c:pt>
                <c:pt idx="5" formatCode="0.0">
                  <c:v>3.1216834085652891</c:v>
                </c:pt>
              </c:numCache>
            </c:numRef>
          </c:val>
          <c:smooth val="0"/>
          <c:extLst xmlns:c16r2="http://schemas.microsoft.com/office/drawing/2015/06/chart">
            <c:ext xmlns:c16="http://schemas.microsoft.com/office/drawing/2014/chart" uri="{C3380CC4-5D6E-409C-BE32-E72D297353CC}">
              <c16:uniqueId val="{00000003-61BE-4D77-9CE1-0C5E5A1C90ED}"/>
            </c:ext>
          </c:extLst>
        </c:ser>
        <c:ser>
          <c:idx val="1"/>
          <c:order val="1"/>
          <c:tx>
            <c:strRef>
              <c:f>bdp!$A$4</c:f>
              <c:strCache>
                <c:ptCount val="1"/>
                <c:pt idx="0">
                  <c:v>Evroobmočje (napoved)</c:v>
                </c:pt>
              </c:strCache>
            </c:strRef>
          </c:tx>
          <c:spPr>
            <a:ln>
              <a:solidFill>
                <a:schemeClr val="accent1">
                  <a:lumMod val="75000"/>
                </a:schemeClr>
              </a:solidFill>
              <a:prstDash val="dash"/>
            </a:ln>
          </c:spPr>
          <c:marker>
            <c:symbol val="none"/>
          </c:marker>
          <c:dLbls>
            <c:dLbl>
              <c:idx val="0"/>
              <c:layout>
                <c:manualLayout>
                  <c:x val="0"/>
                  <c:y val="5.04731861198737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1BE-4D77-9CE1-0C5E5A1C90ED}"/>
                </c:ext>
              </c:extLst>
            </c:dLbl>
            <c:dLbl>
              <c:idx val="1"/>
              <c:layout>
                <c:manualLayout>
                  <c:x val="0"/>
                  <c:y val="3.78548895899053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1BE-4D77-9CE1-0C5E5A1C90ED}"/>
                </c:ext>
              </c:extLst>
            </c:dLbl>
            <c:dLbl>
              <c:idx val="2"/>
              <c:layout>
                <c:manualLayout>
                  <c:x val="-7.2992700729927005E-3"/>
                  <c:y val="4.6267087276550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1BE-4D77-9CE1-0C5E5A1C90ED}"/>
                </c:ext>
              </c:extLst>
            </c:dLbl>
            <c:dLbl>
              <c:idx val="3"/>
              <c:layout>
                <c:manualLayout>
                  <c:x val="2.4330900243309003E-3"/>
                  <c:y val="4.20609884332281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1BE-4D77-9CE1-0C5E5A1C90ED}"/>
                </c:ext>
              </c:extLst>
            </c:dLbl>
            <c:dLbl>
              <c:idx val="4"/>
              <c:layout>
                <c:manualLayout>
                  <c:x val="2.4330900243309003E-3"/>
                  <c:y val="1.68243953732911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1BE-4D77-9CE1-0C5E5A1C90ED}"/>
                </c:ext>
              </c:extLst>
            </c:dLbl>
            <c:dLbl>
              <c:idx val="5"/>
              <c:layout>
                <c:manualLayout>
                  <c:x val="-2.9197080291970802E-2"/>
                  <c:y val="3.78548895899053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1BE-4D77-9CE1-0C5E5A1C90E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bdp!$G$2:$L$2</c:f>
              <c:numCache>
                <c:formatCode>General</c:formatCode>
                <c:ptCount val="6"/>
                <c:pt idx="0">
                  <c:v>2015</c:v>
                </c:pt>
                <c:pt idx="1">
                  <c:v>2016</c:v>
                </c:pt>
                <c:pt idx="2">
                  <c:v>2017</c:v>
                </c:pt>
                <c:pt idx="3">
                  <c:v>2018</c:v>
                </c:pt>
                <c:pt idx="4">
                  <c:v>2019</c:v>
                </c:pt>
                <c:pt idx="5">
                  <c:v>2020</c:v>
                </c:pt>
              </c:numCache>
            </c:numRef>
          </c:cat>
          <c:val>
            <c:numRef>
              <c:f>bdp!$G$4:$L$4</c:f>
              <c:numCache>
                <c:formatCode>General</c:formatCode>
                <c:ptCount val="6"/>
                <c:pt idx="0">
                  <c:v>2.1</c:v>
                </c:pt>
                <c:pt idx="1">
                  <c:v>2</c:v>
                </c:pt>
                <c:pt idx="2">
                  <c:v>2.4</c:v>
                </c:pt>
                <c:pt idx="3">
                  <c:v>1.9</c:v>
                </c:pt>
                <c:pt idx="4">
                  <c:v>1.3</c:v>
                </c:pt>
                <c:pt idx="5">
                  <c:v>1.6</c:v>
                </c:pt>
              </c:numCache>
            </c:numRef>
          </c:val>
          <c:smooth val="0"/>
          <c:extLst xmlns:c16r2="http://schemas.microsoft.com/office/drawing/2015/06/chart">
            <c:ext xmlns:c16="http://schemas.microsoft.com/office/drawing/2014/chart" uri="{C3380CC4-5D6E-409C-BE32-E72D297353CC}">
              <c16:uniqueId val="{0000000A-61BE-4D77-9CE1-0C5E5A1C90ED}"/>
            </c:ext>
          </c:extLst>
        </c:ser>
        <c:ser>
          <c:idx val="2"/>
          <c:order val="2"/>
          <c:tx>
            <c:strRef>
              <c:f>bdp!$A$7</c:f>
              <c:strCache>
                <c:ptCount val="1"/>
                <c:pt idx="0">
                  <c:v>Slovenija</c:v>
                </c:pt>
              </c:strCache>
            </c:strRef>
          </c:tx>
          <c:spPr>
            <a:ln>
              <a:solidFill>
                <a:schemeClr val="accent1">
                  <a:lumMod val="60000"/>
                  <a:lumOff val="40000"/>
                </a:schemeClr>
              </a:solidFill>
            </a:ln>
          </c:spPr>
          <c:marker>
            <c:symbol val="none"/>
          </c:marker>
          <c:dPt>
            <c:idx val="4"/>
            <c:bubble3D val="0"/>
            <c:spPr>
              <a:ln>
                <a:solidFill>
                  <a:schemeClr val="accent1">
                    <a:lumMod val="60000"/>
                    <a:lumOff val="40000"/>
                  </a:schemeClr>
                </a:solidFill>
                <a:prstDash val="dash"/>
              </a:ln>
            </c:spPr>
            <c:extLst xmlns:c16r2="http://schemas.microsoft.com/office/drawing/2015/06/chart">
              <c:ext xmlns:c16="http://schemas.microsoft.com/office/drawing/2014/chart" uri="{C3380CC4-5D6E-409C-BE32-E72D297353CC}">
                <c16:uniqueId val="{00000001-A696-4737-B953-144CD38F1896}"/>
              </c:ext>
            </c:extLst>
          </c:dPt>
          <c:cat>
            <c:numRef>
              <c:f>bdp!$G$2:$L$2</c:f>
              <c:numCache>
                <c:formatCode>General</c:formatCode>
                <c:ptCount val="6"/>
                <c:pt idx="0">
                  <c:v>2015</c:v>
                </c:pt>
                <c:pt idx="1">
                  <c:v>2016</c:v>
                </c:pt>
                <c:pt idx="2">
                  <c:v>2017</c:v>
                </c:pt>
                <c:pt idx="3">
                  <c:v>2018</c:v>
                </c:pt>
                <c:pt idx="4">
                  <c:v>2019</c:v>
                </c:pt>
                <c:pt idx="5">
                  <c:v>2020</c:v>
                </c:pt>
              </c:numCache>
            </c:numRef>
          </c:cat>
          <c:val>
            <c:numRef>
              <c:f>bdp!$G$7:$K$7</c:f>
              <c:numCache>
                <c:formatCode>General</c:formatCode>
                <c:ptCount val="5"/>
                <c:pt idx="0">
                  <c:v>2.2999999999999998</c:v>
                </c:pt>
                <c:pt idx="1">
                  <c:v>3.1</c:v>
                </c:pt>
                <c:pt idx="2">
                  <c:v>4.9000000000000004</c:v>
                </c:pt>
                <c:pt idx="3">
                  <c:v>4.4870080488933723</c:v>
                </c:pt>
                <c:pt idx="4">
                  <c:v>3.390765883805912</c:v>
                </c:pt>
              </c:numCache>
            </c:numRef>
          </c:val>
          <c:smooth val="0"/>
          <c:extLst xmlns:c16r2="http://schemas.microsoft.com/office/drawing/2015/06/chart">
            <c:ext xmlns:c16="http://schemas.microsoft.com/office/drawing/2014/chart" uri="{C3380CC4-5D6E-409C-BE32-E72D297353CC}">
              <c16:uniqueId val="{0000000B-61BE-4D77-9CE1-0C5E5A1C90ED}"/>
            </c:ext>
          </c:extLst>
        </c:ser>
        <c:ser>
          <c:idx val="3"/>
          <c:order val="3"/>
          <c:tx>
            <c:strRef>
              <c:f>bdp!$A$8</c:f>
              <c:strCache>
                <c:ptCount val="1"/>
                <c:pt idx="0">
                  <c:v>Evroobmočje</c:v>
                </c:pt>
              </c:strCache>
            </c:strRef>
          </c:tx>
          <c:spPr>
            <a:ln>
              <a:solidFill>
                <a:schemeClr val="accent1">
                  <a:lumMod val="75000"/>
                </a:schemeClr>
              </a:solidFill>
            </a:ln>
          </c:spPr>
          <c:marker>
            <c:symbol val="none"/>
          </c:marker>
          <c:dPt>
            <c:idx val="4"/>
            <c:bubble3D val="0"/>
            <c:spPr>
              <a:ln w="28575">
                <a:solidFill>
                  <a:schemeClr val="accent1">
                    <a:lumMod val="75000"/>
                  </a:schemeClr>
                </a:solidFill>
                <a:prstDash val="dash"/>
              </a:ln>
            </c:spPr>
            <c:extLst xmlns:c16r2="http://schemas.microsoft.com/office/drawing/2015/06/chart">
              <c:ext xmlns:c16="http://schemas.microsoft.com/office/drawing/2014/chart" uri="{C3380CC4-5D6E-409C-BE32-E72D297353CC}">
                <c16:uniqueId val="{00000003-A696-4737-B953-144CD38F1896}"/>
              </c:ext>
            </c:extLst>
          </c:dPt>
          <c:cat>
            <c:numRef>
              <c:f>bdp!$G$2:$L$2</c:f>
              <c:numCache>
                <c:formatCode>General</c:formatCode>
                <c:ptCount val="6"/>
                <c:pt idx="0">
                  <c:v>2015</c:v>
                </c:pt>
                <c:pt idx="1">
                  <c:v>2016</c:v>
                </c:pt>
                <c:pt idx="2">
                  <c:v>2017</c:v>
                </c:pt>
                <c:pt idx="3">
                  <c:v>2018</c:v>
                </c:pt>
                <c:pt idx="4">
                  <c:v>2019</c:v>
                </c:pt>
                <c:pt idx="5">
                  <c:v>2020</c:v>
                </c:pt>
              </c:numCache>
            </c:numRef>
          </c:cat>
          <c:val>
            <c:numRef>
              <c:f>bdp!$G$8:$K$8</c:f>
              <c:numCache>
                <c:formatCode>General</c:formatCode>
                <c:ptCount val="5"/>
                <c:pt idx="0">
                  <c:v>2.1</c:v>
                </c:pt>
                <c:pt idx="1">
                  <c:v>2</c:v>
                </c:pt>
                <c:pt idx="2">
                  <c:v>2.4</c:v>
                </c:pt>
                <c:pt idx="3">
                  <c:v>1.9</c:v>
                </c:pt>
                <c:pt idx="4">
                  <c:v>1.3</c:v>
                </c:pt>
              </c:numCache>
            </c:numRef>
          </c:val>
          <c:smooth val="0"/>
          <c:extLst xmlns:c16r2="http://schemas.microsoft.com/office/drawing/2015/06/chart">
            <c:ext xmlns:c16="http://schemas.microsoft.com/office/drawing/2014/chart" uri="{C3380CC4-5D6E-409C-BE32-E72D297353CC}">
              <c16:uniqueId val="{0000000C-61BE-4D77-9CE1-0C5E5A1C90ED}"/>
            </c:ext>
          </c:extLst>
        </c:ser>
        <c:dLbls>
          <c:showLegendKey val="0"/>
          <c:showVal val="0"/>
          <c:showCatName val="0"/>
          <c:showSerName val="0"/>
          <c:showPercent val="0"/>
          <c:showBubbleSize val="0"/>
        </c:dLbls>
        <c:marker val="1"/>
        <c:smooth val="0"/>
        <c:axId val="37247232"/>
        <c:axId val="37273600"/>
      </c:lineChart>
      <c:catAx>
        <c:axId val="37247232"/>
        <c:scaling>
          <c:orientation val="minMax"/>
        </c:scaling>
        <c:delete val="0"/>
        <c:axPos val="b"/>
        <c:numFmt formatCode="General" sourceLinked="1"/>
        <c:majorTickMark val="none"/>
        <c:minorTickMark val="none"/>
        <c:tickLblPos val="nextTo"/>
        <c:crossAx val="37273600"/>
        <c:crosses val="autoZero"/>
        <c:auto val="1"/>
        <c:lblAlgn val="ctr"/>
        <c:lblOffset val="100"/>
        <c:noMultiLvlLbl val="0"/>
      </c:catAx>
      <c:valAx>
        <c:axId val="37273600"/>
        <c:scaling>
          <c:orientation val="minMax"/>
        </c:scaling>
        <c:delete val="0"/>
        <c:axPos val="l"/>
        <c:majorGridlines>
          <c:spPr>
            <a:ln>
              <a:solidFill>
                <a:schemeClr val="tx1">
                  <a:lumMod val="15000"/>
                  <a:lumOff val="85000"/>
                </a:schemeClr>
              </a:solidFill>
            </a:ln>
          </c:spPr>
        </c:majorGridlines>
        <c:title>
          <c:tx>
            <c:rich>
              <a:bodyPr rot="-5400000" vert="horz"/>
              <a:lstStyle/>
              <a:p>
                <a:pPr>
                  <a:defRPr/>
                </a:pPr>
                <a:r>
                  <a:rPr lang="sl-SI"/>
                  <a:t>%</a:t>
                </a:r>
              </a:p>
            </c:rich>
          </c:tx>
          <c:overlay val="0"/>
        </c:title>
        <c:numFmt formatCode="#,##0.0" sourceLinked="0"/>
        <c:majorTickMark val="none"/>
        <c:minorTickMark val="none"/>
        <c:tickLblPos val="nextTo"/>
        <c:spPr>
          <a:ln w="9525">
            <a:noFill/>
          </a:ln>
        </c:spPr>
        <c:crossAx val="37247232"/>
        <c:crosses val="autoZero"/>
        <c:crossBetween val="between"/>
      </c:valAx>
    </c:plotArea>
    <c:legend>
      <c:legendPos val="b"/>
      <c:overlay val="0"/>
      <c:txPr>
        <a:bodyPr/>
        <a:lstStyle/>
        <a:p>
          <a:pPr>
            <a:defRPr sz="900"/>
          </a:pPr>
          <a:endParaRPr lang="en-US"/>
        </a:p>
      </c:txPr>
    </c:legend>
    <c:plotVisOnly val="1"/>
    <c:dispBlanksAs val="gap"/>
    <c:showDLblsOverMax val="0"/>
  </c:chart>
  <c:spPr>
    <a:ln>
      <a:noFill/>
    </a:ln>
  </c:spPr>
  <c:txPr>
    <a:bodyPr/>
    <a:lstStyle/>
    <a:p>
      <a:pPr>
        <a:defRPr>
          <a:ln>
            <a:noFill/>
          </a:ln>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stacked"/>
        <c:varyColors val="0"/>
        <c:ser>
          <c:idx val="1"/>
          <c:order val="1"/>
          <c:tx>
            <c:strRef>
              <c:f>prispevek!$A$10</c:f>
              <c:strCache>
                <c:ptCount val="1"/>
                <c:pt idx="0">
                  <c:v>Saldo menjave s tujino</c:v>
                </c:pt>
              </c:strCache>
            </c:strRef>
          </c:tx>
          <c:spPr>
            <a:solidFill>
              <a:schemeClr val="accent1">
                <a:lumMod val="5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prispevek!$H$10:$O$10</c:f>
              <c:numCache>
                <c:formatCode>0.0</c:formatCode>
                <c:ptCount val="8"/>
                <c:pt idx="0">
                  <c:v>0.56617371347727474</c:v>
                </c:pt>
                <c:pt idx="1">
                  <c:v>0.45286941664758268</c:v>
                </c:pt>
                <c:pt idx="2">
                  <c:v>1.30906009336624</c:v>
                </c:pt>
                <c:pt idx="3">
                  <c:v>0.31209520066419028</c:v>
                </c:pt>
                <c:pt idx="4">
                  <c:v>-0.14436612470378662</c:v>
                </c:pt>
                <c:pt idx="5">
                  <c:v>0.11093549415566617</c:v>
                </c:pt>
                <c:pt idx="6">
                  <c:v>-9.833010921513452E-2</c:v>
                </c:pt>
                <c:pt idx="7">
                  <c:v>-0.21268342711205079</c:v>
                </c:pt>
              </c:numCache>
            </c:numRef>
          </c:val>
          <c:extLst xmlns:c16r2="http://schemas.microsoft.com/office/drawing/2015/06/chart">
            <c:ext xmlns:c16="http://schemas.microsoft.com/office/drawing/2014/chart" uri="{C3380CC4-5D6E-409C-BE32-E72D297353CC}">
              <c16:uniqueId val="{00000000-2574-4106-8390-BD69A7B819EB}"/>
            </c:ext>
          </c:extLst>
        </c:ser>
        <c:ser>
          <c:idx val="2"/>
          <c:order val="2"/>
          <c:tx>
            <c:strRef>
              <c:f>prispevek!$A$13</c:f>
              <c:strCache>
                <c:ptCount val="1"/>
                <c:pt idx="0">
                  <c:v>Zasebna potrošnja</c:v>
                </c:pt>
              </c:strCache>
            </c:strRef>
          </c:tx>
          <c:spPr>
            <a:solidFill>
              <a:schemeClr val="accent1">
                <a:lumMod val="75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prispevek!$H$13:$O$13</c:f>
              <c:numCache>
                <c:formatCode>0.0</c:formatCode>
                <c:ptCount val="8"/>
                <c:pt idx="0">
                  <c:v>1.263452941630119</c:v>
                </c:pt>
                <c:pt idx="1">
                  <c:v>2.1055854752427172</c:v>
                </c:pt>
                <c:pt idx="2">
                  <c:v>1.0124587434212446</c:v>
                </c:pt>
                <c:pt idx="3">
                  <c:v>1.1662872066549217</c:v>
                </c:pt>
                <c:pt idx="4">
                  <c:v>1.4922036117307793</c:v>
                </c:pt>
                <c:pt idx="5">
                  <c:v>1.2365702522454651</c:v>
                </c:pt>
                <c:pt idx="6">
                  <c:v>1.1294287974683679</c:v>
                </c:pt>
                <c:pt idx="7">
                  <c:v>1.0786720359323776</c:v>
                </c:pt>
              </c:numCache>
            </c:numRef>
          </c:val>
          <c:extLst xmlns:c16r2="http://schemas.microsoft.com/office/drawing/2015/06/chart">
            <c:ext xmlns:c16="http://schemas.microsoft.com/office/drawing/2014/chart" uri="{C3380CC4-5D6E-409C-BE32-E72D297353CC}">
              <c16:uniqueId val="{00000001-2574-4106-8390-BD69A7B819EB}"/>
            </c:ext>
          </c:extLst>
        </c:ser>
        <c:ser>
          <c:idx val="3"/>
          <c:order val="3"/>
          <c:tx>
            <c:strRef>
              <c:f>prispevek!$A$16</c:f>
              <c:strCache>
                <c:ptCount val="1"/>
                <c:pt idx="0">
                  <c:v>Državna potrošnja</c:v>
                </c:pt>
              </c:strCache>
            </c:strRef>
          </c:tx>
          <c:spPr>
            <a:solidFill>
              <a:schemeClr val="tx2">
                <a:lumMod val="60000"/>
                <a:lumOff val="4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prispevek!$H$16:$O$16</c:f>
              <c:numCache>
                <c:formatCode>#,##0.0</c:formatCode>
                <c:ptCount val="8"/>
                <c:pt idx="0">
                  <c:v>0.44703523360981473</c:v>
                </c:pt>
                <c:pt idx="1">
                  <c:v>0.5015014165034869</c:v>
                </c:pt>
                <c:pt idx="2">
                  <c:v>9.4406945972466794E-2</c:v>
                </c:pt>
                <c:pt idx="3">
                  <c:v>0.46744512171014935</c:v>
                </c:pt>
                <c:pt idx="4">
                  <c:v>0.40099011073507945</c:v>
                </c:pt>
                <c:pt idx="5">
                  <c:v>0.33487921807031035</c:v>
                </c:pt>
                <c:pt idx="6">
                  <c:v>0.25253628829329577</c:v>
                </c:pt>
                <c:pt idx="7">
                  <c:v>0.24054718551203205</c:v>
                </c:pt>
              </c:numCache>
            </c:numRef>
          </c:val>
          <c:extLst xmlns:c16r2="http://schemas.microsoft.com/office/drawing/2015/06/chart">
            <c:ext xmlns:c16="http://schemas.microsoft.com/office/drawing/2014/chart" uri="{C3380CC4-5D6E-409C-BE32-E72D297353CC}">
              <c16:uniqueId val="{00000002-2574-4106-8390-BD69A7B819EB}"/>
            </c:ext>
          </c:extLst>
        </c:ser>
        <c:ser>
          <c:idx val="4"/>
          <c:order val="4"/>
          <c:tx>
            <c:strRef>
              <c:f>prispevek!$A$17</c:f>
              <c:strCache>
                <c:ptCount val="1"/>
                <c:pt idx="0">
                  <c:v>Bruto investicije</c:v>
                </c:pt>
              </c:strCache>
            </c:strRef>
          </c:tx>
          <c:spPr>
            <a:solidFill>
              <a:schemeClr val="tx2">
                <a:lumMod val="40000"/>
                <a:lumOff val="6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prispevek!$H$17:$O$17</c:f>
              <c:numCache>
                <c:formatCode>0.0</c:formatCode>
                <c:ptCount val="8"/>
                <c:pt idx="0">
                  <c:v>2.8189015325783544E-2</c:v>
                </c:pt>
                <c:pt idx="1">
                  <c:v>8.2339893935919443E-3</c:v>
                </c:pt>
                <c:pt idx="2">
                  <c:v>2.4644920856749217</c:v>
                </c:pt>
                <c:pt idx="3">
                  <c:v>2.5418781991502266</c:v>
                </c:pt>
                <c:pt idx="4">
                  <c:v>1.6419382860438572</c:v>
                </c:pt>
                <c:pt idx="5">
                  <c:v>1.439298444093839</c:v>
                </c:pt>
                <c:pt idx="6">
                  <c:v>1.5507962456076048</c:v>
                </c:pt>
                <c:pt idx="7">
                  <c:v>1.5662920132779727</c:v>
                </c:pt>
              </c:numCache>
            </c:numRef>
          </c:val>
          <c:extLst xmlns:c16r2="http://schemas.microsoft.com/office/drawing/2015/06/chart">
            <c:ext xmlns:c16="http://schemas.microsoft.com/office/drawing/2014/chart" uri="{C3380CC4-5D6E-409C-BE32-E72D297353CC}">
              <c16:uniqueId val="{00000003-2574-4106-8390-BD69A7B819EB}"/>
            </c:ext>
          </c:extLst>
        </c:ser>
        <c:dLbls>
          <c:showLegendKey val="0"/>
          <c:showVal val="0"/>
          <c:showCatName val="0"/>
          <c:showSerName val="0"/>
          <c:showPercent val="0"/>
          <c:showBubbleSize val="0"/>
        </c:dLbls>
        <c:gapWidth val="150"/>
        <c:overlap val="100"/>
        <c:axId val="37079296"/>
        <c:axId val="109838336"/>
      </c:barChart>
      <c:lineChart>
        <c:grouping val="standard"/>
        <c:varyColors val="0"/>
        <c:ser>
          <c:idx val="0"/>
          <c:order val="0"/>
          <c:tx>
            <c:strRef>
              <c:f>prispevek!$A$7</c:f>
              <c:strCache>
                <c:ptCount val="1"/>
                <c:pt idx="0">
                  <c:v>Realna rast BDP</c:v>
                </c:pt>
              </c:strCache>
            </c:strRef>
          </c:tx>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prispevek!$H$7:$O$7</c:f>
              <c:numCache>
                <c:formatCode>0.0</c:formatCode>
                <c:ptCount val="8"/>
                <c:pt idx="0">
                  <c:v>2.3048509040429885</c:v>
                </c:pt>
                <c:pt idx="1">
                  <c:v>3.0681902977873574</c:v>
                </c:pt>
                <c:pt idx="2">
                  <c:v>4.8806656556946582</c:v>
                </c:pt>
                <c:pt idx="3">
                  <c:v>4.4870080488933679</c:v>
                </c:pt>
                <c:pt idx="4">
                  <c:v>3.3907658838059103</c:v>
                </c:pt>
                <c:pt idx="5">
                  <c:v>3.1216834085652851</c:v>
                </c:pt>
                <c:pt idx="6">
                  <c:v>2.8344312221541408</c:v>
                </c:pt>
                <c:pt idx="7">
                  <c:v>2.6728278076103242</c:v>
                </c:pt>
              </c:numCache>
            </c:numRef>
          </c:val>
          <c:smooth val="0"/>
          <c:extLst xmlns:c16r2="http://schemas.microsoft.com/office/drawing/2015/06/chart">
            <c:ext xmlns:c16="http://schemas.microsoft.com/office/drawing/2014/chart" uri="{C3380CC4-5D6E-409C-BE32-E72D297353CC}">
              <c16:uniqueId val="{00000004-2574-4106-8390-BD69A7B819EB}"/>
            </c:ext>
          </c:extLst>
        </c:ser>
        <c:dLbls>
          <c:showLegendKey val="0"/>
          <c:showVal val="0"/>
          <c:showCatName val="0"/>
          <c:showSerName val="0"/>
          <c:showPercent val="0"/>
          <c:showBubbleSize val="0"/>
        </c:dLbls>
        <c:marker val="1"/>
        <c:smooth val="0"/>
        <c:axId val="109846528"/>
        <c:axId val="109840256"/>
      </c:lineChart>
      <c:dateAx>
        <c:axId val="37079296"/>
        <c:scaling>
          <c:orientation val="minMax"/>
        </c:scaling>
        <c:delete val="0"/>
        <c:axPos val="b"/>
        <c:numFmt formatCode="General" sourceLinked="1"/>
        <c:majorTickMark val="in"/>
        <c:minorTickMark val="none"/>
        <c:tickLblPos val="nextTo"/>
        <c:crossAx val="109838336"/>
        <c:crosses val="autoZero"/>
        <c:auto val="0"/>
        <c:lblOffset val="100"/>
        <c:baseTimeUnit val="days"/>
      </c:dateAx>
      <c:valAx>
        <c:axId val="109838336"/>
        <c:scaling>
          <c:orientation val="minMax"/>
        </c:scaling>
        <c:delete val="0"/>
        <c:axPos val="l"/>
        <c:majorGridlines/>
        <c:title>
          <c:tx>
            <c:rich>
              <a:bodyPr rot="-5400000" vert="horz"/>
              <a:lstStyle/>
              <a:p>
                <a:pPr>
                  <a:defRPr b="0"/>
                </a:pPr>
                <a:r>
                  <a:rPr lang="sl-SI" b="0"/>
                  <a:t>Prispevek k rasti (v o.t.) </a:t>
                </a:r>
              </a:p>
            </c:rich>
          </c:tx>
          <c:overlay val="0"/>
        </c:title>
        <c:numFmt formatCode="0.0" sourceLinked="1"/>
        <c:majorTickMark val="out"/>
        <c:minorTickMark val="none"/>
        <c:tickLblPos val="nextTo"/>
        <c:crossAx val="37079296"/>
        <c:crossesAt val="1"/>
        <c:crossBetween val="between"/>
      </c:valAx>
      <c:valAx>
        <c:axId val="109840256"/>
        <c:scaling>
          <c:orientation val="minMax"/>
          <c:min val="-1"/>
        </c:scaling>
        <c:delete val="0"/>
        <c:axPos val="r"/>
        <c:title>
          <c:tx>
            <c:rich>
              <a:bodyPr rot="-5400000" vert="horz"/>
              <a:lstStyle/>
              <a:p>
                <a:pPr>
                  <a:defRPr b="0"/>
                </a:pPr>
                <a:r>
                  <a:rPr lang="sl-SI" b="0"/>
                  <a:t>Rast BDP v %</a:t>
                </a:r>
              </a:p>
            </c:rich>
          </c:tx>
          <c:overlay val="0"/>
        </c:title>
        <c:numFmt formatCode="0.0" sourceLinked="1"/>
        <c:majorTickMark val="out"/>
        <c:minorTickMark val="none"/>
        <c:tickLblPos val="nextTo"/>
        <c:crossAx val="109846528"/>
        <c:crosses val="max"/>
        <c:crossBetween val="between"/>
      </c:valAx>
      <c:catAx>
        <c:axId val="109846528"/>
        <c:scaling>
          <c:orientation val="minMax"/>
        </c:scaling>
        <c:delete val="1"/>
        <c:axPos val="b"/>
        <c:numFmt formatCode="General" sourceLinked="1"/>
        <c:majorTickMark val="out"/>
        <c:minorTickMark val="none"/>
        <c:tickLblPos val="nextTo"/>
        <c:crossAx val="109840256"/>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bdp!$A$36</c:f>
              <c:strCache>
                <c:ptCount val="1"/>
                <c:pt idx="0">
                  <c:v>letna nominalna rast (napoved)</c:v>
                </c:pt>
              </c:strCache>
            </c:strRef>
          </c:tx>
          <c:spPr>
            <a:ln>
              <a:solidFill>
                <a:schemeClr val="tx2">
                  <a:lumMod val="40000"/>
                  <a:lumOff val="60000"/>
                </a:schemeClr>
              </a:solidFill>
              <a:prstDash val="dash"/>
            </a:ln>
          </c:spPr>
          <c:marker>
            <c:symbol val="none"/>
          </c:marker>
          <c:dLbls>
            <c:dLbl>
              <c:idx val="0"/>
              <c:layout>
                <c:manualLayout>
                  <c:x val="-2.6574408133526566E-2"/>
                  <c:y val="-4.1277262223287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95C-49DC-AF04-44DEEEC8CC57}"/>
                </c:ext>
              </c:extLst>
            </c:dLbl>
            <c:dLbl>
              <c:idx val="1"/>
              <c:layout>
                <c:manualLayout>
                  <c:x val="-3.1889289760231879E-2"/>
                  <c:y val="-5.50363496310506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95C-49DC-AF04-44DEEEC8CC57}"/>
                </c:ext>
              </c:extLst>
            </c:dLbl>
            <c:dLbl>
              <c:idx val="2"/>
              <c:layout>
                <c:manualLayout>
                  <c:x val="-2.6574408133526566E-2"/>
                  <c:y val="-2.29318123462710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95C-49DC-AF04-44DEEEC8CC57}"/>
                </c:ext>
              </c:extLst>
            </c:dLbl>
            <c:dLbl>
              <c:idx val="3"/>
              <c:layout>
                <c:manualLayout>
                  <c:x val="-2.1259526506821252E-2"/>
                  <c:y val="-1.37590874077626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95C-49DC-AF04-44DEEEC8CC5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bdp!$B$36:$I$36</c:f>
              <c:numCache>
                <c:formatCode>#,##0.0</c:formatCode>
                <c:ptCount val="8"/>
                <c:pt idx="0">
                  <c:v>3.3507697462722632</c:v>
                </c:pt>
                <c:pt idx="1">
                  <c:v>3.8439864859648907</c:v>
                </c:pt>
                <c:pt idx="2">
                  <c:v>6.547778339428902</c:v>
                </c:pt>
                <c:pt idx="3">
                  <c:v>6.8553966655581462</c:v>
                </c:pt>
                <c:pt idx="4">
                  <c:v>6.2018090292052364</c:v>
                </c:pt>
                <c:pt idx="5">
                  <c:v>5.6981695856324706</c:v>
                </c:pt>
                <c:pt idx="6">
                  <c:v>5.5555956021325272</c:v>
                </c:pt>
                <c:pt idx="7">
                  <c:v>5.1088285423333701</c:v>
                </c:pt>
              </c:numCache>
            </c:numRef>
          </c:val>
          <c:smooth val="0"/>
          <c:extLst xmlns:c16r2="http://schemas.microsoft.com/office/drawing/2015/06/chart">
            <c:ext xmlns:c16="http://schemas.microsoft.com/office/drawing/2014/chart" uri="{C3380CC4-5D6E-409C-BE32-E72D297353CC}">
              <c16:uniqueId val="{00000004-995C-49DC-AF04-44DEEEC8CC57}"/>
            </c:ext>
          </c:extLst>
        </c:ser>
        <c:ser>
          <c:idx val="1"/>
          <c:order val="1"/>
          <c:tx>
            <c:strRef>
              <c:f>bdp!$A$37</c:f>
              <c:strCache>
                <c:ptCount val="1"/>
                <c:pt idx="0">
                  <c:v>letna nominalna rast</c:v>
                </c:pt>
              </c:strCache>
            </c:strRef>
          </c:tx>
          <c:spPr>
            <a:ln>
              <a:solidFill>
                <a:schemeClr val="tx2">
                  <a:lumMod val="40000"/>
                  <a:lumOff val="60000"/>
                </a:schemeClr>
              </a:solidFill>
            </a:ln>
          </c:spPr>
          <c:marker>
            <c:symbol val="none"/>
          </c:marker>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bdp!$B$37:$I$37</c:f>
              <c:numCache>
                <c:formatCode>#,##0.0</c:formatCode>
                <c:ptCount val="8"/>
                <c:pt idx="0">
                  <c:v>3.3507697462722632</c:v>
                </c:pt>
                <c:pt idx="1">
                  <c:v>3.8439864859648907</c:v>
                </c:pt>
                <c:pt idx="2">
                  <c:v>6.547778339428902</c:v>
                </c:pt>
                <c:pt idx="3">
                  <c:v>6.8553966655581462</c:v>
                </c:pt>
              </c:numCache>
            </c:numRef>
          </c:val>
          <c:smooth val="0"/>
          <c:extLst xmlns:c16r2="http://schemas.microsoft.com/office/drawing/2015/06/chart">
            <c:ext xmlns:c16="http://schemas.microsoft.com/office/drawing/2014/chart" uri="{C3380CC4-5D6E-409C-BE32-E72D297353CC}">
              <c16:uniqueId val="{00000005-995C-49DC-AF04-44DEEEC8CC57}"/>
            </c:ext>
          </c:extLst>
        </c:ser>
        <c:ser>
          <c:idx val="2"/>
          <c:order val="2"/>
          <c:tx>
            <c:strRef>
              <c:f>bdp!$A$38</c:f>
              <c:strCache>
                <c:ptCount val="1"/>
                <c:pt idx="0">
                  <c:v>realna rast (napoved)</c:v>
                </c:pt>
              </c:strCache>
            </c:strRef>
          </c:tx>
          <c:spPr>
            <a:ln>
              <a:solidFill>
                <a:schemeClr val="accent1">
                  <a:lumMod val="75000"/>
                </a:schemeClr>
              </a:solidFill>
              <a:prstDash val="dash"/>
            </a:ln>
          </c:spPr>
          <c:marker>
            <c:symbol val="none"/>
          </c:marker>
          <c:dLbls>
            <c:dLbl>
              <c:idx val="2"/>
              <c:layout>
                <c:manualLayout>
                  <c:x val="-1.0629763253410626E-2"/>
                  <c:y val="-2.29318123462710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95C-49DC-AF04-44DEEEC8CC57}"/>
                </c:ext>
              </c:extLst>
            </c:dLbl>
            <c:dLbl>
              <c:idx val="4"/>
              <c:layout>
                <c:manualLayout>
                  <c:x val="0"/>
                  <c:y val="-3.6690899754033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95C-49DC-AF04-44DEEEC8CC57}"/>
                </c:ext>
              </c:extLst>
            </c:dLbl>
            <c:dLbl>
              <c:idx val="5"/>
              <c:layout>
                <c:manualLayout>
                  <c:x val="-9.7438370873222341E-17"/>
                  <c:y val="3.6690899754033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95C-49DC-AF04-44DEEEC8CC57}"/>
                </c:ext>
              </c:extLst>
            </c:dLbl>
            <c:dLbl>
              <c:idx val="6"/>
              <c:layout>
                <c:manualLayout>
                  <c:x val="2.657440813352559E-3"/>
                  <c:y val="3.6690899754033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95C-49DC-AF04-44DEEEC8CC5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bdp!$B$38:$I$38</c:f>
              <c:numCache>
                <c:formatCode>#,##0.0</c:formatCode>
                <c:ptCount val="8"/>
                <c:pt idx="0">
                  <c:v>2.2999999999999998</c:v>
                </c:pt>
                <c:pt idx="1">
                  <c:v>3.1</c:v>
                </c:pt>
                <c:pt idx="2">
                  <c:v>4.9000000000000004</c:v>
                </c:pt>
                <c:pt idx="3">
                  <c:v>4.4870080488933723</c:v>
                </c:pt>
                <c:pt idx="4">
                  <c:v>3.390765883805912</c:v>
                </c:pt>
                <c:pt idx="5">
                  <c:v>3.1216834085652891</c:v>
                </c:pt>
                <c:pt idx="6">
                  <c:v>2.8344312221541372</c:v>
                </c:pt>
                <c:pt idx="7">
                  <c:v>2.6728278076103322</c:v>
                </c:pt>
              </c:numCache>
            </c:numRef>
          </c:val>
          <c:smooth val="0"/>
          <c:extLst xmlns:c16r2="http://schemas.microsoft.com/office/drawing/2015/06/chart">
            <c:ext xmlns:c16="http://schemas.microsoft.com/office/drawing/2014/chart" uri="{C3380CC4-5D6E-409C-BE32-E72D297353CC}">
              <c16:uniqueId val="{0000000A-995C-49DC-AF04-44DEEEC8CC57}"/>
            </c:ext>
          </c:extLst>
        </c:ser>
        <c:ser>
          <c:idx val="3"/>
          <c:order val="3"/>
          <c:tx>
            <c:strRef>
              <c:f>bdp!$A$39</c:f>
              <c:strCache>
                <c:ptCount val="1"/>
                <c:pt idx="0">
                  <c:v>realna rast </c:v>
                </c:pt>
              </c:strCache>
            </c:strRef>
          </c:tx>
          <c:spPr>
            <a:ln>
              <a:solidFill>
                <a:schemeClr val="accent1">
                  <a:lumMod val="75000"/>
                </a:schemeClr>
              </a:solidFill>
            </a:ln>
          </c:spPr>
          <c:marker>
            <c:symbol val="none"/>
          </c:marker>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bdp!$B$39:$I$39</c:f>
              <c:numCache>
                <c:formatCode>#,##0.0</c:formatCode>
                <c:ptCount val="8"/>
                <c:pt idx="0">
                  <c:v>2.2999999999999998</c:v>
                </c:pt>
                <c:pt idx="1">
                  <c:v>3.1</c:v>
                </c:pt>
                <c:pt idx="2">
                  <c:v>4.9000000000000004</c:v>
                </c:pt>
                <c:pt idx="3">
                  <c:v>4.4870080488933723</c:v>
                </c:pt>
              </c:numCache>
            </c:numRef>
          </c:val>
          <c:smooth val="0"/>
          <c:extLst xmlns:c16r2="http://schemas.microsoft.com/office/drawing/2015/06/chart">
            <c:ext xmlns:c16="http://schemas.microsoft.com/office/drawing/2014/chart" uri="{C3380CC4-5D6E-409C-BE32-E72D297353CC}">
              <c16:uniqueId val="{0000000B-995C-49DC-AF04-44DEEEC8CC57}"/>
            </c:ext>
          </c:extLst>
        </c:ser>
        <c:dLbls>
          <c:showLegendKey val="0"/>
          <c:showVal val="0"/>
          <c:showCatName val="0"/>
          <c:showSerName val="0"/>
          <c:showPercent val="0"/>
          <c:showBubbleSize val="0"/>
        </c:dLbls>
        <c:marker val="1"/>
        <c:smooth val="0"/>
        <c:axId val="109878272"/>
        <c:axId val="109900544"/>
      </c:lineChart>
      <c:catAx>
        <c:axId val="109878272"/>
        <c:scaling>
          <c:orientation val="minMax"/>
        </c:scaling>
        <c:delete val="0"/>
        <c:axPos val="b"/>
        <c:numFmt formatCode="General" sourceLinked="1"/>
        <c:majorTickMark val="none"/>
        <c:minorTickMark val="none"/>
        <c:tickLblPos val="nextTo"/>
        <c:crossAx val="109900544"/>
        <c:crosses val="autoZero"/>
        <c:auto val="1"/>
        <c:lblAlgn val="ctr"/>
        <c:lblOffset val="100"/>
        <c:noMultiLvlLbl val="0"/>
      </c:catAx>
      <c:valAx>
        <c:axId val="109900544"/>
        <c:scaling>
          <c:orientation val="minMax"/>
        </c:scaling>
        <c:delete val="0"/>
        <c:axPos val="l"/>
        <c:majorGridlines/>
        <c:title>
          <c:tx>
            <c:rich>
              <a:bodyPr rot="-5400000" vert="horz"/>
              <a:lstStyle/>
              <a:p>
                <a:pPr>
                  <a:defRPr/>
                </a:pPr>
                <a:r>
                  <a:rPr lang="sl-SI"/>
                  <a:t>%</a:t>
                </a:r>
              </a:p>
            </c:rich>
          </c:tx>
          <c:overlay val="0"/>
        </c:title>
        <c:numFmt formatCode="#,##0.0" sourceLinked="1"/>
        <c:majorTickMark val="none"/>
        <c:minorTickMark val="none"/>
        <c:tickLblPos val="nextTo"/>
        <c:spPr>
          <a:ln w="9525">
            <a:noFill/>
          </a:ln>
        </c:spPr>
        <c:crossAx val="10987827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85616797900261"/>
          <c:y val="4.7377905341631853E-2"/>
          <c:w val="0.69620332458442691"/>
          <c:h val="0.67631974995573074"/>
        </c:manualLayout>
      </c:layout>
      <c:lineChart>
        <c:grouping val="standard"/>
        <c:varyColors val="0"/>
        <c:ser>
          <c:idx val="2"/>
          <c:order val="2"/>
          <c:tx>
            <c:strRef>
              <c:f>'trg dela'!$A$7</c:f>
              <c:strCache>
                <c:ptCount val="1"/>
                <c:pt idx="0">
                  <c:v>Formalno delovno aktivni (napoved)</c:v>
                </c:pt>
              </c:strCache>
            </c:strRef>
          </c:tx>
          <c:spPr>
            <a:ln>
              <a:solidFill>
                <a:schemeClr val="tx2">
                  <a:lumMod val="60000"/>
                  <a:lumOff val="40000"/>
                </a:schemeClr>
              </a:solidFill>
              <a:prstDash val="dash"/>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dela'!$G$7:$N$7</c:f>
              <c:numCache>
                <c:formatCode>0.0</c:formatCode>
                <c:ptCount val="8"/>
                <c:pt idx="0">
                  <c:v>804.63691666666659</c:v>
                </c:pt>
                <c:pt idx="1">
                  <c:v>817.20908333333341</c:v>
                </c:pt>
                <c:pt idx="2">
                  <c:v>845.45399999999995</c:v>
                </c:pt>
                <c:pt idx="3">
                  <c:v>872.43756838355102</c:v>
                </c:pt>
                <c:pt idx="4">
                  <c:v>886.7266720925403</c:v>
                </c:pt>
                <c:pt idx="5">
                  <c:v>894.3038865925281</c:v>
                </c:pt>
                <c:pt idx="6">
                  <c:v>899.424111167707</c:v>
                </c:pt>
                <c:pt idx="7">
                  <c:v>903.4217949414093</c:v>
                </c:pt>
              </c:numCache>
            </c:numRef>
          </c:val>
          <c:smooth val="0"/>
          <c:extLst xmlns:c16r2="http://schemas.microsoft.com/office/drawing/2015/06/chart">
            <c:ext xmlns:c16="http://schemas.microsoft.com/office/drawing/2014/chart" uri="{C3380CC4-5D6E-409C-BE32-E72D297353CC}">
              <c16:uniqueId val="{00000000-63E8-410A-9E86-36EB8264C464}"/>
            </c:ext>
          </c:extLst>
        </c:ser>
        <c:ser>
          <c:idx val="3"/>
          <c:order val="3"/>
          <c:tx>
            <c:strRef>
              <c:f>'trg dela'!$A$8</c:f>
              <c:strCache>
                <c:ptCount val="1"/>
                <c:pt idx="0">
                  <c:v>Formalno delovno aktivni</c:v>
                </c:pt>
              </c:strCache>
            </c:strRef>
          </c:tx>
          <c:spPr>
            <a:ln>
              <a:solidFill>
                <a:schemeClr val="tx2">
                  <a:lumMod val="60000"/>
                  <a:lumOff val="40000"/>
                </a:schemeClr>
              </a:solidFill>
            </a:ln>
          </c:spPr>
          <c:marker>
            <c:symbol val="none"/>
          </c:marker>
          <c:val>
            <c:numRef>
              <c:f>'trg dela'!$G$8:$J$8</c:f>
              <c:numCache>
                <c:formatCode>0.0</c:formatCode>
                <c:ptCount val="4"/>
                <c:pt idx="0">
                  <c:v>804.63691666666659</c:v>
                </c:pt>
                <c:pt idx="1">
                  <c:v>817.20908333333341</c:v>
                </c:pt>
                <c:pt idx="2">
                  <c:v>845.45399999999995</c:v>
                </c:pt>
                <c:pt idx="3">
                  <c:v>872.43756838355102</c:v>
                </c:pt>
              </c:numCache>
            </c:numRef>
          </c:val>
          <c:smooth val="0"/>
          <c:extLst xmlns:c16r2="http://schemas.microsoft.com/office/drawing/2015/06/chart">
            <c:ext xmlns:c16="http://schemas.microsoft.com/office/drawing/2014/chart" uri="{C3380CC4-5D6E-409C-BE32-E72D297353CC}">
              <c16:uniqueId val="{00000001-63E8-410A-9E86-36EB8264C464}"/>
            </c:ext>
          </c:extLst>
        </c:ser>
        <c:dLbls>
          <c:showLegendKey val="0"/>
          <c:showVal val="0"/>
          <c:showCatName val="0"/>
          <c:showSerName val="0"/>
          <c:showPercent val="0"/>
          <c:showBubbleSize val="0"/>
        </c:dLbls>
        <c:marker val="1"/>
        <c:smooth val="0"/>
        <c:axId val="110000000"/>
        <c:axId val="110001536"/>
      </c:lineChart>
      <c:lineChart>
        <c:grouping val="standard"/>
        <c:varyColors val="0"/>
        <c:ser>
          <c:idx val="0"/>
          <c:order val="0"/>
          <c:tx>
            <c:strRef>
              <c:f>'trg dela'!$A$3</c:f>
              <c:strCache>
                <c:ptCount val="1"/>
                <c:pt idx="0">
                  <c:v>Število registriranih  brezposelnih (napoved)</c:v>
                </c:pt>
              </c:strCache>
            </c:strRef>
          </c:tx>
          <c:spPr>
            <a:ln>
              <a:solidFill>
                <a:schemeClr val="accent1">
                  <a:lumMod val="50000"/>
                </a:schemeClr>
              </a:solidFill>
              <a:prstDash val="dash"/>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dela'!$G$3:$N$3</c:f>
              <c:numCache>
                <c:formatCode>0.0_)</c:formatCode>
                <c:ptCount val="8"/>
                <c:pt idx="0">
                  <c:v>112.72575000000001</c:v>
                </c:pt>
                <c:pt idx="1">
                  <c:v>103.15208333333332</c:v>
                </c:pt>
                <c:pt idx="2">
                  <c:v>88.647833333333324</c:v>
                </c:pt>
                <c:pt idx="3">
                  <c:v>75.617754646507635</c:v>
                </c:pt>
                <c:pt idx="4">
                  <c:v>68.788050523414356</c:v>
                </c:pt>
                <c:pt idx="5">
                  <c:v>64.25672232697984</c:v>
                </c:pt>
                <c:pt idx="6">
                  <c:v>61.34196092155576</c:v>
                </c:pt>
                <c:pt idx="7">
                  <c:v>59.99337804404859</c:v>
                </c:pt>
              </c:numCache>
            </c:numRef>
          </c:val>
          <c:smooth val="0"/>
          <c:extLst xmlns:c16r2="http://schemas.microsoft.com/office/drawing/2015/06/chart">
            <c:ext xmlns:c16="http://schemas.microsoft.com/office/drawing/2014/chart" uri="{C3380CC4-5D6E-409C-BE32-E72D297353CC}">
              <c16:uniqueId val="{00000002-63E8-410A-9E86-36EB8264C464}"/>
            </c:ext>
          </c:extLst>
        </c:ser>
        <c:ser>
          <c:idx val="1"/>
          <c:order val="1"/>
          <c:tx>
            <c:strRef>
              <c:f>'trg dela'!$A$4</c:f>
              <c:strCache>
                <c:ptCount val="1"/>
                <c:pt idx="0">
                  <c:v>Število registriranih  brezposelnih</c:v>
                </c:pt>
              </c:strCache>
            </c:strRef>
          </c:tx>
          <c:spPr>
            <a:ln>
              <a:solidFill>
                <a:schemeClr val="accent1">
                  <a:lumMod val="50000"/>
                </a:schemeClr>
              </a:solidFill>
              <a:prstDash val="solid"/>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dela'!$G$4:$N$4</c:f>
              <c:numCache>
                <c:formatCode>0.0_)</c:formatCode>
                <c:ptCount val="8"/>
                <c:pt idx="0">
                  <c:v>112.72575000000001</c:v>
                </c:pt>
                <c:pt idx="1">
                  <c:v>103.15208333333332</c:v>
                </c:pt>
                <c:pt idx="2">
                  <c:v>88.647833333333324</c:v>
                </c:pt>
                <c:pt idx="3">
                  <c:v>75.617754646507635</c:v>
                </c:pt>
              </c:numCache>
            </c:numRef>
          </c:val>
          <c:smooth val="0"/>
          <c:extLst xmlns:c16r2="http://schemas.microsoft.com/office/drawing/2015/06/chart">
            <c:ext xmlns:c16="http://schemas.microsoft.com/office/drawing/2014/chart" uri="{C3380CC4-5D6E-409C-BE32-E72D297353CC}">
              <c16:uniqueId val="{00000003-63E8-410A-9E86-36EB8264C464}"/>
            </c:ext>
          </c:extLst>
        </c:ser>
        <c:dLbls>
          <c:showLegendKey val="0"/>
          <c:showVal val="0"/>
          <c:showCatName val="0"/>
          <c:showSerName val="0"/>
          <c:showPercent val="0"/>
          <c:showBubbleSize val="0"/>
        </c:dLbls>
        <c:marker val="1"/>
        <c:smooth val="0"/>
        <c:axId val="110022016"/>
        <c:axId val="110020096"/>
      </c:lineChart>
      <c:catAx>
        <c:axId val="110000000"/>
        <c:scaling>
          <c:orientation val="minMax"/>
        </c:scaling>
        <c:delete val="0"/>
        <c:axPos val="b"/>
        <c:numFmt formatCode="General" sourceLinked="1"/>
        <c:majorTickMark val="out"/>
        <c:minorTickMark val="none"/>
        <c:tickLblPos val="nextTo"/>
        <c:crossAx val="110001536"/>
        <c:crosses val="autoZero"/>
        <c:auto val="1"/>
        <c:lblAlgn val="ctr"/>
        <c:lblOffset val="100"/>
        <c:noMultiLvlLbl val="0"/>
      </c:catAx>
      <c:valAx>
        <c:axId val="110001536"/>
        <c:scaling>
          <c:orientation val="minMax"/>
        </c:scaling>
        <c:delete val="0"/>
        <c:axPos val="l"/>
        <c:majorGridlines>
          <c:spPr>
            <a:ln>
              <a:solidFill>
                <a:schemeClr val="tx1">
                  <a:alpha val="25000"/>
                </a:schemeClr>
              </a:solidFill>
            </a:ln>
          </c:spPr>
        </c:majorGridlines>
        <c:title>
          <c:tx>
            <c:rich>
              <a:bodyPr rot="-5400000" vert="horz"/>
              <a:lstStyle/>
              <a:p>
                <a:pPr>
                  <a:defRPr/>
                </a:pPr>
                <a:r>
                  <a:rPr lang="sl-SI"/>
                  <a:t>povprečje leta v tisoč</a:t>
                </a:r>
              </a:p>
            </c:rich>
          </c:tx>
          <c:overlay val="0"/>
        </c:title>
        <c:numFmt formatCode="0.0" sourceLinked="1"/>
        <c:majorTickMark val="out"/>
        <c:minorTickMark val="none"/>
        <c:tickLblPos val="nextTo"/>
        <c:crossAx val="110000000"/>
        <c:crosses val="autoZero"/>
        <c:crossBetween val="between"/>
      </c:valAx>
      <c:valAx>
        <c:axId val="110020096"/>
        <c:scaling>
          <c:orientation val="minMax"/>
        </c:scaling>
        <c:delete val="0"/>
        <c:axPos val="r"/>
        <c:title>
          <c:tx>
            <c:rich>
              <a:bodyPr rot="-5400000" vert="horz"/>
              <a:lstStyle/>
              <a:p>
                <a:pPr>
                  <a:defRPr/>
                </a:pPr>
                <a:r>
                  <a:rPr lang="sl-SI"/>
                  <a:t>v tisoč</a:t>
                </a:r>
              </a:p>
            </c:rich>
          </c:tx>
          <c:overlay val="0"/>
        </c:title>
        <c:numFmt formatCode="0.0_)" sourceLinked="1"/>
        <c:majorTickMark val="out"/>
        <c:minorTickMark val="none"/>
        <c:tickLblPos val="nextTo"/>
        <c:crossAx val="110022016"/>
        <c:crosses val="max"/>
        <c:crossBetween val="between"/>
      </c:valAx>
      <c:catAx>
        <c:axId val="110022016"/>
        <c:scaling>
          <c:orientation val="minMax"/>
        </c:scaling>
        <c:delete val="1"/>
        <c:axPos val="b"/>
        <c:numFmt formatCode="General" sourceLinked="1"/>
        <c:majorTickMark val="out"/>
        <c:minorTickMark val="none"/>
        <c:tickLblPos val="nextTo"/>
        <c:crossAx val="110020096"/>
        <c:crosses val="autoZero"/>
        <c:auto val="1"/>
        <c:lblAlgn val="ctr"/>
        <c:lblOffset val="100"/>
        <c:noMultiLvlLbl val="0"/>
      </c:catAx>
    </c:plotArea>
    <c:legend>
      <c:legendPos val="b"/>
      <c:layout>
        <c:manualLayout>
          <c:xMode val="edge"/>
          <c:yMode val="edge"/>
          <c:x val="4.1094663167104112E-2"/>
          <c:y val="0.84017060367454066"/>
          <c:w val="0.95668311461067368"/>
          <c:h val="0.13181287135266706"/>
        </c:manualLayout>
      </c:layout>
      <c:overlay val="0"/>
      <c:spPr>
        <a:ln>
          <a:noFill/>
        </a:ln>
      </c:sp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9843520922283"/>
          <c:y val="5.9320317399791336E-2"/>
          <c:w val="0.85348849575621233"/>
          <c:h val="0.66154313355458672"/>
        </c:manualLayout>
      </c:layout>
      <c:lineChart>
        <c:grouping val="standard"/>
        <c:varyColors val="0"/>
        <c:ser>
          <c:idx val="0"/>
          <c:order val="0"/>
          <c:tx>
            <c:strRef>
              <c:f>Sheet2!$H$2</c:f>
              <c:strCache>
                <c:ptCount val="1"/>
                <c:pt idx="0">
                  <c:v>Euroobmočje</c:v>
                </c:pt>
              </c:strCache>
            </c:strRef>
          </c:tx>
          <c:spPr>
            <a:ln w="28575" cap="rnd">
              <a:solidFill>
                <a:srgbClr val="0070C0"/>
              </a:solidFill>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Sheet2!$H$22:$H$25</c:f>
              <c:numCache>
                <c:formatCode>General</c:formatCode>
                <c:ptCount val="4"/>
                <c:pt idx="0">
                  <c:v>2.4635933909179926</c:v>
                </c:pt>
                <c:pt idx="1">
                  <c:v>1.3810432677840794</c:v>
                </c:pt>
                <c:pt idx="2">
                  <c:v>1.8626662781032763</c:v>
                </c:pt>
                <c:pt idx="3">
                  <c:v>2.1350706745741519</c:v>
                </c:pt>
              </c:numCache>
            </c:numRef>
          </c:val>
          <c:smooth val="0"/>
          <c:extLst xmlns:c16r2="http://schemas.microsoft.com/office/drawing/2015/06/chart">
            <c:ext xmlns:c16="http://schemas.microsoft.com/office/drawing/2014/chart" uri="{C3380CC4-5D6E-409C-BE32-E72D297353CC}">
              <c16:uniqueId val="{00000000-7A76-470C-83A0-14AE0E1260FD}"/>
            </c:ext>
          </c:extLst>
        </c:ser>
        <c:ser>
          <c:idx val="1"/>
          <c:order val="1"/>
          <c:tx>
            <c:strRef>
              <c:f>Sheet2!$I$2</c:f>
              <c:strCache>
                <c:ptCount val="1"/>
                <c:pt idx="0">
                  <c:v>Slovenija</c:v>
                </c:pt>
              </c:strCache>
            </c:strRef>
          </c:tx>
          <c:spPr>
            <a:ln w="28575" cap="rnd">
              <a:solidFill>
                <a:schemeClr val="accent1">
                  <a:lumMod val="60000"/>
                  <a:lumOff val="40000"/>
                </a:schemeClr>
              </a:solidFill>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Sheet2!$I$22:$I$25</c:f>
              <c:numCache>
                <c:formatCode>General</c:formatCode>
                <c:ptCount val="4"/>
                <c:pt idx="0">
                  <c:v>2.0179680000000002</c:v>
                </c:pt>
                <c:pt idx="1">
                  <c:v>2.0100880479971437</c:v>
                </c:pt>
                <c:pt idx="2">
                  <c:v>3.4952351859506336</c:v>
                </c:pt>
                <c:pt idx="3">
                  <c:v>3.7567687272567838</c:v>
                </c:pt>
              </c:numCache>
            </c:numRef>
          </c:val>
          <c:smooth val="0"/>
          <c:extLst xmlns:c16r2="http://schemas.microsoft.com/office/drawing/2015/06/chart">
            <c:ext xmlns:c16="http://schemas.microsoft.com/office/drawing/2014/chart" uri="{C3380CC4-5D6E-409C-BE32-E72D297353CC}">
              <c16:uniqueId val="{00000001-7A76-470C-83A0-14AE0E1260FD}"/>
            </c:ext>
          </c:extLst>
        </c:ser>
        <c:ser>
          <c:idx val="2"/>
          <c:order val="2"/>
          <c:tx>
            <c:strRef>
              <c:f>Sheet2!$J$2</c:f>
              <c:strCache>
                <c:ptCount val="1"/>
                <c:pt idx="0">
                  <c:v>Euroobmočje (napoved)</c:v>
                </c:pt>
              </c:strCache>
            </c:strRef>
          </c:tx>
          <c:spPr>
            <a:ln w="28575" cap="rnd">
              <a:solidFill>
                <a:srgbClr val="0070C0"/>
              </a:solidFill>
              <a:prstDash val="dash"/>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Sheet2!$J$22:$J$29</c:f>
              <c:numCache>
                <c:formatCode>General</c:formatCode>
                <c:ptCount val="8"/>
                <c:pt idx="0">
                  <c:v>2.4635933909179926</c:v>
                </c:pt>
                <c:pt idx="1">
                  <c:v>1.3810432677840794</c:v>
                </c:pt>
                <c:pt idx="2">
                  <c:v>1.8626662781032763</c:v>
                </c:pt>
                <c:pt idx="3">
                  <c:v>2.1350706745741519</c:v>
                </c:pt>
                <c:pt idx="4">
                  <c:v>2.6197510155457167</c:v>
                </c:pt>
                <c:pt idx="5">
                  <c:v>2.6233032309491051</c:v>
                </c:pt>
              </c:numCache>
            </c:numRef>
          </c:val>
          <c:smooth val="0"/>
          <c:extLst xmlns:c16r2="http://schemas.microsoft.com/office/drawing/2015/06/chart">
            <c:ext xmlns:c16="http://schemas.microsoft.com/office/drawing/2014/chart" uri="{C3380CC4-5D6E-409C-BE32-E72D297353CC}">
              <c16:uniqueId val="{00000002-7A76-470C-83A0-14AE0E1260FD}"/>
            </c:ext>
          </c:extLst>
        </c:ser>
        <c:ser>
          <c:idx val="3"/>
          <c:order val="3"/>
          <c:tx>
            <c:strRef>
              <c:f>Sheet2!$K$2</c:f>
              <c:strCache>
                <c:ptCount val="1"/>
                <c:pt idx="0">
                  <c:v>Slovenija (napoved)</c:v>
                </c:pt>
              </c:strCache>
            </c:strRef>
          </c:tx>
          <c:spPr>
            <a:ln w="28575" cap="rnd">
              <a:solidFill>
                <a:schemeClr val="accent1">
                  <a:lumMod val="60000"/>
                  <a:lumOff val="40000"/>
                </a:schemeClr>
              </a:solidFill>
              <a:prstDash val="dash"/>
              <a:round/>
            </a:ln>
            <a:effectLst/>
          </c:spPr>
          <c:marker>
            <c:symbol val="none"/>
          </c:marker>
          <c:dLbls>
            <c:dLbl>
              <c:idx val="0"/>
              <c:layout>
                <c:manualLayout>
                  <c:x val="-4.5977025364897402E-2"/>
                  <c:y val="4.26287505748168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CA-49DF-A592-8FF64E3EDAC7}"/>
                </c:ext>
              </c:extLst>
            </c:dLbl>
            <c:dLbl>
              <c:idx val="1"/>
              <c:layout>
                <c:manualLayout>
                  <c:x val="-6.5134119266937962E-2"/>
                  <c:y val="-4.26287505748168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CA-49DF-A592-8FF64E3EDAC7}"/>
                </c:ext>
              </c:extLst>
            </c:dLbl>
            <c:dLbl>
              <c:idx val="2"/>
              <c:layout>
                <c:manualLayout>
                  <c:x val="0"/>
                  <c:y val="2.841916704987787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FCA-49DF-A592-8FF64E3EDAC7}"/>
                </c:ext>
              </c:extLst>
            </c:dLbl>
            <c:dLbl>
              <c:idx val="3"/>
              <c:layout>
                <c:manualLayout>
                  <c:x val="7.0241866200783121E-17"/>
                  <c:y val="-6.157486194140206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FCA-49DF-A592-8FF64E3EDAC7}"/>
                </c:ext>
              </c:extLst>
            </c:dLbl>
            <c:dLbl>
              <c:idx val="6"/>
              <c:layout>
                <c:manualLayout>
                  <c:x val="0"/>
                  <c:y val="-2.841916704987787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FCA-49DF-A592-8FF64E3EDAC7}"/>
                </c:ext>
              </c:extLst>
            </c:dLbl>
            <c:numFmt formatCode="#,##0.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Sheet2!$K$22:$K$29</c:f>
              <c:numCache>
                <c:formatCode>General</c:formatCode>
                <c:ptCount val="8"/>
                <c:pt idx="0">
                  <c:v>2.0179677176006265</c:v>
                </c:pt>
                <c:pt idx="1">
                  <c:v>2.0100880479971437</c:v>
                </c:pt>
                <c:pt idx="2">
                  <c:v>3.4952351859506336</c:v>
                </c:pt>
                <c:pt idx="3">
                  <c:v>3.7567687272567838</c:v>
                </c:pt>
                <c:pt idx="4">
                  <c:v>4.1240365510895316</c:v>
                </c:pt>
                <c:pt idx="5">
                  <c:v>4.6193081770983895</c:v>
                </c:pt>
                <c:pt idx="6">
                  <c:v>4.8951852021191797</c:v>
                </c:pt>
                <c:pt idx="7">
                  <c:v>4.7216690869922928</c:v>
                </c:pt>
              </c:numCache>
            </c:numRef>
          </c:val>
          <c:smooth val="0"/>
          <c:extLst xmlns:c16r2="http://schemas.microsoft.com/office/drawing/2015/06/chart">
            <c:ext xmlns:c16="http://schemas.microsoft.com/office/drawing/2014/chart" uri="{C3380CC4-5D6E-409C-BE32-E72D297353CC}">
              <c16:uniqueId val="{00000003-7A76-470C-83A0-14AE0E1260FD}"/>
            </c:ext>
          </c:extLst>
        </c:ser>
        <c:dLbls>
          <c:showLegendKey val="0"/>
          <c:showVal val="0"/>
          <c:showCatName val="0"/>
          <c:showSerName val="0"/>
          <c:showPercent val="0"/>
          <c:showBubbleSize val="0"/>
        </c:dLbls>
        <c:marker val="1"/>
        <c:smooth val="0"/>
        <c:axId val="128096128"/>
        <c:axId val="128097664"/>
      </c:lineChart>
      <c:catAx>
        <c:axId val="12809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097664"/>
        <c:crosses val="autoZero"/>
        <c:auto val="1"/>
        <c:lblAlgn val="ctr"/>
        <c:lblOffset val="100"/>
        <c:noMultiLvlLbl val="0"/>
      </c:catAx>
      <c:valAx>
        <c:axId val="1280976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096128"/>
        <c:crosses val="autoZero"/>
        <c:crossBetween val="between"/>
      </c:valAx>
      <c:spPr>
        <a:noFill/>
        <a:ln>
          <a:noFill/>
        </a:ln>
        <a:effectLst/>
      </c:spPr>
    </c:plotArea>
    <c:legend>
      <c:legendPos val="b"/>
      <c:layout>
        <c:manualLayout>
          <c:xMode val="edge"/>
          <c:yMode val="edge"/>
          <c:x val="2.9108541268853656E-2"/>
          <c:y val="0.84435435240016476"/>
          <c:w val="0.96819814867308895"/>
          <c:h val="0.15148491416664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0.5375</cdr:x>
      <cdr:y>0.90349</cdr:y>
    </cdr:from>
    <cdr:to>
      <cdr:x>0.96667</cdr:x>
      <cdr:y>0.96007</cdr:y>
    </cdr:to>
    <cdr:sp macro="" textlink="">
      <cdr:nvSpPr>
        <cdr:cNvPr id="2" name="PoljeZBesedilom 1"/>
        <cdr:cNvSpPr txBox="1"/>
      </cdr:nvSpPr>
      <cdr:spPr>
        <a:xfrm xmlns:a="http://schemas.openxmlformats.org/drawingml/2006/main">
          <a:off x="2457450" y="2586039"/>
          <a:ext cx="1962150"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sl-SI" sz="700"/>
        </a:p>
      </cdr:txBody>
    </cdr:sp>
  </cdr:relSizeAnchor>
</c:userShapes>
</file>

<file path=word/drawings/drawing2.xml><?xml version="1.0" encoding="utf-8"?>
<c:userShapes xmlns:c="http://schemas.openxmlformats.org/drawingml/2006/chart">
  <cdr:relSizeAnchor xmlns:cdr="http://schemas.openxmlformats.org/drawingml/2006/chartDrawing">
    <cdr:from>
      <cdr:x>0.22917</cdr:x>
      <cdr:y>0.90278</cdr:y>
    </cdr:from>
    <cdr:to>
      <cdr:x>0.92708</cdr:x>
      <cdr:y>0.98264</cdr:y>
    </cdr:to>
    <cdr:sp macro="" textlink="">
      <cdr:nvSpPr>
        <cdr:cNvPr id="2" name="PoljeZBesedilom 1"/>
        <cdr:cNvSpPr txBox="1"/>
      </cdr:nvSpPr>
      <cdr:spPr>
        <a:xfrm xmlns:a="http://schemas.openxmlformats.org/drawingml/2006/main">
          <a:off x="1047751" y="2476500"/>
          <a:ext cx="3190876" cy="2190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sl-SI" sz="900"/>
        </a:p>
      </cdr:txBody>
    </cdr:sp>
  </cdr:relSizeAnchor>
</c:userShapes>
</file>

<file path=word/drawings/drawing3.xml><?xml version="1.0" encoding="utf-8"?>
<c:userShapes xmlns:c="http://schemas.openxmlformats.org/drawingml/2006/chart">
  <cdr:relSizeAnchor xmlns:cdr="http://schemas.openxmlformats.org/drawingml/2006/chartDrawing">
    <cdr:from>
      <cdr:x>0.20972</cdr:x>
      <cdr:y>0.06911</cdr:y>
    </cdr:from>
    <cdr:to>
      <cdr:x>0.52917</cdr:x>
      <cdr:y>0.18699</cdr:y>
    </cdr:to>
    <cdr:sp macro="" textlink="">
      <cdr:nvSpPr>
        <cdr:cNvPr id="2" name="Rectangle 1"/>
        <cdr:cNvSpPr/>
      </cdr:nvSpPr>
      <cdr:spPr>
        <a:xfrm xmlns:a="http://schemas.openxmlformats.org/drawingml/2006/main">
          <a:off x="1150608" y="247511"/>
          <a:ext cx="1752630" cy="422175"/>
        </a:xfrm>
        <a:prstGeom xmlns:a="http://schemas.openxmlformats.org/drawingml/2006/main" prst="rect">
          <a:avLst/>
        </a:prstGeom>
        <a:solidFill xmlns:a="http://schemas.openxmlformats.org/drawingml/2006/main">
          <a:schemeClr val="accent1">
            <a:lumMod val="20000"/>
            <a:lumOff val="8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algn="ctr"/>
          <a:r>
            <a:rPr lang="sl-SI">
              <a:solidFill>
                <a:sysClr val="windowText" lastClr="000000"/>
              </a:solidFill>
            </a:rPr>
            <a:t>Prehodno obdobje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A6E85-410A-4202-B59F-D3ECFA9C6A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16482</Words>
  <Characters>93954</Characters>
  <Application>Microsoft Office Word</Application>
  <DocSecurity>4</DocSecurity>
  <Lines>782</Lines>
  <Paragraphs>220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MFRS</Company>
  <LinksUpToDate>false</LinksUpToDate>
  <CharactersWithSpaces>110216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stabilnosti</dc:title>
  <dc:subject>2019</dc:subject>
  <dc:creator>mf51063</dc:creator>
  <cp:lastModifiedBy>Administrator</cp:lastModifiedBy>
  <cp:revision>2</cp:revision>
  <cp:lastPrinted>2019-04-25T11:36:00Z</cp:lastPrinted>
  <dcterms:created xsi:type="dcterms:W3CDTF">2019-04-25T13:17:00Z</dcterms:created>
  <dcterms:modified xsi:type="dcterms:W3CDTF">2019-04-25T13:17:00Z</dcterms:modified>
</cp:coreProperties>
</file>