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C" w:rsidRDefault="00DA7C2C" w:rsidP="007724EF">
      <w:pPr>
        <w:pStyle w:val="datumtevilka"/>
        <w:spacing w:line="240" w:lineRule="atLeast"/>
        <w:jc w:val="center"/>
        <w:rPr>
          <w:rFonts w:eastAsia="SimSun"/>
          <w:b/>
          <w:color w:val="000000"/>
          <w:lang w:eastAsia="zh-CN"/>
        </w:rPr>
      </w:pPr>
    </w:p>
    <w:p w:rsidR="00B256CE" w:rsidRDefault="00B256CE" w:rsidP="007724EF">
      <w:pPr>
        <w:pStyle w:val="datumtevilka"/>
        <w:spacing w:line="240" w:lineRule="atLeast"/>
        <w:jc w:val="center"/>
        <w:rPr>
          <w:rFonts w:eastAsia="SimSun"/>
          <w:b/>
          <w:color w:val="000000"/>
          <w:lang w:eastAsia="zh-CN"/>
        </w:rPr>
      </w:pPr>
    </w:p>
    <w:p w:rsidR="000D467D" w:rsidRDefault="000D467D" w:rsidP="0015310D">
      <w:pPr>
        <w:autoSpaceDE w:val="0"/>
        <w:autoSpaceDN w:val="0"/>
        <w:adjustRightInd w:val="0"/>
        <w:spacing w:line="240" w:lineRule="auto"/>
        <w:jc w:val="both"/>
        <w:rPr>
          <w:rFonts w:eastAsia="Calibri" w:cs="Arial"/>
          <w:color w:val="000000"/>
          <w:szCs w:val="20"/>
          <w:lang w:eastAsia="sl-SI"/>
        </w:rPr>
      </w:pPr>
    </w:p>
    <w:p w:rsidR="000D467D" w:rsidRDefault="000D467D" w:rsidP="0015310D">
      <w:pPr>
        <w:autoSpaceDE w:val="0"/>
        <w:autoSpaceDN w:val="0"/>
        <w:adjustRightInd w:val="0"/>
        <w:spacing w:line="240" w:lineRule="auto"/>
        <w:jc w:val="both"/>
        <w:rPr>
          <w:rFonts w:eastAsia="Calibri" w:cs="Arial"/>
          <w:color w:val="000000"/>
          <w:szCs w:val="20"/>
          <w:lang w:eastAsia="sl-SI"/>
        </w:rPr>
      </w:pPr>
    </w:p>
    <w:p w:rsidR="0015310D" w:rsidRPr="00BC0121" w:rsidRDefault="0015310D" w:rsidP="00BC0121">
      <w:pPr>
        <w:spacing w:line="240" w:lineRule="auto"/>
        <w:jc w:val="both"/>
        <w:rPr>
          <w:rFonts w:eastAsia="Calibri" w:cs="Arial"/>
          <w:szCs w:val="20"/>
          <w:lang w:val="en-US" w:eastAsia="sl-SI"/>
        </w:rPr>
      </w:pPr>
    </w:p>
    <w:p w:rsidR="009B7BE9" w:rsidRPr="009B7BE9" w:rsidRDefault="009B7BE9" w:rsidP="009B7BE9">
      <w:pPr>
        <w:autoSpaceDE w:val="0"/>
        <w:autoSpaceDN w:val="0"/>
        <w:adjustRightInd w:val="0"/>
        <w:spacing w:line="240" w:lineRule="auto"/>
        <w:jc w:val="both"/>
        <w:rPr>
          <w:rFonts w:cs="Arial"/>
          <w:szCs w:val="20"/>
        </w:rPr>
      </w:pPr>
    </w:p>
    <w:p w:rsidR="009B7BE9" w:rsidRDefault="009B7BE9" w:rsidP="009B7BE9">
      <w:pPr>
        <w:spacing w:after="160" w:line="259" w:lineRule="auto"/>
        <w:jc w:val="right"/>
        <w:rPr>
          <w:rFonts w:eastAsia="Calibri" w:cs="Arial"/>
          <w:b/>
          <w:szCs w:val="20"/>
        </w:rPr>
      </w:pPr>
      <w:r w:rsidRPr="009B7BE9">
        <w:rPr>
          <w:rFonts w:eastAsia="Calibri" w:cs="Arial"/>
          <w:b/>
          <w:szCs w:val="20"/>
        </w:rPr>
        <w:t>PRILOGA</w:t>
      </w: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Akcijski načrt za pospešitev črpanja sredstev iz</w:t>
      </w: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Operativnega programa za izvajanje evropske kohezijske politike v obdobju 2014–2020</w:t>
      </w: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CD740D" w:rsidRDefault="009B7BE9" w:rsidP="009B7BE9">
      <w:pPr>
        <w:spacing w:after="160" w:line="259" w:lineRule="auto"/>
        <w:jc w:val="center"/>
        <w:rPr>
          <w:rFonts w:eastAsia="Calibri" w:cs="Arial"/>
          <w:b/>
          <w:szCs w:val="20"/>
        </w:rPr>
      </w:pPr>
      <w:r w:rsidRPr="00CD1111">
        <w:rPr>
          <w:rFonts w:eastAsia="Calibri" w:cs="Arial"/>
          <w:b/>
          <w:szCs w:val="20"/>
        </w:rPr>
        <w:t xml:space="preserve">Ljubljana, </w:t>
      </w:r>
      <w:r w:rsidR="00AB2DA9">
        <w:rPr>
          <w:rFonts w:eastAsia="Calibri" w:cs="Arial"/>
          <w:b/>
          <w:szCs w:val="20"/>
        </w:rPr>
        <w:t>april</w:t>
      </w:r>
      <w:r w:rsidR="005812A6" w:rsidRPr="00CD1111">
        <w:rPr>
          <w:rFonts w:eastAsia="Calibri" w:cs="Arial"/>
          <w:b/>
          <w:szCs w:val="20"/>
        </w:rPr>
        <w:t xml:space="preserve"> 2019</w:t>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pPr>
      <w:r w:rsidRPr="009B7BE9">
        <w:rPr>
          <w:rFonts w:eastAsia="Calibri" w:cs="Arial"/>
          <w:szCs w:val="20"/>
        </w:rPr>
        <w:br w:type="page"/>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KRATICE, OKRAJŠAVE IN POMEN IZRAZOV</w:t>
      </w:r>
    </w:p>
    <w:tbl>
      <w:tblPr>
        <w:tblStyle w:val="Tabelamrea3"/>
        <w:tblW w:w="9067" w:type="dxa"/>
        <w:tblLook w:val="04A0" w:firstRow="1" w:lastRow="0" w:firstColumn="1" w:lastColumn="0" w:noHBand="0" w:noVBand="1"/>
      </w:tblPr>
      <w:tblGrid>
        <w:gridCol w:w="1413"/>
        <w:gridCol w:w="7654"/>
      </w:tblGrid>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 xml:space="preserve">AN </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akcijski načrt</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AP</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administrativno preverjanje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ARSO</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Agencija RS za okolje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CLLD</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lokalni razvoj, ki ga vodi skupnost</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CPU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Center za pomoč uporabnikom</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CTN</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celostne teritorialne naložbe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DRR</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dogovor za razvoj regij</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DRSV</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Direkcija RS za vode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DZ RS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Državni zbor Republike Slovenije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EK</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Evropska komisija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ERS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Evropsko računsko sodišče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ESRR</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Evropski sklad za regionalni razvoj</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ESS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Evropski socialni sklad</w:t>
            </w:r>
          </w:p>
        </w:tc>
      </w:tr>
      <w:tr w:rsidR="009B7BE9" w:rsidRPr="009B7BE9" w:rsidTr="00E87524">
        <w:trPr>
          <w:trHeight w:val="330"/>
        </w:trPr>
        <w:tc>
          <w:tcPr>
            <w:tcW w:w="1413" w:type="dxa"/>
          </w:tcPr>
          <w:p w:rsidR="009B7BE9" w:rsidRPr="009B7BE9" w:rsidRDefault="009B7BE9" w:rsidP="009B7BE9">
            <w:pPr>
              <w:spacing w:line="259" w:lineRule="auto"/>
              <w:rPr>
                <w:rFonts w:cs="Arial"/>
                <w:sz w:val="20"/>
                <w:szCs w:val="20"/>
              </w:rPr>
            </w:pPr>
            <w:r w:rsidRPr="009B7BE9">
              <w:rPr>
                <w:rFonts w:cs="Arial"/>
                <w:sz w:val="20"/>
                <w:szCs w:val="20"/>
              </w:rPr>
              <w:t>EU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Evropska unija</w:t>
            </w:r>
          </w:p>
        </w:tc>
      </w:tr>
      <w:tr w:rsidR="009B7BE9" w:rsidRPr="009B7BE9" w:rsidTr="00E87524">
        <w:trPr>
          <w:trHeight w:val="307"/>
        </w:trPr>
        <w:tc>
          <w:tcPr>
            <w:tcW w:w="1413" w:type="dxa"/>
          </w:tcPr>
          <w:p w:rsidR="009B7BE9" w:rsidRPr="009B7BE9" w:rsidRDefault="009B7BE9" w:rsidP="009B7BE9">
            <w:pPr>
              <w:spacing w:line="259" w:lineRule="auto"/>
              <w:rPr>
                <w:rFonts w:cs="Arial"/>
                <w:sz w:val="20"/>
                <w:szCs w:val="20"/>
              </w:rPr>
            </w:pPr>
            <w:r w:rsidRPr="009B7BE9">
              <w:rPr>
                <w:rFonts w:cs="Arial"/>
                <w:sz w:val="20"/>
                <w:szCs w:val="20"/>
              </w:rPr>
              <w:t>FI</w:t>
            </w:r>
          </w:p>
        </w:tc>
        <w:tc>
          <w:tcPr>
            <w:tcW w:w="7654" w:type="dxa"/>
          </w:tcPr>
          <w:p w:rsidR="009B7BE9" w:rsidRPr="009B7BE9" w:rsidRDefault="009B7BE9" w:rsidP="009B7BE9">
            <w:pPr>
              <w:spacing w:line="240" w:lineRule="auto"/>
              <w:jc w:val="both"/>
              <w:rPr>
                <w:rFonts w:cs="Arial"/>
                <w:sz w:val="20"/>
                <w:szCs w:val="20"/>
              </w:rPr>
            </w:pPr>
            <w:r w:rsidRPr="009B7BE9">
              <w:rPr>
                <w:rFonts w:cs="Arial"/>
                <w:sz w:val="20"/>
                <w:szCs w:val="20"/>
              </w:rPr>
              <w:t>finančni instrumenti</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INOP</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Izvedbeni načrt Operativnega programa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IS eMA</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informacijski sistem organa upravljanja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KS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Kohezijski sklad</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MDDSZ</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delo, družino, socialne zadeve in enake možnosti</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MF</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finance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MF - CA</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finance, organ za potrjevanje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MFeRAC</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enoten računovodski sistem za izvrševanje državnega proračuna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MGRT</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gospodarski razvoj in tehnologijo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MIZŠ</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izobraževanje, znanost in šport</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MJU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javno upravo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MK</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kulturo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MOP</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okolje in prostor</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MP</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pravosodje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MZ</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zdravje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MZI</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Ministrstvo za infrastrukturo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N + 3</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Pravilo N + 3, po katerem v skladu z Uredbo EU 1303/2013 velja: »Komisija za operativni program razveljavi odobritev kateregakoli dela zneska, ki ni bil uporabljen za izvedbo začetnih in letnih predplačil in vmesnih plačil do 31. decembra tretjega obračunskega leta po letu proračunske obveznosti v okviru operativnega programa.«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NPO</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neposredna potrditev operacije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OP EKP</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Operativni program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OPVP</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območja pomembnega vpliva poplav</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OU</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organ upravljanja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PN</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prednostna naložba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PO</w:t>
            </w:r>
          </w:p>
        </w:tc>
        <w:tc>
          <w:tcPr>
            <w:tcW w:w="7654" w:type="dxa"/>
          </w:tcPr>
          <w:p w:rsidR="009B7BE9" w:rsidRPr="009B7BE9" w:rsidRDefault="009B7BE9" w:rsidP="009B7BE9">
            <w:pPr>
              <w:spacing w:line="240" w:lineRule="auto"/>
              <w:rPr>
                <w:rFonts w:cs="Arial"/>
                <w:sz w:val="20"/>
                <w:szCs w:val="20"/>
              </w:rPr>
            </w:pPr>
            <w:r w:rsidRPr="009B7BE9">
              <w:rPr>
                <w:rFonts w:cs="Arial"/>
                <w:sz w:val="20"/>
                <w:szCs w:val="20"/>
              </w:rPr>
              <w:t>posredniški organ</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PO št. 1‒14</w:t>
            </w:r>
          </w:p>
        </w:tc>
        <w:tc>
          <w:tcPr>
            <w:tcW w:w="7654" w:type="dxa"/>
          </w:tcPr>
          <w:p w:rsidR="009B7BE9" w:rsidRPr="009B7BE9" w:rsidRDefault="009B7BE9" w:rsidP="009B7BE9">
            <w:pPr>
              <w:spacing w:line="240" w:lineRule="auto"/>
              <w:jc w:val="both"/>
              <w:rPr>
                <w:rFonts w:cs="Arial"/>
                <w:sz w:val="20"/>
                <w:szCs w:val="20"/>
              </w:rPr>
            </w:pPr>
            <w:r w:rsidRPr="009B7BE9">
              <w:rPr>
                <w:rFonts w:cs="Arial"/>
                <w:sz w:val="20"/>
                <w:szCs w:val="20"/>
              </w:rPr>
              <w:t>prednostna os 1: Mednarodna konkurenčnost raziskav, inovacij in tehnološkega razvoja v skladu s pametno specializacijo za večjo konkurenčnost in ozelenitev gospodarstva</w:t>
            </w:r>
          </w:p>
          <w:p w:rsidR="009B7BE9" w:rsidRPr="009B7BE9" w:rsidRDefault="009B7BE9" w:rsidP="009B7BE9">
            <w:pPr>
              <w:spacing w:line="240" w:lineRule="auto"/>
              <w:jc w:val="both"/>
              <w:rPr>
                <w:rFonts w:cs="Arial"/>
                <w:sz w:val="20"/>
                <w:szCs w:val="20"/>
              </w:rPr>
            </w:pPr>
            <w:r w:rsidRPr="009B7BE9">
              <w:rPr>
                <w:rFonts w:cs="Arial"/>
                <w:sz w:val="20"/>
                <w:szCs w:val="20"/>
              </w:rPr>
              <w:t xml:space="preserve">prednostna os 2: Povečanje dostopnosti do informacijsko-komunikacijskih tehnologij ter njihove uporabe in kakovosti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3: Dinamično in konkurenčno podjetništvo za zeleno gospodarsko rast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4: Trajnostna raba in proizvodnja energije in pametna omrežja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5: Prilagajanje podnebnim spremembam </w:t>
            </w:r>
          </w:p>
          <w:p w:rsidR="009B7BE9" w:rsidRPr="009B7BE9" w:rsidRDefault="009B7BE9" w:rsidP="009B7BE9">
            <w:pPr>
              <w:spacing w:line="240" w:lineRule="auto"/>
              <w:jc w:val="both"/>
              <w:rPr>
                <w:rFonts w:cs="Arial"/>
                <w:sz w:val="20"/>
                <w:szCs w:val="20"/>
              </w:rPr>
            </w:pPr>
            <w:r w:rsidRPr="009B7BE9">
              <w:rPr>
                <w:rFonts w:cs="Arial"/>
                <w:sz w:val="20"/>
                <w:szCs w:val="20"/>
              </w:rPr>
              <w:lastRenderedPageBreak/>
              <w:t xml:space="preserve">prednostna os 6: Boljše stanje okolja in biotske raznovrstnosti </w:t>
            </w:r>
          </w:p>
          <w:p w:rsidR="009B7BE9" w:rsidRPr="009B7BE9" w:rsidRDefault="009B7BE9" w:rsidP="009B7BE9">
            <w:pPr>
              <w:keepNext/>
              <w:spacing w:line="240" w:lineRule="auto"/>
              <w:jc w:val="both"/>
              <w:outlineLvl w:val="3"/>
              <w:rPr>
                <w:rFonts w:cs="Arial"/>
                <w:sz w:val="20"/>
                <w:szCs w:val="20"/>
              </w:rPr>
            </w:pPr>
            <w:r w:rsidRPr="009B7BE9">
              <w:rPr>
                <w:rFonts w:cs="Arial"/>
                <w:sz w:val="20"/>
                <w:szCs w:val="20"/>
              </w:rPr>
              <w:t>prednostna os 7: Gradnja infrastrukture in ukrepi za spodbujanje trajnostne mobilnosti</w:t>
            </w:r>
          </w:p>
          <w:p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8: Spodbujanje zaposlovanja in transnacionalna mobilnost delovne sile </w:t>
            </w:r>
          </w:p>
          <w:p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9: Socialna vključenost in zmanjševanje tveganja revščine </w:t>
            </w:r>
          </w:p>
          <w:p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10: Znanje, spretnosti in vseživljenjsko učenje za boljšo zaposljivost </w:t>
            </w:r>
          </w:p>
          <w:p w:rsidR="009B7BE9" w:rsidRPr="009B7BE9" w:rsidRDefault="009B7BE9" w:rsidP="009B7BE9">
            <w:pPr>
              <w:spacing w:line="240" w:lineRule="auto"/>
              <w:jc w:val="both"/>
              <w:rPr>
                <w:rFonts w:cs="Arial"/>
                <w:sz w:val="20"/>
                <w:szCs w:val="20"/>
              </w:rPr>
            </w:pPr>
            <w:r w:rsidRPr="009B7BE9">
              <w:rPr>
                <w:rFonts w:cs="Arial"/>
                <w:sz w:val="20"/>
                <w:szCs w:val="20"/>
              </w:rPr>
              <w:t>prednostna os 11: Pravna država, izboljšanje institucionalnih zmogljivosti, učinkovita javna uprava, podpora razvoju NVO ter krepitev zmogljivosti socialnih partnerjev</w:t>
            </w:r>
          </w:p>
          <w:p w:rsidR="009B7BE9" w:rsidRPr="009B7BE9" w:rsidRDefault="009B7BE9" w:rsidP="009B7BE9">
            <w:pPr>
              <w:spacing w:line="240" w:lineRule="auto"/>
              <w:jc w:val="both"/>
              <w:rPr>
                <w:rFonts w:cs="Arial"/>
                <w:sz w:val="20"/>
                <w:szCs w:val="20"/>
              </w:rPr>
            </w:pPr>
            <w:r w:rsidRPr="009B7BE9">
              <w:rPr>
                <w:rFonts w:cs="Arial"/>
                <w:sz w:val="20"/>
                <w:szCs w:val="20"/>
              </w:rPr>
              <w:t>prednostna os 12: Tehnična pomoč – KS</w:t>
            </w:r>
          </w:p>
          <w:p w:rsidR="009B7BE9" w:rsidRPr="009B7BE9" w:rsidRDefault="009B7BE9" w:rsidP="009B7BE9">
            <w:pPr>
              <w:spacing w:line="240" w:lineRule="auto"/>
              <w:jc w:val="both"/>
              <w:rPr>
                <w:rFonts w:cs="Arial"/>
                <w:sz w:val="20"/>
                <w:szCs w:val="20"/>
              </w:rPr>
            </w:pPr>
            <w:r w:rsidRPr="009B7BE9">
              <w:rPr>
                <w:rFonts w:cs="Arial"/>
                <w:sz w:val="20"/>
                <w:szCs w:val="20"/>
              </w:rPr>
              <w:t>prednostna os 13: Tehnična pomoč – ESRR</w:t>
            </w:r>
          </w:p>
          <w:p w:rsidR="009B7BE9" w:rsidRPr="009B7BE9" w:rsidRDefault="009B7BE9" w:rsidP="009B7BE9">
            <w:pPr>
              <w:spacing w:line="240" w:lineRule="auto"/>
              <w:jc w:val="both"/>
              <w:rPr>
                <w:rFonts w:cs="Arial"/>
                <w:sz w:val="20"/>
                <w:szCs w:val="20"/>
              </w:rPr>
            </w:pPr>
            <w:r w:rsidRPr="009B7BE9">
              <w:rPr>
                <w:rFonts w:cs="Arial"/>
                <w:sz w:val="20"/>
                <w:szCs w:val="20"/>
              </w:rPr>
              <w:t>prednostna os 14: Tehnična pomoč ‒ ESS</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lastRenderedPageBreak/>
              <w:t>SID banka</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Slovenska izvozna in razvojna banka, d. d., Ljubljana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SVRK</w:t>
            </w:r>
          </w:p>
        </w:tc>
        <w:tc>
          <w:tcPr>
            <w:tcW w:w="7654" w:type="dxa"/>
          </w:tcPr>
          <w:p w:rsidR="009B7BE9" w:rsidRPr="009B7BE9" w:rsidRDefault="009B7BE9" w:rsidP="009B7BE9">
            <w:pPr>
              <w:spacing w:line="259" w:lineRule="auto"/>
              <w:jc w:val="both"/>
              <w:rPr>
                <w:rFonts w:cs="Arial"/>
                <w:sz w:val="20"/>
                <w:szCs w:val="20"/>
              </w:rPr>
            </w:pPr>
            <w:r w:rsidRPr="009B7BE9">
              <w:rPr>
                <w:rFonts w:cs="Arial"/>
                <w:sz w:val="20"/>
                <w:szCs w:val="20"/>
              </w:rPr>
              <w:t>Služba Vlade Republike Slovenije za razvoj in evropsko kohezijsko politiko</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YEI</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Pobuda za zaposlovanje mladih (finančna sredstva so načrtovana kot dopolnilo sredstvom iz ESS v obdobju 2014–2020)</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ZMOS</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Združenje mestnih občin Slovenije</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ZSRR-2</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Zakon o spodbujanju skladnega regionalnega razvoja</w:t>
            </w:r>
          </w:p>
        </w:tc>
      </w:tr>
      <w:tr w:rsidR="009B7BE9" w:rsidRPr="009B7BE9" w:rsidTr="00E87524">
        <w:tc>
          <w:tcPr>
            <w:tcW w:w="1413" w:type="dxa"/>
          </w:tcPr>
          <w:p w:rsidR="009B7BE9" w:rsidRPr="009B7BE9" w:rsidRDefault="009B7BE9" w:rsidP="009B7BE9">
            <w:pPr>
              <w:spacing w:line="259" w:lineRule="auto"/>
              <w:rPr>
                <w:rFonts w:cs="Arial"/>
                <w:sz w:val="20"/>
                <w:szCs w:val="20"/>
              </w:rPr>
            </w:pPr>
            <w:r w:rsidRPr="009B7BE9">
              <w:rPr>
                <w:rFonts w:cs="Arial"/>
                <w:sz w:val="20"/>
                <w:szCs w:val="20"/>
              </w:rPr>
              <w:t>ZZI</w:t>
            </w:r>
          </w:p>
        </w:tc>
        <w:tc>
          <w:tcPr>
            <w:tcW w:w="7654" w:type="dxa"/>
          </w:tcPr>
          <w:p w:rsidR="009B7BE9" w:rsidRPr="009B7BE9" w:rsidRDefault="009B7BE9" w:rsidP="009B7BE9">
            <w:pPr>
              <w:spacing w:line="259" w:lineRule="auto"/>
              <w:rPr>
                <w:rFonts w:cs="Arial"/>
                <w:sz w:val="20"/>
                <w:szCs w:val="20"/>
              </w:rPr>
            </w:pPr>
            <w:r w:rsidRPr="009B7BE9">
              <w:rPr>
                <w:rFonts w:cs="Arial"/>
                <w:sz w:val="20"/>
                <w:szCs w:val="20"/>
              </w:rPr>
              <w:t>zahtevek za izplačilo</w:t>
            </w:r>
          </w:p>
        </w:tc>
      </w:tr>
    </w:tbl>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sectPr w:rsidR="009B7BE9" w:rsidRPr="009B7BE9" w:rsidSect="00E87524">
          <w:footerReference w:type="default" r:id="rId9"/>
          <w:pgSz w:w="11906" w:h="16838"/>
          <w:pgMar w:top="1417" w:right="1133" w:bottom="1417" w:left="1417" w:header="708" w:footer="708" w:gutter="0"/>
          <w:pgNumType w:fmt="numberInDash" w:start="1"/>
          <w:cols w:space="708"/>
          <w:docGrid w:linePitch="360"/>
        </w:sectPr>
      </w:pPr>
    </w:p>
    <w:p w:rsidR="009B7BE9" w:rsidRPr="009B7BE9" w:rsidRDefault="009B7BE9" w:rsidP="009B7BE9">
      <w:pPr>
        <w:spacing w:after="160" w:line="259" w:lineRule="auto"/>
        <w:jc w:val="center"/>
        <w:rPr>
          <w:rFonts w:eastAsia="Calibri" w:cs="Arial"/>
          <w:szCs w:val="20"/>
        </w:rPr>
      </w:pPr>
    </w:p>
    <w:sdt>
      <w:sdtPr>
        <w:rPr>
          <w:rFonts w:eastAsia="Calibri" w:cs="Arial"/>
          <w:szCs w:val="20"/>
        </w:rPr>
        <w:id w:val="1752002934"/>
        <w:docPartObj>
          <w:docPartGallery w:val="Table of Contents"/>
          <w:docPartUnique/>
        </w:docPartObj>
      </w:sdtPr>
      <w:sdtEndPr>
        <w:rPr>
          <w:b/>
          <w:bCs/>
        </w:rPr>
      </w:sdtEndPr>
      <w:sdtContent>
        <w:p w:rsidR="009B7BE9" w:rsidRPr="003B20AE" w:rsidRDefault="009B7BE9" w:rsidP="009B7BE9">
          <w:pPr>
            <w:keepNext/>
            <w:keepLines/>
            <w:spacing w:before="240" w:line="259" w:lineRule="auto"/>
            <w:rPr>
              <w:rFonts w:cs="Arial"/>
              <w:b/>
              <w:color w:val="2E74B5"/>
              <w:szCs w:val="20"/>
              <w:lang w:eastAsia="sl-SI"/>
            </w:rPr>
          </w:pPr>
          <w:r w:rsidRPr="003B20AE">
            <w:rPr>
              <w:rFonts w:cs="Arial"/>
              <w:b/>
              <w:color w:val="2E74B5"/>
              <w:szCs w:val="20"/>
              <w:lang w:eastAsia="sl-SI"/>
            </w:rPr>
            <w:t>Vsebina</w:t>
          </w:r>
        </w:p>
        <w:p w:rsidR="000634C7" w:rsidRDefault="009B7BE9">
          <w:pPr>
            <w:pStyle w:val="Kazalovsebine1"/>
            <w:tabs>
              <w:tab w:val="left" w:pos="1440"/>
              <w:tab w:val="right" w:leader="dot" w:pos="9062"/>
            </w:tabs>
            <w:rPr>
              <w:rFonts w:asciiTheme="minorHAnsi" w:eastAsiaTheme="minorEastAsia" w:hAnsiTheme="minorHAnsi" w:cstheme="minorBidi"/>
              <w:noProof/>
              <w:sz w:val="22"/>
              <w:szCs w:val="22"/>
              <w:lang w:eastAsia="sl-SI"/>
            </w:rPr>
          </w:pPr>
          <w:r w:rsidRPr="009B7BE9">
            <w:rPr>
              <w:rFonts w:cs="Arial"/>
              <w:noProof/>
              <w:szCs w:val="20"/>
            </w:rPr>
            <w:fldChar w:fldCharType="begin"/>
          </w:r>
          <w:r w:rsidRPr="009B7BE9">
            <w:rPr>
              <w:rFonts w:cs="Arial"/>
              <w:noProof/>
              <w:szCs w:val="20"/>
            </w:rPr>
            <w:instrText xml:space="preserve"> TOC \o "1-3" \h \z \u </w:instrText>
          </w:r>
          <w:r w:rsidRPr="009B7BE9">
            <w:rPr>
              <w:rFonts w:cs="Arial"/>
              <w:noProof/>
              <w:szCs w:val="20"/>
            </w:rPr>
            <w:fldChar w:fldCharType="separate"/>
          </w:r>
          <w:hyperlink w:anchor="_Toc6992277" w:history="1">
            <w:r w:rsidR="000634C7" w:rsidRPr="009F609E">
              <w:rPr>
                <w:rStyle w:val="Hiperpovezava"/>
                <w:b/>
                <w:noProof/>
              </w:rPr>
              <w:t>1.</w:t>
            </w:r>
            <w:r w:rsidR="000634C7">
              <w:rPr>
                <w:rFonts w:asciiTheme="minorHAnsi" w:eastAsiaTheme="minorEastAsia" w:hAnsiTheme="minorHAnsi" w:cstheme="minorBidi"/>
                <w:noProof/>
                <w:sz w:val="22"/>
                <w:szCs w:val="22"/>
                <w:lang w:eastAsia="sl-SI"/>
              </w:rPr>
              <w:tab/>
            </w:r>
            <w:r w:rsidR="000634C7" w:rsidRPr="009F609E">
              <w:rPr>
                <w:rStyle w:val="Hiperpovezava"/>
                <w:b/>
                <w:noProof/>
              </w:rPr>
              <w:t>Izhodišča in predvideni ukrepi</w:t>
            </w:r>
            <w:r w:rsidR="000634C7">
              <w:rPr>
                <w:noProof/>
                <w:webHidden/>
              </w:rPr>
              <w:tab/>
            </w:r>
            <w:r w:rsidR="000634C7">
              <w:rPr>
                <w:noProof/>
                <w:webHidden/>
              </w:rPr>
              <w:fldChar w:fldCharType="begin"/>
            </w:r>
            <w:r w:rsidR="000634C7">
              <w:rPr>
                <w:noProof/>
                <w:webHidden/>
              </w:rPr>
              <w:instrText xml:space="preserve"> PAGEREF _Toc6992277 \h </w:instrText>
            </w:r>
            <w:r w:rsidR="000634C7">
              <w:rPr>
                <w:noProof/>
                <w:webHidden/>
              </w:rPr>
            </w:r>
            <w:r w:rsidR="000634C7">
              <w:rPr>
                <w:noProof/>
                <w:webHidden/>
              </w:rPr>
              <w:fldChar w:fldCharType="separate"/>
            </w:r>
            <w:r w:rsidR="00230326">
              <w:rPr>
                <w:noProof/>
                <w:webHidden/>
              </w:rPr>
              <w:t>5</w:t>
            </w:r>
            <w:r w:rsidR="000634C7">
              <w:rPr>
                <w:noProof/>
                <w:webHidden/>
              </w:rPr>
              <w:fldChar w:fldCharType="end"/>
            </w:r>
          </w:hyperlink>
        </w:p>
        <w:p w:rsidR="000634C7" w:rsidRDefault="00230326">
          <w:pPr>
            <w:pStyle w:val="Kazalovsebine2"/>
            <w:tabs>
              <w:tab w:val="left" w:pos="1440"/>
              <w:tab w:val="right" w:leader="dot" w:pos="9062"/>
            </w:tabs>
            <w:rPr>
              <w:rFonts w:asciiTheme="minorHAnsi" w:eastAsiaTheme="minorEastAsia" w:hAnsiTheme="minorHAnsi" w:cstheme="minorBidi"/>
              <w:noProof/>
              <w:szCs w:val="22"/>
              <w:lang w:eastAsia="sl-SI"/>
            </w:rPr>
          </w:pPr>
          <w:hyperlink w:anchor="_Toc6992278" w:history="1">
            <w:r w:rsidR="000634C7" w:rsidRPr="009F609E">
              <w:rPr>
                <w:rStyle w:val="Hiperpovezava"/>
                <w:rFonts w:cs="Arial"/>
                <w:b/>
                <w:noProof/>
              </w:rPr>
              <w:t>1.1</w:t>
            </w:r>
            <w:r w:rsidR="000634C7">
              <w:rPr>
                <w:rFonts w:asciiTheme="minorHAnsi" w:eastAsiaTheme="minorEastAsia" w:hAnsiTheme="minorHAnsi" w:cstheme="minorBidi"/>
                <w:noProof/>
                <w:szCs w:val="22"/>
                <w:lang w:eastAsia="sl-SI"/>
              </w:rPr>
              <w:tab/>
            </w:r>
            <w:r w:rsidR="000634C7" w:rsidRPr="009F609E">
              <w:rPr>
                <w:rStyle w:val="Hiperpovezava"/>
                <w:rFonts w:cs="Arial"/>
                <w:b/>
                <w:noProof/>
              </w:rPr>
              <w:t>Splošne težave in rešitve</w:t>
            </w:r>
            <w:r w:rsidR="000634C7">
              <w:rPr>
                <w:noProof/>
                <w:webHidden/>
              </w:rPr>
              <w:tab/>
            </w:r>
            <w:r w:rsidR="000634C7">
              <w:rPr>
                <w:noProof/>
                <w:webHidden/>
              </w:rPr>
              <w:fldChar w:fldCharType="begin"/>
            </w:r>
            <w:r w:rsidR="000634C7">
              <w:rPr>
                <w:noProof/>
                <w:webHidden/>
              </w:rPr>
              <w:instrText xml:space="preserve"> PAGEREF _Toc6992278 \h </w:instrText>
            </w:r>
            <w:r w:rsidR="000634C7">
              <w:rPr>
                <w:noProof/>
                <w:webHidden/>
              </w:rPr>
            </w:r>
            <w:r w:rsidR="000634C7">
              <w:rPr>
                <w:noProof/>
                <w:webHidden/>
              </w:rPr>
              <w:fldChar w:fldCharType="separate"/>
            </w:r>
            <w:r>
              <w:rPr>
                <w:noProof/>
                <w:webHidden/>
              </w:rPr>
              <w:t>5</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79" w:history="1">
            <w:r w:rsidR="000634C7" w:rsidRPr="009F609E">
              <w:rPr>
                <w:rStyle w:val="Hiperpovezava"/>
                <w:rFonts w:cs="Arial"/>
                <w:b/>
                <w:noProof/>
              </w:rPr>
              <w:t>Pospeševanje pošiljanja zahtevkov za povračilo Evropski komisiji</w:t>
            </w:r>
            <w:r w:rsidR="000634C7">
              <w:rPr>
                <w:noProof/>
                <w:webHidden/>
              </w:rPr>
              <w:tab/>
            </w:r>
            <w:r w:rsidR="000634C7">
              <w:rPr>
                <w:noProof/>
                <w:webHidden/>
              </w:rPr>
              <w:fldChar w:fldCharType="begin"/>
            </w:r>
            <w:r w:rsidR="000634C7">
              <w:rPr>
                <w:noProof/>
                <w:webHidden/>
              </w:rPr>
              <w:instrText xml:space="preserve"> PAGEREF _Toc6992279 \h </w:instrText>
            </w:r>
            <w:r w:rsidR="000634C7">
              <w:rPr>
                <w:noProof/>
                <w:webHidden/>
              </w:rPr>
            </w:r>
            <w:r w:rsidR="000634C7">
              <w:rPr>
                <w:noProof/>
                <w:webHidden/>
              </w:rPr>
              <w:fldChar w:fldCharType="separate"/>
            </w:r>
            <w:r>
              <w:rPr>
                <w:noProof/>
                <w:webHidden/>
              </w:rPr>
              <w:t>5</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0" w:history="1">
            <w:r w:rsidR="000634C7" w:rsidRPr="009F609E">
              <w:rPr>
                <w:rStyle w:val="Hiperpovezava"/>
                <w:rFonts w:cs="Arial"/>
                <w:b/>
                <w:noProof/>
              </w:rPr>
              <w:t>Razvoj in vzpostavitev informacijskega sistema OU (eMA)</w:t>
            </w:r>
            <w:r w:rsidR="000634C7">
              <w:rPr>
                <w:noProof/>
                <w:webHidden/>
              </w:rPr>
              <w:tab/>
            </w:r>
            <w:r w:rsidR="000634C7">
              <w:rPr>
                <w:noProof/>
                <w:webHidden/>
              </w:rPr>
              <w:fldChar w:fldCharType="begin"/>
            </w:r>
            <w:r w:rsidR="000634C7">
              <w:rPr>
                <w:noProof/>
                <w:webHidden/>
              </w:rPr>
              <w:instrText xml:space="preserve"> PAGEREF _Toc6992280 \h </w:instrText>
            </w:r>
            <w:r w:rsidR="000634C7">
              <w:rPr>
                <w:noProof/>
                <w:webHidden/>
              </w:rPr>
            </w:r>
            <w:r w:rsidR="000634C7">
              <w:rPr>
                <w:noProof/>
                <w:webHidden/>
              </w:rPr>
              <w:fldChar w:fldCharType="separate"/>
            </w:r>
            <w:r>
              <w:rPr>
                <w:noProof/>
                <w:webHidden/>
              </w:rPr>
              <w:t>6</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1" w:history="1">
            <w:r w:rsidR="000634C7" w:rsidRPr="009F609E">
              <w:rPr>
                <w:rStyle w:val="Hiperpovezava"/>
                <w:rFonts w:cs="Arial"/>
                <w:b/>
                <w:noProof/>
              </w:rPr>
              <w:t>Finančni instrumenti</w:t>
            </w:r>
            <w:r w:rsidR="000634C7">
              <w:rPr>
                <w:noProof/>
                <w:webHidden/>
              </w:rPr>
              <w:tab/>
            </w:r>
            <w:r w:rsidR="000634C7">
              <w:rPr>
                <w:noProof/>
                <w:webHidden/>
              </w:rPr>
              <w:fldChar w:fldCharType="begin"/>
            </w:r>
            <w:r w:rsidR="000634C7">
              <w:rPr>
                <w:noProof/>
                <w:webHidden/>
              </w:rPr>
              <w:instrText xml:space="preserve"> PAGEREF _Toc6992281 \h </w:instrText>
            </w:r>
            <w:r w:rsidR="000634C7">
              <w:rPr>
                <w:noProof/>
                <w:webHidden/>
              </w:rPr>
            </w:r>
            <w:r w:rsidR="000634C7">
              <w:rPr>
                <w:noProof/>
                <w:webHidden/>
              </w:rPr>
              <w:fldChar w:fldCharType="separate"/>
            </w:r>
            <w:r>
              <w:rPr>
                <w:noProof/>
                <w:webHidden/>
              </w:rPr>
              <w:t>8</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2" w:history="1">
            <w:r w:rsidR="000634C7" w:rsidRPr="009F609E">
              <w:rPr>
                <w:rStyle w:val="Hiperpovezava"/>
                <w:rFonts w:cs="Arial"/>
                <w:b/>
                <w:noProof/>
              </w:rPr>
              <w:t>Konsistentnost uporabe načela pripravljenosti operacij za izvedbo v postopkih izbora</w:t>
            </w:r>
            <w:r w:rsidR="000634C7">
              <w:rPr>
                <w:noProof/>
                <w:webHidden/>
              </w:rPr>
              <w:tab/>
            </w:r>
            <w:r w:rsidR="000634C7">
              <w:rPr>
                <w:noProof/>
                <w:webHidden/>
              </w:rPr>
              <w:fldChar w:fldCharType="begin"/>
            </w:r>
            <w:r w:rsidR="000634C7">
              <w:rPr>
                <w:noProof/>
                <w:webHidden/>
              </w:rPr>
              <w:instrText xml:space="preserve"> PAGEREF _Toc6992282 \h </w:instrText>
            </w:r>
            <w:r w:rsidR="000634C7">
              <w:rPr>
                <w:noProof/>
                <w:webHidden/>
              </w:rPr>
            </w:r>
            <w:r w:rsidR="000634C7">
              <w:rPr>
                <w:noProof/>
                <w:webHidden/>
              </w:rPr>
              <w:fldChar w:fldCharType="separate"/>
            </w:r>
            <w:r>
              <w:rPr>
                <w:noProof/>
                <w:webHidden/>
              </w:rPr>
              <w:t>9</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3" w:history="1">
            <w:r w:rsidR="000634C7" w:rsidRPr="009F609E">
              <w:rPr>
                <w:rStyle w:val="Hiperpovezava"/>
                <w:rFonts w:cs="Arial"/>
                <w:b/>
                <w:noProof/>
              </w:rPr>
              <w:t>Sočasna izvedba dodeljevanja evropskih sredstev in postopkov oddaje javnih naročil pri uporabnikih proračuna</w:t>
            </w:r>
            <w:r w:rsidR="000634C7">
              <w:rPr>
                <w:noProof/>
                <w:webHidden/>
              </w:rPr>
              <w:tab/>
            </w:r>
            <w:r w:rsidR="000634C7">
              <w:rPr>
                <w:noProof/>
                <w:webHidden/>
              </w:rPr>
              <w:fldChar w:fldCharType="begin"/>
            </w:r>
            <w:r w:rsidR="000634C7">
              <w:rPr>
                <w:noProof/>
                <w:webHidden/>
              </w:rPr>
              <w:instrText xml:space="preserve"> PAGEREF _Toc6992283 \h </w:instrText>
            </w:r>
            <w:r w:rsidR="000634C7">
              <w:rPr>
                <w:noProof/>
                <w:webHidden/>
              </w:rPr>
            </w:r>
            <w:r w:rsidR="000634C7">
              <w:rPr>
                <w:noProof/>
                <w:webHidden/>
              </w:rPr>
              <w:fldChar w:fldCharType="separate"/>
            </w:r>
            <w:r>
              <w:rPr>
                <w:noProof/>
                <w:webHidden/>
              </w:rPr>
              <w:t>10</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4" w:history="1">
            <w:r w:rsidR="000634C7" w:rsidRPr="009F609E">
              <w:rPr>
                <w:rStyle w:val="Hiperpovezava"/>
                <w:rFonts w:cs="Arial"/>
                <w:b/>
                <w:noProof/>
              </w:rPr>
              <w:t>Prednostna obravnava načrtovanih operacij v postopkih okoljske presoje pri MOP in ARSO</w:t>
            </w:r>
            <w:r w:rsidR="000634C7">
              <w:rPr>
                <w:noProof/>
                <w:webHidden/>
              </w:rPr>
              <w:tab/>
            </w:r>
            <w:r w:rsidR="000634C7">
              <w:rPr>
                <w:noProof/>
                <w:webHidden/>
              </w:rPr>
              <w:fldChar w:fldCharType="begin"/>
            </w:r>
            <w:r w:rsidR="000634C7">
              <w:rPr>
                <w:noProof/>
                <w:webHidden/>
              </w:rPr>
              <w:instrText xml:space="preserve"> PAGEREF _Toc6992284 \h </w:instrText>
            </w:r>
            <w:r w:rsidR="000634C7">
              <w:rPr>
                <w:noProof/>
                <w:webHidden/>
              </w:rPr>
            </w:r>
            <w:r w:rsidR="000634C7">
              <w:rPr>
                <w:noProof/>
                <w:webHidden/>
              </w:rPr>
              <w:fldChar w:fldCharType="separate"/>
            </w:r>
            <w:r>
              <w:rPr>
                <w:noProof/>
                <w:webHidden/>
              </w:rPr>
              <w:t>11</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5" w:history="1">
            <w:r w:rsidR="000634C7" w:rsidRPr="009F609E">
              <w:rPr>
                <w:rStyle w:val="Hiperpovezava"/>
                <w:rFonts w:cs="Arial"/>
                <w:b/>
                <w:noProof/>
              </w:rPr>
              <w:t>Optimizacija usmeritev/navodil za izvajanje evropske kohezijske politike</w:t>
            </w:r>
            <w:r w:rsidR="000634C7">
              <w:rPr>
                <w:noProof/>
                <w:webHidden/>
              </w:rPr>
              <w:tab/>
            </w:r>
            <w:r w:rsidR="000634C7">
              <w:rPr>
                <w:noProof/>
                <w:webHidden/>
              </w:rPr>
              <w:fldChar w:fldCharType="begin"/>
            </w:r>
            <w:r w:rsidR="000634C7">
              <w:rPr>
                <w:noProof/>
                <w:webHidden/>
              </w:rPr>
              <w:instrText xml:space="preserve"> PAGEREF _Toc6992285 \h </w:instrText>
            </w:r>
            <w:r w:rsidR="000634C7">
              <w:rPr>
                <w:noProof/>
                <w:webHidden/>
              </w:rPr>
            </w:r>
            <w:r w:rsidR="000634C7">
              <w:rPr>
                <w:noProof/>
                <w:webHidden/>
              </w:rPr>
              <w:fldChar w:fldCharType="separate"/>
            </w:r>
            <w:r>
              <w:rPr>
                <w:noProof/>
                <w:webHidden/>
              </w:rPr>
              <w:t>12</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6" w:history="1">
            <w:r w:rsidR="000634C7" w:rsidRPr="009F609E">
              <w:rPr>
                <w:rStyle w:val="Hiperpovezava"/>
                <w:rFonts w:cs="Arial"/>
                <w:b/>
                <w:noProof/>
              </w:rPr>
              <w:t>Podpora pri izvajanju evropske kohezijske politike</w:t>
            </w:r>
            <w:r w:rsidR="000634C7">
              <w:rPr>
                <w:noProof/>
                <w:webHidden/>
              </w:rPr>
              <w:tab/>
            </w:r>
            <w:r w:rsidR="000634C7">
              <w:rPr>
                <w:noProof/>
                <w:webHidden/>
              </w:rPr>
              <w:fldChar w:fldCharType="begin"/>
            </w:r>
            <w:r w:rsidR="000634C7">
              <w:rPr>
                <w:noProof/>
                <w:webHidden/>
              </w:rPr>
              <w:instrText xml:space="preserve"> PAGEREF _Toc6992286 \h </w:instrText>
            </w:r>
            <w:r w:rsidR="000634C7">
              <w:rPr>
                <w:noProof/>
                <w:webHidden/>
              </w:rPr>
            </w:r>
            <w:r w:rsidR="000634C7">
              <w:rPr>
                <w:noProof/>
                <w:webHidden/>
              </w:rPr>
              <w:fldChar w:fldCharType="separate"/>
            </w:r>
            <w:r>
              <w:rPr>
                <w:noProof/>
                <w:webHidden/>
              </w:rPr>
              <w:t>13</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7" w:history="1">
            <w:r w:rsidR="000634C7" w:rsidRPr="009F609E">
              <w:rPr>
                <w:rStyle w:val="Hiperpovezava"/>
                <w:rFonts w:cs="Arial"/>
                <w:b/>
                <w:noProof/>
              </w:rPr>
              <w:t>Teritorialni pristopi</w:t>
            </w:r>
            <w:r w:rsidR="000634C7">
              <w:rPr>
                <w:noProof/>
                <w:webHidden/>
              </w:rPr>
              <w:tab/>
            </w:r>
            <w:r w:rsidR="000634C7">
              <w:rPr>
                <w:noProof/>
                <w:webHidden/>
              </w:rPr>
              <w:fldChar w:fldCharType="begin"/>
            </w:r>
            <w:r w:rsidR="000634C7">
              <w:rPr>
                <w:noProof/>
                <w:webHidden/>
              </w:rPr>
              <w:instrText xml:space="preserve"> PAGEREF _Toc6992287 \h </w:instrText>
            </w:r>
            <w:r w:rsidR="000634C7">
              <w:rPr>
                <w:noProof/>
                <w:webHidden/>
              </w:rPr>
            </w:r>
            <w:r w:rsidR="000634C7">
              <w:rPr>
                <w:noProof/>
                <w:webHidden/>
              </w:rPr>
              <w:fldChar w:fldCharType="separate"/>
            </w:r>
            <w:r>
              <w:rPr>
                <w:noProof/>
                <w:webHidden/>
              </w:rPr>
              <w:t>15</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8" w:history="1">
            <w:r w:rsidR="000634C7" w:rsidRPr="009F609E">
              <w:rPr>
                <w:rStyle w:val="Hiperpovezava"/>
                <w:rFonts w:cs="Arial"/>
                <w:b/>
                <w:noProof/>
              </w:rPr>
              <w:t>Analiza kot podlaga za omogočanje pogojev za 100-odstotno črpanje sredstev OP EKP do konca programskega obdobja</w:t>
            </w:r>
            <w:r w:rsidR="000634C7">
              <w:rPr>
                <w:noProof/>
                <w:webHidden/>
              </w:rPr>
              <w:tab/>
            </w:r>
            <w:r w:rsidR="000634C7">
              <w:rPr>
                <w:noProof/>
                <w:webHidden/>
              </w:rPr>
              <w:fldChar w:fldCharType="begin"/>
            </w:r>
            <w:r w:rsidR="000634C7">
              <w:rPr>
                <w:noProof/>
                <w:webHidden/>
              </w:rPr>
              <w:instrText xml:space="preserve"> PAGEREF _Toc6992288 \h </w:instrText>
            </w:r>
            <w:r w:rsidR="000634C7">
              <w:rPr>
                <w:noProof/>
                <w:webHidden/>
              </w:rPr>
            </w:r>
            <w:r w:rsidR="000634C7">
              <w:rPr>
                <w:noProof/>
                <w:webHidden/>
              </w:rPr>
              <w:fldChar w:fldCharType="separate"/>
            </w:r>
            <w:r>
              <w:rPr>
                <w:noProof/>
                <w:webHidden/>
              </w:rPr>
              <w:t>19</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89" w:history="1">
            <w:r w:rsidR="000634C7" w:rsidRPr="009F609E">
              <w:rPr>
                <w:rStyle w:val="Hiperpovezava"/>
                <w:rFonts w:cs="Arial"/>
                <w:b/>
                <w:noProof/>
              </w:rPr>
              <w:t>Načrtovane operacije, ki glede na načrtovani rok izdaje odločitve o podpori še niso potrjene</w:t>
            </w:r>
            <w:r w:rsidR="000634C7">
              <w:rPr>
                <w:noProof/>
                <w:webHidden/>
              </w:rPr>
              <w:tab/>
            </w:r>
            <w:r w:rsidR="000634C7">
              <w:rPr>
                <w:noProof/>
                <w:webHidden/>
              </w:rPr>
              <w:fldChar w:fldCharType="begin"/>
            </w:r>
            <w:r w:rsidR="000634C7">
              <w:rPr>
                <w:noProof/>
                <w:webHidden/>
              </w:rPr>
              <w:instrText xml:space="preserve"> PAGEREF _Toc6992289 \h </w:instrText>
            </w:r>
            <w:r w:rsidR="000634C7">
              <w:rPr>
                <w:noProof/>
                <w:webHidden/>
              </w:rPr>
            </w:r>
            <w:r w:rsidR="000634C7">
              <w:rPr>
                <w:noProof/>
                <w:webHidden/>
              </w:rPr>
              <w:fldChar w:fldCharType="separate"/>
            </w:r>
            <w:r>
              <w:rPr>
                <w:noProof/>
                <w:webHidden/>
              </w:rPr>
              <w:t>20</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0" w:history="1">
            <w:r w:rsidR="000634C7" w:rsidRPr="009F609E">
              <w:rPr>
                <w:rStyle w:val="Hiperpovezava"/>
                <w:rFonts w:cs="Arial"/>
                <w:b/>
                <w:noProof/>
              </w:rPr>
              <w:t>Operacije, za katere je odločitev o podpori izdana, a se v daljšem časovnem obdobju ne dosega tehtnejša realizacija</w:t>
            </w:r>
            <w:r w:rsidR="000634C7">
              <w:rPr>
                <w:noProof/>
                <w:webHidden/>
              </w:rPr>
              <w:tab/>
            </w:r>
            <w:r w:rsidR="000634C7">
              <w:rPr>
                <w:noProof/>
                <w:webHidden/>
              </w:rPr>
              <w:fldChar w:fldCharType="begin"/>
            </w:r>
            <w:r w:rsidR="000634C7">
              <w:rPr>
                <w:noProof/>
                <w:webHidden/>
              </w:rPr>
              <w:instrText xml:space="preserve"> PAGEREF _Toc6992290 \h </w:instrText>
            </w:r>
            <w:r w:rsidR="000634C7">
              <w:rPr>
                <w:noProof/>
                <w:webHidden/>
              </w:rPr>
            </w:r>
            <w:r w:rsidR="000634C7">
              <w:rPr>
                <w:noProof/>
                <w:webHidden/>
              </w:rPr>
              <w:fldChar w:fldCharType="separate"/>
            </w:r>
            <w:r>
              <w:rPr>
                <w:noProof/>
                <w:webHidden/>
              </w:rPr>
              <w:t>22</w:t>
            </w:r>
            <w:r w:rsidR="000634C7">
              <w:rPr>
                <w:noProof/>
                <w:webHidden/>
              </w:rPr>
              <w:fldChar w:fldCharType="end"/>
            </w:r>
          </w:hyperlink>
        </w:p>
        <w:p w:rsidR="000634C7" w:rsidRDefault="00230326">
          <w:pPr>
            <w:pStyle w:val="Kazalovsebine2"/>
            <w:tabs>
              <w:tab w:val="right" w:leader="dot" w:pos="9062"/>
            </w:tabs>
            <w:rPr>
              <w:rFonts w:asciiTheme="minorHAnsi" w:eastAsiaTheme="minorEastAsia" w:hAnsiTheme="minorHAnsi" w:cstheme="minorBidi"/>
              <w:noProof/>
              <w:szCs w:val="22"/>
              <w:lang w:eastAsia="sl-SI"/>
            </w:rPr>
          </w:pPr>
          <w:hyperlink w:anchor="_Toc6992291" w:history="1">
            <w:r w:rsidR="000634C7" w:rsidRPr="009F609E">
              <w:rPr>
                <w:rStyle w:val="Hiperpovezava"/>
                <w:b/>
                <w:noProof/>
              </w:rPr>
              <w:t>2.    Specifične težave po prednostnih oseh in predvidene rešitve</w:t>
            </w:r>
            <w:r w:rsidR="000634C7">
              <w:rPr>
                <w:noProof/>
                <w:webHidden/>
              </w:rPr>
              <w:tab/>
            </w:r>
            <w:r w:rsidR="000634C7">
              <w:rPr>
                <w:noProof/>
                <w:webHidden/>
              </w:rPr>
              <w:fldChar w:fldCharType="begin"/>
            </w:r>
            <w:r w:rsidR="000634C7">
              <w:rPr>
                <w:noProof/>
                <w:webHidden/>
              </w:rPr>
              <w:instrText xml:space="preserve"> PAGEREF _Toc6992291 \h </w:instrText>
            </w:r>
            <w:r w:rsidR="000634C7">
              <w:rPr>
                <w:noProof/>
                <w:webHidden/>
              </w:rPr>
            </w:r>
            <w:r w:rsidR="000634C7">
              <w:rPr>
                <w:noProof/>
                <w:webHidden/>
              </w:rPr>
              <w:fldChar w:fldCharType="separate"/>
            </w:r>
            <w:r>
              <w:rPr>
                <w:noProof/>
                <w:webHidden/>
              </w:rPr>
              <w:t>24</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2" w:history="1">
            <w:r w:rsidR="000634C7" w:rsidRPr="009F609E">
              <w:rPr>
                <w:rStyle w:val="Hiperpovezava"/>
                <w:rFonts w:cs="Arial"/>
                <w:b/>
                <w:noProof/>
              </w:rPr>
              <w:t>Prednostna os 1: Krepitev raziskav, tehnološkega razvoja in inovacij (v EUR)</w:t>
            </w:r>
            <w:r w:rsidR="000634C7">
              <w:rPr>
                <w:noProof/>
                <w:webHidden/>
              </w:rPr>
              <w:tab/>
            </w:r>
            <w:r w:rsidR="000634C7">
              <w:rPr>
                <w:noProof/>
                <w:webHidden/>
              </w:rPr>
              <w:fldChar w:fldCharType="begin"/>
            </w:r>
            <w:r w:rsidR="000634C7">
              <w:rPr>
                <w:noProof/>
                <w:webHidden/>
              </w:rPr>
              <w:instrText xml:space="preserve"> PAGEREF _Toc6992292 \h </w:instrText>
            </w:r>
            <w:r w:rsidR="000634C7">
              <w:rPr>
                <w:noProof/>
                <w:webHidden/>
              </w:rPr>
            </w:r>
            <w:r w:rsidR="000634C7">
              <w:rPr>
                <w:noProof/>
                <w:webHidden/>
              </w:rPr>
              <w:fldChar w:fldCharType="separate"/>
            </w:r>
            <w:r>
              <w:rPr>
                <w:noProof/>
                <w:webHidden/>
              </w:rPr>
              <w:t>24</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3" w:history="1">
            <w:r w:rsidR="000634C7" w:rsidRPr="009F609E">
              <w:rPr>
                <w:rStyle w:val="Hiperpovezava"/>
                <w:rFonts w:cs="Arial"/>
                <w:b/>
                <w:noProof/>
              </w:rPr>
              <w:t>Prednostna os 2: Izboljšanje dostopnosti, uporabe in kakovosti informacijskih in komunikacijskih tehnologij (v EUR)</w:t>
            </w:r>
            <w:r w:rsidR="000634C7">
              <w:rPr>
                <w:noProof/>
                <w:webHidden/>
              </w:rPr>
              <w:tab/>
            </w:r>
            <w:r w:rsidR="000634C7">
              <w:rPr>
                <w:noProof/>
                <w:webHidden/>
              </w:rPr>
              <w:fldChar w:fldCharType="begin"/>
            </w:r>
            <w:r w:rsidR="000634C7">
              <w:rPr>
                <w:noProof/>
                <w:webHidden/>
              </w:rPr>
              <w:instrText xml:space="preserve"> PAGEREF _Toc6992293 \h </w:instrText>
            </w:r>
            <w:r w:rsidR="000634C7">
              <w:rPr>
                <w:noProof/>
                <w:webHidden/>
              </w:rPr>
            </w:r>
            <w:r w:rsidR="000634C7">
              <w:rPr>
                <w:noProof/>
                <w:webHidden/>
              </w:rPr>
              <w:fldChar w:fldCharType="separate"/>
            </w:r>
            <w:r>
              <w:rPr>
                <w:noProof/>
                <w:webHidden/>
              </w:rPr>
              <w:t>25</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4" w:history="1">
            <w:r w:rsidR="000634C7" w:rsidRPr="009F609E">
              <w:rPr>
                <w:rStyle w:val="Hiperpovezava"/>
                <w:rFonts w:cs="Arial"/>
                <w:b/>
                <w:noProof/>
              </w:rPr>
              <w:t>Prednostna os 3: Povečanje konkurenčnosti malih in srednje velikih podjetij (v EUR)</w:t>
            </w:r>
            <w:r w:rsidR="000634C7">
              <w:rPr>
                <w:noProof/>
                <w:webHidden/>
              </w:rPr>
              <w:tab/>
            </w:r>
            <w:r w:rsidR="000634C7">
              <w:rPr>
                <w:noProof/>
                <w:webHidden/>
              </w:rPr>
              <w:fldChar w:fldCharType="begin"/>
            </w:r>
            <w:r w:rsidR="000634C7">
              <w:rPr>
                <w:noProof/>
                <w:webHidden/>
              </w:rPr>
              <w:instrText xml:space="preserve"> PAGEREF _Toc6992294 \h </w:instrText>
            </w:r>
            <w:r w:rsidR="000634C7">
              <w:rPr>
                <w:noProof/>
                <w:webHidden/>
              </w:rPr>
            </w:r>
            <w:r w:rsidR="000634C7">
              <w:rPr>
                <w:noProof/>
                <w:webHidden/>
              </w:rPr>
              <w:fldChar w:fldCharType="separate"/>
            </w:r>
            <w:r>
              <w:rPr>
                <w:noProof/>
                <w:webHidden/>
              </w:rPr>
              <w:t>26</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5" w:history="1">
            <w:r w:rsidR="000634C7" w:rsidRPr="009F609E">
              <w:rPr>
                <w:rStyle w:val="Hiperpovezava"/>
                <w:rFonts w:cs="Arial"/>
                <w:b/>
                <w:noProof/>
              </w:rPr>
              <w:t>Prednostna os 4: Podpora za prehod na nizkoogljično gospodarstvo (v EUR)</w:t>
            </w:r>
            <w:r w:rsidR="000634C7">
              <w:rPr>
                <w:noProof/>
                <w:webHidden/>
              </w:rPr>
              <w:tab/>
            </w:r>
            <w:r w:rsidR="000634C7">
              <w:rPr>
                <w:noProof/>
                <w:webHidden/>
              </w:rPr>
              <w:fldChar w:fldCharType="begin"/>
            </w:r>
            <w:r w:rsidR="000634C7">
              <w:rPr>
                <w:noProof/>
                <w:webHidden/>
              </w:rPr>
              <w:instrText xml:space="preserve"> PAGEREF _Toc6992295 \h </w:instrText>
            </w:r>
            <w:r w:rsidR="000634C7">
              <w:rPr>
                <w:noProof/>
                <w:webHidden/>
              </w:rPr>
            </w:r>
            <w:r w:rsidR="000634C7">
              <w:rPr>
                <w:noProof/>
                <w:webHidden/>
              </w:rPr>
              <w:fldChar w:fldCharType="separate"/>
            </w:r>
            <w:r>
              <w:rPr>
                <w:noProof/>
                <w:webHidden/>
              </w:rPr>
              <w:t>27</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6" w:history="1">
            <w:r w:rsidR="000634C7" w:rsidRPr="009F609E">
              <w:rPr>
                <w:rStyle w:val="Hiperpovezava"/>
                <w:rFonts w:cs="Arial"/>
                <w:b/>
                <w:noProof/>
              </w:rPr>
              <w:t>Prednostna os 5: Spodbujanje prilagajanja podnebnim spremembam ter preprečevanja in obvladovanja tveganj (v EUR)</w:t>
            </w:r>
            <w:r w:rsidR="000634C7">
              <w:rPr>
                <w:noProof/>
                <w:webHidden/>
              </w:rPr>
              <w:tab/>
            </w:r>
            <w:r w:rsidR="000634C7">
              <w:rPr>
                <w:noProof/>
                <w:webHidden/>
              </w:rPr>
              <w:fldChar w:fldCharType="begin"/>
            </w:r>
            <w:r w:rsidR="000634C7">
              <w:rPr>
                <w:noProof/>
                <w:webHidden/>
              </w:rPr>
              <w:instrText xml:space="preserve"> PAGEREF _Toc6992296 \h </w:instrText>
            </w:r>
            <w:r w:rsidR="000634C7">
              <w:rPr>
                <w:noProof/>
                <w:webHidden/>
              </w:rPr>
            </w:r>
            <w:r w:rsidR="000634C7">
              <w:rPr>
                <w:noProof/>
                <w:webHidden/>
              </w:rPr>
              <w:fldChar w:fldCharType="separate"/>
            </w:r>
            <w:r>
              <w:rPr>
                <w:noProof/>
                <w:webHidden/>
              </w:rPr>
              <w:t>28</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7" w:history="1">
            <w:r w:rsidR="000634C7" w:rsidRPr="009F609E">
              <w:rPr>
                <w:rStyle w:val="Hiperpovezava"/>
                <w:rFonts w:cs="Arial"/>
                <w:b/>
                <w:noProof/>
              </w:rPr>
              <w:t>Prednostna os 6: Ohranjanje in varstvo okolja ter spodbujanje učinkovite rabe virov (v EUR)</w:t>
            </w:r>
            <w:r w:rsidR="000634C7">
              <w:rPr>
                <w:noProof/>
                <w:webHidden/>
              </w:rPr>
              <w:tab/>
            </w:r>
            <w:r w:rsidR="000634C7">
              <w:rPr>
                <w:noProof/>
                <w:webHidden/>
              </w:rPr>
              <w:fldChar w:fldCharType="begin"/>
            </w:r>
            <w:r w:rsidR="000634C7">
              <w:rPr>
                <w:noProof/>
                <w:webHidden/>
              </w:rPr>
              <w:instrText xml:space="preserve"> PAGEREF _Toc6992297 \h </w:instrText>
            </w:r>
            <w:r w:rsidR="000634C7">
              <w:rPr>
                <w:noProof/>
                <w:webHidden/>
              </w:rPr>
            </w:r>
            <w:r w:rsidR="000634C7">
              <w:rPr>
                <w:noProof/>
                <w:webHidden/>
              </w:rPr>
              <w:fldChar w:fldCharType="separate"/>
            </w:r>
            <w:r>
              <w:rPr>
                <w:noProof/>
                <w:webHidden/>
              </w:rPr>
              <w:t>29</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8" w:history="1">
            <w:r w:rsidR="000634C7" w:rsidRPr="009F609E">
              <w:rPr>
                <w:rStyle w:val="Hiperpovezava"/>
                <w:rFonts w:cs="Arial"/>
                <w:b/>
                <w:noProof/>
              </w:rPr>
              <w:t>Prednostna os 7: Spodbujanje trajnostnega prometa in izboljšanje omrežnih infrastruktur (v EUR)</w:t>
            </w:r>
            <w:r w:rsidR="000634C7">
              <w:rPr>
                <w:noProof/>
                <w:webHidden/>
              </w:rPr>
              <w:tab/>
            </w:r>
            <w:r w:rsidR="000634C7">
              <w:rPr>
                <w:noProof/>
                <w:webHidden/>
              </w:rPr>
              <w:fldChar w:fldCharType="begin"/>
            </w:r>
            <w:r w:rsidR="000634C7">
              <w:rPr>
                <w:noProof/>
                <w:webHidden/>
              </w:rPr>
              <w:instrText xml:space="preserve"> PAGEREF _Toc6992298 \h </w:instrText>
            </w:r>
            <w:r w:rsidR="000634C7">
              <w:rPr>
                <w:noProof/>
                <w:webHidden/>
              </w:rPr>
            </w:r>
            <w:r w:rsidR="000634C7">
              <w:rPr>
                <w:noProof/>
                <w:webHidden/>
              </w:rPr>
              <w:fldChar w:fldCharType="separate"/>
            </w:r>
            <w:r>
              <w:rPr>
                <w:noProof/>
                <w:webHidden/>
              </w:rPr>
              <w:t>30</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299" w:history="1">
            <w:r w:rsidR="000634C7" w:rsidRPr="009F609E">
              <w:rPr>
                <w:rStyle w:val="Hiperpovezava"/>
                <w:rFonts w:cs="Arial"/>
                <w:b/>
                <w:noProof/>
              </w:rPr>
              <w:t>Prednostna os 8: Spodbujanje trajnostnega in kakovostnega zaposlovanja ter mobilnosti delovne sile (v EUR)</w:t>
            </w:r>
            <w:r w:rsidR="000634C7">
              <w:rPr>
                <w:noProof/>
                <w:webHidden/>
              </w:rPr>
              <w:tab/>
            </w:r>
            <w:r w:rsidR="000634C7">
              <w:rPr>
                <w:noProof/>
                <w:webHidden/>
              </w:rPr>
              <w:fldChar w:fldCharType="begin"/>
            </w:r>
            <w:r w:rsidR="000634C7">
              <w:rPr>
                <w:noProof/>
                <w:webHidden/>
              </w:rPr>
              <w:instrText xml:space="preserve"> PAGEREF _Toc6992299 \h </w:instrText>
            </w:r>
            <w:r w:rsidR="000634C7">
              <w:rPr>
                <w:noProof/>
                <w:webHidden/>
              </w:rPr>
            </w:r>
            <w:r w:rsidR="000634C7">
              <w:rPr>
                <w:noProof/>
                <w:webHidden/>
              </w:rPr>
              <w:fldChar w:fldCharType="separate"/>
            </w:r>
            <w:r>
              <w:rPr>
                <w:noProof/>
                <w:webHidden/>
              </w:rPr>
              <w:t>31</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300" w:history="1">
            <w:r w:rsidR="000634C7" w:rsidRPr="009F609E">
              <w:rPr>
                <w:rStyle w:val="Hiperpovezava"/>
                <w:rFonts w:cs="Arial"/>
                <w:b/>
                <w:noProof/>
              </w:rPr>
              <w:t>Prednostna os 9: Spodbujanje socialnega vključevanja ter boj proti revščini in kakršni koli diskriminaciji (v EUR)</w:t>
            </w:r>
            <w:r w:rsidR="000634C7">
              <w:rPr>
                <w:noProof/>
                <w:webHidden/>
              </w:rPr>
              <w:tab/>
            </w:r>
            <w:r w:rsidR="000634C7">
              <w:rPr>
                <w:noProof/>
                <w:webHidden/>
              </w:rPr>
              <w:fldChar w:fldCharType="begin"/>
            </w:r>
            <w:r w:rsidR="000634C7">
              <w:rPr>
                <w:noProof/>
                <w:webHidden/>
              </w:rPr>
              <w:instrText xml:space="preserve"> PAGEREF _Toc6992300 \h </w:instrText>
            </w:r>
            <w:r w:rsidR="000634C7">
              <w:rPr>
                <w:noProof/>
                <w:webHidden/>
              </w:rPr>
            </w:r>
            <w:r w:rsidR="000634C7">
              <w:rPr>
                <w:noProof/>
                <w:webHidden/>
              </w:rPr>
              <w:fldChar w:fldCharType="separate"/>
            </w:r>
            <w:r>
              <w:rPr>
                <w:noProof/>
                <w:webHidden/>
              </w:rPr>
              <w:t>32</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301" w:history="1">
            <w:r w:rsidR="000634C7" w:rsidRPr="009F609E">
              <w:rPr>
                <w:rStyle w:val="Hiperpovezava"/>
                <w:rFonts w:cs="Arial"/>
                <w:b/>
                <w:noProof/>
              </w:rPr>
              <w:t>Prednostna os 10: Naložbe v izobraževanje, usposabljanje in vseživljenjsko učenje (v EUR)</w:t>
            </w:r>
            <w:r w:rsidR="000634C7">
              <w:rPr>
                <w:noProof/>
                <w:webHidden/>
              </w:rPr>
              <w:tab/>
            </w:r>
            <w:r w:rsidR="000634C7">
              <w:rPr>
                <w:noProof/>
                <w:webHidden/>
              </w:rPr>
              <w:fldChar w:fldCharType="begin"/>
            </w:r>
            <w:r w:rsidR="000634C7">
              <w:rPr>
                <w:noProof/>
                <w:webHidden/>
              </w:rPr>
              <w:instrText xml:space="preserve"> PAGEREF _Toc6992301 \h </w:instrText>
            </w:r>
            <w:r w:rsidR="000634C7">
              <w:rPr>
                <w:noProof/>
                <w:webHidden/>
              </w:rPr>
            </w:r>
            <w:r w:rsidR="000634C7">
              <w:rPr>
                <w:noProof/>
                <w:webHidden/>
              </w:rPr>
              <w:fldChar w:fldCharType="separate"/>
            </w:r>
            <w:r>
              <w:rPr>
                <w:noProof/>
                <w:webHidden/>
              </w:rPr>
              <w:t>34</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302" w:history="1">
            <w:r w:rsidR="000634C7" w:rsidRPr="009F609E">
              <w:rPr>
                <w:rStyle w:val="Hiperpovezava"/>
                <w:rFonts w:cs="Arial"/>
                <w:b/>
                <w:noProof/>
              </w:rPr>
              <w:t>Prednostna os 11: Izboljšanje učinkovitosti javne uprave (v EUR)</w:t>
            </w:r>
            <w:r w:rsidR="000634C7">
              <w:rPr>
                <w:noProof/>
                <w:webHidden/>
              </w:rPr>
              <w:tab/>
            </w:r>
            <w:r w:rsidR="000634C7">
              <w:rPr>
                <w:noProof/>
                <w:webHidden/>
              </w:rPr>
              <w:fldChar w:fldCharType="begin"/>
            </w:r>
            <w:r w:rsidR="000634C7">
              <w:rPr>
                <w:noProof/>
                <w:webHidden/>
              </w:rPr>
              <w:instrText xml:space="preserve"> PAGEREF _Toc6992302 \h </w:instrText>
            </w:r>
            <w:r w:rsidR="000634C7">
              <w:rPr>
                <w:noProof/>
                <w:webHidden/>
              </w:rPr>
            </w:r>
            <w:r w:rsidR="000634C7">
              <w:rPr>
                <w:noProof/>
                <w:webHidden/>
              </w:rPr>
              <w:fldChar w:fldCharType="separate"/>
            </w:r>
            <w:r>
              <w:rPr>
                <w:noProof/>
                <w:webHidden/>
              </w:rPr>
              <w:t>35</w:t>
            </w:r>
            <w:r w:rsidR="000634C7">
              <w:rPr>
                <w:noProof/>
                <w:webHidden/>
              </w:rPr>
              <w:fldChar w:fldCharType="end"/>
            </w:r>
          </w:hyperlink>
        </w:p>
        <w:p w:rsidR="000634C7" w:rsidRDefault="00230326">
          <w:pPr>
            <w:pStyle w:val="Kazalovsebine3"/>
            <w:rPr>
              <w:rFonts w:asciiTheme="minorHAnsi" w:eastAsiaTheme="minorEastAsia" w:hAnsiTheme="minorHAnsi" w:cstheme="minorBidi"/>
              <w:noProof/>
              <w:szCs w:val="22"/>
              <w:lang w:eastAsia="sl-SI"/>
            </w:rPr>
          </w:pPr>
          <w:hyperlink w:anchor="_Toc6992303" w:history="1">
            <w:r w:rsidR="000634C7" w:rsidRPr="009F609E">
              <w:rPr>
                <w:rStyle w:val="Hiperpovezava"/>
                <w:rFonts w:cs="Arial"/>
                <w:b/>
                <w:noProof/>
              </w:rPr>
              <w:t>Tehnična podpora (v EUR)</w:t>
            </w:r>
            <w:r w:rsidR="000634C7">
              <w:rPr>
                <w:noProof/>
                <w:webHidden/>
              </w:rPr>
              <w:tab/>
            </w:r>
            <w:r w:rsidR="000634C7">
              <w:rPr>
                <w:noProof/>
                <w:webHidden/>
              </w:rPr>
              <w:fldChar w:fldCharType="begin"/>
            </w:r>
            <w:r w:rsidR="000634C7">
              <w:rPr>
                <w:noProof/>
                <w:webHidden/>
              </w:rPr>
              <w:instrText xml:space="preserve"> PAGEREF _Toc6992303 \h </w:instrText>
            </w:r>
            <w:r w:rsidR="000634C7">
              <w:rPr>
                <w:noProof/>
                <w:webHidden/>
              </w:rPr>
            </w:r>
            <w:r w:rsidR="000634C7">
              <w:rPr>
                <w:noProof/>
                <w:webHidden/>
              </w:rPr>
              <w:fldChar w:fldCharType="separate"/>
            </w:r>
            <w:r>
              <w:rPr>
                <w:noProof/>
                <w:webHidden/>
              </w:rPr>
              <w:t>36</w:t>
            </w:r>
            <w:r w:rsidR="000634C7">
              <w:rPr>
                <w:noProof/>
                <w:webHidden/>
              </w:rPr>
              <w:fldChar w:fldCharType="end"/>
            </w:r>
          </w:hyperlink>
        </w:p>
        <w:p w:rsidR="006709D5" w:rsidRDefault="009B7BE9" w:rsidP="006709D5">
          <w:pPr>
            <w:autoSpaceDE w:val="0"/>
            <w:autoSpaceDN w:val="0"/>
            <w:adjustRightInd w:val="0"/>
            <w:jc w:val="both"/>
            <w:rPr>
              <w:rFonts w:cs="Arial"/>
              <w:color w:val="000000"/>
              <w:szCs w:val="20"/>
            </w:rPr>
          </w:pPr>
          <w:r w:rsidRPr="009B7BE9">
            <w:rPr>
              <w:rFonts w:eastAsia="Calibri" w:cs="Arial"/>
              <w:noProof/>
              <w:szCs w:val="20"/>
            </w:rPr>
            <w:fldChar w:fldCharType="end"/>
          </w:r>
        </w:p>
        <w:p w:rsidR="006709D5" w:rsidRDefault="006709D5" w:rsidP="006709D5">
          <w:pPr>
            <w:autoSpaceDE w:val="0"/>
            <w:autoSpaceDN w:val="0"/>
            <w:adjustRightInd w:val="0"/>
            <w:jc w:val="both"/>
            <w:rPr>
              <w:rFonts w:cs="Arial"/>
              <w:color w:val="000000"/>
              <w:szCs w:val="20"/>
            </w:rPr>
          </w:pPr>
          <w:r>
            <w:rPr>
              <w:rFonts w:cs="Arial"/>
              <w:color w:val="000000"/>
              <w:szCs w:val="20"/>
            </w:rPr>
            <w:t xml:space="preserve">Sklep Vlade RS z dne 6. 12. 2018: </w:t>
          </w:r>
          <w:r w:rsidRPr="00D0580B">
            <w:rPr>
              <w:rFonts w:cs="Arial"/>
              <w:color w:val="000000"/>
              <w:szCs w:val="20"/>
            </w:rPr>
            <w:t>O izvajanju Akcijskega načrta za pospešitev črpanja sredstev iz Operativnega programa za izvajanje evropske kohezijske politike v obdobju 2014–2020 poroča Služba Vlade Republike Slovenije za razvoj in evropsko kohezijsko politiko v okviru rednih četrtletnih poročil o izvajanju evropske kohezijske politike v obdobju 2014–2020.</w:t>
          </w:r>
          <w:r>
            <w:rPr>
              <w:rFonts w:cs="Arial"/>
              <w:color w:val="000000"/>
              <w:szCs w:val="20"/>
            </w:rPr>
            <w:t xml:space="preserve"> Akcijski nač</w:t>
          </w:r>
          <w:r w:rsidR="00AF3A50">
            <w:rPr>
              <w:rFonts w:cs="Arial"/>
              <w:color w:val="000000"/>
              <w:szCs w:val="20"/>
            </w:rPr>
            <w:t xml:space="preserve">rt zajema pregled stanja na </w:t>
          </w:r>
          <w:r>
            <w:rPr>
              <w:rFonts w:cs="Arial"/>
              <w:color w:val="000000"/>
              <w:szCs w:val="20"/>
            </w:rPr>
            <w:t>31. mar</w:t>
          </w:r>
          <w:r w:rsidR="00AF3A50">
            <w:rPr>
              <w:rFonts w:cs="Arial"/>
              <w:color w:val="000000"/>
              <w:szCs w:val="20"/>
            </w:rPr>
            <w:t>e</w:t>
          </w:r>
          <w:r>
            <w:rPr>
              <w:rFonts w:cs="Arial"/>
              <w:color w:val="000000"/>
              <w:szCs w:val="20"/>
            </w:rPr>
            <w:t>c 2019 in je priloga k Poročilu o izvajanju</w:t>
          </w:r>
          <w:bookmarkStart w:id="0" w:name="_GoBack"/>
          <w:bookmarkEnd w:id="0"/>
          <w:r>
            <w:rPr>
              <w:rFonts w:cs="Arial"/>
              <w:color w:val="000000"/>
              <w:szCs w:val="20"/>
            </w:rPr>
            <w:t xml:space="preserve"> evropske kohezijske politike 2014–2020 za obdobje od januarja 2014 do konca marca 2019.</w:t>
          </w:r>
        </w:p>
        <w:p w:rsidR="009B7BE9" w:rsidRPr="006709D5" w:rsidRDefault="00230326" w:rsidP="006709D5">
          <w:pPr>
            <w:autoSpaceDE w:val="0"/>
            <w:autoSpaceDN w:val="0"/>
            <w:adjustRightInd w:val="0"/>
            <w:jc w:val="both"/>
            <w:rPr>
              <w:rFonts w:cs="Arial"/>
              <w:color w:val="000000"/>
              <w:szCs w:val="20"/>
            </w:rPr>
            <w:sectPr w:rsidR="009B7BE9" w:rsidRPr="006709D5" w:rsidSect="00E87524">
              <w:pgSz w:w="11906" w:h="16838"/>
              <w:pgMar w:top="1417" w:right="1417" w:bottom="1417" w:left="1417" w:header="708" w:footer="708" w:gutter="0"/>
              <w:cols w:space="708"/>
              <w:docGrid w:linePitch="360"/>
            </w:sectPr>
          </w:pPr>
        </w:p>
      </w:sdtContent>
    </w:sdt>
    <w:p w:rsidR="009B7BE9" w:rsidRPr="000C09D6" w:rsidRDefault="009B7BE9" w:rsidP="000C09D6">
      <w:pPr>
        <w:pStyle w:val="Odstavekseznama"/>
        <w:keepNext/>
        <w:keepLines/>
        <w:numPr>
          <w:ilvl w:val="0"/>
          <w:numId w:val="40"/>
        </w:numPr>
        <w:spacing w:before="240" w:after="160" w:line="259" w:lineRule="auto"/>
        <w:outlineLvl w:val="0"/>
        <w:rPr>
          <w:b/>
          <w:color w:val="2E74B5"/>
          <w:szCs w:val="20"/>
          <w:lang w:val="sl-SI"/>
        </w:rPr>
      </w:pPr>
      <w:bookmarkStart w:id="1" w:name="_Toc530560431"/>
      <w:bookmarkStart w:id="2" w:name="_Toc6992277"/>
      <w:r w:rsidRPr="000C09D6">
        <w:rPr>
          <w:b/>
          <w:color w:val="2E74B5"/>
          <w:szCs w:val="20"/>
          <w:lang w:val="sl-SI"/>
        </w:rPr>
        <w:lastRenderedPageBreak/>
        <w:t>Izhodišča in predvideni ukrepi</w:t>
      </w:r>
      <w:bookmarkEnd w:id="1"/>
      <w:bookmarkEnd w:id="2"/>
    </w:p>
    <w:p w:rsidR="009B7BE9" w:rsidRPr="009B7BE9" w:rsidRDefault="009B7BE9" w:rsidP="009B7BE9">
      <w:pPr>
        <w:spacing w:after="160" w:line="259" w:lineRule="auto"/>
        <w:jc w:val="both"/>
        <w:rPr>
          <w:rFonts w:eastAsia="Calibri" w:cs="Arial"/>
          <w:szCs w:val="20"/>
        </w:rPr>
      </w:pPr>
      <w:bookmarkStart w:id="3" w:name="_Toc530560432"/>
    </w:p>
    <w:p w:rsidR="009B7BE9" w:rsidRPr="00AD72DC" w:rsidRDefault="000C09D6" w:rsidP="009B7BE9">
      <w:pPr>
        <w:keepNext/>
        <w:keepLines/>
        <w:spacing w:before="40" w:line="259" w:lineRule="auto"/>
        <w:outlineLvl w:val="1"/>
        <w:rPr>
          <w:rFonts w:cs="Arial"/>
          <w:b/>
          <w:color w:val="0070C0"/>
          <w:szCs w:val="20"/>
        </w:rPr>
      </w:pPr>
      <w:bookmarkStart w:id="4" w:name="_Toc6992278"/>
      <w:r>
        <w:rPr>
          <w:rFonts w:cs="Arial"/>
          <w:b/>
          <w:color w:val="0070C0"/>
          <w:szCs w:val="20"/>
        </w:rPr>
        <w:t>1</w:t>
      </w:r>
      <w:r w:rsidR="009B7BE9" w:rsidRPr="00AD72DC">
        <w:rPr>
          <w:rFonts w:cs="Arial"/>
          <w:b/>
          <w:color w:val="0070C0"/>
          <w:szCs w:val="20"/>
        </w:rPr>
        <w:t>.1</w:t>
      </w:r>
      <w:r w:rsidR="009B7BE9" w:rsidRPr="00AD72DC">
        <w:rPr>
          <w:rFonts w:cs="Arial"/>
          <w:b/>
          <w:color w:val="0070C0"/>
          <w:szCs w:val="20"/>
        </w:rPr>
        <w:tab/>
        <w:t>Splošne težave in rešitve</w:t>
      </w:r>
      <w:bookmarkEnd w:id="3"/>
      <w:bookmarkEnd w:id="4"/>
    </w:p>
    <w:p w:rsidR="009B7BE9" w:rsidRPr="009B7BE9" w:rsidRDefault="009B7BE9" w:rsidP="009B7BE9">
      <w:pPr>
        <w:spacing w:line="259" w:lineRule="auto"/>
        <w:jc w:val="both"/>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Na podlagi ugotovljenih splošnih in nekaterih specifičnih tveganj, ugotovljenih v okviru analize na ravni prednostnih osi, so v tabelah opredeljene težave in predlagane aktivnosti za odpravo težav.</w:t>
      </w:r>
    </w:p>
    <w:p w:rsidR="009B7BE9" w:rsidRPr="00AD72DC" w:rsidRDefault="009B7BE9" w:rsidP="009B7BE9">
      <w:pPr>
        <w:keepNext/>
        <w:keepLines/>
        <w:spacing w:before="40" w:line="259" w:lineRule="auto"/>
        <w:outlineLvl w:val="2"/>
        <w:rPr>
          <w:rFonts w:cs="Arial"/>
          <w:b/>
          <w:color w:val="0070C0"/>
          <w:szCs w:val="20"/>
        </w:rPr>
      </w:pPr>
      <w:bookmarkStart w:id="5" w:name="_Toc6992279"/>
      <w:r w:rsidRPr="00AD72DC">
        <w:rPr>
          <w:rFonts w:cs="Arial"/>
          <w:b/>
          <w:color w:val="0070C0"/>
          <w:szCs w:val="20"/>
        </w:rPr>
        <w:t>Pospeševanje pošiljanja zahtevkov za povračilo Evropski komisiji</w:t>
      </w:r>
      <w:bookmarkEnd w:id="5"/>
    </w:p>
    <w:p w:rsidR="009B7BE9" w:rsidRPr="009B7BE9" w:rsidRDefault="009B7BE9" w:rsidP="009B7BE9">
      <w:pPr>
        <w:spacing w:line="259" w:lineRule="auto"/>
        <w:jc w:val="both"/>
        <w:rPr>
          <w:rFonts w:eastAsia="Calibri" w:cs="Arial"/>
          <w:szCs w:val="20"/>
        </w:rPr>
      </w:pPr>
    </w:p>
    <w:p w:rsidR="009B7BE9" w:rsidRPr="009B7BE9" w:rsidRDefault="009B7BE9" w:rsidP="009B7BE9">
      <w:pPr>
        <w:spacing w:after="160" w:line="259" w:lineRule="auto"/>
        <w:jc w:val="both"/>
        <w:rPr>
          <w:rFonts w:eastAsia="Calibri" w:cs="Arial"/>
          <w:szCs w:val="20"/>
        </w:rPr>
      </w:pPr>
      <w:r w:rsidRPr="00B9454D">
        <w:rPr>
          <w:rFonts w:eastAsia="Calibri" w:cs="Arial"/>
          <w:szCs w:val="20"/>
        </w:rPr>
        <w:t xml:space="preserve">Ob koncu leta 2018 pravilo N + 3 narekuje, da Evropski komisiji pošljemo zahtevke v kumulativni vrednosti 391 milijonov EUR. </w:t>
      </w:r>
      <w:r w:rsidR="00693201">
        <w:rPr>
          <w:rFonts w:eastAsia="Calibri" w:cs="Arial"/>
          <w:szCs w:val="20"/>
        </w:rPr>
        <w:t>N</w:t>
      </w:r>
      <w:r w:rsidRPr="00B9454D">
        <w:rPr>
          <w:rFonts w:eastAsia="Calibri" w:cs="Arial"/>
          <w:szCs w:val="20"/>
        </w:rPr>
        <w:t xml:space="preserve">a dan 20. 11. 2018 </w:t>
      </w:r>
      <w:r w:rsidR="00693201">
        <w:rPr>
          <w:rFonts w:eastAsia="Calibri" w:cs="Arial"/>
          <w:szCs w:val="20"/>
        </w:rPr>
        <w:t xml:space="preserve">so </w:t>
      </w:r>
      <w:r w:rsidRPr="00B9454D">
        <w:rPr>
          <w:rFonts w:eastAsia="Calibri" w:cs="Arial"/>
          <w:szCs w:val="20"/>
        </w:rPr>
        <w:t>zahtevki za izplačilo znaša</w:t>
      </w:r>
      <w:r w:rsidR="00693201">
        <w:rPr>
          <w:rFonts w:eastAsia="Calibri" w:cs="Arial"/>
          <w:szCs w:val="20"/>
        </w:rPr>
        <w:t>li</w:t>
      </w:r>
      <w:r w:rsidRPr="00B9454D">
        <w:rPr>
          <w:rFonts w:eastAsia="Calibri" w:cs="Arial"/>
          <w:szCs w:val="20"/>
        </w:rPr>
        <w:t xml:space="preserve"> 488 milijonov </w:t>
      </w:r>
      <w:r w:rsidRPr="00B9454D">
        <w:rPr>
          <w:rFonts w:eastAsia="Calibri" w:cs="Arial"/>
          <w:color w:val="000000"/>
          <w:szCs w:val="20"/>
          <w:lang w:eastAsia="sl-SI"/>
        </w:rPr>
        <w:t>EUR</w:t>
      </w:r>
      <w:r w:rsidRPr="00B9454D">
        <w:rPr>
          <w:rFonts w:eastAsia="Calibri" w:cs="Arial"/>
          <w:szCs w:val="20"/>
        </w:rPr>
        <w:t xml:space="preserve">. To pomeni, da je </w:t>
      </w:r>
      <w:r w:rsidR="00693201">
        <w:rPr>
          <w:rFonts w:eastAsia="Calibri" w:cs="Arial"/>
          <w:szCs w:val="20"/>
        </w:rPr>
        <w:t xml:space="preserve">bilo </w:t>
      </w:r>
      <w:r w:rsidRPr="00B9454D">
        <w:rPr>
          <w:rFonts w:eastAsia="Calibri" w:cs="Arial"/>
          <w:szCs w:val="20"/>
        </w:rPr>
        <w:t xml:space="preserve">na ravni upravičencev in posredniških organov zagotovljenih dovolj izdatkov za doseganje pravila N + 3. Izdatki do konca leta </w:t>
      </w:r>
      <w:r w:rsidR="00693201">
        <w:rPr>
          <w:rFonts w:eastAsia="Calibri" w:cs="Arial"/>
          <w:szCs w:val="20"/>
        </w:rPr>
        <w:t xml:space="preserve">2018 so </w:t>
      </w:r>
      <w:r w:rsidRPr="00B9454D">
        <w:rPr>
          <w:rFonts w:eastAsia="Calibri" w:cs="Arial"/>
          <w:szCs w:val="20"/>
        </w:rPr>
        <w:t>se povečali za dodatnih 50 milijonov EUR. Prednostna naloga do konca leta 2018 je</w:t>
      </w:r>
      <w:r w:rsidR="00693201">
        <w:rPr>
          <w:rFonts w:eastAsia="Calibri" w:cs="Arial"/>
          <w:szCs w:val="20"/>
        </w:rPr>
        <w:t xml:space="preserve"> bila</w:t>
      </w:r>
      <w:r w:rsidRPr="00B9454D">
        <w:rPr>
          <w:rFonts w:eastAsia="Calibri" w:cs="Arial"/>
          <w:szCs w:val="20"/>
        </w:rPr>
        <w:t>, da se zagotovi obdelava zahtevkov v vseh treh informacijskih sistemih – MFeRAC, eMA in e-CA.</w:t>
      </w:r>
    </w:p>
    <w:tbl>
      <w:tblPr>
        <w:tblStyle w:val="Tabelamrea3"/>
        <w:tblW w:w="5000" w:type="pct"/>
        <w:tblLook w:val="04A0" w:firstRow="1" w:lastRow="0" w:firstColumn="1" w:lastColumn="0" w:noHBand="0" w:noVBand="1"/>
      </w:tblPr>
      <w:tblGrid>
        <w:gridCol w:w="4126"/>
        <w:gridCol w:w="5332"/>
        <w:gridCol w:w="1833"/>
        <w:gridCol w:w="1165"/>
        <w:gridCol w:w="2330"/>
      </w:tblGrid>
      <w:tr w:rsidR="007D6869" w:rsidRPr="00AD72DC" w:rsidTr="007D6869">
        <w:tc>
          <w:tcPr>
            <w:tcW w:w="1395"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Težave</w:t>
            </w:r>
          </w:p>
        </w:tc>
        <w:tc>
          <w:tcPr>
            <w:tcW w:w="1803"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Aktivnosti za odpravo</w:t>
            </w:r>
          </w:p>
        </w:tc>
        <w:tc>
          <w:tcPr>
            <w:tcW w:w="620"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Nosilec</w:t>
            </w:r>
          </w:p>
        </w:tc>
        <w:tc>
          <w:tcPr>
            <w:tcW w:w="394"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Rok</w:t>
            </w:r>
          </w:p>
        </w:tc>
        <w:tc>
          <w:tcPr>
            <w:tcW w:w="788" w:type="pct"/>
            <w:shd w:val="clear" w:color="auto" w:fill="F2F2F2" w:themeFill="background1" w:themeFillShade="F2"/>
            <w:vAlign w:val="center"/>
          </w:tcPr>
          <w:p w:rsidR="007D6869" w:rsidRPr="00AD72DC" w:rsidRDefault="007D6869" w:rsidP="009B7BE9">
            <w:pPr>
              <w:spacing w:line="240" w:lineRule="auto"/>
              <w:jc w:val="center"/>
              <w:rPr>
                <w:rFonts w:cs="Arial"/>
                <w:b/>
                <w:sz w:val="20"/>
                <w:szCs w:val="20"/>
              </w:rPr>
            </w:pPr>
            <w:r w:rsidRPr="00AD72DC">
              <w:rPr>
                <w:rFonts w:cs="Arial"/>
                <w:b/>
                <w:sz w:val="20"/>
                <w:szCs w:val="20"/>
              </w:rPr>
              <w:t>Tveganja za izvedbo rešitve</w:t>
            </w:r>
          </w:p>
        </w:tc>
      </w:tr>
      <w:tr w:rsidR="007D6869" w:rsidRPr="009B7BE9" w:rsidTr="007D6869">
        <w:trPr>
          <w:trHeight w:val="1333"/>
        </w:trPr>
        <w:tc>
          <w:tcPr>
            <w:tcW w:w="1395" w:type="pct"/>
          </w:tcPr>
          <w:p w:rsidR="007D6869" w:rsidRPr="009B7BE9" w:rsidRDefault="007D6869" w:rsidP="009B7BE9">
            <w:pPr>
              <w:spacing w:line="240" w:lineRule="auto"/>
              <w:rPr>
                <w:rFonts w:cs="Arial"/>
                <w:i/>
                <w:sz w:val="20"/>
                <w:szCs w:val="20"/>
              </w:rPr>
            </w:pPr>
            <w:r w:rsidRPr="009B7BE9">
              <w:rPr>
                <w:rFonts w:cs="Arial"/>
                <w:i/>
                <w:sz w:val="20"/>
                <w:szCs w:val="20"/>
              </w:rPr>
              <w:t>Razkorak med plačili iz državnega proračuna in zahtevki za plačilo, poslanimi EK.</w:t>
            </w:r>
          </w:p>
        </w:tc>
        <w:tc>
          <w:tcPr>
            <w:tcW w:w="1803" w:type="pct"/>
          </w:tcPr>
          <w:p w:rsidR="007D6869" w:rsidRPr="009B7BE9" w:rsidRDefault="007D6869" w:rsidP="009B7BE9">
            <w:pPr>
              <w:spacing w:line="240" w:lineRule="auto"/>
              <w:rPr>
                <w:rFonts w:cs="Arial"/>
                <w:i/>
                <w:sz w:val="20"/>
                <w:szCs w:val="20"/>
              </w:rPr>
            </w:pPr>
            <w:r w:rsidRPr="009B7BE9">
              <w:rPr>
                <w:rFonts w:cs="Arial"/>
                <w:i/>
                <w:sz w:val="20"/>
                <w:szCs w:val="20"/>
              </w:rPr>
              <w:t>Organ upravljanja interno okrepi ekipo za urejanje prenosa</w:t>
            </w:r>
            <w:r w:rsidR="00693201">
              <w:rPr>
                <w:rFonts w:cs="Arial"/>
                <w:i/>
                <w:sz w:val="20"/>
                <w:szCs w:val="20"/>
              </w:rPr>
              <w:t xml:space="preserve"> podatkov med sistemi MFERAC, e</w:t>
            </w:r>
            <w:r w:rsidRPr="009B7BE9">
              <w:rPr>
                <w:rFonts w:cs="Arial"/>
                <w:i/>
                <w:sz w:val="20"/>
                <w:szCs w:val="20"/>
              </w:rPr>
              <w:t xml:space="preserve">MA in e-CA. </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 xml:space="preserve">Dnevno odpravljanje ovir pri prenosu podatkov med sistemi. </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Dnevno pozivanje resorjev k morebitnim potrebnim dopolnitvam ali popravkom v sistemu MF</w:t>
            </w:r>
            <w:r w:rsidR="00693201">
              <w:rPr>
                <w:rFonts w:cs="Arial"/>
                <w:i/>
                <w:sz w:val="20"/>
                <w:szCs w:val="20"/>
              </w:rPr>
              <w:t>e</w:t>
            </w:r>
            <w:r w:rsidRPr="009B7BE9">
              <w:rPr>
                <w:rFonts w:cs="Arial"/>
                <w:i/>
                <w:sz w:val="20"/>
                <w:szCs w:val="20"/>
              </w:rPr>
              <w:t>RAC.</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Dnevno  spremljanje višine prenesenih zahtevkov v sistemu e-CA.</w:t>
            </w:r>
          </w:p>
        </w:tc>
        <w:tc>
          <w:tcPr>
            <w:tcW w:w="620" w:type="pct"/>
          </w:tcPr>
          <w:p w:rsidR="007D6869" w:rsidRPr="009B7BE9" w:rsidRDefault="007D6869" w:rsidP="009B7BE9">
            <w:pPr>
              <w:spacing w:line="240" w:lineRule="auto"/>
              <w:jc w:val="center"/>
              <w:rPr>
                <w:rFonts w:cs="Arial"/>
                <w:i/>
                <w:sz w:val="20"/>
                <w:szCs w:val="20"/>
              </w:rPr>
            </w:pPr>
            <w:r w:rsidRPr="009B7BE9">
              <w:rPr>
                <w:rFonts w:cs="Arial"/>
                <w:i/>
                <w:sz w:val="20"/>
                <w:szCs w:val="20"/>
              </w:rPr>
              <w:t xml:space="preserve">OU </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r w:rsidRPr="009B7BE9">
              <w:rPr>
                <w:rFonts w:cs="Arial"/>
                <w:i/>
                <w:sz w:val="20"/>
                <w:szCs w:val="20"/>
              </w:rPr>
              <w:t>OU, MF, MF - CA</w:t>
            </w:r>
          </w:p>
        </w:tc>
        <w:tc>
          <w:tcPr>
            <w:tcW w:w="394" w:type="pct"/>
          </w:tcPr>
          <w:p w:rsidR="007D6869" w:rsidRPr="00CD1111" w:rsidRDefault="00753B11" w:rsidP="009B7BE9">
            <w:pPr>
              <w:spacing w:line="240" w:lineRule="auto"/>
              <w:jc w:val="center"/>
              <w:rPr>
                <w:rFonts w:cs="Arial"/>
                <w:i/>
                <w:sz w:val="20"/>
                <w:szCs w:val="20"/>
              </w:rPr>
            </w:pPr>
            <w:r w:rsidRPr="00FA2925">
              <w:rPr>
                <w:rFonts w:cs="Arial"/>
                <w:i/>
                <w:sz w:val="20"/>
                <w:szCs w:val="20"/>
              </w:rPr>
              <w:t>t</w:t>
            </w:r>
            <w:r w:rsidR="007D6869" w:rsidRPr="00FA2925">
              <w:rPr>
                <w:rFonts w:cs="Arial"/>
                <w:i/>
                <w:sz w:val="20"/>
                <w:szCs w:val="20"/>
              </w:rPr>
              <w:t>akoj</w:t>
            </w:r>
          </w:p>
        </w:tc>
        <w:tc>
          <w:tcPr>
            <w:tcW w:w="788" w:type="pct"/>
          </w:tcPr>
          <w:p w:rsidR="007D6869" w:rsidRPr="009B7BE9" w:rsidRDefault="007D6869" w:rsidP="009B7BE9">
            <w:pPr>
              <w:spacing w:line="240" w:lineRule="auto"/>
              <w:rPr>
                <w:rFonts w:cs="Arial"/>
                <w:i/>
                <w:sz w:val="20"/>
                <w:szCs w:val="20"/>
              </w:rPr>
            </w:pPr>
            <w:r w:rsidRPr="009B7BE9">
              <w:rPr>
                <w:rFonts w:cs="Arial"/>
                <w:i/>
                <w:sz w:val="20"/>
                <w:szCs w:val="20"/>
              </w:rPr>
              <w:t>Nepripravljenost na sodelovanje zaradi časovnih pritiskov, pomanjkljiva specifična sistemska znanja.</w:t>
            </w:r>
          </w:p>
          <w:p w:rsidR="007D6869" w:rsidRPr="009B7BE9" w:rsidRDefault="007D6869" w:rsidP="009B7BE9">
            <w:pPr>
              <w:spacing w:line="240" w:lineRule="auto"/>
              <w:rPr>
                <w:rFonts w:cs="Arial"/>
                <w:i/>
                <w:sz w:val="20"/>
                <w:szCs w:val="20"/>
              </w:rPr>
            </w:pPr>
            <w:r w:rsidRPr="009B7BE9">
              <w:rPr>
                <w:rFonts w:cs="Arial"/>
                <w:i/>
                <w:sz w:val="20"/>
                <w:szCs w:val="20"/>
              </w:rPr>
              <w:t>Prepočasna odzivnost zaradi preobremenjenosti ključnih kadrov. Prepočasna odzivnost.</w:t>
            </w:r>
          </w:p>
          <w:p w:rsidR="007D6869" w:rsidRPr="009B7BE9" w:rsidRDefault="007D6869" w:rsidP="009B7BE9">
            <w:pPr>
              <w:spacing w:line="240" w:lineRule="auto"/>
              <w:rPr>
                <w:rFonts w:cs="Arial"/>
                <w:i/>
                <w:sz w:val="20"/>
                <w:szCs w:val="20"/>
              </w:rPr>
            </w:pPr>
          </w:p>
        </w:tc>
      </w:tr>
    </w:tbl>
    <w:p w:rsidR="009B7BE9" w:rsidRPr="009B7BE9" w:rsidRDefault="009B7BE9" w:rsidP="009B7BE9">
      <w:pPr>
        <w:spacing w:after="160" w:line="259" w:lineRule="auto"/>
        <w:rPr>
          <w:rFonts w:eastAsia="Calibri" w:cs="Arial"/>
          <w:szCs w:val="20"/>
          <w:u w:val="single"/>
        </w:rPr>
      </w:pPr>
    </w:p>
    <w:p w:rsidR="009B7BE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szCs w:val="20"/>
          <w:u w:val="single"/>
        </w:rPr>
      </w:pPr>
      <w:r w:rsidRPr="000C09D6">
        <w:rPr>
          <w:rFonts w:cs="Arial"/>
          <w:b/>
          <w:color w:val="0070C0"/>
          <w:szCs w:val="20"/>
        </w:rPr>
        <w:t>Realizacija</w:t>
      </w:r>
    </w:p>
    <w:p w:rsidR="00B95326" w:rsidRPr="00CD1111" w:rsidRDefault="007D6869" w:rsidP="00AB2DA9">
      <w:pPr>
        <w:spacing w:line="240" w:lineRule="atLeast"/>
        <w:rPr>
          <w:rFonts w:eastAsia="Calibri" w:cs="Arial"/>
          <w:szCs w:val="20"/>
          <w:u w:val="single"/>
        </w:rPr>
      </w:pPr>
      <w:r w:rsidRPr="00CD1111">
        <w:rPr>
          <w:rFonts w:cs="Arial"/>
          <w:szCs w:val="20"/>
        </w:rPr>
        <w:t>Slovenija je 21. 12. 2018 certificirala EK zahtevek za 50 mio EUR in s tem presegla potrebno višino za doseganje pravila N + 3.</w:t>
      </w:r>
    </w:p>
    <w:p w:rsidR="009B7BE9" w:rsidRPr="007E4437" w:rsidRDefault="007E4437" w:rsidP="00AB2DA9">
      <w:pPr>
        <w:spacing w:line="240" w:lineRule="atLeast"/>
        <w:rPr>
          <w:rFonts w:eastAsia="Calibri" w:cs="Arial"/>
          <w:szCs w:val="20"/>
          <w:u w:val="single"/>
        </w:rPr>
      </w:pPr>
      <w:r w:rsidRPr="007E4437">
        <w:rPr>
          <w:rFonts w:eastAsia="Calibri" w:cs="Arial"/>
          <w:szCs w:val="20"/>
        </w:rPr>
        <w:t>Od 1.</w:t>
      </w:r>
      <w:r>
        <w:rPr>
          <w:rFonts w:eastAsia="Calibri" w:cs="Arial"/>
          <w:szCs w:val="20"/>
        </w:rPr>
        <w:t xml:space="preserve"> </w:t>
      </w:r>
      <w:r w:rsidRPr="007E4437">
        <w:rPr>
          <w:rFonts w:eastAsia="Calibri" w:cs="Arial"/>
          <w:szCs w:val="20"/>
        </w:rPr>
        <w:t>1.</w:t>
      </w:r>
      <w:r>
        <w:rPr>
          <w:rFonts w:eastAsia="Calibri" w:cs="Arial"/>
          <w:szCs w:val="20"/>
        </w:rPr>
        <w:t xml:space="preserve"> </w:t>
      </w:r>
      <w:r w:rsidRPr="007E4437">
        <w:rPr>
          <w:rFonts w:eastAsia="Calibri" w:cs="Arial"/>
          <w:szCs w:val="20"/>
        </w:rPr>
        <w:t>2019 do 31.</w:t>
      </w:r>
      <w:r>
        <w:rPr>
          <w:rFonts w:eastAsia="Calibri" w:cs="Arial"/>
          <w:szCs w:val="20"/>
        </w:rPr>
        <w:t xml:space="preserve"> </w:t>
      </w:r>
      <w:r w:rsidRPr="007E4437">
        <w:rPr>
          <w:rFonts w:eastAsia="Calibri" w:cs="Arial"/>
          <w:szCs w:val="20"/>
        </w:rPr>
        <w:t>3.</w:t>
      </w:r>
      <w:r>
        <w:rPr>
          <w:rFonts w:eastAsia="Calibri" w:cs="Arial"/>
          <w:szCs w:val="20"/>
        </w:rPr>
        <w:t xml:space="preserve"> </w:t>
      </w:r>
      <w:r w:rsidRPr="007E4437">
        <w:rPr>
          <w:rFonts w:eastAsia="Calibri" w:cs="Arial"/>
          <w:szCs w:val="20"/>
        </w:rPr>
        <w:t xml:space="preserve">2019 </w:t>
      </w:r>
      <w:r w:rsidR="00AF3A50">
        <w:rPr>
          <w:rFonts w:eastAsia="Calibri" w:cs="Arial"/>
          <w:szCs w:val="20"/>
        </w:rPr>
        <w:t>je</w:t>
      </w:r>
      <w:r w:rsidRPr="007E4437">
        <w:rPr>
          <w:rFonts w:eastAsia="Calibri" w:cs="Arial"/>
          <w:szCs w:val="20"/>
        </w:rPr>
        <w:t xml:space="preserve"> </w:t>
      </w:r>
      <w:r>
        <w:rPr>
          <w:rFonts w:eastAsia="Calibri" w:cs="Arial"/>
          <w:szCs w:val="20"/>
        </w:rPr>
        <w:t xml:space="preserve">OU v </w:t>
      </w:r>
      <w:r w:rsidRPr="007E4437">
        <w:rPr>
          <w:rFonts w:eastAsia="Calibri" w:cs="Arial"/>
          <w:szCs w:val="20"/>
        </w:rPr>
        <w:t>eCA posredoval 3.816 zahtevkov v vrednosti več kot 130 mio EUR</w:t>
      </w:r>
      <w:r>
        <w:rPr>
          <w:rFonts w:eastAsia="Calibri" w:cs="Arial"/>
          <w:szCs w:val="20"/>
        </w:rPr>
        <w:t>.</w:t>
      </w:r>
      <w:r w:rsidR="00AB2DA9">
        <w:rPr>
          <w:rFonts w:eastAsia="Calibri" w:cs="Arial"/>
          <w:szCs w:val="20"/>
        </w:rPr>
        <w:t xml:space="preserve"> Razkorak med izplačili iz državnega proračuna in povračili se znižuje.</w:t>
      </w:r>
    </w:p>
    <w:p w:rsidR="007D6869" w:rsidRDefault="007D6869">
      <w:pPr>
        <w:spacing w:line="240" w:lineRule="auto"/>
        <w:rPr>
          <w:rFonts w:cs="Arial"/>
          <w:b/>
          <w:color w:val="0070C0"/>
          <w:szCs w:val="20"/>
        </w:rPr>
      </w:pPr>
      <w:bookmarkStart w:id="6" w:name="_Toc530560433"/>
      <w:r>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7" w:name="_Toc6992280"/>
      <w:r w:rsidRPr="00AD72DC">
        <w:rPr>
          <w:rFonts w:cs="Arial"/>
          <w:b/>
          <w:color w:val="0070C0"/>
          <w:szCs w:val="20"/>
        </w:rPr>
        <w:lastRenderedPageBreak/>
        <w:t>Razvoj in vzpostavitev informacijskega sistema OU (eMA)</w:t>
      </w:r>
      <w:bookmarkEnd w:id="6"/>
      <w:bookmarkEnd w:id="7"/>
      <w:r w:rsidR="003B20AE">
        <w:rPr>
          <w:rFonts w:cs="Arial"/>
          <w:b/>
          <w:color w:val="0070C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Za informacijski sistem eMA velja, da je premalo funkcionalen in ni prijazen za uporabo. Zato je glavni horizontalni ukrep za izboljšanje funkcionalnosti, da se izvedejo usposabljanja za sistemske uporabnike in upravičence in se tako zagotovi, da se v informacijskem sistemu zagotovi ne le revizijska sled izvajanja operativnega programa, temveč da postane tudi orodje uporabnikom za celovit pregled stanja in hitrejšo izvedbo aktivnosti, povezanih z izvajanjem.</w:t>
      </w:r>
    </w:p>
    <w:tbl>
      <w:tblPr>
        <w:tblStyle w:val="Tabelamrea3"/>
        <w:tblW w:w="5000" w:type="pct"/>
        <w:tblLook w:val="04A0" w:firstRow="1" w:lastRow="0" w:firstColumn="1" w:lastColumn="0" w:noHBand="0" w:noVBand="1"/>
      </w:tblPr>
      <w:tblGrid>
        <w:gridCol w:w="4158"/>
        <w:gridCol w:w="7890"/>
        <w:gridCol w:w="1455"/>
        <w:gridCol w:w="1283"/>
      </w:tblGrid>
      <w:tr w:rsidR="007D6869" w:rsidRPr="00873266" w:rsidTr="00907D04">
        <w:tc>
          <w:tcPr>
            <w:tcW w:w="1406"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Težave</w:t>
            </w:r>
          </w:p>
        </w:tc>
        <w:tc>
          <w:tcPr>
            <w:tcW w:w="2668"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Aktivnost/rešitev</w:t>
            </w:r>
          </w:p>
        </w:tc>
        <w:tc>
          <w:tcPr>
            <w:tcW w:w="492"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Nosilec</w:t>
            </w:r>
          </w:p>
        </w:tc>
        <w:tc>
          <w:tcPr>
            <w:tcW w:w="434"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Rok</w:t>
            </w:r>
          </w:p>
        </w:tc>
      </w:tr>
      <w:tr w:rsidR="007D6869" w:rsidRPr="009B7BE9" w:rsidTr="00907D04">
        <w:trPr>
          <w:trHeight w:val="5283"/>
        </w:trPr>
        <w:tc>
          <w:tcPr>
            <w:tcW w:w="1406" w:type="pct"/>
          </w:tcPr>
          <w:p w:rsidR="007D6869" w:rsidRPr="009B7BE9" w:rsidRDefault="007D6869" w:rsidP="009B7BE9">
            <w:pPr>
              <w:spacing w:line="240" w:lineRule="auto"/>
              <w:rPr>
                <w:rFonts w:cs="Arial"/>
                <w:i/>
                <w:sz w:val="20"/>
                <w:szCs w:val="20"/>
              </w:rPr>
            </w:pPr>
            <w:r w:rsidRPr="009B7BE9">
              <w:rPr>
                <w:rFonts w:cs="Arial"/>
                <w:i/>
                <w:sz w:val="20"/>
                <w:szCs w:val="20"/>
              </w:rPr>
              <w:t>Informacijski sistem še ne zagotavlja preprostega celovitega pregleda vsem uporabnikom.</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Funkcionalnosti sistema in neprijaznost do uporabnika</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p>
        </w:tc>
        <w:tc>
          <w:tcPr>
            <w:tcW w:w="2668" w:type="pct"/>
          </w:tcPr>
          <w:p w:rsidR="007D6869" w:rsidRPr="009B7BE9" w:rsidRDefault="007D6869" w:rsidP="009B7BE9">
            <w:pPr>
              <w:spacing w:line="240" w:lineRule="auto"/>
              <w:rPr>
                <w:rFonts w:cs="Arial"/>
                <w:i/>
                <w:sz w:val="20"/>
                <w:szCs w:val="20"/>
              </w:rPr>
            </w:pPr>
            <w:r w:rsidRPr="009B7BE9">
              <w:rPr>
                <w:rFonts w:cs="Arial"/>
                <w:i/>
                <w:sz w:val="20"/>
                <w:szCs w:val="20"/>
              </w:rPr>
              <w:t>Vzpostavitev dashboarda, ki bo prikazoval informacije glede na pravice v sistemu kot npr.:</w:t>
            </w:r>
          </w:p>
          <w:p w:rsidR="007D6869" w:rsidRPr="009B7BE9" w:rsidRDefault="007D6869" w:rsidP="00D16C0A">
            <w:pPr>
              <w:numPr>
                <w:ilvl w:val="0"/>
                <w:numId w:val="31"/>
              </w:numPr>
              <w:spacing w:line="240" w:lineRule="auto"/>
              <w:contextualSpacing/>
              <w:rPr>
                <w:rFonts w:cs="Arial"/>
                <w:i/>
                <w:sz w:val="20"/>
                <w:szCs w:val="20"/>
              </w:rPr>
            </w:pPr>
            <w:r w:rsidRPr="009B7BE9">
              <w:rPr>
                <w:rFonts w:cs="Arial"/>
                <w:i/>
                <w:sz w:val="20"/>
                <w:szCs w:val="20"/>
              </w:rPr>
              <w:t>organ upravljanja, posredniški organ in izvajalski organ:</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krovni pogled vlog in operacij na ravni vseh PO in na ravni posameznega PO,</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podatki o ZZI (število, statusi, zneski ipd.),</w:t>
            </w:r>
          </w:p>
          <w:p w:rsidR="007D6869" w:rsidRPr="009B7BE9" w:rsidRDefault="007D6869" w:rsidP="00D16C0A">
            <w:pPr>
              <w:numPr>
                <w:ilvl w:val="0"/>
                <w:numId w:val="31"/>
              </w:numPr>
              <w:spacing w:line="240" w:lineRule="auto"/>
              <w:contextualSpacing/>
              <w:rPr>
                <w:rFonts w:cs="Arial"/>
                <w:i/>
                <w:sz w:val="20"/>
                <w:szCs w:val="20"/>
              </w:rPr>
            </w:pPr>
            <w:r w:rsidRPr="009B7BE9">
              <w:rPr>
                <w:rFonts w:cs="Arial"/>
                <w:i/>
                <w:sz w:val="20"/>
                <w:szCs w:val="20"/>
              </w:rPr>
              <w:t>skrbnik operacije in kontrolor AP:</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kdaj je bil kdo nazadnje prijavljen v sistemu,</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zadnji dokumenti v obdelavi,</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novi dokumenti oz. dokumenti, ki čakajo na aktivnost,</w:t>
            </w:r>
          </w:p>
          <w:p w:rsidR="007D6869" w:rsidRPr="009B7BE9" w:rsidRDefault="007D6869" w:rsidP="00D16C0A">
            <w:pPr>
              <w:numPr>
                <w:ilvl w:val="0"/>
                <w:numId w:val="31"/>
              </w:numPr>
              <w:spacing w:line="240" w:lineRule="auto"/>
              <w:ind w:left="1134"/>
              <w:contextualSpacing/>
              <w:rPr>
                <w:rFonts w:cs="Arial"/>
                <w:i/>
                <w:sz w:val="20"/>
                <w:szCs w:val="20"/>
              </w:rPr>
            </w:pPr>
            <w:r w:rsidRPr="009B7BE9">
              <w:rPr>
                <w:rFonts w:cs="Arial"/>
                <w:i/>
                <w:sz w:val="20"/>
                <w:szCs w:val="20"/>
              </w:rPr>
              <w:t>prejeta in poslana obvestila uporabnikom.</w:t>
            </w:r>
          </w:p>
          <w:p w:rsidR="007D6869" w:rsidRPr="009B7BE9" w:rsidRDefault="007D6869" w:rsidP="009B7BE9">
            <w:pPr>
              <w:spacing w:line="240" w:lineRule="auto"/>
              <w:rPr>
                <w:rFonts w:cs="Arial"/>
                <w:i/>
                <w:sz w:val="20"/>
                <w:szCs w:val="20"/>
              </w:rPr>
            </w:pPr>
          </w:p>
          <w:p w:rsidR="007D6869" w:rsidRPr="009B7BE9" w:rsidRDefault="007D6869" w:rsidP="009B7BE9">
            <w:pPr>
              <w:spacing w:line="240" w:lineRule="auto"/>
              <w:rPr>
                <w:rFonts w:cs="Arial"/>
                <w:i/>
                <w:sz w:val="20"/>
                <w:szCs w:val="20"/>
              </w:rPr>
            </w:pPr>
            <w:r w:rsidRPr="009B7BE9">
              <w:rPr>
                <w:rFonts w:cs="Arial"/>
                <w:i/>
                <w:sz w:val="20"/>
                <w:szCs w:val="20"/>
              </w:rPr>
              <w:t>Ločitev vloge za odločitev o podpori in operacij, samodejna pro-rata delitev na vzhod in zahod, dopolnitve ZZI v podatkih, ki ne vplivajo na ZZI (npr. razni datumi), optimizacija prenosov med sistemoma MFERAC in e-MA, razne manjše nadgradnje sistema, ki so nujne za izvajanje (npr. uvoz podatkov iz Excela, na nekatere sezname dodati zaporedne številke, zneske, kam se pripenja dodatna dokumentacija za posamezno listino, poenotenje izrazoslovja v celotni aplikaciji, kontrola zapisov sistemskih kontrol ipd.), nadgradnja modula za administracijo uporabnikov, optimizacija centra za pomoč uporabnikom, prenova uporabniških navodil.</w:t>
            </w:r>
          </w:p>
        </w:tc>
        <w:tc>
          <w:tcPr>
            <w:tcW w:w="492" w:type="pct"/>
          </w:tcPr>
          <w:p w:rsidR="007D6869" w:rsidRPr="009B7BE9" w:rsidRDefault="007D6869" w:rsidP="009B7BE9">
            <w:pPr>
              <w:spacing w:line="240" w:lineRule="auto"/>
              <w:jc w:val="center"/>
              <w:rPr>
                <w:rFonts w:cs="Arial"/>
                <w:i/>
                <w:sz w:val="20"/>
                <w:szCs w:val="20"/>
              </w:rPr>
            </w:pPr>
            <w:r w:rsidRPr="009B7BE9">
              <w:rPr>
                <w:rFonts w:cs="Arial"/>
                <w:i/>
                <w:sz w:val="20"/>
                <w:szCs w:val="20"/>
              </w:rPr>
              <w:t>OU v sodelovanju z MF - CA in PO</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7D6869">
            <w:pPr>
              <w:spacing w:line="240" w:lineRule="auto"/>
              <w:jc w:val="center"/>
              <w:rPr>
                <w:rFonts w:cs="Arial"/>
                <w:i/>
                <w:sz w:val="20"/>
                <w:szCs w:val="20"/>
              </w:rPr>
            </w:pPr>
            <w:r w:rsidRPr="009B7BE9">
              <w:rPr>
                <w:rFonts w:cs="Arial"/>
                <w:i/>
                <w:sz w:val="20"/>
                <w:szCs w:val="20"/>
              </w:rPr>
              <w:t>OU v sodelovanju z MF - CA in PO</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tc>
        <w:tc>
          <w:tcPr>
            <w:tcW w:w="434" w:type="pct"/>
          </w:tcPr>
          <w:p w:rsidR="007D6869" w:rsidRPr="009B7BE9" w:rsidRDefault="007D6869" w:rsidP="009B7BE9">
            <w:pPr>
              <w:spacing w:line="240" w:lineRule="auto"/>
              <w:jc w:val="center"/>
              <w:rPr>
                <w:rFonts w:cs="Arial"/>
                <w:i/>
                <w:sz w:val="20"/>
                <w:szCs w:val="20"/>
              </w:rPr>
            </w:pPr>
            <w:r w:rsidRPr="009B7BE9">
              <w:rPr>
                <w:rFonts w:cs="Arial"/>
                <w:i/>
                <w:sz w:val="20"/>
                <w:szCs w:val="20"/>
              </w:rPr>
              <w:t>1. polletje 2019</w:t>
            </w: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r w:rsidRPr="009B7BE9">
              <w:rPr>
                <w:rFonts w:cs="Arial"/>
                <w:i/>
                <w:sz w:val="20"/>
                <w:szCs w:val="20"/>
              </w:rPr>
              <w:t>1. polletje 2019</w:t>
            </w:r>
          </w:p>
          <w:p w:rsidR="007D6869" w:rsidRPr="009B7BE9" w:rsidRDefault="007D6869" w:rsidP="007D6869">
            <w:pPr>
              <w:spacing w:line="240" w:lineRule="auto"/>
              <w:rPr>
                <w:rFonts w:cs="Arial"/>
                <w:i/>
                <w:sz w:val="20"/>
                <w:szCs w:val="20"/>
              </w:rPr>
            </w:pPr>
          </w:p>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p>
        </w:tc>
      </w:tr>
    </w:tbl>
    <w:p w:rsidR="007D6869" w:rsidRDefault="007D6869" w:rsidP="007D6869">
      <w:pPr>
        <w:spacing w:line="240" w:lineRule="auto"/>
        <w:jc w:val="both"/>
        <w:rPr>
          <w:rFonts w:cs="Arial"/>
          <w:b/>
          <w:color w:val="0070C0"/>
          <w:szCs w:val="2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jc w:val="both"/>
        <w:rPr>
          <w:rFonts w:cs="Arial"/>
          <w:i/>
          <w:color w:val="2E74B5" w:themeColor="accent1" w:themeShade="BF"/>
          <w:szCs w:val="20"/>
          <w:highlight w:val="yellow"/>
        </w:rPr>
      </w:pPr>
      <w:r w:rsidRPr="00EA5FD3">
        <w:rPr>
          <w:rFonts w:cs="Arial"/>
          <w:b/>
          <w:color w:val="0070C0"/>
          <w:szCs w:val="20"/>
        </w:rPr>
        <w:t>Realizacija</w:t>
      </w:r>
      <w:r w:rsidRPr="007D6869">
        <w:rPr>
          <w:rFonts w:cs="Arial"/>
          <w:i/>
          <w:color w:val="2E74B5" w:themeColor="accent1" w:themeShade="BF"/>
          <w:szCs w:val="20"/>
          <w:highlight w:val="yellow"/>
        </w:rPr>
        <w:t xml:space="preserve"> </w:t>
      </w:r>
    </w:p>
    <w:p w:rsidR="007D6869" w:rsidRDefault="007D6869" w:rsidP="007D6869">
      <w:pPr>
        <w:spacing w:line="240" w:lineRule="auto"/>
        <w:jc w:val="both"/>
        <w:rPr>
          <w:rFonts w:cs="Arial"/>
          <w:i/>
          <w:color w:val="2E74B5" w:themeColor="accent1" w:themeShade="BF"/>
          <w:szCs w:val="20"/>
          <w:highlight w:val="yellow"/>
        </w:rPr>
      </w:pPr>
    </w:p>
    <w:p w:rsidR="0051424A" w:rsidRPr="0051424A" w:rsidRDefault="0051424A" w:rsidP="0051424A">
      <w:pPr>
        <w:spacing w:line="240" w:lineRule="auto"/>
        <w:jc w:val="both"/>
        <w:rPr>
          <w:rFonts w:cs="Arial"/>
          <w:szCs w:val="20"/>
        </w:rPr>
      </w:pPr>
      <w:r w:rsidRPr="0051424A">
        <w:rPr>
          <w:rFonts w:cs="Arial"/>
          <w:szCs w:val="20"/>
        </w:rPr>
        <w:t>IS eMA že zdaj dopušča pregled posameznih faz vlog, pogodb in zahtevkov, vendar ni dostopen vsem uporabnikom. V skladu z AN že izvajamo nadgradnjo poročilnega sistema, ki bo omogočal dostop do podatkov tudi zunanjim uporabnikom IS. Prav tako izvajamo optimizacijo postopkov obdelave zahtevkov, ki bodo omogočile lažje in enostavnejše oddajanje zahtevkov. V izgradnji imamo nadgraditev IS v delu, ki se nanašajo na izvedbo kontrol, ki bodo onemogočale zajemanje nepopolnih oz. napačnih podatkov v sistem, med večjimi nadgradnjami pa se izvajan tudi pro-rata.</w:t>
      </w:r>
    </w:p>
    <w:p w:rsidR="007E4437" w:rsidRPr="007E4437" w:rsidRDefault="007E4437" w:rsidP="007E4437">
      <w:pPr>
        <w:spacing w:line="240" w:lineRule="auto"/>
        <w:jc w:val="both"/>
        <w:rPr>
          <w:rFonts w:cs="Arial"/>
          <w:szCs w:val="20"/>
        </w:rPr>
      </w:pPr>
    </w:p>
    <w:p w:rsidR="00781F1E" w:rsidRPr="00781F1E" w:rsidRDefault="00693201" w:rsidP="00781F1E">
      <w:pPr>
        <w:spacing w:line="240" w:lineRule="atLeast"/>
        <w:jc w:val="both"/>
        <w:rPr>
          <w:rFonts w:cs="Arial"/>
          <w:szCs w:val="20"/>
          <w:lang w:eastAsia="sl-SI"/>
        </w:rPr>
      </w:pPr>
      <w:r w:rsidRPr="00CD1111">
        <w:rPr>
          <w:rFonts w:cs="Arial"/>
          <w:szCs w:val="20"/>
          <w:lang w:eastAsia="sl-SI"/>
        </w:rPr>
        <w:t xml:space="preserve">Pri IS eMA se pojavljajo še težave, ki jih je treba spremljati in popraviti. Zavedamo se, da je izobraževanje na tem področju zelo pomembno, saj gre za sistem, katerega popolna uporaba bo brez ustreznega izobraževanja uporabnikov težko uspešna. Na podlagi potreb, izkazanih v resorjih, je OU ustrezno sestavil in uskladil skupine strokovnjakov in izvedel izobraževanja s praktičnim delom z IS. V prvem trimesečju 2019 sta že bili organizirani dve delavnici, na katerih so bili predstavljeni </w:t>
      </w:r>
      <w:r w:rsidRPr="00CD1111">
        <w:rPr>
          <w:rFonts w:cs="Arial"/>
          <w:szCs w:val="20"/>
          <w:lang w:eastAsia="sl-SI"/>
        </w:rPr>
        <w:lastRenderedPageBreak/>
        <w:t>postopki prenosov podatkov med MFeRAC in eMA (v primeru NPU=U). Predavanj se je u</w:t>
      </w:r>
      <w:r w:rsidR="00781F1E">
        <w:rPr>
          <w:rFonts w:cs="Arial"/>
          <w:szCs w:val="20"/>
          <w:lang w:eastAsia="sl-SI"/>
        </w:rPr>
        <w:t xml:space="preserve">deležilo preko 100 udeležencev. </w:t>
      </w:r>
      <w:r w:rsidR="00781F1E" w:rsidRPr="00781F1E">
        <w:rPr>
          <w:rFonts w:cs="Arial"/>
          <w:color w:val="000000"/>
          <w:szCs w:val="20"/>
          <w:lang w:eastAsia="sl-SI"/>
        </w:rPr>
        <w:t xml:space="preserve">MJU </w:t>
      </w:r>
      <w:r w:rsidR="00AF3A50">
        <w:rPr>
          <w:rFonts w:cs="Arial"/>
          <w:color w:val="000000"/>
          <w:szCs w:val="20"/>
          <w:lang w:eastAsia="sl-SI"/>
        </w:rPr>
        <w:t xml:space="preserve">je </w:t>
      </w:r>
      <w:r w:rsidR="00781F1E" w:rsidRPr="00781F1E">
        <w:rPr>
          <w:rFonts w:cs="Arial"/>
          <w:color w:val="000000"/>
          <w:szCs w:val="20"/>
          <w:lang w:eastAsia="sl-SI"/>
        </w:rPr>
        <w:t xml:space="preserve">v svojih prostorih zagotovilo opremljeno učilnico, ki </w:t>
      </w:r>
      <w:r w:rsidR="00AF3A50">
        <w:rPr>
          <w:rFonts w:cs="Arial"/>
          <w:color w:val="000000"/>
          <w:szCs w:val="20"/>
          <w:lang w:eastAsia="sl-SI"/>
        </w:rPr>
        <w:t>je</w:t>
      </w:r>
      <w:r w:rsidR="00781F1E" w:rsidRPr="00781F1E">
        <w:rPr>
          <w:rFonts w:cs="Arial"/>
          <w:color w:val="000000"/>
          <w:szCs w:val="20"/>
          <w:lang w:eastAsia="sl-SI"/>
        </w:rPr>
        <w:t xml:space="preserve"> namenjena izobraževanju PO in končnih uporabnikov. </w:t>
      </w:r>
    </w:p>
    <w:p w:rsidR="007D6869" w:rsidRDefault="007D6869">
      <w:pPr>
        <w:spacing w:line="240" w:lineRule="auto"/>
        <w:rPr>
          <w:rFonts w:cs="Arial"/>
          <w:b/>
          <w:color w:val="0070C0"/>
          <w:szCs w:val="20"/>
        </w:rPr>
      </w:pPr>
      <w:bookmarkStart w:id="8" w:name="_Toc530560435"/>
      <w:r>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9" w:name="_Toc6992281"/>
      <w:r w:rsidRPr="00AD72DC">
        <w:rPr>
          <w:rFonts w:cs="Arial"/>
          <w:b/>
          <w:color w:val="0070C0"/>
          <w:szCs w:val="20"/>
        </w:rPr>
        <w:lastRenderedPageBreak/>
        <w:t>Finančni instrumenti</w:t>
      </w:r>
      <w:bookmarkEnd w:id="8"/>
      <w:bookmarkEnd w:id="9"/>
    </w:p>
    <w:p w:rsidR="009B7BE9" w:rsidRPr="009B7BE9" w:rsidRDefault="009B7BE9" w:rsidP="009B7BE9">
      <w:pPr>
        <w:spacing w:after="160" w:line="259" w:lineRule="auto"/>
        <w:rPr>
          <w:rFonts w:eastAsia="Calibri" w:cs="Arial"/>
          <w:szCs w:val="20"/>
        </w:rPr>
      </w:pPr>
    </w:p>
    <w:p w:rsidR="009B7BE9" w:rsidRDefault="009B7BE9" w:rsidP="009B7BE9">
      <w:pPr>
        <w:spacing w:line="259" w:lineRule="auto"/>
        <w:rPr>
          <w:rFonts w:eastAsia="Calibri" w:cs="Arial"/>
          <w:szCs w:val="20"/>
        </w:rPr>
      </w:pPr>
      <w:r w:rsidRPr="009B7BE9">
        <w:rPr>
          <w:rFonts w:eastAsia="Calibri" w:cs="Arial"/>
          <w:szCs w:val="20"/>
        </w:rPr>
        <w:t>V izvajanju finančnih instrumentov</w:t>
      </w:r>
      <w:r w:rsidR="00615765">
        <w:rPr>
          <w:rFonts w:eastAsia="Calibri" w:cs="Arial"/>
          <w:szCs w:val="20"/>
        </w:rPr>
        <w:t>,</w:t>
      </w:r>
      <w:r w:rsidRPr="009B7BE9">
        <w:rPr>
          <w:rFonts w:eastAsia="Calibri" w:cs="Arial"/>
          <w:szCs w:val="20"/>
        </w:rPr>
        <w:t xml:space="preserve"> ne glede na prednostno os</w:t>
      </w:r>
      <w:r w:rsidR="00615765">
        <w:rPr>
          <w:rFonts w:eastAsia="Calibri" w:cs="Arial"/>
          <w:szCs w:val="20"/>
        </w:rPr>
        <w:t>,</w:t>
      </w:r>
      <w:r w:rsidRPr="009B7BE9">
        <w:rPr>
          <w:rFonts w:eastAsia="Calibri" w:cs="Arial"/>
          <w:szCs w:val="20"/>
        </w:rPr>
        <w:t xml:space="preserve"> je za leto 2019 načrtovana naslednja tranša vplačila na ravni sklada skladov. Ob ugotovljeni skupni realizaciji (po skoraj enem letu od izdaje odločitve o podpori), ki ni skladna z načrti na ravni oblikovanja specifičnih produktov, izbora finančnih posrednikov in vsekakor ne na ravni plasmajev sredstev do končnih prejemnikov, ocenjujemo tveganje za možnost izvedbe naslednje tranše vplačil v sklad skladov za leto 2019.</w:t>
      </w:r>
    </w:p>
    <w:p w:rsidR="00753B11" w:rsidRPr="009B7BE9" w:rsidRDefault="00753B11" w:rsidP="009B7BE9">
      <w:pPr>
        <w:spacing w:line="259" w:lineRule="auto"/>
        <w:rPr>
          <w:rFonts w:eastAsia="Calibri" w:cs="Arial"/>
          <w:szCs w:val="20"/>
        </w:rPr>
      </w:pPr>
    </w:p>
    <w:tbl>
      <w:tblPr>
        <w:tblStyle w:val="Tabelamrea3"/>
        <w:tblW w:w="5000" w:type="pct"/>
        <w:tblLook w:val="04A0" w:firstRow="1" w:lastRow="0" w:firstColumn="1" w:lastColumn="0" w:noHBand="0" w:noVBand="1"/>
      </w:tblPr>
      <w:tblGrid>
        <w:gridCol w:w="2603"/>
        <w:gridCol w:w="6609"/>
        <w:gridCol w:w="1322"/>
        <w:gridCol w:w="1907"/>
        <w:gridCol w:w="2345"/>
      </w:tblGrid>
      <w:tr w:rsidR="007D6869" w:rsidRPr="00873266" w:rsidTr="007D6869">
        <w:tc>
          <w:tcPr>
            <w:tcW w:w="880"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Težave</w:t>
            </w:r>
          </w:p>
        </w:tc>
        <w:tc>
          <w:tcPr>
            <w:tcW w:w="2235"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Rešitve</w:t>
            </w:r>
          </w:p>
        </w:tc>
        <w:tc>
          <w:tcPr>
            <w:tcW w:w="447"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Nosilec</w:t>
            </w:r>
          </w:p>
        </w:tc>
        <w:tc>
          <w:tcPr>
            <w:tcW w:w="645"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Rok</w:t>
            </w:r>
          </w:p>
        </w:tc>
        <w:tc>
          <w:tcPr>
            <w:tcW w:w="794" w:type="pct"/>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Tveganja za izvedbo rešitve</w:t>
            </w:r>
          </w:p>
        </w:tc>
      </w:tr>
      <w:tr w:rsidR="007D6869" w:rsidRPr="009B7BE9" w:rsidTr="007D6869">
        <w:trPr>
          <w:trHeight w:val="2119"/>
        </w:trPr>
        <w:tc>
          <w:tcPr>
            <w:tcW w:w="880" w:type="pct"/>
          </w:tcPr>
          <w:p w:rsidR="007D6869" w:rsidRPr="009B7BE9" w:rsidRDefault="007D6869" w:rsidP="007D6869">
            <w:pPr>
              <w:spacing w:line="240" w:lineRule="auto"/>
              <w:rPr>
                <w:rFonts w:cs="Arial"/>
                <w:i/>
                <w:sz w:val="20"/>
                <w:szCs w:val="20"/>
              </w:rPr>
            </w:pPr>
            <w:r w:rsidRPr="009B7BE9">
              <w:rPr>
                <w:rFonts w:cs="Arial"/>
                <w:i/>
                <w:sz w:val="20"/>
                <w:szCs w:val="20"/>
              </w:rPr>
              <w:t>Resno tveganje za izvedbo naslednje tranše vplačil v sklad skladov še za leto 2019.</w:t>
            </w:r>
          </w:p>
        </w:tc>
        <w:tc>
          <w:tcPr>
            <w:tcW w:w="2235" w:type="pct"/>
          </w:tcPr>
          <w:p w:rsidR="007D6869" w:rsidRPr="009B7BE9" w:rsidRDefault="007D6869" w:rsidP="007D6869">
            <w:pPr>
              <w:tabs>
                <w:tab w:val="left" w:pos="464"/>
              </w:tabs>
              <w:spacing w:line="240" w:lineRule="auto"/>
              <w:ind w:left="39" w:hanging="39"/>
              <w:rPr>
                <w:rFonts w:cs="Arial"/>
                <w:i/>
                <w:sz w:val="20"/>
                <w:szCs w:val="20"/>
              </w:rPr>
            </w:pPr>
            <w:r w:rsidRPr="009B7BE9">
              <w:rPr>
                <w:rFonts w:cs="Arial"/>
                <w:i/>
                <w:sz w:val="20"/>
                <w:szCs w:val="20"/>
              </w:rPr>
              <w:t>Aktivnosti:</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pospešena priprava finančnih produktov (še posebej v primerih s časovno izvedbo zamika glede na načrt),</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pospešen izbor finančnih posrednikov,</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zagotavljanje plasmajev sredstev do ravni končnih prejemnikov (kar vpliva na potrebno predhodno realizacijo za zagotovitev naslednje tranše vplačil v sklad skladov),</w:t>
            </w:r>
          </w:p>
          <w:p w:rsidR="007D6869" w:rsidRPr="009B7BE9" w:rsidRDefault="007D6869" w:rsidP="00907D04">
            <w:pPr>
              <w:numPr>
                <w:ilvl w:val="0"/>
                <w:numId w:val="10"/>
              </w:numPr>
              <w:tabs>
                <w:tab w:val="left" w:pos="464"/>
              </w:tabs>
              <w:spacing w:line="240" w:lineRule="auto"/>
              <w:ind w:left="425" w:hanging="425"/>
              <w:contextualSpacing/>
              <w:rPr>
                <w:rFonts w:cs="Arial"/>
                <w:i/>
                <w:sz w:val="20"/>
                <w:szCs w:val="20"/>
              </w:rPr>
            </w:pPr>
            <w:r w:rsidRPr="009B7BE9">
              <w:rPr>
                <w:rFonts w:cs="Arial"/>
                <w:i/>
                <w:sz w:val="20"/>
                <w:szCs w:val="20"/>
              </w:rPr>
              <w:t>zagotovitev osnov (navodila in kontrolne liste) za izvedbo upravljalnih preverjanj.</w:t>
            </w:r>
          </w:p>
        </w:tc>
        <w:tc>
          <w:tcPr>
            <w:tcW w:w="447" w:type="pct"/>
          </w:tcPr>
          <w:p w:rsidR="007D6869" w:rsidRDefault="007D6869" w:rsidP="007D6869">
            <w:pPr>
              <w:spacing w:line="240" w:lineRule="auto"/>
              <w:jc w:val="center"/>
              <w:rPr>
                <w:rFonts w:cs="Arial"/>
                <w:i/>
                <w:sz w:val="20"/>
                <w:szCs w:val="20"/>
              </w:rPr>
            </w:pPr>
          </w:p>
          <w:p w:rsidR="007D6869" w:rsidRPr="009B7BE9" w:rsidRDefault="007D6869" w:rsidP="007D6869">
            <w:pPr>
              <w:spacing w:line="240" w:lineRule="auto"/>
              <w:jc w:val="center"/>
              <w:rPr>
                <w:rFonts w:cs="Arial"/>
                <w:i/>
                <w:sz w:val="20"/>
                <w:szCs w:val="20"/>
              </w:rPr>
            </w:pPr>
            <w:r w:rsidRPr="009B7BE9">
              <w:rPr>
                <w:rFonts w:cs="Arial"/>
                <w:i/>
                <w:sz w:val="20"/>
                <w:szCs w:val="20"/>
              </w:rPr>
              <w:t>MGRT</w:t>
            </w:r>
          </w:p>
          <w:p w:rsidR="007D6869" w:rsidRPr="009B7BE9" w:rsidRDefault="007D6869" w:rsidP="007D6869">
            <w:pPr>
              <w:spacing w:line="240" w:lineRule="auto"/>
              <w:jc w:val="center"/>
              <w:rPr>
                <w:rFonts w:cs="Arial"/>
                <w:i/>
                <w:sz w:val="20"/>
                <w:szCs w:val="20"/>
              </w:rPr>
            </w:pPr>
            <w:r w:rsidRPr="009B7BE9">
              <w:rPr>
                <w:rFonts w:cs="Arial"/>
                <w:i/>
                <w:sz w:val="20"/>
                <w:szCs w:val="20"/>
              </w:rPr>
              <w:t>(SID)</w:t>
            </w:r>
          </w:p>
          <w:p w:rsidR="007D6869" w:rsidRPr="009B7BE9" w:rsidRDefault="007D6869" w:rsidP="007D6869">
            <w:pPr>
              <w:spacing w:line="240" w:lineRule="auto"/>
              <w:jc w:val="center"/>
              <w:rPr>
                <w:rFonts w:cs="Arial"/>
                <w:i/>
                <w:sz w:val="20"/>
                <w:szCs w:val="20"/>
              </w:rPr>
            </w:pPr>
            <w:r w:rsidRPr="009B7BE9">
              <w:rPr>
                <w:rFonts w:cs="Arial"/>
                <w:i/>
                <w:sz w:val="20"/>
                <w:szCs w:val="20"/>
              </w:rPr>
              <w:t>MGRT</w:t>
            </w:r>
          </w:p>
          <w:p w:rsidR="007D6869" w:rsidRPr="009B7BE9" w:rsidRDefault="007D6869" w:rsidP="007D6869">
            <w:pPr>
              <w:spacing w:line="240" w:lineRule="auto"/>
              <w:jc w:val="center"/>
              <w:rPr>
                <w:rFonts w:cs="Arial"/>
                <w:i/>
                <w:sz w:val="20"/>
                <w:szCs w:val="20"/>
              </w:rPr>
            </w:pPr>
            <w:r w:rsidRPr="009B7BE9">
              <w:rPr>
                <w:rFonts w:cs="Arial"/>
                <w:i/>
                <w:sz w:val="20"/>
                <w:szCs w:val="20"/>
              </w:rPr>
              <w:t>(SID)</w:t>
            </w:r>
          </w:p>
          <w:p w:rsidR="007D6869" w:rsidRPr="009B7BE9" w:rsidRDefault="007D6869" w:rsidP="007D6869">
            <w:pPr>
              <w:spacing w:line="240" w:lineRule="auto"/>
              <w:jc w:val="center"/>
              <w:rPr>
                <w:rFonts w:cs="Arial"/>
                <w:i/>
                <w:sz w:val="20"/>
                <w:szCs w:val="20"/>
              </w:rPr>
            </w:pPr>
            <w:r w:rsidRPr="009B7BE9">
              <w:rPr>
                <w:rFonts w:cs="Arial"/>
                <w:i/>
                <w:sz w:val="20"/>
                <w:szCs w:val="20"/>
              </w:rPr>
              <w:t>MGRT</w:t>
            </w:r>
          </w:p>
          <w:p w:rsidR="007D6869" w:rsidRPr="009B7BE9" w:rsidRDefault="007D6869" w:rsidP="007D6869">
            <w:pPr>
              <w:spacing w:line="240" w:lineRule="auto"/>
              <w:jc w:val="center"/>
              <w:rPr>
                <w:rFonts w:cs="Arial"/>
                <w:i/>
                <w:sz w:val="20"/>
                <w:szCs w:val="20"/>
              </w:rPr>
            </w:pPr>
            <w:r w:rsidRPr="009B7BE9">
              <w:rPr>
                <w:rFonts w:cs="Arial"/>
                <w:i/>
                <w:sz w:val="20"/>
                <w:szCs w:val="20"/>
              </w:rPr>
              <w:t>(SID)</w:t>
            </w:r>
          </w:p>
          <w:p w:rsidR="007D6869" w:rsidRPr="009B7BE9" w:rsidRDefault="007D6869" w:rsidP="007D6869">
            <w:pPr>
              <w:spacing w:line="240" w:lineRule="auto"/>
              <w:jc w:val="center"/>
              <w:rPr>
                <w:rFonts w:cs="Arial"/>
                <w:i/>
                <w:sz w:val="20"/>
                <w:szCs w:val="20"/>
              </w:rPr>
            </w:pPr>
            <w:r w:rsidRPr="009B7BE9">
              <w:rPr>
                <w:rFonts w:cs="Arial"/>
                <w:i/>
                <w:sz w:val="20"/>
                <w:szCs w:val="20"/>
              </w:rPr>
              <w:t>MGRT</w:t>
            </w:r>
          </w:p>
        </w:tc>
        <w:tc>
          <w:tcPr>
            <w:tcW w:w="645" w:type="pct"/>
          </w:tcPr>
          <w:p w:rsidR="007D6869" w:rsidRPr="009B7BE9" w:rsidRDefault="007D6869" w:rsidP="007D6869">
            <w:pPr>
              <w:spacing w:line="240" w:lineRule="auto"/>
              <w:jc w:val="center"/>
              <w:rPr>
                <w:rFonts w:cs="Arial"/>
                <w:i/>
                <w:sz w:val="20"/>
                <w:szCs w:val="20"/>
              </w:rPr>
            </w:pPr>
          </w:p>
          <w:p w:rsidR="007D6869" w:rsidRPr="00181748" w:rsidRDefault="002F2FE4" w:rsidP="007D6869">
            <w:pPr>
              <w:spacing w:line="240" w:lineRule="auto"/>
              <w:jc w:val="center"/>
              <w:rPr>
                <w:rFonts w:cs="Arial"/>
                <w:i/>
                <w:sz w:val="20"/>
                <w:szCs w:val="20"/>
              </w:rPr>
            </w:pPr>
            <w:r w:rsidRPr="00181748">
              <w:rPr>
                <w:rFonts w:cs="Arial"/>
                <w:i/>
                <w:sz w:val="20"/>
                <w:szCs w:val="20"/>
              </w:rPr>
              <w:t>v</w:t>
            </w:r>
            <w:r w:rsidR="007D6869" w:rsidRPr="00181748">
              <w:rPr>
                <w:rFonts w:cs="Arial"/>
                <w:i/>
                <w:sz w:val="20"/>
                <w:szCs w:val="20"/>
              </w:rPr>
              <w:t xml:space="preserve">se </w:t>
            </w:r>
          </w:p>
          <w:p w:rsidR="007D6869" w:rsidRPr="00181748" w:rsidRDefault="007D6869" w:rsidP="007D6869">
            <w:pPr>
              <w:spacing w:line="240" w:lineRule="auto"/>
              <w:jc w:val="center"/>
              <w:rPr>
                <w:rFonts w:cs="Arial"/>
                <w:i/>
                <w:sz w:val="20"/>
                <w:szCs w:val="20"/>
              </w:rPr>
            </w:pPr>
            <w:r w:rsidRPr="00181748">
              <w:rPr>
                <w:rFonts w:cs="Arial"/>
                <w:i/>
                <w:sz w:val="20"/>
                <w:szCs w:val="20"/>
              </w:rPr>
              <w:t>1. četrtletje 2019</w:t>
            </w:r>
          </w:p>
          <w:p w:rsidR="007D6869" w:rsidRPr="009B7BE9" w:rsidRDefault="007D6869" w:rsidP="007D6869">
            <w:pPr>
              <w:spacing w:line="240" w:lineRule="auto"/>
              <w:jc w:val="center"/>
              <w:rPr>
                <w:rFonts w:cs="Arial"/>
                <w:i/>
                <w:sz w:val="20"/>
                <w:szCs w:val="20"/>
              </w:rPr>
            </w:pPr>
          </w:p>
          <w:p w:rsidR="007D6869" w:rsidRPr="009B7BE9" w:rsidRDefault="007D6869" w:rsidP="007D6869">
            <w:pPr>
              <w:spacing w:line="240" w:lineRule="auto"/>
              <w:jc w:val="center"/>
              <w:rPr>
                <w:rFonts w:cs="Arial"/>
                <w:i/>
                <w:sz w:val="20"/>
                <w:szCs w:val="20"/>
              </w:rPr>
            </w:pPr>
            <w:r w:rsidRPr="009B7BE9">
              <w:rPr>
                <w:rFonts w:cs="Arial"/>
                <w:i/>
                <w:sz w:val="20"/>
                <w:szCs w:val="20"/>
              </w:rPr>
              <w:t xml:space="preserve"> </w:t>
            </w:r>
          </w:p>
        </w:tc>
        <w:tc>
          <w:tcPr>
            <w:tcW w:w="794" w:type="pct"/>
          </w:tcPr>
          <w:p w:rsidR="007D6869" w:rsidRPr="009B7BE9" w:rsidRDefault="007D6869" w:rsidP="007D6869">
            <w:pPr>
              <w:spacing w:line="240" w:lineRule="auto"/>
              <w:rPr>
                <w:rFonts w:cs="Arial"/>
                <w:i/>
                <w:sz w:val="20"/>
                <w:szCs w:val="20"/>
              </w:rPr>
            </w:pPr>
          </w:p>
          <w:p w:rsidR="007D6869" w:rsidRPr="009B7BE9" w:rsidRDefault="007D6869" w:rsidP="007D6869">
            <w:pPr>
              <w:spacing w:line="240" w:lineRule="auto"/>
              <w:rPr>
                <w:rFonts w:cs="Arial"/>
                <w:i/>
                <w:sz w:val="20"/>
                <w:szCs w:val="20"/>
              </w:rPr>
            </w:pPr>
            <w:r w:rsidRPr="009B7BE9">
              <w:rPr>
                <w:rFonts w:cs="Arial"/>
                <w:i/>
                <w:sz w:val="20"/>
                <w:szCs w:val="20"/>
              </w:rPr>
              <w:t>Sklenitev sporazuma o financiranju, pri čemer so opredeljena razmerja med MGRT in upravičencem (SID banka).</w:t>
            </w:r>
          </w:p>
        </w:tc>
      </w:tr>
    </w:tbl>
    <w:p w:rsidR="007D6869" w:rsidRDefault="007D6869" w:rsidP="007D6869">
      <w:pPr>
        <w:spacing w:line="240" w:lineRule="auto"/>
        <w:rPr>
          <w:rFonts w:cs="Arial"/>
          <w:b/>
          <w:color w:val="0070C0"/>
          <w:sz w:val="10"/>
          <w:szCs w:val="10"/>
        </w:rPr>
      </w:pPr>
    </w:p>
    <w:p w:rsidR="001931F2" w:rsidRPr="007D6869" w:rsidRDefault="001931F2" w:rsidP="007D6869">
      <w:pPr>
        <w:spacing w:line="240" w:lineRule="auto"/>
        <w:rPr>
          <w:rFonts w:cs="Arial"/>
          <w:b/>
          <w:color w:val="0070C0"/>
          <w:sz w:val="10"/>
          <w:szCs w:val="1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837735">
        <w:rPr>
          <w:rFonts w:cs="Arial"/>
          <w:b/>
          <w:color w:val="0070C0"/>
          <w:szCs w:val="20"/>
        </w:rPr>
        <w:t>Realizacija</w:t>
      </w:r>
    </w:p>
    <w:p w:rsidR="00181748" w:rsidRDefault="00181748" w:rsidP="00181748">
      <w:pPr>
        <w:spacing w:line="240" w:lineRule="auto"/>
        <w:rPr>
          <w:rFonts w:cs="Arial"/>
          <w:b/>
          <w:color w:val="0070C0"/>
          <w:szCs w:val="20"/>
        </w:rPr>
      </w:pPr>
    </w:p>
    <w:p w:rsidR="00181748" w:rsidRPr="00181748" w:rsidRDefault="00181748" w:rsidP="00181748">
      <w:pPr>
        <w:spacing w:line="240" w:lineRule="auto"/>
        <w:jc w:val="both"/>
        <w:rPr>
          <w:rFonts w:cs="Arial"/>
          <w:szCs w:val="20"/>
        </w:rPr>
      </w:pPr>
      <w:r w:rsidRPr="00181748">
        <w:rPr>
          <w:rFonts w:cs="Arial"/>
          <w:szCs w:val="20"/>
        </w:rPr>
        <w:t xml:space="preserve">(i) </w:t>
      </w:r>
      <w:r>
        <w:rPr>
          <w:rFonts w:cs="Arial"/>
          <w:szCs w:val="20"/>
        </w:rPr>
        <w:t>Z</w:t>
      </w:r>
      <w:r w:rsidRPr="00181748">
        <w:rPr>
          <w:rFonts w:cs="Arial"/>
          <w:szCs w:val="20"/>
        </w:rPr>
        <w:t>aključen razvoj FI/finančnih produktov EKP posojila za celovito energetsko prenovo javnih stavb, EKP posojila za urbani razvoj in EKP posojila za RRI za neposredno izvajanje SID. Pričetek izvajanja/trženja v aprilu 2019. Razvoj produkta EKP portfeljske garancije za MSP je pred časovnico, ostale aktivnosti potekajo v skladu s PFN.</w:t>
      </w:r>
    </w:p>
    <w:p w:rsidR="00181748" w:rsidRPr="00181748" w:rsidRDefault="00181748" w:rsidP="00181748">
      <w:pPr>
        <w:spacing w:line="240" w:lineRule="auto"/>
        <w:jc w:val="both"/>
        <w:rPr>
          <w:rFonts w:cs="Arial"/>
          <w:szCs w:val="20"/>
        </w:rPr>
      </w:pPr>
      <w:r w:rsidRPr="00181748">
        <w:rPr>
          <w:rFonts w:cs="Arial"/>
          <w:szCs w:val="20"/>
        </w:rPr>
        <w:t xml:space="preserve">(ii) 1. </w:t>
      </w:r>
      <w:r>
        <w:rPr>
          <w:rFonts w:cs="Arial"/>
          <w:szCs w:val="20"/>
        </w:rPr>
        <w:t>marca</w:t>
      </w:r>
      <w:r w:rsidRPr="00181748">
        <w:rPr>
          <w:rFonts w:cs="Arial"/>
          <w:szCs w:val="20"/>
        </w:rPr>
        <w:t xml:space="preserve"> 2019 je bil na podlagi vloge SID banke za neposredno izvajanje FI (na področjih EE, UR in delno RRI) iz decembra 2018, za zagotovitev pospešenega črpanja EKP sredstev, podpisan dodatek k sporazumu o financiranju med PO MGRT in SID banko d.d..</w:t>
      </w:r>
    </w:p>
    <w:p w:rsidR="0029093A" w:rsidRPr="0029093A" w:rsidRDefault="00181748" w:rsidP="0029093A">
      <w:pPr>
        <w:shd w:val="clear" w:color="auto" w:fill="FFFFFF" w:themeFill="background1"/>
        <w:spacing w:line="240" w:lineRule="auto"/>
        <w:jc w:val="both"/>
        <w:rPr>
          <w:rFonts w:cs="Arial"/>
          <w:kern w:val="1"/>
          <w:szCs w:val="20"/>
          <w:lang w:eastAsia="zh-CN"/>
        </w:rPr>
      </w:pPr>
      <w:r w:rsidRPr="00181748">
        <w:rPr>
          <w:rFonts w:cs="Arial"/>
          <w:szCs w:val="20"/>
        </w:rPr>
        <w:t xml:space="preserve">(iii) </w:t>
      </w:r>
      <w:r w:rsidRPr="00181748">
        <w:rPr>
          <w:rFonts w:cs="Arial"/>
          <w:kern w:val="1"/>
          <w:szCs w:val="20"/>
          <w:lang w:eastAsia="zh-CN"/>
        </w:rPr>
        <w:t xml:space="preserve">Do konca marca 2019 je bilo s FI (posojila za RRI in mikroposojila za MSP) prek finančnih posrednikov podprtih </w:t>
      </w:r>
      <w:r w:rsidR="0029093A">
        <w:rPr>
          <w:rFonts w:cs="Arial"/>
          <w:kern w:val="1"/>
          <w:szCs w:val="20"/>
          <w:lang w:eastAsia="zh-CN"/>
        </w:rPr>
        <w:t>742 poslov</w:t>
      </w:r>
      <w:r w:rsidRPr="00181748">
        <w:rPr>
          <w:rFonts w:cs="Arial"/>
          <w:kern w:val="1"/>
          <w:szCs w:val="20"/>
          <w:lang w:eastAsia="zh-CN"/>
        </w:rPr>
        <w:t xml:space="preserve"> končnih prejemnikov </w:t>
      </w:r>
      <w:r w:rsidR="0029093A">
        <w:rPr>
          <w:rFonts w:cs="Arial"/>
          <w:kern w:val="1"/>
          <w:szCs w:val="20"/>
          <w:lang w:eastAsia="zh-CN"/>
        </w:rPr>
        <w:t>in</w:t>
      </w:r>
      <w:r w:rsidRPr="00181748">
        <w:rPr>
          <w:rFonts w:cs="Arial"/>
          <w:kern w:val="1"/>
          <w:szCs w:val="20"/>
          <w:lang w:eastAsia="zh-CN"/>
        </w:rPr>
        <w:t xml:space="preserve"> sklenjenih pogodb v skupni vrednosti 2</w:t>
      </w:r>
      <w:r w:rsidR="0029093A">
        <w:rPr>
          <w:rFonts w:cs="Arial"/>
          <w:kern w:val="1"/>
          <w:szCs w:val="20"/>
          <w:lang w:eastAsia="zh-CN"/>
        </w:rPr>
        <w:t>3</w:t>
      </w:r>
      <w:r w:rsidRPr="00181748">
        <w:rPr>
          <w:rFonts w:cs="Arial"/>
          <w:kern w:val="1"/>
          <w:szCs w:val="20"/>
          <w:lang w:eastAsia="zh-CN"/>
        </w:rPr>
        <w:t>,8 milijona evrov od tega večina (7</w:t>
      </w:r>
      <w:r w:rsidR="0029093A">
        <w:rPr>
          <w:rFonts w:cs="Arial"/>
          <w:kern w:val="1"/>
          <w:szCs w:val="20"/>
          <w:lang w:eastAsia="zh-CN"/>
        </w:rPr>
        <w:t>5,8</w:t>
      </w:r>
      <w:r w:rsidRPr="00181748">
        <w:rPr>
          <w:rFonts w:cs="Arial"/>
          <w:kern w:val="1"/>
          <w:szCs w:val="20"/>
          <w:lang w:eastAsia="zh-CN"/>
        </w:rPr>
        <w:t xml:space="preserve"> %) mikroposojil.</w:t>
      </w:r>
      <w:r w:rsidRPr="00181748" w:rsidDel="007A6C63">
        <w:rPr>
          <w:rFonts w:cs="Arial"/>
          <w:kern w:val="1"/>
          <w:szCs w:val="20"/>
          <w:lang w:eastAsia="zh-CN"/>
        </w:rPr>
        <w:t xml:space="preserve"> </w:t>
      </w:r>
      <w:r w:rsidR="0029093A" w:rsidRPr="0029093A">
        <w:rPr>
          <w:rFonts w:cs="Arial"/>
          <w:kern w:val="1"/>
          <w:szCs w:val="20"/>
          <w:lang w:eastAsia="zh-CN"/>
        </w:rPr>
        <w:t>Do konca marca 2019 so končni prejemniki, po sklenjenih pogodbah, črpali skupaj 19,7milijona EUR.</w:t>
      </w:r>
    </w:p>
    <w:p w:rsidR="007D6869" w:rsidRPr="00181748" w:rsidRDefault="00181748" w:rsidP="00181748">
      <w:pPr>
        <w:spacing w:line="240" w:lineRule="auto"/>
        <w:rPr>
          <w:rFonts w:cs="Arial"/>
          <w:b/>
          <w:szCs w:val="20"/>
        </w:rPr>
      </w:pPr>
      <w:r w:rsidRPr="00181748">
        <w:rPr>
          <w:rFonts w:cs="Arial"/>
          <w:szCs w:val="20"/>
        </w:rPr>
        <w:t xml:space="preserve">(iv) MGRT je pripravilo </w:t>
      </w:r>
      <w:r w:rsidRPr="009044EB">
        <w:rPr>
          <w:rFonts w:cs="Arial"/>
          <w:i/>
          <w:szCs w:val="20"/>
        </w:rPr>
        <w:t>Navodila za upravljalna preverjanja</w:t>
      </w:r>
      <w:r w:rsidRPr="00181748">
        <w:rPr>
          <w:rFonts w:cs="Arial"/>
          <w:szCs w:val="20"/>
        </w:rPr>
        <w:t xml:space="preserve"> (vključno s kontrolnimi listi) v skladu z zahtevami UNP in OU.</w:t>
      </w:r>
    </w:p>
    <w:p w:rsidR="007D6869" w:rsidRDefault="007D6869" w:rsidP="007D6869">
      <w:pPr>
        <w:spacing w:line="240" w:lineRule="auto"/>
        <w:rPr>
          <w:rFonts w:eastAsia="Calibri" w:cs="Arial"/>
          <w:b/>
          <w:szCs w:val="20"/>
        </w:rPr>
      </w:pPr>
    </w:p>
    <w:p w:rsidR="0053381D" w:rsidRDefault="0053381D">
      <w:pPr>
        <w:spacing w:line="240" w:lineRule="auto"/>
        <w:rPr>
          <w:rFonts w:cs="Arial"/>
          <w:b/>
          <w:color w:val="0070C0"/>
          <w:szCs w:val="20"/>
        </w:rPr>
      </w:pPr>
      <w:bookmarkStart w:id="10" w:name="_Toc530560436"/>
      <w:r>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11" w:name="_Toc6992282"/>
      <w:r w:rsidRPr="00AD72DC">
        <w:rPr>
          <w:rFonts w:cs="Arial"/>
          <w:b/>
          <w:color w:val="0070C0"/>
          <w:szCs w:val="20"/>
        </w:rPr>
        <w:lastRenderedPageBreak/>
        <w:t>Konsistentnost uporabe načela pripravljenosti operacij za izvedbo v postopkih izbora</w:t>
      </w:r>
      <w:bookmarkEnd w:id="10"/>
      <w:bookmarkEnd w:id="11"/>
    </w:p>
    <w:p w:rsidR="009B7BE9" w:rsidRPr="009B7BE9" w:rsidRDefault="009B7BE9" w:rsidP="009B7BE9">
      <w:pPr>
        <w:spacing w:after="160" w:line="259" w:lineRule="auto"/>
        <w:rPr>
          <w:rFonts w:eastAsia="Calibri" w:cs="Arial"/>
          <w:szCs w:val="20"/>
        </w:rPr>
      </w:pPr>
    </w:p>
    <w:p w:rsidR="00AD72DC" w:rsidRDefault="009B7BE9" w:rsidP="009B7BE9">
      <w:pPr>
        <w:spacing w:after="160" w:line="259" w:lineRule="auto"/>
        <w:jc w:val="both"/>
        <w:rPr>
          <w:rFonts w:eastAsia="Calibri" w:cs="Arial"/>
          <w:szCs w:val="20"/>
        </w:rPr>
      </w:pPr>
      <w:r w:rsidRPr="009B7BE9">
        <w:rPr>
          <w:rFonts w:eastAsia="Calibri" w:cs="Arial"/>
          <w:szCs w:val="20"/>
        </w:rPr>
        <w:t>Kadar gre za izbor v več fazah, bo lahko potrebna sistemska prilagoditev načelu potrjevanja le pripravljenih projektov (v prvi fazi izbora), zaradi česar bo potreben daljši rok za potrditev sofinanciranja, izvedba projekta pa bo zato hitrejša. Navedeno priporočilo se nanaša tako na postopke neposrednega potrjevanja operacij kot na ustrezno prilagojene določbe v javnih razpisih. V nekaterih primerih, predvsem obsežnejših in finančno večjih investicijskih projektih, se načelo pripravljenosti lahko smiselno omeji na le fazo projekta.</w:t>
      </w:r>
    </w:p>
    <w:tbl>
      <w:tblPr>
        <w:tblStyle w:val="Tabelamrea3"/>
        <w:tblW w:w="5000" w:type="pct"/>
        <w:tblLook w:val="04A0" w:firstRow="1" w:lastRow="0" w:firstColumn="1" w:lastColumn="0" w:noHBand="0" w:noVBand="1"/>
      </w:tblPr>
      <w:tblGrid>
        <w:gridCol w:w="4863"/>
        <w:gridCol w:w="6817"/>
        <w:gridCol w:w="1849"/>
        <w:gridCol w:w="1257"/>
      </w:tblGrid>
      <w:tr w:rsidR="007D6869" w:rsidRPr="00873266" w:rsidTr="007D6869">
        <w:tc>
          <w:tcPr>
            <w:tcW w:w="1644"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Težave</w:t>
            </w:r>
          </w:p>
        </w:tc>
        <w:tc>
          <w:tcPr>
            <w:tcW w:w="2305"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Rešitve</w:t>
            </w:r>
          </w:p>
        </w:tc>
        <w:tc>
          <w:tcPr>
            <w:tcW w:w="625" w:type="pct"/>
            <w:shd w:val="clear" w:color="auto" w:fill="F2F2F2" w:themeFill="background1" w:themeFillShade="F2"/>
            <w:vAlign w:val="center"/>
          </w:tcPr>
          <w:p w:rsidR="007D6869" w:rsidRPr="00873266" w:rsidRDefault="007D6869" w:rsidP="009B7BE9">
            <w:pPr>
              <w:spacing w:line="240" w:lineRule="auto"/>
              <w:jc w:val="center"/>
              <w:rPr>
                <w:rFonts w:cs="Arial"/>
                <w:b/>
                <w:sz w:val="20"/>
                <w:szCs w:val="20"/>
              </w:rPr>
            </w:pPr>
            <w:r w:rsidRPr="00873266">
              <w:rPr>
                <w:rFonts w:cs="Arial"/>
                <w:b/>
                <w:sz w:val="20"/>
                <w:szCs w:val="20"/>
              </w:rPr>
              <w:t>Nosilec</w:t>
            </w:r>
          </w:p>
        </w:tc>
        <w:tc>
          <w:tcPr>
            <w:tcW w:w="425" w:type="pct"/>
            <w:shd w:val="clear" w:color="auto" w:fill="F2F2F2" w:themeFill="background1" w:themeFillShade="F2"/>
            <w:vAlign w:val="center"/>
          </w:tcPr>
          <w:p w:rsidR="007D6869" w:rsidRPr="005F34D9" w:rsidRDefault="007D6869" w:rsidP="009B7BE9">
            <w:pPr>
              <w:spacing w:line="240" w:lineRule="auto"/>
              <w:jc w:val="center"/>
              <w:rPr>
                <w:rFonts w:cs="Arial"/>
                <w:b/>
                <w:sz w:val="20"/>
                <w:szCs w:val="20"/>
              </w:rPr>
            </w:pPr>
            <w:r w:rsidRPr="005F34D9">
              <w:rPr>
                <w:rFonts w:cs="Arial"/>
                <w:b/>
                <w:sz w:val="20"/>
                <w:szCs w:val="20"/>
              </w:rPr>
              <w:t>Rok</w:t>
            </w:r>
          </w:p>
        </w:tc>
      </w:tr>
      <w:tr w:rsidR="007D6869" w:rsidRPr="009B7BE9" w:rsidTr="00907D04">
        <w:trPr>
          <w:trHeight w:val="1634"/>
        </w:trPr>
        <w:tc>
          <w:tcPr>
            <w:tcW w:w="1644" w:type="pct"/>
          </w:tcPr>
          <w:p w:rsidR="007D6869" w:rsidRPr="009B7BE9" w:rsidRDefault="007D6869" w:rsidP="007D6869">
            <w:pPr>
              <w:spacing w:line="240" w:lineRule="auto"/>
              <w:rPr>
                <w:rFonts w:cs="Arial"/>
                <w:i/>
                <w:sz w:val="20"/>
                <w:szCs w:val="20"/>
              </w:rPr>
            </w:pPr>
            <w:r w:rsidRPr="009B7BE9">
              <w:rPr>
                <w:rFonts w:cs="Arial"/>
                <w:i/>
                <w:sz w:val="20"/>
                <w:szCs w:val="20"/>
              </w:rPr>
              <w:t>Nedosledna uporaba načela pripravljenosti operacij za izvedbo v postopkih izbora (v tem okviru je področje teritorialnih pristopov obravnavano ločeno tako v smislu opredeljenih težav kot predvidenih rešitev).</w:t>
            </w:r>
          </w:p>
        </w:tc>
        <w:tc>
          <w:tcPr>
            <w:tcW w:w="2305" w:type="pct"/>
          </w:tcPr>
          <w:p w:rsidR="007D6869" w:rsidRPr="009B7BE9" w:rsidRDefault="007D6869" w:rsidP="009B7BE9">
            <w:pPr>
              <w:spacing w:line="240" w:lineRule="auto"/>
              <w:rPr>
                <w:rFonts w:cs="Arial"/>
                <w:i/>
                <w:sz w:val="20"/>
                <w:szCs w:val="20"/>
              </w:rPr>
            </w:pPr>
            <w:r w:rsidRPr="009B7BE9">
              <w:rPr>
                <w:rFonts w:cs="Arial"/>
                <w:i/>
                <w:sz w:val="20"/>
                <w:szCs w:val="20"/>
              </w:rPr>
              <w:t>Aktivnost:</w:t>
            </w:r>
          </w:p>
          <w:p w:rsidR="007D6869" w:rsidRPr="009B7BE9" w:rsidRDefault="007D6869" w:rsidP="00D16C0A">
            <w:pPr>
              <w:numPr>
                <w:ilvl w:val="0"/>
                <w:numId w:val="34"/>
              </w:numPr>
              <w:spacing w:line="240" w:lineRule="auto"/>
              <w:contextualSpacing/>
              <w:rPr>
                <w:rFonts w:cs="Arial"/>
                <w:i/>
                <w:sz w:val="20"/>
                <w:szCs w:val="20"/>
              </w:rPr>
            </w:pPr>
            <w:r w:rsidRPr="009B7BE9">
              <w:rPr>
                <w:rFonts w:cs="Arial"/>
                <w:i/>
                <w:sz w:val="20"/>
                <w:szCs w:val="20"/>
              </w:rPr>
              <w:t>PO pri ocenjevanju kakovosti in OU kot osnovni pogoj pred presojo zahtevajo visoko pripravljenost operacije za izvedbo, prilagojeno glede na naravo projekta (operacije) (pripravljena investicijska in projektna dokumentacija, pridobljena upravna in druga dovoljenja, vzpostavljeni pogoji za dejansko izvedbo na terenu ipd.).</w:t>
            </w:r>
          </w:p>
        </w:tc>
        <w:tc>
          <w:tcPr>
            <w:tcW w:w="625" w:type="pct"/>
          </w:tcPr>
          <w:p w:rsidR="007D6869" w:rsidRPr="009B7BE9" w:rsidRDefault="007D6869" w:rsidP="009B7BE9">
            <w:pPr>
              <w:spacing w:line="240" w:lineRule="auto"/>
              <w:jc w:val="center"/>
              <w:rPr>
                <w:rFonts w:cs="Arial"/>
                <w:i/>
                <w:sz w:val="20"/>
                <w:szCs w:val="20"/>
              </w:rPr>
            </w:pPr>
          </w:p>
          <w:p w:rsidR="007D6869" w:rsidRPr="009B7BE9" w:rsidRDefault="007D6869" w:rsidP="009B7BE9">
            <w:pPr>
              <w:spacing w:line="240" w:lineRule="auto"/>
              <w:jc w:val="center"/>
              <w:rPr>
                <w:rFonts w:cs="Arial"/>
                <w:i/>
                <w:sz w:val="20"/>
                <w:szCs w:val="20"/>
              </w:rPr>
            </w:pPr>
            <w:r w:rsidRPr="009B7BE9">
              <w:rPr>
                <w:rFonts w:cs="Arial"/>
                <w:i/>
                <w:sz w:val="20"/>
                <w:szCs w:val="20"/>
              </w:rPr>
              <w:t>OU in PO</w:t>
            </w:r>
          </w:p>
        </w:tc>
        <w:tc>
          <w:tcPr>
            <w:tcW w:w="425" w:type="pct"/>
          </w:tcPr>
          <w:p w:rsidR="007D6869" w:rsidRPr="009B7BE9" w:rsidRDefault="007D6869" w:rsidP="009B7BE9">
            <w:pPr>
              <w:spacing w:line="240" w:lineRule="auto"/>
              <w:rPr>
                <w:rFonts w:cs="Arial"/>
                <w:i/>
                <w:sz w:val="20"/>
                <w:szCs w:val="20"/>
              </w:rPr>
            </w:pPr>
          </w:p>
          <w:p w:rsidR="007D6869" w:rsidRPr="004018DA" w:rsidRDefault="007D6869" w:rsidP="009B7BE9">
            <w:pPr>
              <w:spacing w:line="240" w:lineRule="auto"/>
              <w:jc w:val="center"/>
              <w:rPr>
                <w:rFonts w:cs="Arial"/>
                <w:i/>
                <w:sz w:val="20"/>
                <w:szCs w:val="20"/>
              </w:rPr>
            </w:pPr>
            <w:r w:rsidRPr="004018DA">
              <w:rPr>
                <w:rFonts w:cs="Arial"/>
                <w:i/>
                <w:sz w:val="20"/>
                <w:szCs w:val="20"/>
              </w:rPr>
              <w:t>1. četrtletje 2019, trajno</w:t>
            </w:r>
          </w:p>
          <w:p w:rsidR="007D6869" w:rsidRPr="009B7BE9" w:rsidRDefault="007D6869" w:rsidP="009B7BE9">
            <w:pPr>
              <w:spacing w:line="240" w:lineRule="auto"/>
              <w:jc w:val="center"/>
              <w:rPr>
                <w:rFonts w:cs="Arial"/>
                <w:i/>
                <w:sz w:val="20"/>
                <w:szCs w:val="20"/>
              </w:rPr>
            </w:pPr>
          </w:p>
        </w:tc>
      </w:tr>
    </w:tbl>
    <w:p w:rsidR="007D6869" w:rsidRDefault="007D6869" w:rsidP="009B7BE9">
      <w:pPr>
        <w:spacing w:after="160" w:line="259" w:lineRule="auto"/>
        <w:rPr>
          <w:rFonts w:cs="Arial"/>
          <w:b/>
          <w:color w:val="0070C0"/>
          <w:szCs w:val="2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9800E5" w:rsidRPr="009800E5" w:rsidRDefault="009800E5" w:rsidP="009800E5">
      <w:pPr>
        <w:spacing w:after="160" w:line="259" w:lineRule="auto"/>
        <w:rPr>
          <w:rFonts w:eastAsia="Calibri" w:cs="Arial"/>
          <w:b/>
          <w:szCs w:val="20"/>
        </w:rPr>
      </w:pPr>
      <w:r w:rsidRPr="009800E5">
        <w:rPr>
          <w:rFonts w:cs="Arial"/>
          <w:szCs w:val="20"/>
        </w:rPr>
        <w:t>Sprotno upoštevanje v postopkih izbora s strani izvajalskih in posredniških organov (vključevanje v merila, pogoje oziroma oceno kakovosti ipd.) ter v postopkih odločanja o podpori s strani organa upravljanja.</w:t>
      </w:r>
    </w:p>
    <w:p w:rsidR="007D6869" w:rsidRDefault="007D6869">
      <w:pPr>
        <w:spacing w:line="240" w:lineRule="auto"/>
        <w:rPr>
          <w:rFonts w:cs="Arial"/>
          <w:b/>
          <w:color w:val="0070C0"/>
          <w:szCs w:val="20"/>
        </w:rPr>
      </w:pPr>
      <w:bookmarkStart w:id="12" w:name="_Toc530560437"/>
      <w:r>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13" w:name="_Toc6992283"/>
      <w:r w:rsidRPr="00AD72DC">
        <w:rPr>
          <w:rFonts w:cs="Arial"/>
          <w:b/>
          <w:color w:val="0070C0"/>
          <w:szCs w:val="20"/>
        </w:rPr>
        <w:lastRenderedPageBreak/>
        <w:t>Sočasna izvedba dodeljevanja evropskih sredstev in postopkov oddaje javnih naročil pri uporabnikih proračuna</w:t>
      </w:r>
      <w:bookmarkEnd w:id="12"/>
      <w:bookmarkEnd w:id="13"/>
    </w:p>
    <w:p w:rsidR="009B7BE9" w:rsidRPr="009B7BE9" w:rsidRDefault="009B7BE9" w:rsidP="009B7BE9">
      <w:pPr>
        <w:spacing w:after="160" w:line="259" w:lineRule="auto"/>
        <w:rPr>
          <w:rFonts w:eastAsia="Calibri" w:cs="Arial"/>
          <w:szCs w:val="20"/>
        </w:rPr>
      </w:pPr>
    </w:p>
    <w:p w:rsidR="009B7BE9" w:rsidRDefault="009B7BE9" w:rsidP="009B7BE9">
      <w:pPr>
        <w:spacing w:after="160" w:line="259" w:lineRule="auto"/>
        <w:jc w:val="both"/>
        <w:rPr>
          <w:rFonts w:eastAsia="Calibri" w:cs="Arial"/>
          <w:szCs w:val="20"/>
        </w:rPr>
      </w:pPr>
      <w:r w:rsidRPr="009B7BE9">
        <w:rPr>
          <w:rFonts w:eastAsia="Calibri" w:cs="Arial"/>
          <w:szCs w:val="20"/>
        </w:rPr>
        <w:t>Z namenom pospeševanja dejanske izvedbe in posledično zmanjševanja razkoraka med plačili in podpisanimi pogodbami, Vlada RS napotuje SVRK in ministrstva, da proučijo možnosti zagotovitve ustreznih podlag za hitrejšo/sočasno izvedbo postopkov (oddaja javnih naročil in dodeljevanje sredstev) pred prevzemom dejanskih obveznosti iz javnih sredstev, s čimer se bo omogočila tudi ustrezna stopnja pripravljenosti predvsem (večjih) infrastrukturnih projektov. Pri tem se posebna pozornost nameni zagotavljanju varovalk pri pripravi dokumentacije za javno naročanje pri izbiri izvajalcev, v izogib (javnofinančnim in drugim) tveganjem pri morebitni ne-izbiri izvajalcev zaradi neuspešno zaključenega postopka dodelitve sredstev.</w:t>
      </w:r>
    </w:p>
    <w:p w:rsidR="003B20AE" w:rsidRPr="009B7BE9" w:rsidRDefault="003B20AE" w:rsidP="009B7BE9">
      <w:pPr>
        <w:spacing w:after="160" w:line="259" w:lineRule="auto"/>
        <w:jc w:val="both"/>
        <w:rPr>
          <w:rFonts w:eastAsia="Calibri" w:cs="Arial"/>
          <w:szCs w:val="20"/>
        </w:rPr>
      </w:pPr>
    </w:p>
    <w:tbl>
      <w:tblPr>
        <w:tblStyle w:val="Tabelamrea3"/>
        <w:tblW w:w="5000" w:type="pct"/>
        <w:tblLook w:val="04A0" w:firstRow="1" w:lastRow="0" w:firstColumn="1" w:lastColumn="0" w:noHBand="0" w:noVBand="1"/>
      </w:tblPr>
      <w:tblGrid>
        <w:gridCol w:w="4853"/>
        <w:gridCol w:w="6810"/>
        <w:gridCol w:w="1872"/>
        <w:gridCol w:w="1251"/>
      </w:tblGrid>
      <w:tr w:rsidR="00907D04" w:rsidRPr="00873266" w:rsidTr="00907D04">
        <w:tc>
          <w:tcPr>
            <w:tcW w:w="1641"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Težave</w:t>
            </w:r>
          </w:p>
        </w:tc>
        <w:tc>
          <w:tcPr>
            <w:tcW w:w="230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Rešitve</w:t>
            </w:r>
          </w:p>
        </w:tc>
        <w:tc>
          <w:tcPr>
            <w:tcW w:w="63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Nosilec</w:t>
            </w:r>
          </w:p>
        </w:tc>
        <w:tc>
          <w:tcPr>
            <w:tcW w:w="42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Rok</w:t>
            </w:r>
          </w:p>
        </w:tc>
      </w:tr>
      <w:tr w:rsidR="00907D04" w:rsidRPr="009B7BE9" w:rsidTr="00907D04">
        <w:trPr>
          <w:trHeight w:val="416"/>
        </w:trPr>
        <w:tc>
          <w:tcPr>
            <w:tcW w:w="1641" w:type="pct"/>
          </w:tcPr>
          <w:p w:rsidR="00907D04" w:rsidRPr="00907D04" w:rsidRDefault="00907D04" w:rsidP="009B7BE9">
            <w:pPr>
              <w:spacing w:line="240" w:lineRule="auto"/>
              <w:rPr>
                <w:rFonts w:cs="Arial"/>
                <w:i/>
                <w:sz w:val="20"/>
                <w:szCs w:val="20"/>
              </w:rPr>
            </w:pPr>
            <w:r w:rsidRPr="00907D04">
              <w:rPr>
                <w:rFonts w:cs="Arial"/>
                <w:i/>
                <w:sz w:val="20"/>
                <w:szCs w:val="20"/>
              </w:rPr>
              <w:t>Ne sočasna izvedba dodeljevanja evropskih sredstev in postopkov oddaje javnih naročil pri uporabnikih proračuna.</w:t>
            </w:r>
          </w:p>
        </w:tc>
        <w:tc>
          <w:tcPr>
            <w:tcW w:w="2303" w:type="pct"/>
          </w:tcPr>
          <w:p w:rsidR="00907D04" w:rsidRPr="00907D04" w:rsidRDefault="00907D04" w:rsidP="009B7BE9">
            <w:pPr>
              <w:spacing w:line="240" w:lineRule="auto"/>
              <w:rPr>
                <w:rFonts w:cs="Arial"/>
                <w:i/>
                <w:sz w:val="20"/>
                <w:szCs w:val="20"/>
              </w:rPr>
            </w:pPr>
            <w:r w:rsidRPr="00907D04">
              <w:rPr>
                <w:rFonts w:cs="Arial"/>
                <w:i/>
                <w:sz w:val="20"/>
                <w:szCs w:val="20"/>
              </w:rPr>
              <w:t>Aktivnost:</w:t>
            </w:r>
          </w:p>
          <w:p w:rsidR="00907D04" w:rsidRPr="00907D04" w:rsidRDefault="00693201" w:rsidP="00D16C0A">
            <w:pPr>
              <w:numPr>
                <w:ilvl w:val="0"/>
                <w:numId w:val="35"/>
              </w:numPr>
              <w:spacing w:line="240" w:lineRule="auto"/>
              <w:contextualSpacing/>
              <w:rPr>
                <w:rFonts w:cs="Arial"/>
                <w:i/>
                <w:sz w:val="20"/>
                <w:szCs w:val="20"/>
              </w:rPr>
            </w:pPr>
            <w:r>
              <w:rPr>
                <w:rFonts w:cs="Arial"/>
                <w:i/>
                <w:sz w:val="20"/>
                <w:szCs w:val="20"/>
              </w:rPr>
              <w:t xml:space="preserve">SVRK in ministrstva, </w:t>
            </w:r>
            <w:r w:rsidR="00907D04" w:rsidRPr="00907D04">
              <w:rPr>
                <w:rFonts w:cs="Arial"/>
                <w:i/>
                <w:sz w:val="20"/>
                <w:szCs w:val="20"/>
              </w:rPr>
              <w:t>z namenom zagotavljanja visoke pripravljenosti operacij za izvedbo, preučijo možnosti glede zagotavljanja ustreznih podlag za sočasno izvajanje postop</w:t>
            </w:r>
            <w:r w:rsidR="004018DA">
              <w:rPr>
                <w:rFonts w:cs="Arial"/>
                <w:i/>
                <w:sz w:val="20"/>
                <w:szCs w:val="20"/>
              </w:rPr>
              <w:t xml:space="preserve">kov javnega naročanja in </w:t>
            </w:r>
            <w:r w:rsidR="00907D04" w:rsidRPr="00907D04">
              <w:rPr>
                <w:rFonts w:cs="Arial"/>
                <w:i/>
                <w:sz w:val="20"/>
                <w:szCs w:val="20"/>
              </w:rPr>
              <w:t>dodeljevanja sredstev.</w:t>
            </w:r>
          </w:p>
        </w:tc>
        <w:tc>
          <w:tcPr>
            <w:tcW w:w="633" w:type="pct"/>
          </w:tcPr>
          <w:p w:rsidR="00907D04" w:rsidRPr="00907D04" w:rsidRDefault="00907D04" w:rsidP="009B7BE9">
            <w:pPr>
              <w:spacing w:line="240" w:lineRule="auto"/>
              <w:jc w:val="center"/>
              <w:rPr>
                <w:rFonts w:cs="Arial"/>
                <w:i/>
                <w:sz w:val="20"/>
                <w:szCs w:val="20"/>
              </w:rPr>
            </w:pPr>
          </w:p>
          <w:p w:rsidR="00907D04" w:rsidRPr="00907D04" w:rsidRDefault="00907D04" w:rsidP="009B7BE9">
            <w:pPr>
              <w:spacing w:line="240" w:lineRule="auto"/>
              <w:jc w:val="center"/>
              <w:rPr>
                <w:rFonts w:cs="Arial"/>
                <w:i/>
                <w:sz w:val="20"/>
                <w:szCs w:val="20"/>
              </w:rPr>
            </w:pPr>
            <w:r w:rsidRPr="00907D04">
              <w:rPr>
                <w:rFonts w:cs="Arial"/>
                <w:i/>
                <w:sz w:val="20"/>
                <w:szCs w:val="20"/>
              </w:rPr>
              <w:t>OU; ministrstva</w:t>
            </w:r>
          </w:p>
        </w:tc>
        <w:tc>
          <w:tcPr>
            <w:tcW w:w="423" w:type="pct"/>
          </w:tcPr>
          <w:p w:rsidR="00907D04" w:rsidRPr="00907D04" w:rsidRDefault="00907D04" w:rsidP="009B7BE9">
            <w:pPr>
              <w:spacing w:line="240" w:lineRule="auto"/>
              <w:jc w:val="center"/>
              <w:rPr>
                <w:rFonts w:cs="Arial"/>
                <w:i/>
                <w:sz w:val="20"/>
                <w:szCs w:val="20"/>
              </w:rPr>
            </w:pPr>
          </w:p>
          <w:p w:rsidR="00907D04" w:rsidRPr="00FA2925" w:rsidRDefault="00907D04" w:rsidP="009B7BE9">
            <w:pPr>
              <w:spacing w:line="240" w:lineRule="auto"/>
              <w:jc w:val="center"/>
              <w:rPr>
                <w:rFonts w:cs="Arial"/>
                <w:i/>
                <w:sz w:val="20"/>
                <w:szCs w:val="20"/>
              </w:rPr>
            </w:pPr>
            <w:r w:rsidRPr="00907D04">
              <w:rPr>
                <w:rFonts w:cs="Arial"/>
                <w:i/>
                <w:sz w:val="20"/>
                <w:szCs w:val="20"/>
              </w:rPr>
              <w:t xml:space="preserve">1. polletje 2019, </w:t>
            </w:r>
            <w:r w:rsidRPr="00FA2925">
              <w:rPr>
                <w:rFonts w:cs="Arial"/>
                <w:i/>
                <w:sz w:val="20"/>
                <w:szCs w:val="20"/>
              </w:rPr>
              <w:t>trajno</w:t>
            </w:r>
          </w:p>
          <w:p w:rsidR="00907D04" w:rsidRPr="00907D04" w:rsidRDefault="00907D04" w:rsidP="009B7BE9">
            <w:pPr>
              <w:spacing w:line="240" w:lineRule="auto"/>
              <w:jc w:val="center"/>
              <w:rPr>
                <w:rFonts w:cs="Arial"/>
                <w:i/>
                <w:sz w:val="20"/>
                <w:szCs w:val="20"/>
              </w:rPr>
            </w:pPr>
          </w:p>
        </w:tc>
      </w:tr>
    </w:tbl>
    <w:p w:rsidR="00D61847" w:rsidRDefault="00D61847" w:rsidP="00D61847">
      <w:pPr>
        <w:spacing w:after="160" w:line="259" w:lineRule="auto"/>
        <w:rPr>
          <w:rFonts w:cs="Arial"/>
          <w:b/>
          <w:color w:val="0070C0"/>
          <w:szCs w:val="20"/>
        </w:rPr>
      </w:pPr>
      <w:bookmarkStart w:id="14" w:name="_Toc530560438"/>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693201" w:rsidRPr="006C04BE" w:rsidRDefault="00693201" w:rsidP="00D61847">
      <w:pPr>
        <w:rPr>
          <w:rFonts w:cs="Arial"/>
          <w:b/>
          <w:strike/>
          <w:szCs w:val="20"/>
        </w:rPr>
      </w:pPr>
      <w:r w:rsidRPr="00D0580B">
        <w:t>SVRK je pripravila Mnenje OU o sočasnosti postopkov dodeljevanja namenskih  sredstev EU in drugih finančnih mehanizmov, izvajanja naložb ter zahtevah glede zapiranja finančne konstrukcije (uvrščanju projektov v NRP)</w:t>
      </w:r>
      <w:r w:rsidRPr="00D0580B">
        <w:rPr>
          <w:rFonts w:cs="Arial"/>
          <w:szCs w:val="20"/>
        </w:rPr>
        <w:t xml:space="preserve"> in ga objavila na spletni strani pod: </w:t>
      </w:r>
      <w:hyperlink r:id="rId10" w:history="1">
        <w:r w:rsidRPr="00D0580B">
          <w:rPr>
            <w:rFonts w:cs="Arial"/>
            <w:szCs w:val="20"/>
            <w:u w:val="single"/>
          </w:rPr>
          <w:t>http://eu-skladi.si/portal/sl/ekp/izvajanje/porocila-1</w:t>
        </w:r>
      </w:hyperlink>
      <w:r w:rsidR="00CC3A9E">
        <w:rPr>
          <w:rFonts w:cs="Arial"/>
          <w:szCs w:val="20"/>
          <w:u w:val="single"/>
        </w:rPr>
        <w:t xml:space="preserve"> </w:t>
      </w:r>
    </w:p>
    <w:p w:rsidR="007D6869" w:rsidRPr="007D6869" w:rsidRDefault="007D6869" w:rsidP="00D61847">
      <w:pPr>
        <w:rPr>
          <w:rFonts w:cs="Arial"/>
          <w:b/>
          <w:color w:val="0070C0"/>
          <w:szCs w:val="20"/>
        </w:rPr>
      </w:pPr>
      <w:r w:rsidRPr="007D6869">
        <w:rPr>
          <w:rFonts w:cs="Arial"/>
          <w:b/>
          <w:color w:val="0070C0"/>
          <w:szCs w:val="20"/>
        </w:rPr>
        <w:br w:type="page"/>
      </w:r>
    </w:p>
    <w:p w:rsidR="009B7BE9" w:rsidRPr="00AD72DC" w:rsidRDefault="009B7BE9" w:rsidP="009B7BE9">
      <w:pPr>
        <w:keepNext/>
        <w:keepLines/>
        <w:spacing w:before="40" w:line="259" w:lineRule="auto"/>
        <w:outlineLvl w:val="2"/>
        <w:rPr>
          <w:rFonts w:cs="Arial"/>
          <w:b/>
          <w:color w:val="0070C0"/>
          <w:szCs w:val="20"/>
        </w:rPr>
      </w:pPr>
      <w:bookmarkStart w:id="15" w:name="_Toc6992284"/>
      <w:r w:rsidRPr="00AD72DC">
        <w:rPr>
          <w:rFonts w:cs="Arial"/>
          <w:b/>
          <w:color w:val="0070C0"/>
          <w:szCs w:val="20"/>
        </w:rPr>
        <w:lastRenderedPageBreak/>
        <w:t>Prednostna obravnava načrtovanih operacij v postopkih okoljske presoje pri</w:t>
      </w:r>
      <w:r w:rsidR="00305474">
        <w:rPr>
          <w:rFonts w:cs="Arial"/>
          <w:b/>
          <w:color w:val="0070C0"/>
          <w:szCs w:val="20"/>
        </w:rPr>
        <w:t xml:space="preserve"> </w:t>
      </w:r>
      <w:r w:rsidRPr="00AD72DC">
        <w:rPr>
          <w:rFonts w:cs="Arial"/>
          <w:b/>
          <w:color w:val="0070C0"/>
          <w:szCs w:val="20"/>
        </w:rPr>
        <w:t xml:space="preserve"> MOP in ARSO</w:t>
      </w:r>
      <w:bookmarkEnd w:id="14"/>
      <w:bookmarkEnd w:id="15"/>
    </w:p>
    <w:p w:rsidR="009B7BE9" w:rsidRPr="009B7BE9" w:rsidRDefault="009B7BE9" w:rsidP="009B7BE9">
      <w:pPr>
        <w:spacing w:line="259" w:lineRule="auto"/>
        <w:rPr>
          <w:rFonts w:eastAsia="Calibri" w:cs="Arial"/>
          <w:szCs w:val="20"/>
        </w:rPr>
      </w:pPr>
    </w:p>
    <w:p w:rsidR="009B7BE9" w:rsidRDefault="009B7BE9" w:rsidP="005812A6">
      <w:pPr>
        <w:spacing w:after="160" w:line="259" w:lineRule="auto"/>
        <w:jc w:val="both"/>
        <w:rPr>
          <w:rFonts w:eastAsia="Calibri" w:cs="Arial"/>
          <w:szCs w:val="20"/>
        </w:rPr>
      </w:pPr>
      <w:r w:rsidRPr="009B7BE9">
        <w:rPr>
          <w:rFonts w:eastAsia="Calibri" w:cs="Arial"/>
          <w:szCs w:val="20"/>
        </w:rPr>
        <w:t xml:space="preserve">Sistem določitve prednostnih ukrepov v postopkih izdaje okoljevarstvenih presoj zaradi zagotavljanja nemotenega izvajanja projektov, ko so sofinancirani s sredstvi </w:t>
      </w:r>
      <w:r w:rsidR="00AD72DC">
        <w:rPr>
          <w:rFonts w:eastAsia="Calibri" w:cs="Arial"/>
          <w:szCs w:val="20"/>
        </w:rPr>
        <w:t>evropske kohezijske politike</w:t>
      </w:r>
      <w:r w:rsidRPr="009B7BE9">
        <w:rPr>
          <w:rFonts w:eastAsia="Calibri" w:cs="Arial"/>
          <w:szCs w:val="20"/>
        </w:rPr>
        <w:t xml:space="preserve">, je eden izmed ukrepov, ki lahko precej pospeši izvajanje operativnega programa. </w:t>
      </w:r>
    </w:p>
    <w:p w:rsidR="003B20AE" w:rsidRDefault="003B20AE" w:rsidP="009B7BE9">
      <w:pPr>
        <w:spacing w:after="160" w:line="259" w:lineRule="auto"/>
        <w:rPr>
          <w:rFonts w:eastAsia="Calibri" w:cs="Arial"/>
          <w:szCs w:val="20"/>
        </w:rPr>
      </w:pPr>
    </w:p>
    <w:tbl>
      <w:tblPr>
        <w:tblStyle w:val="Tabelamrea3"/>
        <w:tblW w:w="5000" w:type="pct"/>
        <w:tblLook w:val="04A0" w:firstRow="1" w:lastRow="0" w:firstColumn="1" w:lastColumn="0" w:noHBand="0" w:noVBand="1"/>
      </w:tblPr>
      <w:tblGrid>
        <w:gridCol w:w="4335"/>
        <w:gridCol w:w="4501"/>
        <w:gridCol w:w="1526"/>
        <w:gridCol w:w="1538"/>
        <w:gridCol w:w="2886"/>
      </w:tblGrid>
      <w:tr w:rsidR="00907D04" w:rsidRPr="00873266" w:rsidTr="00907D04">
        <w:tc>
          <w:tcPr>
            <w:tcW w:w="146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Težave</w:t>
            </w:r>
          </w:p>
        </w:tc>
        <w:tc>
          <w:tcPr>
            <w:tcW w:w="1522"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Rešitve</w:t>
            </w:r>
          </w:p>
        </w:tc>
        <w:tc>
          <w:tcPr>
            <w:tcW w:w="51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Nosilec</w:t>
            </w:r>
          </w:p>
        </w:tc>
        <w:tc>
          <w:tcPr>
            <w:tcW w:w="520"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Rok</w:t>
            </w:r>
          </w:p>
        </w:tc>
        <w:tc>
          <w:tcPr>
            <w:tcW w:w="97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Tveganja za izvedbo rešitve</w:t>
            </w:r>
          </w:p>
        </w:tc>
      </w:tr>
      <w:tr w:rsidR="00907D04" w:rsidRPr="009B7BE9" w:rsidTr="00907D04">
        <w:trPr>
          <w:trHeight w:val="2119"/>
        </w:trPr>
        <w:tc>
          <w:tcPr>
            <w:tcW w:w="1466" w:type="pct"/>
          </w:tcPr>
          <w:p w:rsidR="00907D04" w:rsidRPr="009B7BE9" w:rsidRDefault="00907D04" w:rsidP="009B7BE9">
            <w:pPr>
              <w:spacing w:line="240" w:lineRule="auto"/>
              <w:rPr>
                <w:rFonts w:cs="Arial"/>
                <w:i/>
                <w:sz w:val="20"/>
                <w:szCs w:val="20"/>
              </w:rPr>
            </w:pPr>
            <w:r w:rsidRPr="009B7BE9">
              <w:rPr>
                <w:rFonts w:cs="Arial"/>
                <w:i/>
                <w:sz w:val="20"/>
                <w:szCs w:val="20"/>
              </w:rPr>
              <w:t>V okviru načrtovanja operacij je eden izmed pomembnejših postopkov zagotavljanja projektne in investicijske pripravljenosti operacij tudi presoja vplivov na okolje. Zaradi zasedenosti zmogljivosti upravnega organa je za izdajo soglasij potrebnega veliko časa, kar upočasni izvajanje OP EKP.</w:t>
            </w:r>
          </w:p>
        </w:tc>
        <w:tc>
          <w:tcPr>
            <w:tcW w:w="1522" w:type="pct"/>
          </w:tcPr>
          <w:p w:rsidR="00907D04" w:rsidRPr="009B7BE9" w:rsidRDefault="00907D04" w:rsidP="009B7BE9">
            <w:pPr>
              <w:spacing w:line="240" w:lineRule="auto"/>
              <w:rPr>
                <w:rFonts w:cs="Arial"/>
                <w:i/>
                <w:sz w:val="20"/>
                <w:szCs w:val="20"/>
              </w:rPr>
            </w:pPr>
            <w:r w:rsidRPr="009B7BE9">
              <w:rPr>
                <w:rFonts w:cs="Arial"/>
                <w:i/>
                <w:sz w:val="20"/>
                <w:szCs w:val="20"/>
              </w:rPr>
              <w:t xml:space="preserve">Aktivnost: </w:t>
            </w:r>
          </w:p>
          <w:p w:rsidR="00907D04" w:rsidRPr="009B7BE9" w:rsidRDefault="00907D04" w:rsidP="00D16C0A">
            <w:pPr>
              <w:numPr>
                <w:ilvl w:val="0"/>
                <w:numId w:val="27"/>
              </w:numPr>
              <w:spacing w:line="240" w:lineRule="auto"/>
              <w:contextualSpacing/>
              <w:rPr>
                <w:rFonts w:cs="Arial"/>
                <w:i/>
                <w:sz w:val="20"/>
                <w:szCs w:val="20"/>
              </w:rPr>
            </w:pPr>
            <w:r w:rsidRPr="009B7BE9">
              <w:rPr>
                <w:rFonts w:cs="Arial"/>
                <w:i/>
                <w:sz w:val="20"/>
                <w:szCs w:val="20"/>
              </w:rPr>
              <w:t>prednostna obravnava projektov, ki so sofinancirani iz OP EKP v postopkih okoljske presoje pri MOP in ARSO.</w:t>
            </w:r>
          </w:p>
        </w:tc>
        <w:tc>
          <w:tcPr>
            <w:tcW w:w="516" w:type="pct"/>
          </w:tcPr>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MOP, ARSO</w:t>
            </w:r>
          </w:p>
        </w:tc>
        <w:tc>
          <w:tcPr>
            <w:tcW w:w="520" w:type="pct"/>
          </w:tcPr>
          <w:p w:rsidR="00907D04" w:rsidRPr="009B7BE9" w:rsidRDefault="00907D04" w:rsidP="009B7BE9">
            <w:pPr>
              <w:spacing w:line="240" w:lineRule="auto"/>
              <w:rPr>
                <w:rFonts w:cs="Arial"/>
                <w:sz w:val="20"/>
                <w:szCs w:val="20"/>
              </w:rPr>
            </w:pPr>
          </w:p>
          <w:p w:rsidR="00907D04" w:rsidRPr="004018DA" w:rsidRDefault="00907D04" w:rsidP="00087B39">
            <w:pPr>
              <w:spacing w:line="240" w:lineRule="auto"/>
              <w:jc w:val="center"/>
              <w:rPr>
                <w:rFonts w:cs="Arial"/>
                <w:sz w:val="20"/>
                <w:szCs w:val="20"/>
              </w:rPr>
            </w:pPr>
            <w:r w:rsidRPr="004018DA">
              <w:rPr>
                <w:rFonts w:cs="Arial"/>
                <w:sz w:val="20"/>
                <w:szCs w:val="20"/>
              </w:rPr>
              <w:t>1. četrtletje 2019, trajno</w:t>
            </w:r>
          </w:p>
          <w:p w:rsidR="00907D04" w:rsidRPr="009B7BE9" w:rsidRDefault="00907D04" w:rsidP="009B7BE9">
            <w:pPr>
              <w:spacing w:line="240" w:lineRule="auto"/>
              <w:jc w:val="center"/>
              <w:rPr>
                <w:rFonts w:cs="Arial"/>
                <w:i/>
                <w:sz w:val="20"/>
                <w:szCs w:val="20"/>
              </w:rPr>
            </w:pPr>
          </w:p>
        </w:tc>
        <w:tc>
          <w:tcPr>
            <w:tcW w:w="976" w:type="pct"/>
          </w:tcPr>
          <w:p w:rsidR="00907D04" w:rsidRPr="009B7BE9" w:rsidRDefault="00907D04" w:rsidP="009B7BE9">
            <w:pPr>
              <w:spacing w:line="240" w:lineRule="auto"/>
              <w:rPr>
                <w:rFonts w:cs="Arial"/>
                <w:i/>
                <w:sz w:val="20"/>
                <w:szCs w:val="20"/>
              </w:rPr>
            </w:pPr>
            <w:r w:rsidRPr="009B7BE9">
              <w:rPr>
                <w:rFonts w:cs="Arial"/>
                <w:i/>
                <w:sz w:val="20"/>
                <w:szCs w:val="20"/>
              </w:rPr>
              <w:t>Sistem postavljanja prednostnih nalog mora biti dobro razdelan z jasno opredeljenim odločanjem na ustrezno visoki ravni, da ne bi bilo diskriminatornosti pri vrstnem redu pregleda projektov.</w:t>
            </w:r>
          </w:p>
        </w:tc>
      </w:tr>
    </w:tbl>
    <w:p w:rsidR="00D61847" w:rsidRDefault="00D61847" w:rsidP="00D61847">
      <w:pPr>
        <w:spacing w:after="160" w:line="259" w:lineRule="auto"/>
        <w:rPr>
          <w:rFonts w:cs="Arial"/>
          <w:b/>
          <w:color w:val="0070C0"/>
          <w:szCs w:val="20"/>
        </w:rPr>
      </w:pPr>
      <w:bookmarkStart w:id="16" w:name="_Toc530560439"/>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907D04" w:rsidRPr="00CD1111" w:rsidRDefault="00907D04" w:rsidP="00907D04">
      <w:pPr>
        <w:autoSpaceDE w:val="0"/>
        <w:autoSpaceDN w:val="0"/>
        <w:adjustRightInd w:val="0"/>
        <w:spacing w:line="240" w:lineRule="auto"/>
        <w:jc w:val="both"/>
        <w:rPr>
          <w:rFonts w:cs="Arial"/>
          <w:b/>
          <w:szCs w:val="20"/>
          <w:lang w:eastAsia="sl-SI"/>
        </w:rPr>
      </w:pPr>
      <w:r w:rsidRPr="00CD1111">
        <w:rPr>
          <w:rFonts w:cs="Arial"/>
          <w:szCs w:val="20"/>
        </w:rPr>
        <w:t>Zavezujoč sklep</w:t>
      </w:r>
      <w:r w:rsidR="00693201" w:rsidRPr="00CD1111">
        <w:rPr>
          <w:rFonts w:cs="Arial"/>
          <w:szCs w:val="20"/>
        </w:rPr>
        <w:t xml:space="preserve"> Vlade RS z dne 6. 12. 2018</w:t>
      </w:r>
      <w:r w:rsidRPr="00CD1111">
        <w:rPr>
          <w:rFonts w:cs="Arial"/>
          <w:szCs w:val="20"/>
        </w:rPr>
        <w:t xml:space="preserve">: </w:t>
      </w:r>
      <w:r w:rsidRPr="00CD1111">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 sofinanciranih iz evropskih sredstev s ciljem pospešitve izvajanja evropske kohezijske politike 2014–2020</w:t>
      </w:r>
      <w:r w:rsidRPr="00CD1111">
        <w:rPr>
          <w:rFonts w:cs="Arial"/>
          <w:b/>
          <w:szCs w:val="20"/>
          <w:lang w:eastAsia="sl-SI"/>
        </w:rPr>
        <w:t>.</w:t>
      </w:r>
    </w:p>
    <w:p w:rsidR="00907D04" w:rsidRDefault="00907D04">
      <w:pPr>
        <w:spacing w:line="240" w:lineRule="auto"/>
        <w:rPr>
          <w:rFonts w:cs="Arial"/>
          <w:b/>
          <w:color w:val="0070C0"/>
          <w:szCs w:val="20"/>
        </w:rPr>
      </w:pPr>
      <w:r>
        <w:rPr>
          <w:rFonts w:cs="Arial"/>
          <w:b/>
          <w:color w:val="0070C0"/>
          <w:szCs w:val="20"/>
        </w:rPr>
        <w:br w:type="page"/>
      </w:r>
    </w:p>
    <w:p w:rsidR="009B7BE9" w:rsidRPr="0063706C" w:rsidRDefault="009B7BE9" w:rsidP="009B7BE9">
      <w:pPr>
        <w:keepNext/>
        <w:keepLines/>
        <w:spacing w:before="40" w:line="259" w:lineRule="auto"/>
        <w:outlineLvl w:val="2"/>
        <w:rPr>
          <w:rFonts w:cs="Arial"/>
          <w:b/>
          <w:color w:val="FF0000"/>
          <w:szCs w:val="20"/>
        </w:rPr>
      </w:pPr>
      <w:bookmarkStart w:id="17" w:name="_Toc6992285"/>
      <w:r w:rsidRPr="00873266">
        <w:rPr>
          <w:rFonts w:cs="Arial"/>
          <w:b/>
          <w:color w:val="0070C0"/>
          <w:szCs w:val="20"/>
        </w:rPr>
        <w:lastRenderedPageBreak/>
        <w:t>Optimizacija usmeritev/navodil za izvajanje evropske kohezijske politike</w:t>
      </w:r>
      <w:bookmarkEnd w:id="16"/>
      <w:bookmarkEnd w:id="17"/>
      <w:r w:rsidR="0063706C">
        <w:rPr>
          <w:rFonts w:cs="Arial"/>
          <w:b/>
          <w:color w:val="0070C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Število izdanih navodil za izvajanje OP EKP se je v tem programskem obdobju povečalo. To je posledica normiranosti na ravni EU in v nacionalni zakonodaji. Da se zmanjša administrativna obremenitev za upravičence in sistemske deležnike, se pregledajo vsa navodila, ki se po potrebi uskladijo in, če je ustrezno, poenostavijo.</w:t>
      </w:r>
    </w:p>
    <w:tbl>
      <w:tblPr>
        <w:tblStyle w:val="Tabelamrea3"/>
        <w:tblW w:w="5000" w:type="pct"/>
        <w:tblLook w:val="04A0" w:firstRow="1" w:lastRow="0" w:firstColumn="1" w:lastColumn="0" w:noHBand="0" w:noVBand="1"/>
      </w:tblPr>
      <w:tblGrid>
        <w:gridCol w:w="4303"/>
        <w:gridCol w:w="4459"/>
        <w:gridCol w:w="1662"/>
        <w:gridCol w:w="2324"/>
        <w:gridCol w:w="2038"/>
      </w:tblGrid>
      <w:tr w:rsidR="00907D04" w:rsidRPr="00873266" w:rsidTr="00907D04">
        <w:tc>
          <w:tcPr>
            <w:tcW w:w="1455"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Težave</w:t>
            </w:r>
          </w:p>
        </w:tc>
        <w:tc>
          <w:tcPr>
            <w:tcW w:w="1508"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Rešitve</w:t>
            </w:r>
          </w:p>
        </w:tc>
        <w:tc>
          <w:tcPr>
            <w:tcW w:w="562"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Nosilec</w:t>
            </w:r>
          </w:p>
        </w:tc>
        <w:tc>
          <w:tcPr>
            <w:tcW w:w="786"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Rok</w:t>
            </w:r>
          </w:p>
        </w:tc>
        <w:tc>
          <w:tcPr>
            <w:tcW w:w="689"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Tveganja za izvedbo rešitve</w:t>
            </w:r>
          </w:p>
        </w:tc>
      </w:tr>
      <w:tr w:rsidR="00907D04" w:rsidRPr="009B7BE9" w:rsidTr="00907D04">
        <w:trPr>
          <w:trHeight w:val="1468"/>
        </w:trPr>
        <w:tc>
          <w:tcPr>
            <w:tcW w:w="1455" w:type="pct"/>
          </w:tcPr>
          <w:p w:rsidR="00907D04" w:rsidRPr="009B7BE9" w:rsidRDefault="00907D04" w:rsidP="009B7BE9">
            <w:pPr>
              <w:spacing w:line="240" w:lineRule="auto"/>
              <w:rPr>
                <w:rFonts w:cs="Arial"/>
                <w:i/>
                <w:sz w:val="20"/>
                <w:szCs w:val="20"/>
              </w:rPr>
            </w:pPr>
            <w:r w:rsidRPr="009B7BE9">
              <w:rPr>
                <w:rFonts w:cs="Arial"/>
                <w:i/>
                <w:sz w:val="20"/>
                <w:szCs w:val="20"/>
              </w:rPr>
              <w:t>OU opredeljuje niz navodil v izvajanju evropske kohezijske politike, pri čemer na podlagi izkušenj obstaja možnost za njihovo notranjo optimizacijo in zagotavljanje večje medsebojne usklajenosti.</w:t>
            </w:r>
          </w:p>
          <w:p w:rsidR="00907D04" w:rsidRPr="009B7BE9" w:rsidRDefault="00907D04" w:rsidP="009B7BE9">
            <w:pPr>
              <w:spacing w:line="240" w:lineRule="auto"/>
              <w:rPr>
                <w:rFonts w:cs="Arial"/>
                <w:i/>
                <w:sz w:val="20"/>
                <w:szCs w:val="20"/>
              </w:rPr>
            </w:pPr>
            <w:r w:rsidRPr="009B7BE9">
              <w:rPr>
                <w:rFonts w:cs="Arial"/>
                <w:i/>
                <w:sz w:val="20"/>
                <w:szCs w:val="20"/>
              </w:rPr>
              <w:t>V nekaterih primerih je opredeljeno sorazmerno veliko breme pri izvajanju evropske kohezijske politike.</w:t>
            </w:r>
          </w:p>
        </w:tc>
        <w:tc>
          <w:tcPr>
            <w:tcW w:w="1508" w:type="pct"/>
          </w:tcPr>
          <w:p w:rsidR="00907D04" w:rsidRPr="009B7BE9" w:rsidRDefault="00907D04" w:rsidP="009B7BE9">
            <w:pPr>
              <w:spacing w:line="240" w:lineRule="auto"/>
              <w:rPr>
                <w:rFonts w:cs="Arial"/>
                <w:i/>
                <w:sz w:val="20"/>
                <w:szCs w:val="20"/>
              </w:rPr>
            </w:pPr>
            <w:r w:rsidRPr="009B7BE9">
              <w:rPr>
                <w:rFonts w:cs="Arial"/>
                <w:i/>
                <w:sz w:val="20"/>
                <w:szCs w:val="20"/>
              </w:rPr>
              <w:t xml:space="preserve">Aktivnosti: </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analiza navodil OU v sodelovanju s PO;</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zagotavljanje notranje in medsebojne optimizacije za doseganje potrebne skladnost in konkretizacije navedb ter posledično temu potrebne poenostavitve izvajanja;</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posredniški organi, ki relevantno zagotovijo smiselno uporabo prenovljenih navodil OU na ravni lastnih navodil;</w:t>
            </w:r>
          </w:p>
          <w:p w:rsidR="00907D04" w:rsidRPr="009B7BE9" w:rsidRDefault="00907D04" w:rsidP="00D16C0A">
            <w:pPr>
              <w:numPr>
                <w:ilvl w:val="0"/>
                <w:numId w:val="30"/>
              </w:numPr>
              <w:spacing w:line="240" w:lineRule="auto"/>
              <w:contextualSpacing/>
              <w:rPr>
                <w:rFonts w:cs="Arial"/>
                <w:i/>
                <w:sz w:val="20"/>
                <w:szCs w:val="20"/>
              </w:rPr>
            </w:pPr>
            <w:r w:rsidRPr="009B7BE9">
              <w:rPr>
                <w:rFonts w:cs="Arial"/>
                <w:i/>
                <w:sz w:val="20"/>
                <w:szCs w:val="20"/>
              </w:rPr>
              <w:t>zagotovitev ažurnega odzivanja na odprta vprašanja v razmerju med OU in PO ter oblikovanje seznama najpogostejših vprašanj in odgovorov.</w:t>
            </w:r>
          </w:p>
        </w:tc>
        <w:tc>
          <w:tcPr>
            <w:tcW w:w="562" w:type="pct"/>
          </w:tcPr>
          <w:p w:rsidR="00907D04" w:rsidRPr="009B7BE9" w:rsidRDefault="00907D04" w:rsidP="009B7BE9">
            <w:pPr>
              <w:spacing w:line="240" w:lineRule="auto"/>
              <w:jc w:val="center"/>
              <w:rPr>
                <w:rFonts w:cs="Arial"/>
                <w:i/>
                <w:sz w:val="20"/>
                <w:szCs w:val="20"/>
              </w:rPr>
            </w:pPr>
          </w:p>
          <w:p w:rsidR="00907D04" w:rsidRDefault="00907D04" w:rsidP="009B7BE9">
            <w:pPr>
              <w:spacing w:line="240" w:lineRule="auto"/>
              <w:jc w:val="center"/>
              <w:rPr>
                <w:rFonts w:cs="Arial"/>
                <w:i/>
                <w:sz w:val="20"/>
                <w:szCs w:val="20"/>
              </w:rPr>
            </w:pPr>
            <w:r w:rsidRPr="009B7BE9">
              <w:rPr>
                <w:rFonts w:cs="Arial"/>
                <w:i/>
                <w:sz w:val="20"/>
                <w:szCs w:val="20"/>
              </w:rPr>
              <w:t>OU</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Vsi PO</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 in PO</w:t>
            </w:r>
          </w:p>
        </w:tc>
        <w:tc>
          <w:tcPr>
            <w:tcW w:w="786" w:type="pct"/>
          </w:tcPr>
          <w:p w:rsidR="00907D04" w:rsidRPr="009B7BE9" w:rsidRDefault="00907D04" w:rsidP="009B7BE9">
            <w:pPr>
              <w:spacing w:line="240" w:lineRule="auto"/>
              <w:rPr>
                <w:rFonts w:cs="Arial"/>
                <w:sz w:val="20"/>
                <w:szCs w:val="20"/>
              </w:rPr>
            </w:pPr>
          </w:p>
          <w:p w:rsidR="00907D04" w:rsidRPr="009B7BE9" w:rsidRDefault="00907D04" w:rsidP="009B7BE9">
            <w:pPr>
              <w:spacing w:line="240" w:lineRule="auto"/>
              <w:jc w:val="center"/>
              <w:rPr>
                <w:rFonts w:cs="Arial"/>
                <w:sz w:val="20"/>
                <w:szCs w:val="20"/>
              </w:rPr>
            </w:pPr>
            <w:r w:rsidRPr="009B7BE9">
              <w:rPr>
                <w:rFonts w:cs="Arial"/>
                <w:sz w:val="20"/>
                <w:szCs w:val="20"/>
              </w:rPr>
              <w:t>2. četrtletje 2019</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sz w:val="20"/>
                <w:szCs w:val="20"/>
              </w:rPr>
            </w:pPr>
            <w:r w:rsidRPr="009B7BE9">
              <w:rPr>
                <w:rFonts w:cs="Arial"/>
                <w:sz w:val="20"/>
                <w:szCs w:val="20"/>
              </w:rPr>
              <w:t>3. četrtletje 2019</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p>
          <w:p w:rsidR="00907D04" w:rsidRPr="009B7BE9" w:rsidRDefault="002F2FE4" w:rsidP="009B7BE9">
            <w:pPr>
              <w:spacing w:line="240" w:lineRule="auto"/>
              <w:jc w:val="center"/>
              <w:rPr>
                <w:rFonts w:cs="Arial"/>
                <w:i/>
                <w:sz w:val="20"/>
                <w:szCs w:val="20"/>
              </w:rPr>
            </w:pPr>
            <w:r w:rsidRPr="004018DA">
              <w:rPr>
                <w:rFonts w:cs="Arial"/>
                <w:i/>
                <w:sz w:val="20"/>
                <w:szCs w:val="20"/>
              </w:rPr>
              <w:t>t</w:t>
            </w:r>
            <w:r w:rsidR="00907D04" w:rsidRPr="004018DA">
              <w:rPr>
                <w:rFonts w:cs="Arial"/>
                <w:i/>
                <w:sz w:val="20"/>
                <w:szCs w:val="20"/>
              </w:rPr>
              <w:t>rajno</w:t>
            </w:r>
          </w:p>
        </w:tc>
        <w:tc>
          <w:tcPr>
            <w:tcW w:w="689" w:type="pct"/>
          </w:tcPr>
          <w:p w:rsidR="00907D04" w:rsidRDefault="00907D04" w:rsidP="009B7BE9">
            <w:pPr>
              <w:spacing w:line="240" w:lineRule="auto"/>
              <w:rPr>
                <w:rFonts w:cs="Arial"/>
                <w:i/>
                <w:sz w:val="20"/>
                <w:szCs w:val="20"/>
              </w:rPr>
            </w:pPr>
          </w:p>
          <w:p w:rsidR="00907D04" w:rsidRPr="009B7BE9" w:rsidRDefault="00907D04" w:rsidP="009B7BE9">
            <w:pPr>
              <w:spacing w:line="240" w:lineRule="auto"/>
              <w:rPr>
                <w:rFonts w:cs="Arial"/>
                <w:i/>
                <w:sz w:val="20"/>
                <w:szCs w:val="20"/>
              </w:rPr>
            </w:pPr>
            <w:r w:rsidRPr="009B7BE9">
              <w:rPr>
                <w:rFonts w:cs="Arial"/>
                <w:i/>
                <w:sz w:val="20"/>
                <w:szCs w:val="20"/>
              </w:rPr>
              <w:t>Tveganje glede ustaljenega delovanja, spremembe le za poenostavitev, po načelu manj je več, torej neopredeljevanja podrobnosti.</w:t>
            </w: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bookmarkStart w:id="18" w:name="_Toc530560440"/>
      <w:r w:rsidRPr="003B20AE">
        <w:rPr>
          <w:rFonts w:cs="Arial"/>
          <w:b/>
          <w:color w:val="0070C0"/>
          <w:szCs w:val="20"/>
        </w:rPr>
        <w:t>Realizacija</w:t>
      </w:r>
      <w:r>
        <w:rPr>
          <w:rFonts w:cs="Arial"/>
          <w:b/>
          <w:color w:val="0070C0"/>
          <w:szCs w:val="20"/>
        </w:rPr>
        <w:t xml:space="preserve"> </w:t>
      </w:r>
    </w:p>
    <w:p w:rsidR="00907D04" w:rsidRDefault="00907D04">
      <w:pPr>
        <w:spacing w:line="240" w:lineRule="auto"/>
        <w:rPr>
          <w:rFonts w:cs="Arial"/>
          <w:b/>
          <w:color w:val="0070C0"/>
          <w:szCs w:val="20"/>
        </w:rPr>
      </w:pPr>
    </w:p>
    <w:p w:rsidR="009800E5" w:rsidRDefault="009800E5" w:rsidP="009800E5">
      <w:pPr>
        <w:jc w:val="both"/>
        <w:rPr>
          <w:rFonts w:cs="Arial"/>
          <w:szCs w:val="20"/>
        </w:rPr>
      </w:pPr>
      <w:r w:rsidRPr="009800E5">
        <w:rPr>
          <w:rFonts w:cs="Arial"/>
          <w:szCs w:val="20"/>
        </w:rPr>
        <w:t xml:space="preserve">Ob sprotnem </w:t>
      </w:r>
      <w:r w:rsidR="00EC6351">
        <w:rPr>
          <w:rFonts w:cs="Arial"/>
          <w:szCs w:val="20"/>
        </w:rPr>
        <w:t>posodabljanju</w:t>
      </w:r>
      <w:r w:rsidRPr="009800E5">
        <w:rPr>
          <w:rFonts w:cs="Arial"/>
          <w:szCs w:val="20"/>
        </w:rPr>
        <w:t xml:space="preserve"> navodil se upošteva tudi napor v smeri optimizacije postopkov (dopolnjena </w:t>
      </w:r>
      <w:r w:rsidRPr="009800E5">
        <w:rPr>
          <w:rFonts w:cs="Arial"/>
          <w:i/>
          <w:szCs w:val="20"/>
        </w:rPr>
        <w:t>Navodila organa upravljanja o upravičenih stroških za sredstva evropske kohezijske politike v programskem obdobju 2014</w:t>
      </w:r>
      <w:r>
        <w:rPr>
          <w:rFonts w:cs="Arial"/>
          <w:i/>
          <w:szCs w:val="20"/>
        </w:rPr>
        <w:t>–</w:t>
      </w:r>
      <w:r w:rsidRPr="009800E5">
        <w:rPr>
          <w:rFonts w:cs="Arial"/>
          <w:i/>
          <w:szCs w:val="20"/>
        </w:rPr>
        <w:t>2020</w:t>
      </w:r>
      <w:r w:rsidRPr="009800E5">
        <w:rPr>
          <w:rFonts w:cs="Arial"/>
          <w:szCs w:val="20"/>
        </w:rPr>
        <w:t xml:space="preserve"> marc</w:t>
      </w:r>
      <w:r w:rsidR="002116B2">
        <w:rPr>
          <w:rFonts w:cs="Arial"/>
          <w:szCs w:val="20"/>
        </w:rPr>
        <w:t>a</w:t>
      </w:r>
      <w:r w:rsidRPr="009800E5">
        <w:rPr>
          <w:rFonts w:cs="Arial"/>
          <w:szCs w:val="20"/>
        </w:rPr>
        <w:t xml:space="preserve"> 2019, dopolnjena </w:t>
      </w:r>
      <w:r w:rsidRPr="009800E5">
        <w:rPr>
          <w:rFonts w:cs="Arial"/>
          <w:i/>
          <w:szCs w:val="20"/>
        </w:rPr>
        <w:t>Navodila OU za načrtovanje, odločanje o podpori, spremljanje, poročanje in vrednotenje izvajanja EKP v programskem obdobju 2014</w:t>
      </w:r>
      <w:r>
        <w:rPr>
          <w:rFonts w:cs="Arial"/>
          <w:i/>
          <w:szCs w:val="20"/>
        </w:rPr>
        <w:t>–</w:t>
      </w:r>
      <w:r w:rsidRPr="009800E5">
        <w:rPr>
          <w:rFonts w:cs="Arial"/>
          <w:i/>
          <w:szCs w:val="20"/>
        </w:rPr>
        <w:t>2020</w:t>
      </w:r>
      <w:r w:rsidRPr="009800E5">
        <w:rPr>
          <w:rFonts w:cs="Arial"/>
          <w:szCs w:val="20"/>
        </w:rPr>
        <w:t xml:space="preserve"> decembr</w:t>
      </w:r>
      <w:r w:rsidR="002116B2">
        <w:rPr>
          <w:rFonts w:cs="Arial"/>
          <w:szCs w:val="20"/>
        </w:rPr>
        <w:t>a</w:t>
      </w:r>
      <w:r w:rsidRPr="009800E5">
        <w:rPr>
          <w:rFonts w:cs="Arial"/>
          <w:szCs w:val="20"/>
        </w:rPr>
        <w:t xml:space="preserve"> 2018, dopolnjena </w:t>
      </w:r>
      <w:r w:rsidRPr="009800E5">
        <w:rPr>
          <w:rFonts w:cs="Arial"/>
          <w:i/>
          <w:szCs w:val="20"/>
        </w:rPr>
        <w:t>Navodila organa upravljanja za izvajanje tehnične podpore Operativnega programa evropske kohezijske politike za programsko obdobje 2014–2020</w:t>
      </w:r>
      <w:r w:rsidRPr="009800E5">
        <w:rPr>
          <w:rFonts w:cs="Arial"/>
          <w:szCs w:val="20"/>
        </w:rPr>
        <w:t xml:space="preserve"> decembr</w:t>
      </w:r>
      <w:r w:rsidR="002116B2">
        <w:rPr>
          <w:rFonts w:cs="Arial"/>
          <w:szCs w:val="20"/>
        </w:rPr>
        <w:t>a</w:t>
      </w:r>
      <w:r w:rsidRPr="009800E5">
        <w:rPr>
          <w:rFonts w:cs="Arial"/>
          <w:szCs w:val="20"/>
        </w:rPr>
        <w:t xml:space="preserve"> 2018).</w:t>
      </w:r>
    </w:p>
    <w:p w:rsidR="004A4661" w:rsidRDefault="004A4661" w:rsidP="009800E5">
      <w:pPr>
        <w:jc w:val="both"/>
        <w:rPr>
          <w:rFonts w:cs="Arial"/>
          <w:szCs w:val="20"/>
        </w:rPr>
      </w:pPr>
    </w:p>
    <w:p w:rsidR="00345C8D" w:rsidRPr="00624E06" w:rsidRDefault="002116B2" w:rsidP="00345C8D">
      <w:pPr>
        <w:pStyle w:val="Pripombabesedilo"/>
        <w:rPr>
          <w:rFonts w:ascii="Arial" w:hAnsi="Arial" w:cs="Arial"/>
        </w:rPr>
      </w:pPr>
      <w:r w:rsidRPr="00624E06">
        <w:rPr>
          <w:rFonts w:ascii="Arial" w:hAnsi="Arial" w:cs="Arial"/>
        </w:rPr>
        <w:t xml:space="preserve">Na OU analiziramo vse prejete pobude za posodobitev </w:t>
      </w:r>
      <w:r w:rsidR="00624E06">
        <w:rPr>
          <w:rFonts w:ascii="Arial" w:hAnsi="Arial" w:cs="Arial"/>
        </w:rPr>
        <w:t>obstoječih n</w:t>
      </w:r>
      <w:r w:rsidRPr="00624E06">
        <w:rPr>
          <w:rFonts w:ascii="Arial" w:hAnsi="Arial" w:cs="Arial"/>
        </w:rPr>
        <w:t>avodil</w:t>
      </w:r>
      <w:r w:rsidR="00624E06">
        <w:rPr>
          <w:rFonts w:ascii="Arial" w:hAnsi="Arial" w:cs="Arial"/>
        </w:rPr>
        <w:t xml:space="preserve">. </w:t>
      </w:r>
      <w:r w:rsidR="00345C8D" w:rsidRPr="00624E06">
        <w:rPr>
          <w:rFonts w:ascii="Arial" w:hAnsi="Arial" w:cs="Arial"/>
        </w:rPr>
        <w:t>Sproti tudi</w:t>
      </w:r>
      <w:r w:rsidRPr="00624E06">
        <w:rPr>
          <w:rFonts w:ascii="Arial" w:hAnsi="Arial" w:cs="Arial"/>
        </w:rPr>
        <w:t xml:space="preserve"> </w:t>
      </w:r>
      <w:r w:rsidR="00345C8D" w:rsidRPr="00624E06">
        <w:rPr>
          <w:rFonts w:ascii="Arial" w:hAnsi="Arial" w:cs="Arial"/>
        </w:rPr>
        <w:t>odgovarjamo na morebitne dileme, ki nam jih pošiljajo PO</w:t>
      </w:r>
      <w:r w:rsidR="00624E06">
        <w:rPr>
          <w:rFonts w:ascii="Arial" w:hAnsi="Arial" w:cs="Arial"/>
        </w:rPr>
        <w:t>.</w:t>
      </w:r>
      <w:r w:rsidR="00345C8D" w:rsidRPr="00624E06">
        <w:rPr>
          <w:rFonts w:ascii="Arial" w:hAnsi="Arial" w:cs="Arial"/>
        </w:rPr>
        <w:t xml:space="preserve"> Vse pobude analiziramo, navodila pa bomo </w:t>
      </w:r>
      <w:r w:rsidR="00624E06">
        <w:rPr>
          <w:rFonts w:ascii="Arial" w:hAnsi="Arial" w:cs="Arial"/>
        </w:rPr>
        <w:t xml:space="preserve">po potrebi ponovno </w:t>
      </w:r>
      <w:r w:rsidR="00345C8D" w:rsidRPr="00624E06">
        <w:rPr>
          <w:rFonts w:ascii="Arial" w:hAnsi="Arial" w:cs="Arial"/>
        </w:rPr>
        <w:t>novelirali v skladu</w:t>
      </w:r>
      <w:r w:rsidR="00624E06" w:rsidRPr="00624E06">
        <w:rPr>
          <w:rFonts w:ascii="Arial" w:hAnsi="Arial" w:cs="Arial"/>
        </w:rPr>
        <w:t xml:space="preserve"> z rokom določenim v AN</w:t>
      </w:r>
      <w:r w:rsidR="00624E06">
        <w:rPr>
          <w:rFonts w:ascii="Arial" w:hAnsi="Arial" w:cs="Arial"/>
        </w:rPr>
        <w:t>.</w:t>
      </w:r>
    </w:p>
    <w:p w:rsidR="00345C8D" w:rsidRDefault="00345C8D" w:rsidP="00345C8D">
      <w:pPr>
        <w:pStyle w:val="Pripombabesedilo"/>
      </w:pPr>
    </w:p>
    <w:p w:rsidR="00345C8D" w:rsidRDefault="00345C8D" w:rsidP="00345C8D">
      <w:pPr>
        <w:pStyle w:val="Pripombabesedilo"/>
      </w:pPr>
    </w:p>
    <w:p w:rsidR="009B7BE9" w:rsidRPr="0063706C" w:rsidRDefault="00907D04" w:rsidP="00624E06">
      <w:pPr>
        <w:spacing w:line="240" w:lineRule="auto"/>
        <w:rPr>
          <w:rFonts w:cs="Arial"/>
          <w:b/>
          <w:color w:val="FF0000"/>
          <w:szCs w:val="20"/>
        </w:rPr>
      </w:pPr>
      <w:r>
        <w:rPr>
          <w:rFonts w:cs="Arial"/>
          <w:b/>
          <w:color w:val="0070C0"/>
          <w:szCs w:val="20"/>
        </w:rPr>
        <w:br w:type="page"/>
      </w:r>
      <w:bookmarkStart w:id="19" w:name="_Toc6992286"/>
      <w:r w:rsidR="009B7BE9" w:rsidRPr="00873266">
        <w:rPr>
          <w:rFonts w:cs="Arial"/>
          <w:b/>
          <w:color w:val="0070C0"/>
          <w:szCs w:val="20"/>
        </w:rPr>
        <w:lastRenderedPageBreak/>
        <w:t>Podpora pri izvajanju evropske kohezijske politike</w:t>
      </w:r>
      <w:bookmarkEnd w:id="18"/>
      <w:bookmarkEnd w:id="19"/>
      <w:r w:rsidR="0063706C">
        <w:rPr>
          <w:rFonts w:cs="Arial"/>
          <w:b/>
          <w:color w:val="0070C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Številni upravičenci so izrazili potrebo, da se organizirajo usposabljanja, podajanje informacij in pomoč v različnih fazah izvedbe javnih razpisov in izvajanja projektov. V prvi fazi, ko sredstva še niso dodeljena in je treba projekte pripraviti za kandidiranje na razpisu, je naloga posameznega resorja, da zagotovi ustrezne informacije in pomoč, če je to ustrezno. Seveda je treba pri tem zagotoviti enako obravnavo vseh upravičencev in jim zagotoviti enake možnosti za uspeh pri kandidiranju za javna sredstva. V naslednji fazi, ko se projekti izvajajo, pa je možno izvajalcem projektov informacije nuditi prek osrednjih kanalov (delujočo Fino točko ‒ splošna vprašanja in CPU eMA pri vprašanjih, povezanih z informacijskim sistemom) in informativnih dogodkov – letno se v vsaki kohezijski regiji organizira </w:t>
      </w:r>
      <w:r w:rsidRPr="0082394B">
        <w:rPr>
          <w:rFonts w:eastAsia="Calibri" w:cs="Arial"/>
          <w:szCs w:val="20"/>
        </w:rPr>
        <w:t>vsaj po en dogodek.</w:t>
      </w:r>
    </w:p>
    <w:tbl>
      <w:tblPr>
        <w:tblStyle w:val="Tabelamrea3"/>
        <w:tblW w:w="5000" w:type="pct"/>
        <w:tblLook w:val="04A0" w:firstRow="1" w:lastRow="0" w:firstColumn="1" w:lastColumn="0" w:noHBand="0" w:noVBand="1"/>
      </w:tblPr>
      <w:tblGrid>
        <w:gridCol w:w="4737"/>
        <w:gridCol w:w="5199"/>
        <w:gridCol w:w="2174"/>
        <w:gridCol w:w="2676"/>
      </w:tblGrid>
      <w:tr w:rsidR="00907D04" w:rsidRPr="00873266" w:rsidTr="00907D04">
        <w:tc>
          <w:tcPr>
            <w:tcW w:w="1602"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Težave</w:t>
            </w:r>
          </w:p>
        </w:tc>
        <w:tc>
          <w:tcPr>
            <w:tcW w:w="1758"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Rešitve</w:t>
            </w:r>
          </w:p>
        </w:tc>
        <w:tc>
          <w:tcPr>
            <w:tcW w:w="735"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Nosilec</w:t>
            </w:r>
          </w:p>
        </w:tc>
        <w:tc>
          <w:tcPr>
            <w:tcW w:w="905" w:type="pct"/>
            <w:shd w:val="clear" w:color="auto" w:fill="F2F2F2" w:themeFill="background1" w:themeFillShade="F2"/>
            <w:vAlign w:val="center"/>
          </w:tcPr>
          <w:p w:rsidR="00907D04" w:rsidRPr="00873266" w:rsidRDefault="00907D04" w:rsidP="009B7BE9">
            <w:pPr>
              <w:spacing w:line="240" w:lineRule="auto"/>
              <w:jc w:val="center"/>
              <w:rPr>
                <w:rFonts w:cs="Arial"/>
                <w:b/>
                <w:sz w:val="20"/>
                <w:szCs w:val="20"/>
              </w:rPr>
            </w:pPr>
            <w:r w:rsidRPr="00873266">
              <w:rPr>
                <w:rFonts w:cs="Arial"/>
                <w:b/>
                <w:sz w:val="20"/>
                <w:szCs w:val="20"/>
              </w:rPr>
              <w:t>Rok</w:t>
            </w:r>
          </w:p>
        </w:tc>
      </w:tr>
      <w:tr w:rsidR="00907D04" w:rsidRPr="009B7BE9" w:rsidTr="00907D04">
        <w:trPr>
          <w:trHeight w:val="1565"/>
        </w:trPr>
        <w:tc>
          <w:tcPr>
            <w:tcW w:w="1602" w:type="pct"/>
          </w:tcPr>
          <w:p w:rsidR="00907D04" w:rsidRPr="009B7BE9" w:rsidRDefault="00907D04" w:rsidP="009B7BE9">
            <w:pPr>
              <w:spacing w:line="240" w:lineRule="auto"/>
              <w:rPr>
                <w:rFonts w:cs="Arial"/>
                <w:i/>
                <w:sz w:val="20"/>
                <w:szCs w:val="20"/>
              </w:rPr>
            </w:pPr>
            <w:r w:rsidRPr="009B7BE9">
              <w:rPr>
                <w:rFonts w:cs="Arial"/>
                <w:i/>
                <w:sz w:val="20"/>
                <w:szCs w:val="20"/>
              </w:rPr>
              <w:t>Pomanjkljiva podpora pri pripravi operacij in izvajanju operacij.</w:t>
            </w:r>
          </w:p>
        </w:tc>
        <w:tc>
          <w:tcPr>
            <w:tcW w:w="1758" w:type="pct"/>
          </w:tcPr>
          <w:p w:rsidR="00907D04" w:rsidRPr="009B7BE9" w:rsidRDefault="00907D04" w:rsidP="009B7BE9">
            <w:pPr>
              <w:spacing w:line="240" w:lineRule="auto"/>
              <w:rPr>
                <w:rFonts w:cs="Arial"/>
                <w:i/>
                <w:sz w:val="20"/>
                <w:szCs w:val="20"/>
              </w:rPr>
            </w:pPr>
            <w:r w:rsidRPr="009B7BE9">
              <w:rPr>
                <w:rFonts w:cs="Arial"/>
                <w:i/>
                <w:sz w:val="20"/>
                <w:szCs w:val="20"/>
              </w:rPr>
              <w:t xml:space="preserve">Aktivnosti: </w:t>
            </w:r>
          </w:p>
          <w:p w:rsidR="00907D04" w:rsidRPr="009B7BE9" w:rsidRDefault="00907D04" w:rsidP="00D16C0A">
            <w:pPr>
              <w:numPr>
                <w:ilvl w:val="0"/>
                <w:numId w:val="32"/>
              </w:numPr>
              <w:spacing w:line="240" w:lineRule="auto"/>
              <w:contextualSpacing/>
              <w:rPr>
                <w:rFonts w:cs="Arial"/>
                <w:i/>
                <w:sz w:val="20"/>
                <w:szCs w:val="20"/>
              </w:rPr>
            </w:pPr>
            <w:r>
              <w:rPr>
                <w:rFonts w:cs="Arial"/>
                <w:i/>
                <w:sz w:val="20"/>
                <w:szCs w:val="20"/>
              </w:rPr>
              <w:t>usmerjanje na delujočo F</w:t>
            </w:r>
            <w:r w:rsidRPr="009B7BE9">
              <w:rPr>
                <w:rFonts w:cs="Arial"/>
                <w:i/>
                <w:sz w:val="20"/>
                <w:szCs w:val="20"/>
              </w:rPr>
              <w:t xml:space="preserve">ino točko EU na SVRK (in CPU v primeru težav z IS), </w:t>
            </w:r>
          </w:p>
          <w:p w:rsidR="00907D04" w:rsidRPr="0082394B" w:rsidRDefault="00907D04" w:rsidP="00D16C0A">
            <w:pPr>
              <w:numPr>
                <w:ilvl w:val="0"/>
                <w:numId w:val="32"/>
              </w:numPr>
              <w:spacing w:line="240" w:lineRule="auto"/>
              <w:contextualSpacing/>
              <w:rPr>
                <w:rFonts w:cs="Arial"/>
                <w:i/>
                <w:sz w:val="20"/>
                <w:szCs w:val="20"/>
              </w:rPr>
            </w:pPr>
            <w:r w:rsidRPr="0082394B">
              <w:rPr>
                <w:rFonts w:cs="Arial"/>
                <w:i/>
                <w:sz w:val="20"/>
                <w:szCs w:val="20"/>
              </w:rPr>
              <w:t xml:space="preserve">zagotavljanje sprotne odzivnosti in organizacija vsaj enega dogodka letno z upravičenci v kohezijskih regijah; </w:t>
            </w:r>
          </w:p>
          <w:p w:rsidR="00907D04" w:rsidRPr="009B7BE9" w:rsidRDefault="00907D04" w:rsidP="00D16C0A">
            <w:pPr>
              <w:numPr>
                <w:ilvl w:val="0"/>
                <w:numId w:val="32"/>
              </w:numPr>
              <w:spacing w:line="240" w:lineRule="auto"/>
              <w:contextualSpacing/>
              <w:rPr>
                <w:rFonts w:cs="Arial"/>
                <w:i/>
                <w:sz w:val="20"/>
                <w:szCs w:val="20"/>
              </w:rPr>
            </w:pPr>
            <w:r w:rsidRPr="009B7BE9">
              <w:rPr>
                <w:rFonts w:cs="Arial"/>
                <w:i/>
                <w:sz w:val="20"/>
                <w:szCs w:val="20"/>
              </w:rPr>
              <w:t>kadar smiselno zagotavljanje specifičnih usposabljanj in večja konkretizacija priročnikov.</w:t>
            </w:r>
          </w:p>
        </w:tc>
        <w:tc>
          <w:tcPr>
            <w:tcW w:w="735" w:type="pct"/>
          </w:tcPr>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w:t>
            </w:r>
          </w:p>
          <w:p w:rsidR="00907D04" w:rsidRPr="009B7BE9"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 in po potrebi PO</w:t>
            </w:r>
          </w:p>
          <w:p w:rsidR="00907D04" w:rsidRDefault="00907D04" w:rsidP="009B7BE9">
            <w:pPr>
              <w:spacing w:line="240" w:lineRule="auto"/>
              <w:jc w:val="center"/>
              <w:rPr>
                <w:rFonts w:cs="Arial"/>
                <w:i/>
                <w:sz w:val="20"/>
                <w:szCs w:val="20"/>
              </w:rPr>
            </w:pPr>
          </w:p>
          <w:p w:rsidR="00907D04" w:rsidRDefault="00907D04" w:rsidP="009B7BE9">
            <w:pPr>
              <w:spacing w:line="240" w:lineRule="auto"/>
              <w:jc w:val="center"/>
              <w:rPr>
                <w:rFonts w:cs="Arial"/>
                <w:i/>
                <w:sz w:val="20"/>
                <w:szCs w:val="20"/>
              </w:rPr>
            </w:pPr>
          </w:p>
          <w:p w:rsidR="00907D04" w:rsidRPr="009B7BE9" w:rsidRDefault="00907D04" w:rsidP="009B7BE9">
            <w:pPr>
              <w:spacing w:line="240" w:lineRule="auto"/>
              <w:jc w:val="center"/>
              <w:rPr>
                <w:rFonts w:cs="Arial"/>
                <w:i/>
                <w:sz w:val="20"/>
                <w:szCs w:val="20"/>
              </w:rPr>
            </w:pPr>
            <w:r w:rsidRPr="009B7BE9">
              <w:rPr>
                <w:rFonts w:cs="Arial"/>
                <w:i/>
                <w:sz w:val="20"/>
                <w:szCs w:val="20"/>
              </w:rPr>
              <w:t>OU in po potre</w:t>
            </w:r>
            <w:r w:rsidRPr="00907D04">
              <w:rPr>
                <w:rFonts w:cs="Arial"/>
                <w:i/>
                <w:sz w:val="20"/>
                <w:szCs w:val="20"/>
                <w:bdr w:val="single" w:sz="4" w:space="0" w:color="auto"/>
              </w:rPr>
              <w:t>b</w:t>
            </w:r>
            <w:r w:rsidRPr="009B7BE9">
              <w:rPr>
                <w:rFonts w:cs="Arial"/>
                <w:i/>
                <w:sz w:val="20"/>
                <w:szCs w:val="20"/>
              </w:rPr>
              <w:t>i PO</w:t>
            </w:r>
          </w:p>
        </w:tc>
        <w:tc>
          <w:tcPr>
            <w:tcW w:w="905" w:type="pct"/>
          </w:tcPr>
          <w:p w:rsidR="00907D04" w:rsidRPr="009B7BE9" w:rsidRDefault="00907D04" w:rsidP="009B7BE9">
            <w:pPr>
              <w:spacing w:line="240" w:lineRule="auto"/>
              <w:rPr>
                <w:rFonts w:cs="Arial"/>
                <w:sz w:val="20"/>
                <w:szCs w:val="20"/>
              </w:rPr>
            </w:pPr>
          </w:p>
          <w:p w:rsidR="00907D04" w:rsidRPr="0063706C" w:rsidRDefault="002F2FE4" w:rsidP="009B7BE9">
            <w:pPr>
              <w:spacing w:line="240" w:lineRule="auto"/>
              <w:jc w:val="center"/>
              <w:rPr>
                <w:rFonts w:cs="Arial"/>
                <w:sz w:val="20"/>
                <w:szCs w:val="20"/>
              </w:rPr>
            </w:pPr>
            <w:r w:rsidRPr="0063706C">
              <w:rPr>
                <w:rFonts w:cs="Arial"/>
                <w:sz w:val="20"/>
                <w:szCs w:val="20"/>
              </w:rPr>
              <w:t>t</w:t>
            </w:r>
            <w:r w:rsidR="00907D04" w:rsidRPr="0063706C">
              <w:rPr>
                <w:rFonts w:cs="Arial"/>
                <w:sz w:val="20"/>
                <w:szCs w:val="20"/>
              </w:rPr>
              <w:t>rajno</w:t>
            </w:r>
          </w:p>
          <w:p w:rsidR="00907D04" w:rsidRPr="009B7BE9" w:rsidRDefault="00907D04" w:rsidP="009B7BE9">
            <w:pPr>
              <w:spacing w:line="240" w:lineRule="auto"/>
              <w:jc w:val="center"/>
              <w:rPr>
                <w:rFonts w:cs="Arial"/>
                <w:i/>
                <w:sz w:val="20"/>
                <w:szCs w:val="20"/>
              </w:rPr>
            </w:pPr>
          </w:p>
          <w:p w:rsidR="00907D04" w:rsidRPr="009800E5" w:rsidRDefault="00907D04" w:rsidP="009B7BE9">
            <w:pPr>
              <w:spacing w:line="240" w:lineRule="auto"/>
              <w:jc w:val="center"/>
              <w:rPr>
                <w:rFonts w:cs="Arial"/>
                <w:sz w:val="20"/>
                <w:szCs w:val="20"/>
              </w:rPr>
            </w:pPr>
            <w:r w:rsidRPr="009800E5">
              <w:rPr>
                <w:rFonts w:cs="Arial"/>
                <w:sz w:val="20"/>
                <w:szCs w:val="20"/>
              </w:rPr>
              <w:t>1. četrtletje 2019, trajno</w:t>
            </w:r>
          </w:p>
          <w:p w:rsidR="00907D04" w:rsidRDefault="00907D04" w:rsidP="00907D04">
            <w:pPr>
              <w:spacing w:line="240" w:lineRule="auto"/>
              <w:jc w:val="center"/>
              <w:rPr>
                <w:rFonts w:cs="Arial"/>
                <w:sz w:val="20"/>
                <w:szCs w:val="20"/>
                <w:highlight w:val="yellow"/>
              </w:rPr>
            </w:pPr>
          </w:p>
          <w:p w:rsidR="00907D04" w:rsidRDefault="00907D04" w:rsidP="00907D04">
            <w:pPr>
              <w:spacing w:line="240" w:lineRule="auto"/>
              <w:jc w:val="center"/>
              <w:rPr>
                <w:rFonts w:cs="Arial"/>
                <w:sz w:val="20"/>
                <w:szCs w:val="20"/>
                <w:highlight w:val="yellow"/>
              </w:rPr>
            </w:pPr>
          </w:p>
          <w:p w:rsidR="00907D04" w:rsidRPr="009800E5" w:rsidRDefault="00907D04" w:rsidP="00907D04">
            <w:pPr>
              <w:spacing w:line="240" w:lineRule="auto"/>
              <w:jc w:val="center"/>
              <w:rPr>
                <w:rFonts w:cs="Arial"/>
                <w:sz w:val="20"/>
                <w:szCs w:val="20"/>
              </w:rPr>
            </w:pPr>
            <w:r w:rsidRPr="009800E5">
              <w:rPr>
                <w:rFonts w:cs="Arial"/>
                <w:sz w:val="20"/>
                <w:szCs w:val="20"/>
              </w:rPr>
              <w:t>1. četrtletje 2019, trajno</w:t>
            </w:r>
          </w:p>
          <w:p w:rsidR="00907D04" w:rsidRPr="009B7BE9" w:rsidRDefault="00907D04" w:rsidP="002C2A3D">
            <w:pPr>
              <w:spacing w:line="240" w:lineRule="auto"/>
              <w:rPr>
                <w:rFonts w:cs="Arial"/>
                <w:i/>
                <w:sz w:val="20"/>
                <w:szCs w:val="20"/>
              </w:rPr>
            </w:pP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i/>
          <w:color w:val="00B050"/>
          <w:szCs w:val="20"/>
        </w:rPr>
      </w:pPr>
      <w:bookmarkStart w:id="20" w:name="_Toc530560441"/>
      <w:r w:rsidRPr="001661C2">
        <w:rPr>
          <w:rFonts w:cs="Arial"/>
          <w:b/>
          <w:color w:val="0070C0"/>
          <w:szCs w:val="20"/>
        </w:rPr>
        <w:t>Realizacija</w:t>
      </w:r>
      <w:r w:rsidRPr="005812A6">
        <w:rPr>
          <w:rFonts w:cs="Arial"/>
          <w:b/>
          <w:i/>
          <w:color w:val="00B050"/>
          <w:szCs w:val="20"/>
        </w:rPr>
        <w:t xml:space="preserve"> </w:t>
      </w:r>
    </w:p>
    <w:p w:rsidR="00907D04" w:rsidRDefault="00907D04" w:rsidP="00907D04">
      <w:pPr>
        <w:spacing w:line="240" w:lineRule="auto"/>
        <w:rPr>
          <w:rFonts w:cs="Arial"/>
          <w:b/>
          <w:i/>
          <w:color w:val="00B050"/>
          <w:szCs w:val="20"/>
        </w:rPr>
      </w:pPr>
    </w:p>
    <w:p w:rsidR="005E6C02" w:rsidRDefault="00A23FAC" w:rsidP="005E6C02">
      <w:pPr>
        <w:autoSpaceDE w:val="0"/>
        <w:autoSpaceDN w:val="0"/>
        <w:adjustRightInd w:val="0"/>
        <w:spacing w:line="240" w:lineRule="atLeast"/>
        <w:jc w:val="both"/>
        <w:rPr>
          <w:rFonts w:cs="Arial"/>
          <w:color w:val="000000"/>
          <w:szCs w:val="20"/>
          <w:lang w:eastAsia="sl-SI"/>
        </w:rPr>
      </w:pPr>
      <w:r w:rsidRPr="00624E06">
        <w:rPr>
          <w:rFonts w:cs="Arial"/>
          <w:szCs w:val="20"/>
        </w:rPr>
        <w:t>(i)</w:t>
      </w:r>
      <w:r w:rsidR="0063706C" w:rsidRPr="00624E06">
        <w:rPr>
          <w:rFonts w:cs="Arial"/>
          <w:szCs w:val="20"/>
        </w:rPr>
        <w:t xml:space="preserve"> </w:t>
      </w:r>
      <w:r w:rsidR="00907D04" w:rsidRPr="00624E06">
        <w:rPr>
          <w:rFonts w:cs="Arial"/>
          <w:szCs w:val="20"/>
        </w:rPr>
        <w:t>Se izvaja</w:t>
      </w:r>
      <w:r w:rsidR="005E6C02" w:rsidRPr="00624E06">
        <w:rPr>
          <w:rFonts w:cs="Arial"/>
          <w:szCs w:val="20"/>
        </w:rPr>
        <w:t xml:space="preserve">: </w:t>
      </w:r>
      <w:r w:rsidR="005E6C02" w:rsidRPr="00624E06">
        <w:rPr>
          <w:rFonts w:cs="Arial"/>
          <w:color w:val="000000"/>
          <w:szCs w:val="20"/>
          <w:lang w:eastAsia="sl-SI"/>
        </w:rPr>
        <w:t>uporabnikom je zagotovljena pomoč prek Centra za podporo uporabnikom (CPU). V zadnjem trimesečju se je registriranih težav preko CPU bistveno zmanjšalo, prav tako se je skrajšal tudi čas od prijave do rešitve težave.</w:t>
      </w:r>
    </w:p>
    <w:p w:rsidR="005E6C02" w:rsidRDefault="005E6C02" w:rsidP="005E6C02">
      <w:pPr>
        <w:spacing w:before="60" w:after="60" w:line="240" w:lineRule="auto"/>
        <w:jc w:val="both"/>
        <w:rPr>
          <w:rFonts w:cs="Arial"/>
          <w:szCs w:val="20"/>
        </w:rPr>
      </w:pPr>
      <w:r w:rsidRPr="00624E06">
        <w:rPr>
          <w:rFonts w:cs="Arial"/>
          <w:szCs w:val="20"/>
        </w:rPr>
        <w:t>V okviru spletne strani deluje tudi Fina EU točka (financiranje, sredstva EU, podpora), katere glavni namen je na preprost, pregleden in uporabnikom prijazen način sporočati vse ključne informacije, ki jih morajo poznati potencialni prijavitelji in izvajalci projektov.</w:t>
      </w:r>
    </w:p>
    <w:p w:rsidR="00131A22" w:rsidRDefault="00131A22" w:rsidP="009D3335">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Njen namen je zagotovitev informacijske in izvedbene podpore ter vzpostavitev bolj preglednega in enostavnega pridobivanja informacij predvsem o izvajanju evropske kohezijske politike in evropskega teritorialnega sodelovanja ter mednarodnih finančnih mehanizmov v Sloveniji, na enem mestu. Cilj je hitra in učinkovita pomoč upravičencem. </w:t>
      </w:r>
    </w:p>
    <w:p w:rsidR="00131A22" w:rsidRDefault="00131A22" w:rsidP="00131A22">
      <w:pPr>
        <w:autoSpaceDE w:val="0"/>
        <w:autoSpaceDN w:val="0"/>
        <w:adjustRightInd w:val="0"/>
        <w:spacing w:line="240" w:lineRule="auto"/>
        <w:jc w:val="both"/>
        <w:rPr>
          <w:rFonts w:cs="Arial"/>
          <w:color w:val="000000"/>
          <w:szCs w:val="20"/>
          <w:lang w:eastAsia="sl-SI"/>
        </w:rPr>
      </w:pPr>
      <w:r>
        <w:rPr>
          <w:rFonts w:cs="Arial"/>
          <w:color w:val="000000"/>
          <w:szCs w:val="20"/>
          <w:lang w:eastAsia="sl-SI"/>
        </w:rPr>
        <w:t>SVRK je v okviru Enotne vstopne točke vzpostavil</w:t>
      </w:r>
      <w:r w:rsidR="009D3335">
        <w:rPr>
          <w:rFonts w:cs="Arial"/>
          <w:color w:val="000000"/>
          <w:szCs w:val="20"/>
          <w:lang w:eastAsia="sl-SI"/>
        </w:rPr>
        <w:t>a</w:t>
      </w:r>
      <w:r>
        <w:rPr>
          <w:rFonts w:cs="Arial"/>
          <w:color w:val="000000"/>
          <w:szCs w:val="20"/>
          <w:lang w:eastAsia="sl-SI"/>
        </w:rPr>
        <w:t xml:space="preserve"> informacijsko središče, kjer je mogoče na enostaven in pregleden način po telefonu, e-pošti ali preko spletnega portala pridobiti vse informacije in vsebinsko podporo o izvajanju evropske kohezijske politike ter mednarodnih finančnih mehanizmov. EVT deluje preko:</w:t>
      </w:r>
    </w:p>
    <w:p w:rsidR="009D3335" w:rsidRDefault="00131A22" w:rsidP="009D3335">
      <w:pPr>
        <w:autoSpaceDE w:val="0"/>
        <w:autoSpaceDN w:val="0"/>
        <w:adjustRightInd w:val="0"/>
        <w:spacing w:line="240" w:lineRule="auto"/>
        <w:jc w:val="both"/>
        <w:rPr>
          <w:rFonts w:cs="Arial"/>
          <w:color w:val="000000"/>
          <w:szCs w:val="20"/>
          <w:lang w:eastAsia="sl-SI"/>
        </w:rPr>
      </w:pPr>
      <w:r w:rsidRPr="009D3335">
        <w:rPr>
          <w:rFonts w:ascii="Symbol" w:hAnsi="Symbol" w:cs="Symbol"/>
          <w:color w:val="000000"/>
          <w:szCs w:val="20"/>
          <w:lang w:eastAsia="sl-SI"/>
        </w:rPr>
        <w:t></w:t>
      </w:r>
      <w:r w:rsidRPr="009D3335">
        <w:rPr>
          <w:rFonts w:cs="Arial"/>
          <w:bCs/>
          <w:color w:val="000000"/>
          <w:szCs w:val="20"/>
          <w:lang w:eastAsia="sl-SI"/>
        </w:rPr>
        <w:t>Informacijskega središča: brezplačne telefonske številke</w:t>
      </w:r>
      <w:r w:rsidRPr="009D3335">
        <w:rPr>
          <w:rFonts w:cs="Arial"/>
          <w:color w:val="000000"/>
          <w:szCs w:val="20"/>
          <w:lang w:eastAsia="sl-SI"/>
        </w:rPr>
        <w:t xml:space="preserve"> </w:t>
      </w:r>
      <w:r w:rsidRPr="009D3335">
        <w:rPr>
          <w:rFonts w:cs="Arial"/>
          <w:bCs/>
          <w:color w:val="000000"/>
          <w:szCs w:val="20"/>
          <w:lang w:eastAsia="sl-SI"/>
        </w:rPr>
        <w:t>080 20 23</w:t>
      </w:r>
      <w:r w:rsidRPr="009D3335">
        <w:rPr>
          <w:rFonts w:cs="Arial"/>
          <w:color w:val="000000"/>
          <w:szCs w:val="20"/>
          <w:lang w:eastAsia="sl-SI"/>
        </w:rPr>
        <w:t xml:space="preserve">, kjer svetovalca ažurno odgovarjata na vprašanja. Če na vprašanja ne </w:t>
      </w:r>
      <w:r w:rsidR="009D3335" w:rsidRPr="009D3335">
        <w:rPr>
          <w:rFonts w:cs="Arial"/>
          <w:color w:val="000000"/>
          <w:szCs w:val="20"/>
          <w:lang w:eastAsia="sl-SI"/>
        </w:rPr>
        <w:t>moreta odgovoriti</w:t>
      </w:r>
      <w:r w:rsidR="009D3335">
        <w:rPr>
          <w:rFonts w:cs="Arial"/>
          <w:color w:val="000000"/>
          <w:szCs w:val="20"/>
          <w:lang w:eastAsia="sl-SI"/>
        </w:rPr>
        <w:t xml:space="preserve"> takoj</w:t>
      </w:r>
      <w:r>
        <w:rPr>
          <w:rFonts w:cs="Arial"/>
          <w:color w:val="000000"/>
          <w:szCs w:val="20"/>
          <w:lang w:eastAsia="sl-SI"/>
        </w:rPr>
        <w:t>, praviloma najkasneje v 2 dneh poiščeta odgovore (v okviru resorjev, vključenih v izvajanje evropske kohezijske politike) in jih posred</w:t>
      </w:r>
      <w:r w:rsidR="009D3335">
        <w:rPr>
          <w:rFonts w:cs="Arial"/>
          <w:color w:val="000000"/>
          <w:szCs w:val="20"/>
          <w:lang w:eastAsia="sl-SI"/>
        </w:rPr>
        <w:t>u</w:t>
      </w:r>
      <w:r>
        <w:rPr>
          <w:rFonts w:cs="Arial"/>
          <w:color w:val="000000"/>
          <w:szCs w:val="20"/>
          <w:lang w:eastAsia="sl-SI"/>
        </w:rPr>
        <w:t xml:space="preserve">jeta prosilcu; </w:t>
      </w:r>
    </w:p>
    <w:p w:rsidR="00131A22" w:rsidRDefault="00131A22" w:rsidP="009D3335">
      <w:pPr>
        <w:autoSpaceDE w:val="0"/>
        <w:autoSpaceDN w:val="0"/>
        <w:adjustRightInd w:val="0"/>
        <w:spacing w:line="240" w:lineRule="auto"/>
        <w:jc w:val="both"/>
        <w:rPr>
          <w:rFonts w:cs="Arial"/>
          <w:color w:val="000000"/>
          <w:szCs w:val="20"/>
          <w:lang w:eastAsia="sl-SI"/>
        </w:rPr>
      </w:pPr>
      <w:r w:rsidRPr="009D3335">
        <w:rPr>
          <w:rFonts w:cs="Arial"/>
          <w:bCs/>
          <w:color w:val="000000"/>
          <w:szCs w:val="20"/>
          <w:lang w:eastAsia="sl-SI"/>
        </w:rPr>
        <w:t>-e-poštnega predala</w:t>
      </w:r>
      <w:r>
        <w:rPr>
          <w:rFonts w:cs="Arial"/>
          <w:b/>
          <w:bCs/>
          <w:color w:val="000000"/>
          <w:szCs w:val="20"/>
          <w:lang w:eastAsia="sl-SI"/>
        </w:rPr>
        <w:t xml:space="preserve"> </w:t>
      </w:r>
      <w:hyperlink r:id="rId11" w:history="1">
        <w:r>
          <w:rPr>
            <w:rFonts w:cs="Arial"/>
            <w:b/>
            <w:bCs/>
            <w:color w:val="0000FF"/>
            <w:szCs w:val="20"/>
            <w:u w:val="single"/>
            <w:lang w:eastAsia="sl-SI"/>
          </w:rPr>
          <w:t>info.svrk@gov.si</w:t>
        </w:r>
      </w:hyperlink>
      <w:r>
        <w:rPr>
          <w:rFonts w:cs="Arial"/>
          <w:color w:val="000000"/>
          <w:szCs w:val="20"/>
          <w:lang w:eastAsia="sl-SI"/>
        </w:rPr>
        <w:t xml:space="preserve">, kjer bodo svetovalci praviloma v 2 dneh po prejemu vprašanja, pisno odgovorili na vprašanja prosilcev; </w:t>
      </w:r>
    </w:p>
    <w:p w:rsidR="00131A22" w:rsidRDefault="00131A22" w:rsidP="009D3335">
      <w:pPr>
        <w:autoSpaceDE w:val="0"/>
        <w:autoSpaceDN w:val="0"/>
        <w:adjustRightInd w:val="0"/>
        <w:spacing w:line="240" w:lineRule="auto"/>
        <w:jc w:val="both"/>
        <w:rPr>
          <w:rFonts w:cs="Arial"/>
          <w:color w:val="000000"/>
          <w:szCs w:val="20"/>
          <w:lang w:eastAsia="sl-SI"/>
        </w:rPr>
      </w:pPr>
      <w:r w:rsidRPr="009D3335">
        <w:rPr>
          <w:rFonts w:ascii="Symbol" w:hAnsi="Symbol" w:cs="Symbol"/>
          <w:color w:val="000000"/>
          <w:szCs w:val="20"/>
          <w:lang w:eastAsia="sl-SI"/>
        </w:rPr>
        <w:t></w:t>
      </w:r>
      <w:r w:rsidRPr="009D3335">
        <w:rPr>
          <w:rFonts w:cs="Arial"/>
          <w:bCs/>
          <w:color w:val="000000"/>
          <w:szCs w:val="20"/>
          <w:lang w:eastAsia="sl-SI"/>
        </w:rPr>
        <w:t>spletnega portala</w:t>
      </w:r>
      <w:r>
        <w:rPr>
          <w:rFonts w:cs="Arial"/>
          <w:b/>
          <w:bCs/>
          <w:color w:val="000000"/>
          <w:szCs w:val="20"/>
          <w:lang w:eastAsia="sl-SI"/>
        </w:rPr>
        <w:t xml:space="preserve"> </w:t>
      </w:r>
      <w:hyperlink r:id="rId12" w:history="1">
        <w:r>
          <w:rPr>
            <w:rFonts w:cs="Arial"/>
            <w:b/>
            <w:bCs/>
            <w:color w:val="0000FF"/>
            <w:szCs w:val="20"/>
            <w:u w:val="single"/>
            <w:lang w:eastAsia="sl-SI"/>
          </w:rPr>
          <w:t>www.eu-skladi.si</w:t>
        </w:r>
      </w:hyperlink>
      <w:r>
        <w:rPr>
          <w:rFonts w:cs="Arial"/>
          <w:color w:val="000000"/>
          <w:szCs w:val="20"/>
          <w:lang w:eastAsia="sl-SI"/>
        </w:rPr>
        <w:t>, kjer SVRK (svetovalci v sodelovanju s Službo za odnose z javnostmi in promocijo SVRK) objavlja uporabne informacije za potencialne upravičence: napovedi razpisov in izvajanja projektov (INOP)</w:t>
      </w:r>
      <w:r w:rsidR="009D3335">
        <w:rPr>
          <w:rFonts w:cs="Arial"/>
          <w:color w:val="000000"/>
          <w:szCs w:val="20"/>
          <w:lang w:eastAsia="sl-SI"/>
        </w:rPr>
        <w:t xml:space="preserve">, aktualne javne razpise, Q&amp;A, </w:t>
      </w:r>
      <w:r>
        <w:rPr>
          <w:rFonts w:cs="Arial"/>
          <w:color w:val="000000"/>
          <w:szCs w:val="20"/>
          <w:lang w:eastAsia="sl-SI"/>
        </w:rPr>
        <w:t>priročnike,</w:t>
      </w:r>
      <w:r w:rsidR="009D3335">
        <w:rPr>
          <w:rFonts w:cs="Arial"/>
          <w:color w:val="000000"/>
          <w:szCs w:val="20"/>
          <w:lang w:eastAsia="sl-SI"/>
        </w:rPr>
        <w:t xml:space="preserve"> </w:t>
      </w:r>
      <w:r>
        <w:rPr>
          <w:rFonts w:cs="Arial"/>
          <w:color w:val="000000"/>
          <w:szCs w:val="20"/>
          <w:lang w:eastAsia="sl-SI"/>
        </w:rPr>
        <w:t>navodila, zakonodajo, primere vlog, itd. (v sodelovanju z resorji, vključenimi v izvajanje evropske kohezijske politike);</w:t>
      </w:r>
    </w:p>
    <w:p w:rsidR="00131A22" w:rsidRDefault="00131A22" w:rsidP="009D3335">
      <w:pPr>
        <w:autoSpaceDE w:val="0"/>
        <w:autoSpaceDN w:val="0"/>
        <w:adjustRightInd w:val="0"/>
        <w:spacing w:line="240" w:lineRule="auto"/>
        <w:jc w:val="both"/>
        <w:rPr>
          <w:rFonts w:cs="Arial"/>
          <w:color w:val="000000"/>
          <w:szCs w:val="20"/>
          <w:lang w:eastAsia="sl-SI"/>
        </w:rPr>
      </w:pPr>
      <w:r>
        <w:rPr>
          <w:rFonts w:ascii="Symbol" w:hAnsi="Symbol" w:cs="Symbol"/>
          <w:color w:val="000000"/>
          <w:szCs w:val="20"/>
          <w:lang w:eastAsia="sl-SI"/>
        </w:rPr>
        <w:t></w:t>
      </w:r>
      <w:r>
        <w:rPr>
          <w:rFonts w:cs="Arial"/>
          <w:color w:val="000000"/>
          <w:szCs w:val="20"/>
          <w:lang w:eastAsia="sl-SI"/>
        </w:rPr>
        <w:t xml:space="preserve">elektronskega naslova </w:t>
      </w:r>
      <w:hyperlink r:id="rId13" w:history="1">
        <w:r>
          <w:rPr>
            <w:rFonts w:cs="Arial"/>
            <w:color w:val="0000FF"/>
            <w:szCs w:val="20"/>
            <w:u w:val="single"/>
            <w:lang w:eastAsia="sl-SI"/>
          </w:rPr>
          <w:t>evt@svrk.si</w:t>
        </w:r>
      </w:hyperlink>
      <w:r w:rsidR="009D3335">
        <w:rPr>
          <w:rFonts w:cs="Arial"/>
          <w:color w:val="000000"/>
          <w:szCs w:val="20"/>
          <w:lang w:eastAsia="sl-SI"/>
        </w:rPr>
        <w:t>;</w:t>
      </w:r>
    </w:p>
    <w:p w:rsidR="00131A22" w:rsidRDefault="00131A22" w:rsidP="009D3335">
      <w:pPr>
        <w:autoSpaceDE w:val="0"/>
        <w:autoSpaceDN w:val="0"/>
        <w:adjustRightInd w:val="0"/>
        <w:spacing w:line="240" w:lineRule="auto"/>
        <w:jc w:val="both"/>
        <w:rPr>
          <w:rFonts w:cs="Arial"/>
          <w:color w:val="000000"/>
          <w:szCs w:val="20"/>
          <w:lang w:eastAsia="sl-SI"/>
        </w:rPr>
      </w:pPr>
      <w:r w:rsidRPr="009D3335">
        <w:rPr>
          <w:rFonts w:cs="Arial"/>
          <w:color w:val="000000"/>
          <w:szCs w:val="20"/>
          <w:lang w:eastAsia="sl-SI"/>
        </w:rPr>
        <w:t>-</w:t>
      </w:r>
      <w:r w:rsidRPr="009D3335">
        <w:rPr>
          <w:rFonts w:cs="Arial"/>
          <w:bCs/>
          <w:color w:val="000000"/>
          <w:szCs w:val="20"/>
          <w:lang w:eastAsia="sl-SI"/>
        </w:rPr>
        <w:t>Blog</w:t>
      </w:r>
      <w:r w:rsidRPr="009D3335">
        <w:rPr>
          <w:rFonts w:cs="Arial"/>
          <w:color w:val="000000"/>
          <w:szCs w:val="20"/>
          <w:lang w:eastAsia="sl-SI"/>
        </w:rPr>
        <w:t>,</w:t>
      </w:r>
      <w:r>
        <w:rPr>
          <w:rFonts w:cs="Arial"/>
          <w:color w:val="000000"/>
          <w:szCs w:val="20"/>
          <w:lang w:eastAsia="sl-SI"/>
        </w:rPr>
        <w:t xml:space="preserve"> praviloma se enkrat tedensko objavi kratek članek v zvezi z aktualnimi informacijami</w:t>
      </w:r>
      <w:r w:rsidR="009D3335">
        <w:rPr>
          <w:rFonts w:cs="Arial"/>
          <w:color w:val="000000"/>
          <w:szCs w:val="20"/>
          <w:lang w:eastAsia="sl-SI"/>
        </w:rPr>
        <w:t>, razpisi, projekti;</w:t>
      </w:r>
    </w:p>
    <w:p w:rsidR="00131A22" w:rsidRDefault="00131A22" w:rsidP="009D3335">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-2-3 </w:t>
      </w:r>
      <w:r w:rsidR="009D3335">
        <w:rPr>
          <w:rFonts w:cs="Arial"/>
          <w:color w:val="000000"/>
          <w:szCs w:val="20"/>
          <w:lang w:eastAsia="sl-SI"/>
        </w:rPr>
        <w:t>krat</w:t>
      </w:r>
      <w:r>
        <w:rPr>
          <w:rFonts w:cs="Arial"/>
          <w:color w:val="000000"/>
          <w:szCs w:val="20"/>
          <w:lang w:eastAsia="sl-SI"/>
        </w:rPr>
        <w:t xml:space="preserve"> letno </w:t>
      </w:r>
      <w:r w:rsidRPr="009D3335">
        <w:rPr>
          <w:rFonts w:cs="Arial"/>
          <w:bCs/>
          <w:color w:val="000000"/>
          <w:szCs w:val="20"/>
          <w:lang w:eastAsia="sl-SI"/>
        </w:rPr>
        <w:t>udeležba na prireditvah</w:t>
      </w:r>
      <w:r>
        <w:rPr>
          <w:rFonts w:cs="Arial"/>
          <w:color w:val="000000"/>
          <w:szCs w:val="20"/>
          <w:lang w:eastAsia="sl-SI"/>
        </w:rPr>
        <w:t xml:space="preserve"> (Informativa, Dnevi medgeneracijskega sodelovanja,...).</w:t>
      </w:r>
    </w:p>
    <w:p w:rsidR="00A23FAC" w:rsidRDefault="009800E5">
      <w:pPr>
        <w:spacing w:line="240" w:lineRule="auto"/>
        <w:rPr>
          <w:rFonts w:cs="Arial"/>
          <w:szCs w:val="20"/>
        </w:rPr>
      </w:pPr>
      <w:r>
        <w:rPr>
          <w:rFonts w:cs="Arial"/>
          <w:szCs w:val="20"/>
        </w:rPr>
        <w:lastRenderedPageBreak/>
        <w:t xml:space="preserve">(ii) </w:t>
      </w:r>
      <w:r w:rsidR="00294EDE">
        <w:rPr>
          <w:rFonts w:cs="Arial"/>
          <w:szCs w:val="20"/>
        </w:rPr>
        <w:t>Zagotovljena je sprotna odzivnost OU in PO. Organizacija dogodkov z upravičenci po kohezijskih regijah je v pripravi.</w:t>
      </w:r>
      <w:r w:rsidR="00907D04" w:rsidRPr="009800E5">
        <w:rPr>
          <w:rFonts w:cs="Arial"/>
          <w:szCs w:val="20"/>
        </w:rPr>
        <w:t xml:space="preserve"> </w:t>
      </w:r>
    </w:p>
    <w:p w:rsidR="005E6C02" w:rsidRPr="004D2D69" w:rsidRDefault="009800E5" w:rsidP="005E6C02">
      <w:pPr>
        <w:spacing w:line="240" w:lineRule="atLeast"/>
        <w:jc w:val="both"/>
        <w:rPr>
          <w:rFonts w:cs="Arial"/>
          <w:color w:val="000000"/>
          <w:szCs w:val="20"/>
          <w:lang w:eastAsia="sl-SI"/>
        </w:rPr>
      </w:pPr>
      <w:r w:rsidRPr="004D2D69">
        <w:rPr>
          <w:rFonts w:cs="Arial"/>
          <w:szCs w:val="20"/>
        </w:rPr>
        <w:t>(iii) Se izvaja</w:t>
      </w:r>
      <w:r w:rsidR="00FF2613" w:rsidRPr="004D2D69">
        <w:rPr>
          <w:rFonts w:cs="Arial"/>
          <w:szCs w:val="20"/>
        </w:rPr>
        <w:t xml:space="preserve">: </w:t>
      </w:r>
      <w:r w:rsidR="008D1763">
        <w:rPr>
          <w:rFonts w:cs="Arial"/>
          <w:color w:val="000000"/>
          <w:szCs w:val="20"/>
          <w:lang w:eastAsia="sl-SI"/>
        </w:rPr>
        <w:t>n</w:t>
      </w:r>
      <w:r w:rsidR="005E6C02" w:rsidRPr="004D2D69">
        <w:rPr>
          <w:rFonts w:cs="Arial"/>
          <w:color w:val="000000"/>
          <w:szCs w:val="20"/>
          <w:lang w:eastAsia="sl-SI"/>
        </w:rPr>
        <w:t xml:space="preserve">a podlagi potreb, izkazanih v resorjih, je OU ustrezno sestavil in uskladil skupine strokovnjakov in izvaja izobraževanja s praktičnim delom z </w:t>
      </w:r>
      <w:r w:rsidR="00FF2613" w:rsidRPr="004D2D69">
        <w:rPr>
          <w:rFonts w:cs="Arial"/>
          <w:color w:val="000000"/>
          <w:szCs w:val="20"/>
          <w:lang w:eastAsia="sl-SI"/>
        </w:rPr>
        <w:t>IS</w:t>
      </w:r>
      <w:r w:rsidR="005E6C02" w:rsidRPr="004D2D69">
        <w:rPr>
          <w:rFonts w:cs="Arial"/>
          <w:color w:val="000000"/>
          <w:szCs w:val="20"/>
          <w:lang w:eastAsia="sl-SI"/>
        </w:rPr>
        <w:t xml:space="preserve">. V prvem trimesečju 2019 sta bili že organizirani dve delavnici, na katerih so bili predstavljeni postopki prenosov podatkov med MFeRAC in eMA (v primeru NPU=U). Predavanj se je udeležilo preko 100 udeležencev. MJU </w:t>
      </w:r>
      <w:r w:rsidR="00624E06" w:rsidRPr="004D2D69">
        <w:rPr>
          <w:rFonts w:cs="Arial"/>
          <w:color w:val="000000"/>
          <w:szCs w:val="20"/>
          <w:lang w:eastAsia="sl-SI"/>
        </w:rPr>
        <w:t xml:space="preserve">je </w:t>
      </w:r>
      <w:r w:rsidR="005E6C02" w:rsidRPr="004D2D69">
        <w:rPr>
          <w:rFonts w:cs="Arial"/>
          <w:color w:val="000000"/>
          <w:szCs w:val="20"/>
          <w:lang w:eastAsia="sl-SI"/>
        </w:rPr>
        <w:t xml:space="preserve">v svojih prostorih zagotovilo opremljeno učilnico, ki </w:t>
      </w:r>
      <w:r w:rsidR="00624E06" w:rsidRPr="004D2D69">
        <w:rPr>
          <w:rFonts w:cs="Arial"/>
          <w:color w:val="000000"/>
          <w:szCs w:val="20"/>
          <w:lang w:eastAsia="sl-SI"/>
        </w:rPr>
        <w:t>je</w:t>
      </w:r>
      <w:r w:rsidR="005E6C02" w:rsidRPr="004D2D69">
        <w:rPr>
          <w:rFonts w:cs="Arial"/>
          <w:color w:val="000000"/>
          <w:szCs w:val="20"/>
          <w:lang w:eastAsia="sl-SI"/>
        </w:rPr>
        <w:t xml:space="preserve"> namenjena izobraževanju</w:t>
      </w:r>
      <w:r w:rsidR="00624E06" w:rsidRPr="004D2D69">
        <w:rPr>
          <w:rFonts w:cs="Arial"/>
          <w:color w:val="000000"/>
          <w:szCs w:val="20"/>
          <w:lang w:eastAsia="sl-SI"/>
        </w:rPr>
        <w:t xml:space="preserve"> PO in končnih upravičencev. </w:t>
      </w:r>
    </w:p>
    <w:p w:rsidR="005E6C02" w:rsidRPr="004D2D69" w:rsidRDefault="00AF3A50" w:rsidP="005E6C02">
      <w:pPr>
        <w:autoSpaceDE w:val="0"/>
        <w:autoSpaceDN w:val="0"/>
        <w:adjustRightInd w:val="0"/>
        <w:spacing w:line="240" w:lineRule="atLeast"/>
        <w:jc w:val="both"/>
        <w:rPr>
          <w:rFonts w:cs="Arial"/>
          <w:color w:val="000000"/>
          <w:szCs w:val="20"/>
          <w:lang w:eastAsia="sl-SI"/>
        </w:rPr>
      </w:pPr>
      <w:r>
        <w:rPr>
          <w:rFonts w:cs="Arial"/>
          <w:color w:val="000000"/>
          <w:szCs w:val="20"/>
          <w:lang w:eastAsia="sl-SI"/>
        </w:rPr>
        <w:t>Maja</w:t>
      </w:r>
      <w:r w:rsidR="004D2D69" w:rsidRPr="004D2D69">
        <w:rPr>
          <w:rFonts w:cs="Arial"/>
          <w:color w:val="000000"/>
          <w:szCs w:val="20"/>
          <w:lang w:eastAsia="sl-SI"/>
        </w:rPr>
        <w:t xml:space="preserve"> </w:t>
      </w:r>
      <w:r w:rsidR="005E6C02" w:rsidRPr="004D2D69">
        <w:rPr>
          <w:rFonts w:cs="Arial"/>
          <w:color w:val="000000"/>
          <w:szCs w:val="20"/>
          <w:lang w:eastAsia="sl-SI"/>
        </w:rPr>
        <w:t>2019</w:t>
      </w:r>
      <w:r w:rsidR="00FF2613" w:rsidRPr="004D2D69">
        <w:rPr>
          <w:rFonts w:cs="Arial"/>
          <w:color w:val="000000"/>
          <w:szCs w:val="20"/>
          <w:lang w:eastAsia="sl-SI"/>
        </w:rPr>
        <w:t xml:space="preserve"> </w:t>
      </w:r>
      <w:r w:rsidR="004D2D69" w:rsidRPr="004D2D69">
        <w:rPr>
          <w:rFonts w:cs="Arial"/>
          <w:color w:val="000000"/>
          <w:szCs w:val="20"/>
          <w:lang w:eastAsia="sl-SI"/>
        </w:rPr>
        <w:t xml:space="preserve">bo izvedeno izobraževanje </w:t>
      </w:r>
      <w:r w:rsidR="00FF2613" w:rsidRPr="004D2D69">
        <w:rPr>
          <w:rFonts w:cs="Arial"/>
          <w:color w:val="000000"/>
          <w:szCs w:val="20"/>
          <w:lang w:eastAsia="sl-SI"/>
        </w:rPr>
        <w:t>glede uporabe orodja Arachne</w:t>
      </w:r>
      <w:r w:rsidR="004D2D69" w:rsidRPr="004D2D69">
        <w:rPr>
          <w:rFonts w:cs="Arial"/>
          <w:color w:val="000000"/>
          <w:szCs w:val="20"/>
          <w:lang w:eastAsia="sl-SI"/>
        </w:rPr>
        <w:t xml:space="preserve"> in </w:t>
      </w:r>
      <w:r w:rsidR="005E6C02" w:rsidRPr="004D2D69">
        <w:rPr>
          <w:rFonts w:eastAsia="Calibri" w:cs="Arial"/>
          <w:szCs w:val="20"/>
        </w:rPr>
        <w:t xml:space="preserve">izobraževanje na področju bančništva (bančni produkti, kontrole v bančništvu, presoja tveganj in podobno), s katerim bi seznanili zaposlene, ki sodelujejo pri nadzoru izvajanja FI. </w:t>
      </w:r>
    </w:p>
    <w:p w:rsidR="009800E5" w:rsidRPr="009800E5" w:rsidRDefault="009800E5">
      <w:pPr>
        <w:spacing w:line="240" w:lineRule="auto"/>
        <w:rPr>
          <w:rFonts w:cs="Arial"/>
          <w:szCs w:val="20"/>
        </w:rPr>
      </w:pPr>
    </w:p>
    <w:p w:rsidR="00907D04" w:rsidRDefault="00907D04">
      <w:pPr>
        <w:spacing w:line="240" w:lineRule="auto"/>
        <w:rPr>
          <w:rFonts w:cs="Arial"/>
          <w:b/>
          <w:color w:val="0070C0"/>
          <w:szCs w:val="20"/>
        </w:rPr>
      </w:pPr>
      <w:r>
        <w:rPr>
          <w:rFonts w:cs="Arial"/>
          <w:b/>
          <w:color w:val="0070C0"/>
          <w:szCs w:val="20"/>
        </w:rPr>
        <w:br w:type="page"/>
      </w:r>
    </w:p>
    <w:p w:rsidR="009B7BE9" w:rsidRPr="002F2FE4" w:rsidRDefault="009B7BE9" w:rsidP="009B7BE9">
      <w:pPr>
        <w:keepNext/>
        <w:keepLines/>
        <w:spacing w:before="40" w:line="259" w:lineRule="auto"/>
        <w:outlineLvl w:val="2"/>
        <w:rPr>
          <w:rFonts w:cs="Arial"/>
          <w:b/>
          <w:color w:val="FF0000"/>
          <w:szCs w:val="20"/>
        </w:rPr>
      </w:pPr>
      <w:bookmarkStart w:id="21" w:name="_Toc6992287"/>
      <w:r w:rsidRPr="002F2FE4">
        <w:rPr>
          <w:rFonts w:cs="Arial"/>
          <w:b/>
          <w:color w:val="0070C0"/>
          <w:szCs w:val="20"/>
        </w:rPr>
        <w:lastRenderedPageBreak/>
        <w:t>Teritorialni pristopi</w:t>
      </w:r>
      <w:bookmarkEnd w:id="20"/>
      <w:bookmarkEnd w:id="21"/>
      <w:r w:rsidR="003B20AE" w:rsidRPr="002F2FE4">
        <w:rPr>
          <w:rFonts w:cs="Arial"/>
          <w:b/>
          <w:color w:val="0070C0"/>
          <w:szCs w:val="20"/>
        </w:rPr>
        <w:t xml:space="preserve"> </w:t>
      </w:r>
    </w:p>
    <w:p w:rsidR="008A5B87" w:rsidRPr="003B20AE" w:rsidRDefault="008A5B87" w:rsidP="009B7BE9">
      <w:pPr>
        <w:keepNext/>
        <w:keepLines/>
        <w:spacing w:before="40" w:line="259" w:lineRule="auto"/>
        <w:outlineLvl w:val="2"/>
        <w:rPr>
          <w:rFonts w:cs="Arial"/>
          <w:b/>
          <w:color w:val="FF0000"/>
          <w:szCs w:val="20"/>
        </w:rPr>
      </w:pPr>
    </w:p>
    <w:p w:rsidR="009B7BE9" w:rsidRPr="0063706C" w:rsidRDefault="009B7BE9" w:rsidP="009B7BE9">
      <w:pPr>
        <w:spacing w:after="160" w:line="259" w:lineRule="auto"/>
        <w:jc w:val="both"/>
        <w:rPr>
          <w:rFonts w:eastAsia="Calibri" w:cs="Arial"/>
          <w:b/>
          <w:color w:val="FF0000"/>
          <w:szCs w:val="20"/>
        </w:rPr>
      </w:pPr>
      <w:r w:rsidRPr="00873266">
        <w:rPr>
          <w:rFonts w:eastAsia="Calibri" w:cs="Arial"/>
          <w:b/>
          <w:szCs w:val="20"/>
        </w:rPr>
        <w:t>Dogovori za razvoj regij</w:t>
      </w:r>
      <w:r w:rsidR="00873266" w:rsidRPr="00873266">
        <w:rPr>
          <w:rFonts w:eastAsia="Calibri" w:cs="Arial"/>
          <w:b/>
          <w:szCs w:val="20"/>
        </w:rPr>
        <w:t xml:space="preserve"> (DRR)</w:t>
      </w:r>
      <w:r w:rsidR="0063706C">
        <w:rPr>
          <w:rFonts w:eastAsia="Calibri" w:cs="Arial"/>
          <w:b/>
          <w:szCs w:val="20"/>
        </w:rPr>
        <w:t xml:space="preserve"> </w:t>
      </w:r>
    </w:p>
    <w:p w:rsidR="009B7BE9" w:rsidRPr="009B7BE9"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EKP</w:t>
      </w:r>
      <w:r w:rsidRPr="009B7BE9">
        <w:rPr>
          <w:rFonts w:eastAsia="Calibri" w:cs="Arial"/>
          <w:szCs w:val="20"/>
        </w:rPr>
        <w:t xml:space="preserve"> s pristopom endogene regionalne politike ‒ t. i. dogovori za razvoj regij (DRR) naj bi se smiselno zagotovilo zagotavljanje sredstev za naložbe po načelu od spodaj navzgor. Prvo povabilo za pripravo DRR je bilo objavljeno novembra 2015, v tem okviru pa se je opredelilo skupaj 29 projektov, ki bi bili lahko potencialno sofinancirani na podlagi OP, od katerih je OU za dva izdal odločitev o podpori. Drugo povabilo za pripravo DRR je bilo objavljeno novembra 2017, v tem okviru pa se je opredelilo 212 projektov. Dogovori z vsemi razvojnimi regijami so bili podpisani v letu 2018. Vsi projekti, uvrščeni v dogovore, za razvoj regij imajo možnost, da se potrdijo na podlagi neposredne potrditve projekta (operacije). V naslednjih korakih bodo upravičenci (v primeru upravičencev, ki so neposredni proračunski uporabniki identificiran tudi možen kadrovski primanjkljaj pri pripravi projektov) poslali PO vloge za odločitev o podpori. Zaradi velikega števila projektov, ki bodo potrjeni na podlagi neposredne potrditve operacije, bo pri PO in na OU nastalo ozko grlo. Zato je treba zagotoviti ustrezne kadrovske vire za hitro in strokovno odzivnost v procesih izbora operacij oz. odločanja o podpori (z notranjimi prerazporeditvami obstoječih zaposlenih),</w:t>
      </w:r>
      <w:r w:rsidRPr="009B7BE9">
        <w:rPr>
          <w:rFonts w:cs="Arial"/>
          <w:szCs w:val="20"/>
        </w:rPr>
        <w:t xml:space="preserve"> </w:t>
      </w:r>
      <w:r w:rsidRPr="009B7BE9">
        <w:rPr>
          <w:rFonts w:eastAsia="Calibri" w:cs="Arial"/>
          <w:szCs w:val="20"/>
        </w:rPr>
        <w:t>hkrati pa optimizirati postopek dodeljevanja v prihodnje (javni poziv, javni razpis ali podobno).</w:t>
      </w:r>
    </w:p>
    <w:tbl>
      <w:tblPr>
        <w:tblStyle w:val="Tabelamrea3"/>
        <w:tblW w:w="5022" w:type="pct"/>
        <w:tblLook w:val="04A0" w:firstRow="1" w:lastRow="0" w:firstColumn="1" w:lastColumn="0" w:noHBand="0" w:noVBand="1"/>
      </w:tblPr>
      <w:tblGrid>
        <w:gridCol w:w="3579"/>
        <w:gridCol w:w="8670"/>
        <w:gridCol w:w="1274"/>
        <w:gridCol w:w="1328"/>
      </w:tblGrid>
      <w:tr w:rsidR="00364960" w:rsidRPr="00873266" w:rsidTr="00364960">
        <w:tc>
          <w:tcPr>
            <w:tcW w:w="1205"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Težave</w:t>
            </w:r>
          </w:p>
        </w:tc>
        <w:tc>
          <w:tcPr>
            <w:tcW w:w="2919"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Rešitve</w:t>
            </w:r>
          </w:p>
        </w:tc>
        <w:tc>
          <w:tcPr>
            <w:tcW w:w="429"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Nosilec</w:t>
            </w:r>
          </w:p>
        </w:tc>
        <w:tc>
          <w:tcPr>
            <w:tcW w:w="447" w:type="pct"/>
            <w:shd w:val="clear" w:color="auto" w:fill="F2F2F2" w:themeFill="background1" w:themeFillShade="F2"/>
            <w:vAlign w:val="center"/>
          </w:tcPr>
          <w:p w:rsidR="00364960" w:rsidRPr="00873266" w:rsidRDefault="00364960" w:rsidP="009B7BE9">
            <w:pPr>
              <w:spacing w:line="240" w:lineRule="auto"/>
              <w:jc w:val="center"/>
              <w:rPr>
                <w:rFonts w:cs="Arial"/>
                <w:b/>
                <w:sz w:val="20"/>
                <w:szCs w:val="20"/>
              </w:rPr>
            </w:pPr>
            <w:r w:rsidRPr="00873266">
              <w:rPr>
                <w:rFonts w:cs="Arial"/>
                <w:b/>
                <w:sz w:val="20"/>
                <w:szCs w:val="20"/>
              </w:rPr>
              <w:t>Rok</w:t>
            </w:r>
          </w:p>
        </w:tc>
      </w:tr>
      <w:tr w:rsidR="00364960" w:rsidRPr="009B7BE9" w:rsidTr="00364960">
        <w:trPr>
          <w:trHeight w:val="3083"/>
        </w:trPr>
        <w:tc>
          <w:tcPr>
            <w:tcW w:w="1205" w:type="pct"/>
          </w:tcPr>
          <w:p w:rsidR="00364960" w:rsidRPr="009B7BE9" w:rsidRDefault="00364960" w:rsidP="009B7BE9">
            <w:pPr>
              <w:spacing w:line="240" w:lineRule="auto"/>
              <w:rPr>
                <w:rFonts w:cs="Arial"/>
                <w:i/>
                <w:sz w:val="20"/>
                <w:szCs w:val="20"/>
              </w:rPr>
            </w:pPr>
            <w:r w:rsidRPr="009B7BE9">
              <w:rPr>
                <w:rFonts w:cs="Arial"/>
                <w:i/>
                <w:sz w:val="20"/>
                <w:szCs w:val="20"/>
              </w:rPr>
              <w:t>Ključni ugotovljeni problemi</w:t>
            </w:r>
            <w:r w:rsidRPr="009B7BE9">
              <w:rPr>
                <w:rFonts w:cs="Arial"/>
                <w:sz w:val="20"/>
                <w:szCs w:val="20"/>
              </w:rPr>
              <w:t xml:space="preserve"> </w:t>
            </w:r>
            <w:r w:rsidRPr="009B7BE9">
              <w:rPr>
                <w:rFonts w:cs="Arial"/>
                <w:i/>
                <w:sz w:val="20"/>
                <w:szCs w:val="20"/>
              </w:rPr>
              <w:t>izvajanja OP s pristopom endogene regionalne politike:</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neustrezna pripravljenost projektov v fazi priprave DRR,</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le možnost postopkov neposredne potrditve operacij (skladno z ZSRR-2), ki onemogoča izvedbeno prilagodljivost glede na specifične situacije za pospešitev črpanja.</w:t>
            </w:r>
          </w:p>
        </w:tc>
        <w:tc>
          <w:tcPr>
            <w:tcW w:w="2919" w:type="pct"/>
          </w:tcPr>
          <w:p w:rsidR="00364960" w:rsidRPr="009B7BE9" w:rsidRDefault="00364960" w:rsidP="00364960">
            <w:pPr>
              <w:tabs>
                <w:tab w:val="left" w:pos="456"/>
              </w:tabs>
              <w:spacing w:line="240" w:lineRule="auto"/>
              <w:ind w:left="318" w:hanging="284"/>
              <w:rPr>
                <w:rFonts w:cs="Arial"/>
                <w:i/>
                <w:sz w:val="20"/>
                <w:szCs w:val="20"/>
              </w:rPr>
            </w:pPr>
            <w:r w:rsidRPr="009B7BE9">
              <w:rPr>
                <w:rFonts w:cs="Arial"/>
                <w:i/>
                <w:sz w:val="20"/>
                <w:szCs w:val="20"/>
              </w:rPr>
              <w:t>Aktivnosti:</w:t>
            </w:r>
          </w:p>
          <w:p w:rsidR="00364960" w:rsidRPr="009B7BE9" w:rsidRDefault="00364960" w:rsidP="00364960">
            <w:pPr>
              <w:numPr>
                <w:ilvl w:val="0"/>
                <w:numId w:val="11"/>
              </w:numPr>
              <w:tabs>
                <w:tab w:val="left" w:pos="456"/>
              </w:tabs>
              <w:spacing w:after="120" w:line="240" w:lineRule="auto"/>
              <w:ind w:left="318" w:hanging="284"/>
              <w:rPr>
                <w:rFonts w:cs="Arial"/>
                <w:i/>
                <w:sz w:val="20"/>
                <w:szCs w:val="20"/>
              </w:rPr>
            </w:pPr>
            <w:r w:rsidRPr="009B7BE9">
              <w:rPr>
                <w:rFonts w:cs="Arial"/>
                <w:i/>
                <w:sz w:val="20"/>
                <w:szCs w:val="20"/>
              </w:rPr>
              <w:t>potrebno urediti kadrovsko zasedenost, da bo mogoč hiter odziv na vloge, ki jih pošljejo upravičenci,</w:t>
            </w:r>
          </w:p>
          <w:p w:rsidR="00364960" w:rsidRPr="009B7BE9" w:rsidRDefault="00364960" w:rsidP="00364960">
            <w:pPr>
              <w:numPr>
                <w:ilvl w:val="0"/>
                <w:numId w:val="11"/>
              </w:numPr>
              <w:tabs>
                <w:tab w:val="left" w:pos="456"/>
              </w:tabs>
              <w:spacing w:after="120" w:line="240" w:lineRule="auto"/>
              <w:ind w:left="318" w:hanging="284"/>
              <w:rPr>
                <w:rFonts w:cs="Arial"/>
                <w:i/>
                <w:sz w:val="20"/>
                <w:szCs w:val="20"/>
              </w:rPr>
            </w:pPr>
            <w:r w:rsidRPr="009B7BE9">
              <w:rPr>
                <w:rFonts w:cs="Arial"/>
                <w:i/>
                <w:sz w:val="20"/>
                <w:szCs w:val="20"/>
              </w:rPr>
              <w:t>v fazi priprave DRR se kot minimalno merilo za uvrščanje projektov v DRR določi popolna tehnična, administrativna in vsebinska pripravljenost projektov (vključno s popolnoma pripravljeno projektno in investicijsko dokumentacijo, zagotovljenimi vsemi upravnimi in drugimi dovoljenji za izvedbo ter zagotovljenimi zemljišči, kjer to relevantno),</w:t>
            </w:r>
          </w:p>
          <w:p w:rsidR="00364960" w:rsidRPr="009B7BE9" w:rsidRDefault="00364960" w:rsidP="00364960">
            <w:pPr>
              <w:numPr>
                <w:ilvl w:val="0"/>
                <w:numId w:val="11"/>
              </w:numPr>
              <w:tabs>
                <w:tab w:val="left" w:pos="456"/>
              </w:tabs>
              <w:spacing w:after="120" w:line="240" w:lineRule="auto"/>
              <w:ind w:left="318" w:hanging="284"/>
              <w:rPr>
                <w:rFonts w:cs="Arial"/>
                <w:i/>
                <w:sz w:val="20"/>
                <w:szCs w:val="20"/>
              </w:rPr>
            </w:pPr>
            <w:r w:rsidRPr="009B7BE9">
              <w:rPr>
                <w:rFonts w:cs="Arial"/>
                <w:i/>
                <w:sz w:val="20"/>
                <w:szCs w:val="20"/>
              </w:rPr>
              <w:t xml:space="preserve">za naslednje programsko obdobje priprava in predložitev spremembe normativnih podlag spodbujanja skladnega regionalnega razvoja ter endogene regionalne politike, ki odpravijo vsakršno urejanje aktivnosti udeležencev in te izhajajo iz opisov sistema upravljanja in nadzora izvajanja evropske kohezijske politike, kot na primer izvajanje neposrednih potrditev operacij ipd. (to se ureja v </w:t>
            </w:r>
            <w:r w:rsidRPr="00436DBD">
              <w:rPr>
                <w:rFonts w:cs="Arial"/>
                <w:i/>
                <w:sz w:val="20"/>
                <w:szCs w:val="20"/>
              </w:rPr>
              <w:t>normativnem okviru, ki ga opredeli OU).</w:t>
            </w:r>
          </w:p>
        </w:tc>
        <w:tc>
          <w:tcPr>
            <w:tcW w:w="429" w:type="pct"/>
          </w:tcPr>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OU, MGRT, M</w:t>
            </w:r>
            <w:r>
              <w:rPr>
                <w:rFonts w:cs="Arial"/>
                <w:i/>
                <w:sz w:val="20"/>
                <w:szCs w:val="20"/>
              </w:rPr>
              <w:t>Z</w:t>
            </w:r>
            <w:r w:rsidRPr="009B7BE9">
              <w:rPr>
                <w:rFonts w:cs="Arial"/>
                <w:i/>
                <w:sz w:val="20"/>
                <w:szCs w:val="20"/>
              </w:rPr>
              <w:t>I, MOP</w:t>
            </w:r>
          </w:p>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MGRT</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Default="00364960" w:rsidP="009B7BE9">
            <w:pPr>
              <w:spacing w:line="240" w:lineRule="auto"/>
              <w:rPr>
                <w:rFonts w:cs="Arial"/>
                <w:i/>
                <w:sz w:val="20"/>
                <w:szCs w:val="20"/>
              </w:rPr>
            </w:pPr>
          </w:p>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MGRT</w:t>
            </w:r>
          </w:p>
        </w:tc>
        <w:tc>
          <w:tcPr>
            <w:tcW w:w="447" w:type="pct"/>
          </w:tcPr>
          <w:p w:rsidR="00364960" w:rsidRDefault="00364960" w:rsidP="009B7BE9">
            <w:pPr>
              <w:spacing w:line="240" w:lineRule="auto"/>
              <w:jc w:val="center"/>
              <w:rPr>
                <w:rFonts w:cs="Arial"/>
                <w:b/>
                <w:i/>
                <w:color w:val="00B050"/>
                <w:sz w:val="20"/>
                <w:szCs w:val="20"/>
              </w:rPr>
            </w:pPr>
          </w:p>
          <w:p w:rsidR="00364960" w:rsidRPr="00CF5B18" w:rsidRDefault="00364960" w:rsidP="009B7BE9">
            <w:pPr>
              <w:spacing w:line="240" w:lineRule="auto"/>
              <w:jc w:val="center"/>
              <w:rPr>
                <w:rFonts w:cs="Arial"/>
                <w:i/>
                <w:sz w:val="20"/>
                <w:szCs w:val="20"/>
              </w:rPr>
            </w:pPr>
            <w:r w:rsidRPr="00CF5B18">
              <w:rPr>
                <w:rFonts w:cs="Arial"/>
                <w:i/>
                <w:sz w:val="20"/>
                <w:szCs w:val="20"/>
              </w:rPr>
              <w:t>1. četrtletje 2019</w:t>
            </w:r>
          </w:p>
          <w:p w:rsidR="00364960" w:rsidRDefault="00364960" w:rsidP="009B7BE9">
            <w:pPr>
              <w:spacing w:line="240" w:lineRule="auto"/>
              <w:jc w:val="center"/>
              <w:rPr>
                <w:rFonts w:cs="Arial"/>
                <w:i/>
                <w:sz w:val="20"/>
                <w:szCs w:val="20"/>
              </w:rPr>
            </w:pPr>
          </w:p>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Pri naslednjem javnem povabilu</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Leto 2019</w:t>
            </w:r>
          </w:p>
        </w:tc>
      </w:tr>
    </w:tbl>
    <w:p w:rsidR="00364960" w:rsidRDefault="00364960">
      <w:pPr>
        <w:spacing w:line="240" w:lineRule="auto"/>
        <w:rPr>
          <w:rFonts w:cs="Arial"/>
          <w:b/>
          <w:color w:val="0070C0"/>
          <w:szCs w:val="20"/>
        </w:rPr>
      </w:pPr>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eastAsia="Calibri" w:cs="Arial"/>
          <w:b/>
          <w:szCs w:val="20"/>
        </w:rPr>
      </w:pPr>
      <w:r w:rsidRPr="001661C2">
        <w:rPr>
          <w:rFonts w:cs="Arial"/>
          <w:b/>
          <w:color w:val="0070C0"/>
          <w:szCs w:val="20"/>
        </w:rPr>
        <w:t>Realizacija</w:t>
      </w:r>
      <w:r>
        <w:rPr>
          <w:rFonts w:eastAsia="Calibri" w:cs="Arial"/>
          <w:b/>
          <w:szCs w:val="20"/>
        </w:rPr>
        <w:t xml:space="preserve"> </w:t>
      </w:r>
    </w:p>
    <w:p w:rsidR="00364960" w:rsidRDefault="00364960">
      <w:pPr>
        <w:spacing w:line="240" w:lineRule="auto"/>
        <w:rPr>
          <w:rFonts w:eastAsia="Calibri" w:cs="Arial"/>
          <w:b/>
          <w:szCs w:val="20"/>
        </w:rPr>
      </w:pPr>
    </w:p>
    <w:p w:rsidR="00387754" w:rsidRPr="00FC3157" w:rsidRDefault="00364960" w:rsidP="00387754">
      <w:pPr>
        <w:spacing w:line="240" w:lineRule="auto"/>
        <w:jc w:val="both"/>
        <w:rPr>
          <w:i/>
          <w:szCs w:val="20"/>
        </w:rPr>
      </w:pPr>
      <w:r w:rsidRPr="00CF5B18">
        <w:rPr>
          <w:szCs w:val="20"/>
        </w:rPr>
        <w:t>(i) Oblikovanje delovne skupine za izvaja</w:t>
      </w:r>
      <w:r w:rsidR="00CF5B18">
        <w:rPr>
          <w:szCs w:val="20"/>
        </w:rPr>
        <w:t xml:space="preserve">nje aktivnosti MGRT na PN 3.1. </w:t>
      </w:r>
      <w:r w:rsidRPr="00CF5B18">
        <w:rPr>
          <w:szCs w:val="20"/>
        </w:rPr>
        <w:t>MOP je opravilo pregled stanja in pripravilo predloge za poenostavitev izvajanja nekaterih nalog in izvedlo notranje prerazporeditve kadrov.</w:t>
      </w:r>
      <w:r w:rsidR="00387754" w:rsidRPr="00387754">
        <w:rPr>
          <w:szCs w:val="20"/>
        </w:rPr>
        <w:t xml:space="preserve"> MZI je opravilo pregled stanja in izvedlo notranje prerazporeditve kadrov za MZI v vlogi </w:t>
      </w:r>
      <w:r w:rsidR="00CC3A9E">
        <w:rPr>
          <w:szCs w:val="20"/>
        </w:rPr>
        <w:t>PO</w:t>
      </w:r>
      <w:r w:rsidR="00387754" w:rsidRPr="00387754">
        <w:rPr>
          <w:szCs w:val="20"/>
        </w:rPr>
        <w:t xml:space="preserve">. Poleg MZI je velik del teh operacij vezan na Direkcijo RS za infrastrukturo, ki je organ v sestavi MZI, in bo nastopala v vlogi upravičenca. </w:t>
      </w:r>
      <w:r w:rsidR="00387754" w:rsidRPr="00FC3157">
        <w:rPr>
          <w:szCs w:val="20"/>
        </w:rPr>
        <w:t>M</w:t>
      </w:r>
      <w:r w:rsidR="00326B37">
        <w:rPr>
          <w:szCs w:val="20"/>
        </w:rPr>
        <w:t>ZI</w:t>
      </w:r>
      <w:r w:rsidR="00387754" w:rsidRPr="00FC3157">
        <w:rPr>
          <w:szCs w:val="20"/>
        </w:rPr>
        <w:t xml:space="preserve"> posebej poudarja, da je z</w:t>
      </w:r>
      <w:r w:rsidR="00387754" w:rsidRPr="00326B37">
        <w:rPr>
          <w:szCs w:val="20"/>
        </w:rPr>
        <w:t>a ureditev</w:t>
      </w:r>
      <w:r w:rsidR="00387754" w:rsidRPr="00387754">
        <w:rPr>
          <w:szCs w:val="20"/>
        </w:rPr>
        <w:t xml:space="preserve"> teh delovnih mest potrebno najprej spremeniti 21(1).čl. </w:t>
      </w:r>
      <w:r w:rsidR="00387754" w:rsidRPr="00FC3157">
        <w:rPr>
          <w:i/>
          <w:szCs w:val="20"/>
        </w:rPr>
        <w:t>Uredbe o porabi sredstev evropske kohezijske politike v Republiki Sloveniji v programskem obdobju 2014–2020 za cilj naložbe za rast in delovna mesta</w:t>
      </w:r>
      <w:r w:rsidR="00387754">
        <w:rPr>
          <w:i/>
          <w:szCs w:val="20"/>
        </w:rPr>
        <w:t xml:space="preserve"> </w:t>
      </w:r>
      <w:r w:rsidR="00387754" w:rsidRPr="00FC3157">
        <w:rPr>
          <w:szCs w:val="20"/>
        </w:rPr>
        <w:t>ali najti dru</w:t>
      </w:r>
      <w:r w:rsidR="009A3734" w:rsidRPr="00FC3157">
        <w:rPr>
          <w:szCs w:val="20"/>
        </w:rPr>
        <w:t xml:space="preserve">go sistemsko rešitev. </w:t>
      </w:r>
      <w:r w:rsidR="00387754" w:rsidRPr="00326B37">
        <w:rPr>
          <w:szCs w:val="20"/>
        </w:rPr>
        <w:t>.</w:t>
      </w:r>
    </w:p>
    <w:p w:rsidR="00364960" w:rsidRPr="00CF5B18" w:rsidRDefault="00364960" w:rsidP="00364960">
      <w:pPr>
        <w:spacing w:line="240" w:lineRule="auto"/>
        <w:rPr>
          <w:szCs w:val="20"/>
        </w:rPr>
      </w:pPr>
      <w:r w:rsidRPr="00CF5B18">
        <w:rPr>
          <w:szCs w:val="20"/>
        </w:rPr>
        <w:t>(ii) V največji možni meri realizirano v 2. povabilu razvojnim svetom regij in podpisanih dogovorih za razvoj regij in njihovih dopolnitvah v vseh 12 razvojnih regijah z določitvijo rokov za odložne pogoje.</w:t>
      </w:r>
    </w:p>
    <w:p w:rsidR="00CF5B18" w:rsidRPr="00CF5B18" w:rsidRDefault="00364960" w:rsidP="00CF5B18">
      <w:pPr>
        <w:spacing w:line="240" w:lineRule="auto"/>
        <w:jc w:val="both"/>
        <w:rPr>
          <w:rFonts w:cs="Arial"/>
          <w:szCs w:val="20"/>
        </w:rPr>
      </w:pPr>
      <w:r w:rsidRPr="00CF5B18">
        <w:rPr>
          <w:szCs w:val="20"/>
        </w:rPr>
        <w:t xml:space="preserve">(iii) </w:t>
      </w:r>
      <w:r w:rsidR="00CF5B18" w:rsidRPr="00CF5B18">
        <w:rPr>
          <w:szCs w:val="20"/>
        </w:rPr>
        <w:t xml:space="preserve">Spremembe ZSRR-2 – v proučevanju. V zvezi s celovitejšim naslavljanjem različnih ozemelj v 2021–2027 je bil izveden sestanek med MGRT in SVRK na temo gradiva za pripravo regionalnih razvojnih programov za obdobje 2021–2027. V okviru sestanka je bilo dogovorjeno, da se skupaj pripravi celovit koncept naslavljanja različnih ozemelj za obdobje po 2020, ki bo temeljil na razvojnih regijah (raven NUTS III), upošteval strategijo prostorskega razvoja Slovenije (ki je v pripravi) in </w:t>
      </w:r>
      <w:r w:rsidR="00CF5B18" w:rsidRPr="00CF5B18">
        <w:rPr>
          <w:szCs w:val="20"/>
        </w:rPr>
        <w:lastRenderedPageBreak/>
        <w:t xml:space="preserve">omogočal ukrepanje iz (kombinacije) različnih programov, virov, ki so/bodo na razpolago, na učinkovitejši način (optimizacija postopkov dodeljevanja, izogib predolgim večfaznim postopkom in upravno zahtevnemu postopku neposredne potrditve operacije na več različnih organih). Gradivo je še v pripravi.   </w:t>
      </w:r>
    </w:p>
    <w:p w:rsidR="0053381D" w:rsidRDefault="0053381D">
      <w:pPr>
        <w:spacing w:line="240" w:lineRule="auto"/>
        <w:rPr>
          <w:rFonts w:eastAsia="Calibri" w:cs="Arial"/>
          <w:b/>
          <w:szCs w:val="20"/>
        </w:rPr>
      </w:pPr>
      <w:r>
        <w:rPr>
          <w:rFonts w:eastAsia="Calibri" w:cs="Arial"/>
          <w:b/>
          <w:szCs w:val="20"/>
        </w:rPr>
        <w:br w:type="page"/>
      </w:r>
    </w:p>
    <w:p w:rsidR="009B7BE9" w:rsidRPr="00873266" w:rsidRDefault="009B7BE9" w:rsidP="009B7BE9">
      <w:pPr>
        <w:spacing w:after="160" w:line="259" w:lineRule="auto"/>
        <w:rPr>
          <w:rFonts w:eastAsia="Calibri" w:cs="Arial"/>
          <w:b/>
          <w:szCs w:val="20"/>
        </w:rPr>
      </w:pPr>
      <w:r w:rsidRPr="00873266">
        <w:rPr>
          <w:rFonts w:eastAsia="Calibri" w:cs="Arial"/>
          <w:b/>
          <w:szCs w:val="20"/>
        </w:rPr>
        <w:lastRenderedPageBreak/>
        <w:t>Celostne teritorialne naložbe</w:t>
      </w:r>
      <w:r w:rsidR="00873266">
        <w:rPr>
          <w:rFonts w:eastAsia="Calibri" w:cs="Arial"/>
          <w:b/>
          <w:szCs w:val="20"/>
        </w:rPr>
        <w:t xml:space="preserve"> (CTN)</w:t>
      </w:r>
    </w:p>
    <w:p w:rsidR="00D87437"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EKP</w:t>
      </w:r>
      <w:r w:rsidRPr="009B7BE9">
        <w:rPr>
          <w:rFonts w:eastAsia="Calibri" w:cs="Arial"/>
          <w:szCs w:val="20"/>
        </w:rPr>
        <w:t xml:space="preserve"> s pristopom celostnih teritorialnih naložb (CTN) se zagotavlja razvoj urbanih območij skladno s trajnostnimi urbanimi strategijami (TUS). Prvo povabilo CTN 4.1 KS (energetske sanacije) je bilo objavljeno marca 2017 in v tem okviru se je opredelilo skupaj devet projektov, ki bi bili lahko potencialno sofinancirani na podlagi OP</w:t>
      </w:r>
      <w:r w:rsidR="001F7FE9">
        <w:rPr>
          <w:rFonts w:eastAsia="Calibri" w:cs="Arial"/>
          <w:szCs w:val="20"/>
        </w:rPr>
        <w:t xml:space="preserve"> EKP</w:t>
      </w:r>
      <w:r w:rsidRPr="009B7BE9">
        <w:rPr>
          <w:rFonts w:eastAsia="Calibri" w:cs="Arial"/>
          <w:szCs w:val="20"/>
        </w:rPr>
        <w:t>. Prvo povabilo CTN 6.3 ESRR (revitalizacija degradiranih urbanih območij) je bilo objavljeno maja 2017 in v tem okviru se je opredelilo 29 projektov, ki bi bili lahko potencialno sofinancirani na podlagi OP</w:t>
      </w:r>
      <w:r w:rsidR="001F7FE9">
        <w:rPr>
          <w:rFonts w:eastAsia="Calibri" w:cs="Arial"/>
          <w:szCs w:val="20"/>
        </w:rPr>
        <w:t xml:space="preserve"> EKP</w:t>
      </w:r>
      <w:r w:rsidRPr="009B7BE9">
        <w:rPr>
          <w:rFonts w:eastAsia="Calibri" w:cs="Arial"/>
          <w:szCs w:val="20"/>
        </w:rPr>
        <w:t>. Prvo povabilo CTN 4.4 ESRR (urbana mobilnost) je bilo objavljeno oktobra 2017 in v tem okviru se je opredelilo 16 projektov, ki bi bili lahko potencialno sofinancirani na podlagi OP</w:t>
      </w:r>
      <w:r w:rsidR="001F7FE9">
        <w:rPr>
          <w:rFonts w:eastAsia="Calibri" w:cs="Arial"/>
          <w:szCs w:val="20"/>
        </w:rPr>
        <w:t xml:space="preserve"> EKP</w:t>
      </w:r>
      <w:r w:rsidRPr="009B7BE9">
        <w:rPr>
          <w:rFonts w:eastAsia="Calibri" w:cs="Arial"/>
          <w:szCs w:val="20"/>
        </w:rPr>
        <w:t xml:space="preserve">. Prvo povabilo CTN 4.4 KS (urbana mobilnost) je bilo objavljeno maja 2018 in v tem okviru se je opredelilo 17 projektov, ki bi bili lahko potencialno sofinancirani na podlagi OP. S predlaganimi ukrepi se zagotovi, da bodo projekti ustrezno pripravljeni, ko bodo poslani v odločanje o odločitvi o sofinanciranju. </w:t>
      </w:r>
    </w:p>
    <w:tbl>
      <w:tblPr>
        <w:tblStyle w:val="Tabelamrea3"/>
        <w:tblW w:w="5000" w:type="pct"/>
        <w:tblLook w:val="04A0" w:firstRow="1" w:lastRow="0" w:firstColumn="1" w:lastColumn="0" w:noHBand="0" w:noVBand="1"/>
      </w:tblPr>
      <w:tblGrid>
        <w:gridCol w:w="4525"/>
        <w:gridCol w:w="6840"/>
        <w:gridCol w:w="1792"/>
        <w:gridCol w:w="1629"/>
      </w:tblGrid>
      <w:tr w:rsidR="00364960" w:rsidRPr="001F7FE9" w:rsidTr="00364960">
        <w:tc>
          <w:tcPr>
            <w:tcW w:w="1530"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Težave</w:t>
            </w:r>
          </w:p>
        </w:tc>
        <w:tc>
          <w:tcPr>
            <w:tcW w:w="2313"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Rešitve</w:t>
            </w:r>
          </w:p>
        </w:tc>
        <w:tc>
          <w:tcPr>
            <w:tcW w:w="606"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Nosilec</w:t>
            </w:r>
          </w:p>
        </w:tc>
        <w:tc>
          <w:tcPr>
            <w:tcW w:w="551" w:type="pct"/>
            <w:shd w:val="clear" w:color="auto" w:fill="F2F2F2" w:themeFill="background1" w:themeFillShade="F2"/>
            <w:vAlign w:val="center"/>
          </w:tcPr>
          <w:p w:rsidR="00364960" w:rsidRPr="001F7FE9" w:rsidRDefault="00364960" w:rsidP="009B7BE9">
            <w:pPr>
              <w:spacing w:line="240" w:lineRule="auto"/>
              <w:jc w:val="center"/>
              <w:rPr>
                <w:rFonts w:cs="Arial"/>
                <w:b/>
                <w:sz w:val="20"/>
                <w:szCs w:val="20"/>
              </w:rPr>
            </w:pPr>
            <w:r w:rsidRPr="001F7FE9">
              <w:rPr>
                <w:rFonts w:cs="Arial"/>
                <w:b/>
                <w:sz w:val="20"/>
                <w:szCs w:val="20"/>
              </w:rPr>
              <w:t>Rok</w:t>
            </w:r>
          </w:p>
        </w:tc>
      </w:tr>
      <w:tr w:rsidR="00364960" w:rsidRPr="009B7BE9" w:rsidTr="00364960">
        <w:trPr>
          <w:trHeight w:val="3394"/>
        </w:trPr>
        <w:tc>
          <w:tcPr>
            <w:tcW w:w="1530" w:type="pct"/>
          </w:tcPr>
          <w:p w:rsidR="00364960" w:rsidRPr="009B7BE9" w:rsidRDefault="00364960" w:rsidP="009B7BE9">
            <w:pPr>
              <w:spacing w:line="240" w:lineRule="auto"/>
              <w:rPr>
                <w:rFonts w:cs="Arial"/>
                <w:i/>
                <w:sz w:val="20"/>
                <w:szCs w:val="20"/>
              </w:rPr>
            </w:pPr>
            <w:r w:rsidRPr="009B7BE9">
              <w:rPr>
                <w:rFonts w:cs="Arial"/>
                <w:i/>
                <w:sz w:val="20"/>
                <w:szCs w:val="20"/>
              </w:rPr>
              <w:t>Ključne ugotovljene težave pri</w:t>
            </w:r>
            <w:r w:rsidRPr="009B7BE9">
              <w:rPr>
                <w:rFonts w:cs="Arial"/>
                <w:sz w:val="20"/>
                <w:szCs w:val="20"/>
              </w:rPr>
              <w:t xml:space="preserve"> </w:t>
            </w:r>
            <w:r w:rsidRPr="009B7BE9">
              <w:rPr>
                <w:rFonts w:cs="Arial"/>
                <w:i/>
                <w:sz w:val="20"/>
                <w:szCs w:val="20"/>
              </w:rPr>
              <w:t>izvajanju OP s pristopom CTN:</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neustrezna pripravljenost projektov v fazi izbora na ZMOS (prva faza izbora),</w:t>
            </w:r>
          </w:p>
          <w:p w:rsidR="00364960" w:rsidRPr="009B7BE9" w:rsidRDefault="00364960" w:rsidP="00D16C0A">
            <w:pPr>
              <w:numPr>
                <w:ilvl w:val="0"/>
                <w:numId w:val="9"/>
              </w:numPr>
              <w:spacing w:line="240" w:lineRule="auto"/>
              <w:contextualSpacing/>
              <w:rPr>
                <w:rFonts w:cs="Arial"/>
                <w:i/>
                <w:sz w:val="20"/>
                <w:szCs w:val="20"/>
              </w:rPr>
            </w:pPr>
            <w:r w:rsidRPr="009B7BE9">
              <w:rPr>
                <w:rFonts w:cs="Arial"/>
                <w:i/>
                <w:sz w:val="20"/>
                <w:szCs w:val="20"/>
              </w:rPr>
              <w:t>dolgotrajno sklepanje pogodb o sofinanciranju.</w:t>
            </w:r>
          </w:p>
        </w:tc>
        <w:tc>
          <w:tcPr>
            <w:tcW w:w="2313" w:type="pct"/>
          </w:tcPr>
          <w:p w:rsidR="00364960" w:rsidRPr="009B7BE9" w:rsidRDefault="00364960" w:rsidP="009B7BE9">
            <w:pPr>
              <w:spacing w:line="240" w:lineRule="auto"/>
              <w:rPr>
                <w:rFonts w:cs="Arial"/>
                <w:i/>
                <w:sz w:val="20"/>
                <w:szCs w:val="20"/>
              </w:rPr>
            </w:pPr>
            <w:r w:rsidRPr="009B7BE9">
              <w:rPr>
                <w:rFonts w:cs="Arial"/>
                <w:i/>
                <w:sz w:val="20"/>
                <w:szCs w:val="20"/>
              </w:rPr>
              <w:t>Zagotoviti je treba:</w:t>
            </w:r>
          </w:p>
          <w:p w:rsidR="00364960" w:rsidRDefault="00364960" w:rsidP="00D16C0A">
            <w:pPr>
              <w:numPr>
                <w:ilvl w:val="0"/>
                <w:numId w:val="12"/>
              </w:numPr>
              <w:spacing w:line="240" w:lineRule="auto"/>
              <w:contextualSpacing/>
              <w:rPr>
                <w:rFonts w:cs="Arial"/>
                <w:i/>
                <w:sz w:val="20"/>
                <w:szCs w:val="20"/>
              </w:rPr>
            </w:pPr>
            <w:r w:rsidRPr="009B7BE9">
              <w:rPr>
                <w:rFonts w:cs="Arial"/>
                <w:i/>
                <w:sz w:val="20"/>
                <w:szCs w:val="20"/>
              </w:rPr>
              <w:t>v fazi prve faze izbora operacij CTN se kot minimalno merilo za uvrščanje projektov v prvo fazo izbora določi popolna tehnična, administrativna in vsebinska pripravljenost projektov (vključno s popolnoma pripravljeno projektno in investicijsko dokumentacijo, zagotovljenimi vsemi upravnimi in drugimi dovoljenji za izvedbo ter zagotovljenimi zemljišči, kjer to relevantno), s tem pa se odpravi potreba po vmesnem času za pripravo projektov med fazami izbora pri ZMOS in MOP/MZI,</w:t>
            </w:r>
          </w:p>
          <w:p w:rsidR="0053381D" w:rsidRPr="009B7BE9" w:rsidRDefault="0053381D" w:rsidP="0053381D">
            <w:pPr>
              <w:spacing w:line="240" w:lineRule="auto"/>
              <w:contextualSpacing/>
              <w:rPr>
                <w:rFonts w:cs="Arial"/>
                <w:i/>
                <w:sz w:val="20"/>
                <w:szCs w:val="20"/>
              </w:rPr>
            </w:pPr>
          </w:p>
          <w:p w:rsidR="00364960" w:rsidRPr="009B7BE9" w:rsidRDefault="00364960" w:rsidP="00D16C0A">
            <w:pPr>
              <w:numPr>
                <w:ilvl w:val="0"/>
                <w:numId w:val="12"/>
              </w:numPr>
              <w:spacing w:line="240" w:lineRule="auto"/>
              <w:contextualSpacing/>
              <w:rPr>
                <w:rFonts w:cs="Arial"/>
                <w:i/>
                <w:sz w:val="20"/>
                <w:szCs w:val="20"/>
              </w:rPr>
            </w:pPr>
            <w:r w:rsidRPr="009B7BE9">
              <w:rPr>
                <w:rFonts w:cs="Arial"/>
                <w:i/>
                <w:sz w:val="20"/>
                <w:szCs w:val="20"/>
              </w:rPr>
              <w:t>priprava spremembe podlag OU izvajanja CTN,</w:t>
            </w:r>
          </w:p>
          <w:p w:rsidR="00364960" w:rsidRPr="009B7BE9" w:rsidRDefault="00364960" w:rsidP="009B7BE9">
            <w:pPr>
              <w:spacing w:line="240" w:lineRule="auto"/>
              <w:contextualSpacing/>
              <w:rPr>
                <w:rFonts w:cs="Arial"/>
                <w:i/>
                <w:sz w:val="20"/>
                <w:szCs w:val="20"/>
              </w:rPr>
            </w:pPr>
          </w:p>
          <w:p w:rsidR="00364960" w:rsidRPr="009B7BE9" w:rsidRDefault="00364960" w:rsidP="00D16C0A">
            <w:pPr>
              <w:numPr>
                <w:ilvl w:val="0"/>
                <w:numId w:val="12"/>
              </w:numPr>
              <w:spacing w:line="240" w:lineRule="auto"/>
              <w:contextualSpacing/>
              <w:rPr>
                <w:rFonts w:cs="Arial"/>
                <w:i/>
                <w:sz w:val="20"/>
                <w:szCs w:val="20"/>
              </w:rPr>
            </w:pPr>
            <w:r w:rsidRPr="009B7BE9">
              <w:rPr>
                <w:rFonts w:cs="Arial"/>
                <w:i/>
                <w:sz w:val="20"/>
                <w:szCs w:val="20"/>
              </w:rPr>
              <w:t>priprava poenostavljenih oblik postopkov in/ali pospešitev teh od izdaje odločitve o podpori do sklepanja pogodbe o sofinanciranju.</w:t>
            </w:r>
          </w:p>
        </w:tc>
        <w:tc>
          <w:tcPr>
            <w:tcW w:w="606" w:type="pct"/>
          </w:tcPr>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ZMOS</w:t>
            </w:r>
          </w:p>
          <w:p w:rsidR="00364960" w:rsidRPr="009B7BE9" w:rsidRDefault="00364960" w:rsidP="009B7BE9">
            <w:pPr>
              <w:spacing w:line="240" w:lineRule="auto"/>
              <w:jc w:val="center"/>
              <w:rPr>
                <w:rFonts w:cs="Arial"/>
                <w:i/>
                <w:sz w:val="20"/>
                <w:szCs w:val="20"/>
              </w:rPr>
            </w:pPr>
            <w:r w:rsidRPr="009B7BE9">
              <w:rPr>
                <w:rFonts w:cs="Arial"/>
                <w:i/>
                <w:sz w:val="20"/>
                <w:szCs w:val="20"/>
              </w:rPr>
              <w:t>(ZMOS; MZI in MOP)</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OU</w:t>
            </w:r>
          </w:p>
          <w:p w:rsidR="00364960" w:rsidRPr="009B7BE9" w:rsidRDefault="00364960" w:rsidP="009B7BE9">
            <w:pPr>
              <w:spacing w:line="240" w:lineRule="auto"/>
              <w:jc w:val="center"/>
              <w:rPr>
                <w:rFonts w:cs="Arial"/>
                <w:i/>
                <w:sz w:val="20"/>
                <w:szCs w:val="20"/>
              </w:rPr>
            </w:pPr>
            <w:r w:rsidRPr="009B7BE9">
              <w:rPr>
                <w:rFonts w:cs="Arial"/>
                <w:i/>
                <w:sz w:val="20"/>
                <w:szCs w:val="20"/>
              </w:rPr>
              <w:t>(ZMOS; MZI in MOP)</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r w:rsidRPr="009B7BE9">
              <w:rPr>
                <w:rFonts w:cs="Arial"/>
                <w:i/>
                <w:sz w:val="20"/>
                <w:szCs w:val="20"/>
              </w:rPr>
              <w:t>MOP</w:t>
            </w:r>
          </w:p>
        </w:tc>
        <w:tc>
          <w:tcPr>
            <w:tcW w:w="551" w:type="pct"/>
          </w:tcPr>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jc w:val="center"/>
              <w:rPr>
                <w:rFonts w:cs="Arial"/>
                <w:i/>
                <w:sz w:val="20"/>
                <w:szCs w:val="20"/>
              </w:rPr>
            </w:pPr>
            <w:r w:rsidRPr="004018DA">
              <w:rPr>
                <w:rFonts w:cs="Arial"/>
                <w:i/>
                <w:sz w:val="20"/>
                <w:szCs w:val="20"/>
              </w:rPr>
              <w:t>1. četrtletje 2019</w:t>
            </w: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jc w:val="center"/>
              <w:rPr>
                <w:rFonts w:cs="Arial"/>
                <w:i/>
                <w:sz w:val="20"/>
                <w:szCs w:val="20"/>
              </w:rPr>
            </w:pPr>
          </w:p>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rPr>
                <w:rFonts w:cs="Arial"/>
                <w:i/>
                <w:sz w:val="20"/>
                <w:szCs w:val="20"/>
              </w:rPr>
            </w:pPr>
          </w:p>
          <w:p w:rsidR="00364960" w:rsidRPr="009B7BE9" w:rsidRDefault="00364960" w:rsidP="009B7BE9">
            <w:pPr>
              <w:spacing w:line="240" w:lineRule="auto"/>
              <w:jc w:val="center"/>
              <w:rPr>
                <w:rFonts w:cs="Arial"/>
                <w:i/>
                <w:sz w:val="20"/>
                <w:szCs w:val="20"/>
              </w:rPr>
            </w:pPr>
          </w:p>
          <w:p w:rsidR="00364960" w:rsidRPr="004018DA" w:rsidRDefault="00364960" w:rsidP="009B7BE9">
            <w:pPr>
              <w:spacing w:line="240" w:lineRule="auto"/>
              <w:jc w:val="center"/>
              <w:rPr>
                <w:rFonts w:cs="Arial"/>
                <w:i/>
                <w:sz w:val="20"/>
                <w:szCs w:val="20"/>
              </w:rPr>
            </w:pPr>
            <w:r w:rsidRPr="004018DA">
              <w:rPr>
                <w:rFonts w:cs="Arial"/>
                <w:i/>
                <w:sz w:val="20"/>
                <w:szCs w:val="20"/>
              </w:rPr>
              <w:t>1. četrtletje 2019</w:t>
            </w:r>
          </w:p>
          <w:p w:rsidR="00364960" w:rsidRPr="004018DA" w:rsidRDefault="00364960" w:rsidP="009B7BE9">
            <w:pPr>
              <w:spacing w:line="240" w:lineRule="auto"/>
              <w:jc w:val="center"/>
              <w:rPr>
                <w:rFonts w:cs="Arial"/>
                <w:i/>
                <w:sz w:val="20"/>
                <w:szCs w:val="20"/>
              </w:rPr>
            </w:pPr>
          </w:p>
          <w:p w:rsidR="0053381D" w:rsidRPr="004018DA" w:rsidRDefault="0053381D" w:rsidP="009B7BE9">
            <w:pPr>
              <w:spacing w:line="240" w:lineRule="auto"/>
              <w:jc w:val="center"/>
              <w:rPr>
                <w:rFonts w:cs="Arial"/>
                <w:i/>
                <w:sz w:val="20"/>
                <w:szCs w:val="20"/>
              </w:rPr>
            </w:pPr>
          </w:p>
          <w:p w:rsidR="00364960" w:rsidRPr="009B7BE9" w:rsidRDefault="00364960" w:rsidP="00164325">
            <w:pPr>
              <w:spacing w:line="240" w:lineRule="auto"/>
              <w:jc w:val="center"/>
              <w:rPr>
                <w:rFonts w:cs="Arial"/>
                <w:i/>
                <w:sz w:val="20"/>
                <w:szCs w:val="20"/>
              </w:rPr>
            </w:pPr>
            <w:r w:rsidRPr="004018DA">
              <w:rPr>
                <w:rFonts w:cs="Arial"/>
                <w:i/>
                <w:sz w:val="20"/>
                <w:szCs w:val="20"/>
              </w:rPr>
              <w:t>1. četrtletje 2019</w:t>
            </w:r>
          </w:p>
        </w:tc>
      </w:tr>
    </w:tbl>
    <w:p w:rsidR="00364960" w:rsidRDefault="00364960" w:rsidP="009B7BE9">
      <w:pPr>
        <w:keepNext/>
        <w:keepLines/>
        <w:spacing w:before="40" w:line="259" w:lineRule="auto"/>
        <w:outlineLvl w:val="2"/>
        <w:rPr>
          <w:rFonts w:cs="Arial"/>
          <w:b/>
          <w:color w:val="0070C0"/>
          <w:szCs w:val="20"/>
        </w:rPr>
      </w:pPr>
      <w:bookmarkStart w:id="22" w:name="_Toc530573491"/>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C76DDB">
        <w:rPr>
          <w:rFonts w:cs="Arial"/>
          <w:b/>
          <w:color w:val="0070C0"/>
          <w:szCs w:val="20"/>
        </w:rPr>
        <w:t>Realizacija</w:t>
      </w:r>
      <w:r>
        <w:rPr>
          <w:rFonts w:cs="Arial"/>
          <w:b/>
          <w:color w:val="0070C0"/>
          <w:szCs w:val="20"/>
        </w:rPr>
        <w:t xml:space="preserve"> </w:t>
      </w:r>
    </w:p>
    <w:p w:rsidR="00753B11" w:rsidRDefault="00753B11" w:rsidP="00753B11">
      <w:pPr>
        <w:jc w:val="both"/>
        <w:rPr>
          <w:rFonts w:cs="Arial"/>
          <w:i/>
          <w:iCs/>
          <w:color w:val="0070C0"/>
          <w:szCs w:val="20"/>
          <w:lang w:eastAsia="sl-SI"/>
        </w:rPr>
      </w:pPr>
    </w:p>
    <w:p w:rsidR="00753B11" w:rsidRPr="00CD1111" w:rsidRDefault="00753B11" w:rsidP="00753B11">
      <w:pPr>
        <w:jc w:val="both"/>
        <w:rPr>
          <w:rFonts w:cs="Arial"/>
          <w:iCs/>
          <w:szCs w:val="20"/>
          <w:lang w:eastAsia="sl-SI"/>
        </w:rPr>
      </w:pPr>
      <w:r w:rsidRPr="00CD1111">
        <w:rPr>
          <w:rFonts w:cs="Arial"/>
          <w:iCs/>
          <w:szCs w:val="20"/>
          <w:lang w:eastAsia="sl-SI"/>
        </w:rPr>
        <w:t xml:space="preserve">Na področju mehanizma CTN je narejen napredek pri potrjevanju operacij in izvedbi operacij. Do 31. marca 2019 je ZMOS objavilo 5 povabil k predložitvi vlog za vseh 11 mestnih občin, in sicer za tri prednostne naložbe, v okviru katerih se sofinancirajo operacije CTN: 4.1 </w:t>
      </w:r>
      <w:r w:rsidRPr="00CD1111">
        <w:rPr>
          <w:rFonts w:cs="Arial"/>
          <w:i/>
          <w:iCs/>
          <w:szCs w:val="20"/>
          <w:lang w:eastAsia="sl-SI"/>
        </w:rPr>
        <w:t>Spodbujanje energetske učinkovitosti</w:t>
      </w:r>
      <w:r w:rsidRPr="00CD1111">
        <w:rPr>
          <w:rFonts w:cs="Arial"/>
          <w:iCs/>
          <w:szCs w:val="20"/>
          <w:lang w:eastAsia="sl-SI"/>
        </w:rPr>
        <w:t xml:space="preserve">, 4.4 </w:t>
      </w:r>
      <w:r w:rsidR="00104136" w:rsidRPr="00CD1111">
        <w:rPr>
          <w:rFonts w:cs="Arial"/>
          <w:i/>
          <w:szCs w:val="20"/>
          <w:lang w:eastAsia="sl-SI"/>
        </w:rPr>
        <w:t>Spodbujanje nizkoogljičnih strategij za vse vrste območij, zlasti za urbana območja, vključno s spodbujanjem trajnostne multimodalne urbane mobilnosti in ustreznimi omilitvenimi prilagoditvenimi ukrepi</w:t>
      </w:r>
      <w:r w:rsidRPr="00CD1111">
        <w:rPr>
          <w:rFonts w:cs="Arial"/>
          <w:i/>
          <w:iCs/>
          <w:szCs w:val="20"/>
          <w:lang w:eastAsia="sl-SI"/>
        </w:rPr>
        <w:t xml:space="preserve"> </w:t>
      </w:r>
      <w:r w:rsidRPr="00CD1111">
        <w:rPr>
          <w:rFonts w:cs="Arial"/>
          <w:iCs/>
          <w:szCs w:val="20"/>
          <w:lang w:eastAsia="sl-SI"/>
        </w:rPr>
        <w:t xml:space="preserve">(2 povabili), 6.3 </w:t>
      </w:r>
      <w:r w:rsidRPr="00CD1111">
        <w:rPr>
          <w:rFonts w:cs="Arial"/>
          <w:i/>
          <w:iCs/>
          <w:szCs w:val="20"/>
          <w:lang w:eastAsia="sl-SI"/>
        </w:rPr>
        <w:t xml:space="preserve">Ukrepi za izboljšanje urbanega okolja, oživitev mest, sanacijo in dekontaminacijo degradiranih zemljišč </w:t>
      </w:r>
      <w:r w:rsidRPr="00CD1111">
        <w:rPr>
          <w:rFonts w:cs="Arial"/>
          <w:iCs/>
          <w:szCs w:val="20"/>
          <w:lang w:eastAsia="sl-SI"/>
        </w:rPr>
        <w:t>(2 povabili). 2. povabilo k predložitvi vlog za sofinanciranje operacij na PN 6.3. je ZMOS objavil</w:t>
      </w:r>
      <w:r w:rsidR="00104136" w:rsidRPr="00CD1111">
        <w:rPr>
          <w:rFonts w:cs="Arial"/>
          <w:iCs/>
          <w:szCs w:val="20"/>
          <w:lang w:eastAsia="sl-SI"/>
        </w:rPr>
        <w:t>o</w:t>
      </w:r>
      <w:r w:rsidRPr="00CD1111">
        <w:rPr>
          <w:rFonts w:cs="Arial"/>
          <w:iCs/>
          <w:szCs w:val="20"/>
          <w:lang w:eastAsia="sl-SI"/>
        </w:rPr>
        <w:t xml:space="preserve"> septembra 2018. V januarju 2019 je bil na skupščini ZMOS potrjen seznam izbranih operacij in sicer je bilo na povabilu uspešnih 16 operacij. V februarju 2019 se je začela 2. faza izbora operacij in sicer so mestne občine lahko pričele s predložitvijo vlog na PO MOP. </w:t>
      </w:r>
    </w:p>
    <w:p w:rsidR="00753B11" w:rsidRPr="00CD1111" w:rsidRDefault="00104136" w:rsidP="00753B11">
      <w:pPr>
        <w:jc w:val="both"/>
        <w:rPr>
          <w:rFonts w:cs="Arial"/>
          <w:iCs/>
          <w:szCs w:val="20"/>
          <w:lang w:eastAsia="sl-SI"/>
        </w:rPr>
      </w:pPr>
      <w:r w:rsidRPr="00CD1111">
        <w:rPr>
          <w:rFonts w:cs="Arial"/>
          <w:iCs/>
          <w:szCs w:val="20"/>
          <w:lang w:eastAsia="sl-SI"/>
        </w:rPr>
        <w:t xml:space="preserve">Do sedaj je </w:t>
      </w:r>
      <w:r w:rsidR="00753B11" w:rsidRPr="00CD1111">
        <w:rPr>
          <w:rFonts w:cs="Arial"/>
          <w:iCs/>
          <w:szCs w:val="20"/>
          <w:lang w:eastAsia="sl-SI"/>
        </w:rPr>
        <w:t>OU izdal odločitve o podpori za 33 operacij v skupni vrednosti 60,1 milijona evrov sredstev EU (KS in ESRR).</w:t>
      </w:r>
    </w:p>
    <w:p w:rsidR="00753B11" w:rsidRPr="00753B11" w:rsidRDefault="00753B11" w:rsidP="00753B11">
      <w:pPr>
        <w:jc w:val="both"/>
        <w:rPr>
          <w:rFonts w:cs="Arial"/>
          <w:i/>
          <w:iCs/>
          <w:color w:val="0070C0"/>
          <w:szCs w:val="20"/>
          <w:lang w:eastAsia="sl-SI"/>
        </w:rPr>
      </w:pPr>
    </w:p>
    <w:p w:rsidR="00CF5B18" w:rsidRPr="00511147" w:rsidRDefault="00CF5B18" w:rsidP="00CF5B18">
      <w:pPr>
        <w:jc w:val="both"/>
        <w:rPr>
          <w:iCs/>
          <w:szCs w:val="20"/>
        </w:rPr>
      </w:pPr>
      <w:r w:rsidRPr="00511147">
        <w:rPr>
          <w:iCs/>
          <w:szCs w:val="20"/>
        </w:rPr>
        <w:t>(i) in (iii)</w:t>
      </w:r>
      <w:r w:rsidR="00AF3A50">
        <w:rPr>
          <w:iCs/>
          <w:szCs w:val="20"/>
        </w:rPr>
        <w:t xml:space="preserve"> R</w:t>
      </w:r>
      <w:r w:rsidRPr="00511147">
        <w:rPr>
          <w:iCs/>
          <w:szCs w:val="20"/>
        </w:rPr>
        <w:t xml:space="preserve">ešitve so v pripravi – na pobudo ZMOS je predviden sestanek ministrov: OU, MF, MOP in MZI. Ob iskanju rešitev bo </w:t>
      </w:r>
      <w:r w:rsidR="00EC6351">
        <w:rPr>
          <w:iCs/>
          <w:szCs w:val="20"/>
        </w:rPr>
        <w:t>upoštevana</w:t>
      </w:r>
      <w:r w:rsidRPr="00511147">
        <w:rPr>
          <w:iCs/>
          <w:szCs w:val="20"/>
        </w:rPr>
        <w:t xml:space="preserve"> potreba </w:t>
      </w:r>
      <w:r w:rsidRPr="00511147">
        <w:rPr>
          <w:szCs w:val="20"/>
        </w:rPr>
        <w:t xml:space="preserve">po celovitejšem naslavljanju različnih ozemelj v 2021–2027, ki bo temeljilo na upoštevanju strategije prostorskega razvoja Slovenije (ki je v pripravi) in bo omogočalo ukrepanje iz </w:t>
      </w:r>
      <w:r w:rsidRPr="00511147">
        <w:rPr>
          <w:szCs w:val="20"/>
        </w:rPr>
        <w:lastRenderedPageBreak/>
        <w:t>(kombinacije) različnih programov, virov, ki so/bodo na razpolago, na učinkovitejši način (optimizacija postopkov dodeljevanja, izogib predolgim večfaznim postopkom in upravno zahtevnemu postopku neposredne potrditve operacije na več različnih organih). Gradivo glede predloga celovitejšega naslavljanja različnih ozemelj iz različnih mehanizmov (tudi CTN) je še v pripravi.</w:t>
      </w:r>
      <w:r w:rsidRPr="00511147">
        <w:rPr>
          <w:i/>
          <w:szCs w:val="20"/>
        </w:rPr>
        <w:t xml:space="preserve">   </w:t>
      </w:r>
    </w:p>
    <w:p w:rsidR="00364960" w:rsidRDefault="00364960">
      <w:pPr>
        <w:spacing w:line="240" w:lineRule="auto"/>
        <w:rPr>
          <w:rFonts w:cs="Arial"/>
          <w:b/>
          <w:color w:val="0070C0"/>
          <w:szCs w:val="20"/>
        </w:rPr>
      </w:pPr>
      <w:r>
        <w:rPr>
          <w:rFonts w:cs="Arial"/>
          <w:b/>
          <w:color w:val="0070C0"/>
          <w:szCs w:val="20"/>
        </w:rPr>
        <w:br w:type="page"/>
      </w:r>
    </w:p>
    <w:p w:rsidR="0063706C" w:rsidRPr="0063706C" w:rsidRDefault="009B7BE9" w:rsidP="009B7BE9">
      <w:pPr>
        <w:keepNext/>
        <w:keepLines/>
        <w:spacing w:before="40" w:line="259" w:lineRule="auto"/>
        <w:outlineLvl w:val="2"/>
        <w:rPr>
          <w:rFonts w:cs="Arial"/>
          <w:b/>
          <w:color w:val="FF0000"/>
          <w:szCs w:val="20"/>
        </w:rPr>
      </w:pPr>
      <w:bookmarkStart w:id="23" w:name="_Toc6992288"/>
      <w:r w:rsidRPr="001F7FE9">
        <w:rPr>
          <w:rFonts w:cs="Arial"/>
          <w:b/>
          <w:color w:val="0070C0"/>
          <w:szCs w:val="20"/>
        </w:rPr>
        <w:lastRenderedPageBreak/>
        <w:t>Analiza kot podlaga za omogočanje pogojev za 100-odstotno črpanje sredstev OP EKP do konca programskega obdobja</w:t>
      </w:r>
      <w:bookmarkEnd w:id="22"/>
      <w:bookmarkEnd w:id="23"/>
      <w:r w:rsidR="0063706C">
        <w:rPr>
          <w:rFonts w:cs="Arial"/>
          <w:b/>
          <w:color w:val="0070C0"/>
          <w:szCs w:val="20"/>
        </w:rPr>
        <w:t xml:space="preserve"> </w:t>
      </w:r>
    </w:p>
    <w:p w:rsidR="009B7BE9" w:rsidRPr="009B7BE9" w:rsidRDefault="009B7BE9" w:rsidP="009B7BE9">
      <w:pPr>
        <w:rPr>
          <w:rFonts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Opredelitev zadostnih dodatnih pravic porabe je potreben korak za strukturno prilagoditev sistema evropske kohezijske politike v Sloveniji, ki bo omogočila zadosten dvig dinamike porabe sredstev, ki bo v končni fazi omogočila 100 </w:t>
      </w:r>
      <w:r w:rsidR="001F7FE9">
        <w:rPr>
          <w:rFonts w:eastAsia="Calibri" w:cs="Arial"/>
          <w:szCs w:val="20"/>
        </w:rPr>
        <w:t>odstotno</w:t>
      </w:r>
      <w:r w:rsidRPr="009B7BE9">
        <w:rPr>
          <w:rFonts w:eastAsia="Calibri" w:cs="Arial"/>
          <w:szCs w:val="20"/>
        </w:rPr>
        <w:t xml:space="preserve"> črpanje. Povedano poenostavljeno, zaradi ostankov, ki izhajajo iz pogosto vrednostno nižje sklenjenih pogodb v primerjavi z dodeljenimi sredstvi (posledica javnega naročanja in ugodnejših ponudb od prvotno načrtovanih) ter iz pogosto vrednostno nižjih izplačil glede na sklenjene pogodbe, je treba zagotoviti dodatne pravice porabe iz proračuna RS, glede na razpoložljiva evropska sredstva, ki bodo omogočila dodelitev sredstev preko razpoložljivih sredstev OP EKP, da bodo slednja omogočila sklenitev pogodb (prevzem obveznosti), prav tako še vedno preko razpoložljivih sredstev OP EKP, da bomo posledično lahko zagotovili zahtevek za plačilo do EK v 100 </w:t>
      </w:r>
      <w:r w:rsidR="001F7FE9">
        <w:rPr>
          <w:rFonts w:eastAsia="Calibri" w:cs="Arial"/>
          <w:szCs w:val="20"/>
        </w:rPr>
        <w:t>odstotni</w:t>
      </w:r>
      <w:r w:rsidRPr="009B7BE9">
        <w:rPr>
          <w:rFonts w:eastAsia="Calibri" w:cs="Arial"/>
          <w:szCs w:val="20"/>
        </w:rPr>
        <w:t xml:space="preserve"> vrednosti razpoložljivih sredstev OP EKP. SVRK bo pripravila analizo ter jo predložila Vladi RS v odločanje najkasneje do 30. 6. 2019.  </w:t>
      </w:r>
    </w:p>
    <w:p w:rsidR="00AD0C74" w:rsidRDefault="009B7BE9" w:rsidP="009B7BE9">
      <w:pPr>
        <w:spacing w:after="160" w:line="259" w:lineRule="auto"/>
        <w:jc w:val="both"/>
        <w:rPr>
          <w:rFonts w:eastAsia="Calibri" w:cs="Arial"/>
          <w:szCs w:val="20"/>
        </w:rPr>
      </w:pPr>
      <w:r w:rsidRPr="009B7BE9">
        <w:rPr>
          <w:rFonts w:eastAsia="Calibri" w:cs="Arial"/>
          <w:szCs w:val="20"/>
        </w:rPr>
        <w:t xml:space="preserve">Določeno tveganje je povezano predvsem s potrebno povečano dinamiko koriščenja pravic porabe v letnih proračunih RS, ki pa bo obvladovano z upoštevanjem fiskalnega pravila v postopkih načrtovanja proračuna. Dodatne pravice porabe bodo izhajale iz pripravljene analize ter bodo razdeljena slede na stanje koriščenja evropskih kohezijskih sredstev na posamezni prednostni osi OP EKP/skladu/kohezijski regiji s ciljem zagotoviti 100 </w:t>
      </w:r>
      <w:r w:rsidR="001F7FE9">
        <w:rPr>
          <w:rFonts w:eastAsia="Calibri" w:cs="Arial"/>
          <w:szCs w:val="20"/>
        </w:rPr>
        <w:t>odstotno</w:t>
      </w:r>
      <w:r w:rsidRPr="009B7BE9">
        <w:rPr>
          <w:rFonts w:eastAsia="Calibri" w:cs="Arial"/>
          <w:szCs w:val="20"/>
        </w:rPr>
        <w:t xml:space="preserve"> porabo sredstev. Izhajajoč iz pripravljene analize bodo sredstva načrtovana predvidoma v letnih proračunih 2020–2023 na proračunskih postavkah EKP in sicer glede na pripravljeni INOP, v katerem bodo potrjeni dodatni projekti/programi/javni razpisi. O dodelitvi dodatnih pravic porabe bo na podlagi pripravljene analize odločala Vlada RS. </w:t>
      </w:r>
    </w:p>
    <w:tbl>
      <w:tblPr>
        <w:tblStyle w:val="Tabelamrea"/>
        <w:tblW w:w="5000" w:type="pct"/>
        <w:tblLook w:val="04A0" w:firstRow="1" w:lastRow="0" w:firstColumn="1" w:lastColumn="0" w:noHBand="0" w:noVBand="1"/>
      </w:tblPr>
      <w:tblGrid>
        <w:gridCol w:w="5208"/>
        <w:gridCol w:w="5376"/>
        <w:gridCol w:w="1304"/>
        <w:gridCol w:w="1304"/>
        <w:gridCol w:w="1594"/>
      </w:tblGrid>
      <w:tr w:rsidR="0053381D" w:rsidRPr="001F7FE9" w:rsidTr="0053381D">
        <w:tc>
          <w:tcPr>
            <w:tcW w:w="1761"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Težave</w:t>
            </w:r>
          </w:p>
        </w:tc>
        <w:tc>
          <w:tcPr>
            <w:tcW w:w="1818"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Rešitve</w:t>
            </w:r>
          </w:p>
        </w:tc>
        <w:tc>
          <w:tcPr>
            <w:tcW w:w="441"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Nosilec</w:t>
            </w:r>
          </w:p>
        </w:tc>
        <w:tc>
          <w:tcPr>
            <w:tcW w:w="441"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Rok</w:t>
            </w:r>
          </w:p>
        </w:tc>
        <w:tc>
          <w:tcPr>
            <w:tcW w:w="540" w:type="pct"/>
            <w:shd w:val="clear" w:color="auto" w:fill="F2F2F2" w:themeFill="background1" w:themeFillShade="F2"/>
            <w:vAlign w:val="center"/>
          </w:tcPr>
          <w:p w:rsidR="0053381D" w:rsidRPr="0053381D" w:rsidRDefault="0053381D" w:rsidP="009B7BE9">
            <w:pPr>
              <w:jc w:val="center"/>
              <w:rPr>
                <w:rFonts w:cs="Arial"/>
                <w:b/>
                <w:szCs w:val="20"/>
              </w:rPr>
            </w:pPr>
            <w:r w:rsidRPr="0053381D">
              <w:rPr>
                <w:rFonts w:cs="Arial"/>
                <w:b/>
                <w:szCs w:val="20"/>
              </w:rPr>
              <w:t>Tveganja za izvedbo rešitve</w:t>
            </w:r>
          </w:p>
        </w:tc>
      </w:tr>
      <w:tr w:rsidR="0053381D" w:rsidRPr="009B7BE9" w:rsidTr="0053381D">
        <w:trPr>
          <w:trHeight w:val="1333"/>
        </w:trPr>
        <w:tc>
          <w:tcPr>
            <w:tcW w:w="1761" w:type="pct"/>
          </w:tcPr>
          <w:p w:rsidR="0053381D" w:rsidRPr="0053381D" w:rsidRDefault="0053381D" w:rsidP="009B7BE9">
            <w:pPr>
              <w:spacing w:line="240" w:lineRule="auto"/>
              <w:rPr>
                <w:rFonts w:cs="Arial"/>
                <w:i/>
                <w:szCs w:val="16"/>
              </w:rPr>
            </w:pPr>
            <w:r w:rsidRPr="0053381D">
              <w:rPr>
                <w:rFonts w:cs="Arial"/>
                <w:i/>
                <w:sz w:val="22"/>
                <w:szCs w:val="16"/>
              </w:rPr>
              <w:t>Vrednostno podcenjen nabor odobrenih projektov in programov za zagotavljanje celotnega investicijskega cikla s hitrejšo dinamiko porabe ter omogočanjem pogojev za 100 % črpanje sredstev.</w:t>
            </w:r>
          </w:p>
        </w:tc>
        <w:tc>
          <w:tcPr>
            <w:tcW w:w="1818" w:type="pct"/>
          </w:tcPr>
          <w:p w:rsidR="0053381D" w:rsidRPr="0053381D" w:rsidRDefault="0053381D" w:rsidP="009B7BE9">
            <w:pPr>
              <w:rPr>
                <w:rFonts w:cs="Arial"/>
                <w:i/>
                <w:sz w:val="22"/>
                <w:szCs w:val="22"/>
              </w:rPr>
            </w:pPr>
            <w:r w:rsidRPr="0053381D">
              <w:rPr>
                <w:rFonts w:cs="Arial"/>
                <w:i/>
                <w:sz w:val="22"/>
                <w:szCs w:val="22"/>
              </w:rPr>
              <w:t>Aktivnost:</w:t>
            </w:r>
          </w:p>
          <w:p w:rsidR="0053381D" w:rsidRPr="0053381D" w:rsidRDefault="0053381D" w:rsidP="00D16C0A">
            <w:pPr>
              <w:numPr>
                <w:ilvl w:val="0"/>
                <w:numId w:val="37"/>
              </w:numPr>
              <w:spacing w:line="240" w:lineRule="auto"/>
              <w:contextualSpacing/>
              <w:rPr>
                <w:rFonts w:cs="Arial"/>
                <w:i/>
                <w:szCs w:val="16"/>
                <w:lang w:val="en-US" w:eastAsia="sl-SI"/>
              </w:rPr>
            </w:pPr>
            <w:r w:rsidRPr="0053381D">
              <w:rPr>
                <w:rFonts w:cs="Arial"/>
                <w:i/>
                <w:sz w:val="22"/>
                <w:szCs w:val="22"/>
                <w:lang w:eastAsia="sl-SI"/>
              </w:rPr>
              <w:t>OU opravi analizo razvojnih potreb in trenutno razpoložljivih sredstev za dodelitev, ki določi zadostne dodatne pravice porabe iz proračuna RS glede na prednostno os, sklad ter regijo, ki bodo omogočile dvig dinamike investicijskega cikla ter rezultirale v pogojih za končno 100 % črpanje sredstev.</w:t>
            </w:r>
          </w:p>
        </w:tc>
        <w:tc>
          <w:tcPr>
            <w:tcW w:w="441" w:type="pct"/>
          </w:tcPr>
          <w:p w:rsidR="0053381D" w:rsidRPr="0053381D" w:rsidRDefault="0053381D" w:rsidP="009B7BE9">
            <w:pPr>
              <w:jc w:val="center"/>
              <w:rPr>
                <w:rFonts w:cs="Arial"/>
                <w:i/>
                <w:sz w:val="22"/>
                <w:szCs w:val="22"/>
              </w:rPr>
            </w:pPr>
          </w:p>
          <w:p w:rsidR="0053381D" w:rsidRPr="0053381D" w:rsidRDefault="0053381D" w:rsidP="009B7BE9">
            <w:pPr>
              <w:jc w:val="center"/>
              <w:rPr>
                <w:rFonts w:cs="Arial"/>
                <w:i/>
                <w:sz w:val="22"/>
                <w:szCs w:val="22"/>
              </w:rPr>
            </w:pPr>
            <w:r w:rsidRPr="0053381D">
              <w:rPr>
                <w:rFonts w:cs="Arial"/>
                <w:i/>
                <w:sz w:val="22"/>
                <w:szCs w:val="22"/>
              </w:rPr>
              <w:t>OU</w:t>
            </w:r>
          </w:p>
        </w:tc>
        <w:tc>
          <w:tcPr>
            <w:tcW w:w="441" w:type="pct"/>
          </w:tcPr>
          <w:p w:rsidR="0053381D" w:rsidRPr="0053381D" w:rsidRDefault="0053381D" w:rsidP="009B7BE9">
            <w:pPr>
              <w:jc w:val="center"/>
              <w:rPr>
                <w:rFonts w:cs="Arial"/>
                <w:i/>
                <w:sz w:val="22"/>
                <w:szCs w:val="22"/>
              </w:rPr>
            </w:pPr>
          </w:p>
          <w:p w:rsidR="0053381D" w:rsidRPr="0053381D" w:rsidRDefault="0053381D" w:rsidP="009B7BE9">
            <w:pPr>
              <w:jc w:val="center"/>
              <w:rPr>
                <w:rFonts w:cs="Arial"/>
                <w:i/>
                <w:sz w:val="22"/>
                <w:szCs w:val="22"/>
              </w:rPr>
            </w:pPr>
            <w:r w:rsidRPr="0053381D">
              <w:rPr>
                <w:rFonts w:cs="Arial"/>
                <w:i/>
                <w:sz w:val="22"/>
                <w:szCs w:val="22"/>
              </w:rPr>
              <w:t>2. četrtletje 2019</w:t>
            </w:r>
          </w:p>
        </w:tc>
        <w:tc>
          <w:tcPr>
            <w:tcW w:w="540" w:type="pct"/>
          </w:tcPr>
          <w:p w:rsidR="0053381D" w:rsidRPr="0053381D" w:rsidRDefault="0053381D" w:rsidP="009B7BE9">
            <w:pPr>
              <w:rPr>
                <w:rFonts w:cs="Arial"/>
                <w:i/>
                <w:sz w:val="16"/>
                <w:szCs w:val="16"/>
              </w:rPr>
            </w:pPr>
          </w:p>
        </w:tc>
      </w:tr>
    </w:tbl>
    <w:p w:rsidR="009B7BE9" w:rsidRPr="009B7BE9" w:rsidRDefault="009B7BE9" w:rsidP="009B7BE9">
      <w:pPr>
        <w:rPr>
          <w:u w:val="single"/>
        </w:rPr>
      </w:pPr>
    </w:p>
    <w:p w:rsidR="0053381D" w:rsidRPr="004A67B0" w:rsidRDefault="0053381D" w:rsidP="004A67B0">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ind w:left="360" w:hanging="360"/>
        <w:rPr>
          <w:rFonts w:eastAsia="Calibri"/>
          <w:szCs w:val="20"/>
          <w:lang w:val="sl-SI"/>
        </w:rPr>
      </w:pPr>
      <w:r w:rsidRPr="004A67B0">
        <w:rPr>
          <w:b/>
          <w:color w:val="0070C0"/>
          <w:szCs w:val="20"/>
          <w:lang w:val="sl-SI"/>
        </w:rPr>
        <w:t>Realizacija</w:t>
      </w:r>
      <w:r w:rsidRPr="004A67B0">
        <w:rPr>
          <w:rFonts w:eastAsia="Calibri"/>
          <w:szCs w:val="20"/>
          <w:lang w:val="sl-SI"/>
        </w:rPr>
        <w:t xml:space="preserve"> </w:t>
      </w:r>
    </w:p>
    <w:p w:rsidR="009B7BE9" w:rsidRPr="0063706C" w:rsidRDefault="00511147" w:rsidP="0053381D">
      <w:pPr>
        <w:pStyle w:val="Odstavekseznama"/>
        <w:tabs>
          <w:tab w:val="left" w:pos="426"/>
        </w:tabs>
        <w:spacing w:after="160" w:line="259" w:lineRule="auto"/>
        <w:ind w:left="0"/>
        <w:rPr>
          <w:b/>
          <w:color w:val="FF0000"/>
          <w:szCs w:val="20"/>
          <w:lang w:val="sl-SI"/>
        </w:rPr>
      </w:pPr>
      <w:r w:rsidRPr="00511147">
        <w:rPr>
          <w:rFonts w:cs="Times New Roman"/>
          <w:szCs w:val="20"/>
          <w:lang w:val="sl-SI" w:eastAsia="en-US"/>
        </w:rPr>
        <w:t xml:space="preserve">Analiza bo pripravljena na podlagi dokončnih podatkov doseganja mejnikov konec leta 2018 (najkasneje do 30. 6. 2019), vzporedno s predlogom spremembe OP EKP 2014–2020 kar pomeni, da aktivnost ne bo realizirana do predvidenega roka.  </w:t>
      </w:r>
      <w:r w:rsidRPr="00511147">
        <w:rPr>
          <w:rFonts w:eastAsia="Calibri" w:cs="Times New Roman"/>
          <w:szCs w:val="20"/>
          <w:lang w:val="sl-SI" w:eastAsia="en-US"/>
        </w:rPr>
        <w:br w:type="page"/>
      </w:r>
      <w:bookmarkStart w:id="24" w:name="_Toc530560442"/>
      <w:r w:rsidRPr="0053381D">
        <w:rPr>
          <w:rFonts w:eastAsia="Calibri"/>
          <w:b/>
          <w:color w:val="0070C0"/>
          <w:szCs w:val="20"/>
        </w:rPr>
        <w:lastRenderedPageBreak/>
        <w:t xml:space="preserve"> </w:t>
      </w:r>
      <w:r w:rsidR="000C09D6" w:rsidRPr="0053381D">
        <w:rPr>
          <w:rFonts w:eastAsia="Calibri"/>
          <w:b/>
          <w:color w:val="0070C0"/>
          <w:szCs w:val="20"/>
        </w:rPr>
        <w:t>1.2</w:t>
      </w:r>
      <w:r w:rsidR="001F7FE9" w:rsidRPr="0053381D">
        <w:rPr>
          <w:rFonts w:eastAsia="Calibri"/>
          <w:b/>
          <w:color w:val="0070C0"/>
          <w:szCs w:val="20"/>
          <w:lang w:val="sl-SI"/>
        </w:rPr>
        <w:t xml:space="preserve"> </w:t>
      </w:r>
      <w:r w:rsidR="001F7FE9" w:rsidRPr="0053381D">
        <w:rPr>
          <w:rFonts w:eastAsia="Calibri"/>
          <w:b/>
          <w:color w:val="0070C0"/>
          <w:szCs w:val="20"/>
          <w:lang w:val="sl-SI"/>
        </w:rPr>
        <w:tab/>
      </w:r>
      <w:r w:rsidR="009B7BE9" w:rsidRPr="0053381D">
        <w:rPr>
          <w:b/>
          <w:color w:val="0070C0"/>
          <w:szCs w:val="20"/>
          <w:lang w:val="sl-SI"/>
        </w:rPr>
        <w:t>Operacije s pomembnim finančnim vplivom na izvajanje OP</w:t>
      </w:r>
      <w:bookmarkEnd w:id="24"/>
      <w:r w:rsidR="009B7BE9" w:rsidRPr="0053381D">
        <w:rPr>
          <w:b/>
          <w:color w:val="0070C0"/>
          <w:szCs w:val="20"/>
          <w:lang w:val="sl-SI"/>
        </w:rPr>
        <w:t xml:space="preserve"> EKP</w:t>
      </w:r>
      <w:r w:rsidR="0063706C">
        <w:rPr>
          <w:b/>
          <w:color w:val="0070C0"/>
          <w:szCs w:val="20"/>
          <w:lang w:val="sl-SI"/>
        </w:rPr>
        <w:t xml:space="preserve"> </w:t>
      </w:r>
    </w:p>
    <w:p w:rsidR="009B7BE9" w:rsidRPr="0053381D" w:rsidRDefault="009B7BE9" w:rsidP="009B7BE9">
      <w:pPr>
        <w:keepNext/>
        <w:keepLines/>
        <w:spacing w:before="40" w:line="259" w:lineRule="auto"/>
        <w:ind w:left="1080"/>
        <w:outlineLvl w:val="1"/>
        <w:rPr>
          <w:rFonts w:cs="Arial"/>
          <w:color w:val="2E74B5"/>
          <w:szCs w:val="20"/>
          <w:lang w:val="en-US" w:eastAsia="sl-SI"/>
        </w:rPr>
      </w:pPr>
    </w:p>
    <w:p w:rsidR="009B7BE9" w:rsidRPr="0053381D" w:rsidRDefault="009B7BE9" w:rsidP="009B7BE9">
      <w:pPr>
        <w:spacing w:after="160" w:line="259" w:lineRule="auto"/>
        <w:jc w:val="both"/>
        <w:rPr>
          <w:rFonts w:eastAsia="Calibri" w:cs="Arial"/>
          <w:szCs w:val="20"/>
        </w:rPr>
      </w:pPr>
      <w:r w:rsidRPr="0053381D">
        <w:rPr>
          <w:rFonts w:eastAsia="Calibri" w:cs="Arial"/>
          <w:szCs w:val="20"/>
        </w:rPr>
        <w:t>Opredeljene so tudi operacije s pomembnim finančnim vplivom na izvajanje OP EKP: (i) načrtovane operacije, ki glede na načrtovani rok izdaje odločitve o podpori še niso potrjene, ali (ii) operacije, za katere je odločitev o podpori izdana, se pa v daljšem časovnem obdobju ne dosega tehtnejša realizacija. Skupna vrednost prispevka EU vseh operacij s pomembnim finančnim vplivom na izvajanje OP</w:t>
      </w:r>
      <w:r w:rsidR="000A6942" w:rsidRPr="0053381D">
        <w:rPr>
          <w:rFonts w:eastAsia="Calibri" w:cs="Arial"/>
          <w:szCs w:val="20"/>
        </w:rPr>
        <w:t xml:space="preserve"> EKP</w:t>
      </w:r>
      <w:r w:rsidRPr="0053381D">
        <w:rPr>
          <w:rFonts w:eastAsia="Calibri" w:cs="Arial"/>
          <w:szCs w:val="20"/>
        </w:rPr>
        <w:t xml:space="preserve"> (v načrtovanju in izvajanju) znaša 712.961.787,78 EUR.</w:t>
      </w:r>
    </w:p>
    <w:p w:rsidR="000A6942" w:rsidRDefault="009B7BE9" w:rsidP="009B7BE9">
      <w:pPr>
        <w:keepNext/>
        <w:keepLines/>
        <w:spacing w:before="40" w:line="259" w:lineRule="auto"/>
        <w:outlineLvl w:val="2"/>
        <w:rPr>
          <w:rFonts w:cs="Arial"/>
          <w:b/>
          <w:color w:val="FF0000"/>
          <w:szCs w:val="20"/>
        </w:rPr>
      </w:pPr>
      <w:bookmarkStart w:id="25" w:name="_Toc530560443"/>
      <w:bookmarkStart w:id="26" w:name="_Toc6992289"/>
      <w:r w:rsidRPr="0053381D">
        <w:rPr>
          <w:rFonts w:cs="Arial"/>
          <w:b/>
          <w:color w:val="0070C0"/>
          <w:szCs w:val="20"/>
        </w:rPr>
        <w:t>Načrtovane operacije, ki glede na načrtovani rok izdaje odločitve o podpori še niso potrjene</w:t>
      </w:r>
      <w:bookmarkEnd w:id="25"/>
      <w:bookmarkEnd w:id="26"/>
      <w:r w:rsidR="0063706C">
        <w:rPr>
          <w:rFonts w:cs="Arial"/>
          <w:b/>
          <w:color w:val="0070C0"/>
          <w:szCs w:val="20"/>
        </w:rPr>
        <w:t xml:space="preserve"> </w:t>
      </w:r>
    </w:p>
    <w:p w:rsidR="00E54F64" w:rsidRPr="0053381D" w:rsidRDefault="00E54F64" w:rsidP="009B7BE9">
      <w:pPr>
        <w:keepNext/>
        <w:keepLines/>
        <w:spacing w:before="40" w:line="259" w:lineRule="auto"/>
        <w:outlineLvl w:val="2"/>
        <w:rPr>
          <w:rFonts w:cs="Arial"/>
          <w:b/>
          <w:color w:val="0070C0"/>
          <w:szCs w:val="20"/>
        </w:rPr>
      </w:pPr>
    </w:p>
    <w:p w:rsidR="009B7BE9" w:rsidRPr="0053381D" w:rsidRDefault="009B7BE9" w:rsidP="009B7BE9">
      <w:pPr>
        <w:spacing w:line="259" w:lineRule="auto"/>
        <w:jc w:val="both"/>
        <w:rPr>
          <w:rFonts w:eastAsia="Calibri" w:cs="Arial"/>
          <w:szCs w:val="20"/>
        </w:rPr>
      </w:pPr>
      <w:r w:rsidRPr="0053381D">
        <w:rPr>
          <w:rFonts w:eastAsia="Calibri" w:cs="Arial"/>
          <w:szCs w:val="20"/>
        </w:rPr>
        <w:t>Skupna vrednost prispevka EU za operacije s pomembnim</w:t>
      </w:r>
      <w:r w:rsidRPr="0053381D" w:rsidDel="00E054FC">
        <w:rPr>
          <w:rFonts w:eastAsia="Calibri" w:cs="Arial"/>
          <w:szCs w:val="20"/>
        </w:rPr>
        <w:t xml:space="preserve"> </w:t>
      </w:r>
      <w:r w:rsidRPr="0053381D">
        <w:rPr>
          <w:rFonts w:eastAsia="Calibri" w:cs="Arial"/>
          <w:szCs w:val="20"/>
        </w:rPr>
        <w:t>finančnim vplivom na izvajanje OP EKP v načrtovanju znaša 308.809.841 EUR, s skupno načrtovano realizacijo v letu 2018 v vrednosti 24.910.727 EUR.</w:t>
      </w:r>
    </w:p>
    <w:p w:rsidR="009B7BE9" w:rsidRPr="0053381D" w:rsidRDefault="009B7BE9" w:rsidP="009B7BE9">
      <w:pPr>
        <w:spacing w:after="160" w:line="259" w:lineRule="auto"/>
        <w:jc w:val="both"/>
        <w:rPr>
          <w:rFonts w:eastAsia="Calibri" w:cs="Arial"/>
          <w:szCs w:val="20"/>
        </w:rPr>
      </w:pPr>
      <w:r w:rsidRPr="0053381D">
        <w:rPr>
          <w:rFonts w:eastAsia="Calibri" w:cs="Arial"/>
          <w:szCs w:val="20"/>
        </w:rPr>
        <w:t>Opredeljeni so projekti (operacije), pri katerih so zaznani večji odstopi od načrtovane časovnice v INOP. Predlagana sta dva ukrepa – pospešitev priprave projektov in najmanj četrtletno spremljanje stanja glede priprave vloge in pozneje izvajanja projekta. Če se stanje načrtovanja ali priprave operacij ne bo izboljšalo, se preveri možnost realokacije sredstev EU za druge namene.</w:t>
      </w:r>
    </w:p>
    <w:tbl>
      <w:tblPr>
        <w:tblStyle w:val="Tabelamrea3"/>
        <w:tblW w:w="5000" w:type="pct"/>
        <w:tblLook w:val="04A0" w:firstRow="1" w:lastRow="0" w:firstColumn="1" w:lastColumn="0" w:noHBand="0" w:noVBand="1"/>
      </w:tblPr>
      <w:tblGrid>
        <w:gridCol w:w="1125"/>
        <w:gridCol w:w="8481"/>
        <w:gridCol w:w="2120"/>
        <w:gridCol w:w="1774"/>
        <w:gridCol w:w="1286"/>
      </w:tblGrid>
      <w:tr w:rsidR="0053381D" w:rsidRPr="0053381D" w:rsidTr="0053381D">
        <w:tc>
          <w:tcPr>
            <w:tcW w:w="380" w:type="pct"/>
            <w:shd w:val="clear" w:color="auto" w:fill="F2F2F2" w:themeFill="background1" w:themeFillShade="F2"/>
          </w:tcPr>
          <w:p w:rsidR="0053381D" w:rsidRPr="0053381D" w:rsidRDefault="0053381D" w:rsidP="009B7BE9">
            <w:pPr>
              <w:spacing w:line="240" w:lineRule="auto"/>
              <w:jc w:val="center"/>
              <w:rPr>
                <w:rFonts w:cs="Arial"/>
                <w:b/>
                <w:sz w:val="20"/>
                <w:szCs w:val="20"/>
              </w:rPr>
            </w:pPr>
            <w:r w:rsidRPr="0053381D">
              <w:rPr>
                <w:rFonts w:cs="Arial"/>
                <w:b/>
                <w:sz w:val="20"/>
                <w:szCs w:val="20"/>
              </w:rPr>
              <w:t>PO</w:t>
            </w:r>
          </w:p>
        </w:tc>
        <w:tc>
          <w:tcPr>
            <w:tcW w:w="2868"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Težave</w:t>
            </w:r>
          </w:p>
        </w:tc>
        <w:tc>
          <w:tcPr>
            <w:tcW w:w="717"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Rešitve</w:t>
            </w:r>
          </w:p>
        </w:tc>
        <w:tc>
          <w:tcPr>
            <w:tcW w:w="600"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Nosilec</w:t>
            </w:r>
          </w:p>
        </w:tc>
        <w:tc>
          <w:tcPr>
            <w:tcW w:w="435" w:type="pct"/>
            <w:shd w:val="clear" w:color="auto" w:fill="F2F2F2" w:themeFill="background1" w:themeFillShade="F2"/>
            <w:vAlign w:val="center"/>
          </w:tcPr>
          <w:p w:rsidR="0053381D" w:rsidRPr="0053381D" w:rsidRDefault="0053381D" w:rsidP="009B7BE9">
            <w:pPr>
              <w:spacing w:line="240" w:lineRule="auto"/>
              <w:jc w:val="center"/>
              <w:rPr>
                <w:rFonts w:cs="Arial"/>
                <w:b/>
                <w:sz w:val="20"/>
                <w:szCs w:val="20"/>
              </w:rPr>
            </w:pPr>
            <w:r w:rsidRPr="0053381D">
              <w:rPr>
                <w:rFonts w:cs="Arial"/>
                <w:b/>
                <w:sz w:val="20"/>
                <w:szCs w:val="20"/>
              </w:rPr>
              <w:t>Rok</w:t>
            </w:r>
          </w:p>
        </w:tc>
      </w:tr>
      <w:tr w:rsidR="0053381D" w:rsidRPr="0053381D" w:rsidTr="0053381D">
        <w:trPr>
          <w:trHeight w:val="3897"/>
        </w:trPr>
        <w:tc>
          <w:tcPr>
            <w:tcW w:w="380" w:type="pct"/>
          </w:tcPr>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p w:rsidR="0053381D" w:rsidRDefault="0053381D" w:rsidP="009B7BE9">
            <w:pPr>
              <w:spacing w:line="240" w:lineRule="auto"/>
              <w:contextualSpacing/>
              <w:jc w:val="center"/>
              <w:rPr>
                <w:rFonts w:cs="Arial"/>
                <w:sz w:val="20"/>
                <w:szCs w:val="20"/>
              </w:rPr>
            </w:pPr>
          </w:p>
          <w:p w:rsidR="0053381D" w:rsidRPr="0053381D" w:rsidRDefault="0053381D" w:rsidP="0053381D">
            <w:pPr>
              <w:spacing w:line="240" w:lineRule="auto"/>
              <w:contextualSpacing/>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p w:rsidR="0053381D" w:rsidRPr="0053381D" w:rsidRDefault="0053381D" w:rsidP="009B7BE9">
            <w:pPr>
              <w:spacing w:line="240" w:lineRule="auto"/>
              <w:contextualSpacing/>
              <w:jc w:val="center"/>
              <w:rPr>
                <w:rFonts w:cs="Arial"/>
                <w:sz w:val="20"/>
                <w:szCs w:val="20"/>
              </w:rPr>
            </w:pPr>
          </w:p>
          <w:p w:rsidR="0053381D" w:rsidRDefault="0053381D" w:rsidP="009B7BE9">
            <w:pPr>
              <w:spacing w:line="240" w:lineRule="auto"/>
              <w:contextualSpacing/>
              <w:jc w:val="center"/>
              <w:rPr>
                <w:rFonts w:cs="Arial"/>
                <w:sz w:val="20"/>
                <w:szCs w:val="20"/>
              </w:rPr>
            </w:pPr>
          </w:p>
          <w:p w:rsid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p w:rsid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MZI</w:t>
            </w:r>
          </w:p>
        </w:tc>
        <w:tc>
          <w:tcPr>
            <w:tcW w:w="2868" w:type="pct"/>
          </w:tcPr>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5.1: Protipoplavna ureditev porečja Selške Sore (do kraja Dolenja vas) – zmanjševanje poplavne ogroženosti OPVP Železniki, upravičenec: DRSV, vrednost prispevka EU skupaj: 17.975.449 EUR, načrtovana realizacija v letu 2018: 407.000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6.2: več konkretnih projektov na PN 6.2 (Natura 2000), različni upravičenci, vrednost prispevka EU skupaj: 30.166.372 EUR, načrtovana realizacija v letu 2018: 3.934.236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7.1: Izgradnja ureditve vozlišča z ureditvijo železniške postaje Pragersko (Nadgradnja vozlišča Pragersko), upravičenec: DRSI, vrednost prispevka EU skupaj: 40.000.000 EUR, načrtovana realizacija v letu 2018: 8.800.000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7.1: Nadgradnja obstoječe enotirne proge Maribor‒Šentilj‒d. m. z novimi objekti na odseku Maribor‒Pesnica (Nadgradnja proge Maribor‒Šentilj), upravičenec: DRSI, vrednost prispevka EU skupaj: 101.000.000 EUR, načrtovana realizacija v letu 2018: 11.769.491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7.1: 2. tir Divača–Koper, upravičenec: 2TDK, vrednost prispevka EU skupaj: 80.000.000 EUR;</w:t>
            </w:r>
          </w:p>
          <w:p w:rsidR="0053381D" w:rsidRPr="0053381D" w:rsidRDefault="0053381D" w:rsidP="001E0490">
            <w:pPr>
              <w:numPr>
                <w:ilvl w:val="0"/>
                <w:numId w:val="25"/>
              </w:numPr>
              <w:spacing w:line="240" w:lineRule="auto"/>
              <w:contextualSpacing/>
              <w:jc w:val="both"/>
              <w:rPr>
                <w:rFonts w:cs="Arial"/>
                <w:sz w:val="20"/>
                <w:szCs w:val="20"/>
              </w:rPr>
            </w:pPr>
            <w:r w:rsidRPr="0053381D">
              <w:rPr>
                <w:rFonts w:cs="Arial"/>
                <w:sz w:val="20"/>
                <w:szCs w:val="20"/>
              </w:rPr>
              <w:t>PN 7.2: 3. razvojna os (južni del) ‒ obvoznica Novo mesto, upravičenec: DARS, vrednost prispevka EU skupaj: 39.668.020 EUR.</w:t>
            </w:r>
          </w:p>
        </w:tc>
        <w:tc>
          <w:tcPr>
            <w:tcW w:w="717" w:type="pct"/>
          </w:tcPr>
          <w:p w:rsidR="0053381D" w:rsidRPr="0053381D" w:rsidRDefault="0053381D" w:rsidP="0053381D">
            <w:pPr>
              <w:tabs>
                <w:tab w:val="left" w:pos="317"/>
              </w:tabs>
              <w:spacing w:line="240" w:lineRule="auto"/>
              <w:ind w:left="317" w:hanging="317"/>
              <w:rPr>
                <w:rFonts w:cs="Arial"/>
                <w:i/>
                <w:sz w:val="20"/>
                <w:szCs w:val="20"/>
              </w:rPr>
            </w:pPr>
            <w:r w:rsidRPr="0053381D">
              <w:rPr>
                <w:rFonts w:cs="Arial"/>
                <w:i/>
                <w:sz w:val="20"/>
                <w:szCs w:val="20"/>
              </w:rPr>
              <w:t>Zagotoviti je treba:</w:t>
            </w:r>
          </w:p>
          <w:p w:rsidR="0053381D" w:rsidRPr="0053381D" w:rsidRDefault="0053381D" w:rsidP="0053381D">
            <w:pPr>
              <w:numPr>
                <w:ilvl w:val="0"/>
                <w:numId w:val="26"/>
              </w:numPr>
              <w:tabs>
                <w:tab w:val="left" w:pos="317"/>
              </w:tabs>
              <w:spacing w:line="240" w:lineRule="auto"/>
              <w:ind w:left="317" w:hanging="317"/>
              <w:contextualSpacing/>
              <w:rPr>
                <w:rFonts w:cs="Arial"/>
                <w:sz w:val="20"/>
                <w:szCs w:val="20"/>
              </w:rPr>
            </w:pPr>
            <w:r w:rsidRPr="0053381D">
              <w:rPr>
                <w:rFonts w:cs="Arial"/>
                <w:sz w:val="20"/>
                <w:szCs w:val="20"/>
              </w:rPr>
              <w:t>pospešitev priprave projektov (operacij) ali vloge za odločitev o podpori,</w:t>
            </w:r>
          </w:p>
          <w:p w:rsidR="0053381D" w:rsidRDefault="0053381D" w:rsidP="0053381D">
            <w:pPr>
              <w:tabs>
                <w:tab w:val="left" w:pos="317"/>
              </w:tabs>
              <w:spacing w:line="240" w:lineRule="auto"/>
              <w:ind w:left="317" w:hanging="317"/>
              <w:rPr>
                <w:rFonts w:cs="Arial"/>
                <w:sz w:val="20"/>
                <w:szCs w:val="20"/>
              </w:rPr>
            </w:pPr>
          </w:p>
          <w:p w:rsidR="0053381D" w:rsidRPr="0053381D" w:rsidRDefault="0053381D" w:rsidP="0053381D">
            <w:pPr>
              <w:tabs>
                <w:tab w:val="left" w:pos="317"/>
              </w:tabs>
              <w:spacing w:line="240" w:lineRule="auto"/>
              <w:ind w:left="317" w:hanging="317"/>
              <w:rPr>
                <w:rFonts w:cs="Arial"/>
                <w:sz w:val="20"/>
                <w:szCs w:val="20"/>
              </w:rPr>
            </w:pPr>
          </w:p>
          <w:p w:rsidR="0053381D" w:rsidRPr="0053381D" w:rsidRDefault="0053381D" w:rsidP="0053381D">
            <w:pPr>
              <w:numPr>
                <w:ilvl w:val="0"/>
                <w:numId w:val="26"/>
              </w:numPr>
              <w:tabs>
                <w:tab w:val="left" w:pos="317"/>
              </w:tabs>
              <w:spacing w:line="240" w:lineRule="auto"/>
              <w:ind w:left="317" w:hanging="317"/>
              <w:contextualSpacing/>
              <w:rPr>
                <w:rFonts w:cs="Arial"/>
                <w:sz w:val="20"/>
                <w:szCs w:val="20"/>
              </w:rPr>
            </w:pPr>
            <w:r w:rsidRPr="001070C8">
              <w:rPr>
                <w:rFonts w:cs="Arial"/>
                <w:sz w:val="20"/>
                <w:szCs w:val="20"/>
              </w:rPr>
              <w:t xml:space="preserve">četrtletno poročanje </w:t>
            </w:r>
            <w:r w:rsidRPr="0053381D">
              <w:rPr>
                <w:rFonts w:cs="Arial"/>
                <w:sz w:val="20"/>
                <w:szCs w:val="20"/>
              </w:rPr>
              <w:t>o izvedbi/stanju projekta.</w:t>
            </w:r>
          </w:p>
        </w:tc>
        <w:tc>
          <w:tcPr>
            <w:tcW w:w="600" w:type="pct"/>
          </w:tcPr>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MZI</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MZI</w:t>
            </w:r>
          </w:p>
          <w:p w:rsidR="0053381D" w:rsidRPr="0053381D" w:rsidRDefault="0053381D" w:rsidP="009B7BE9">
            <w:pPr>
              <w:spacing w:line="240" w:lineRule="auto"/>
              <w:jc w:val="center"/>
              <w:rPr>
                <w:rFonts w:cs="Arial"/>
                <w:sz w:val="20"/>
                <w:szCs w:val="20"/>
              </w:rPr>
            </w:pPr>
          </w:p>
          <w:p w:rsid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Default="0053381D" w:rsidP="009B7BE9">
            <w:pPr>
              <w:spacing w:line="240" w:lineRule="auto"/>
              <w:jc w:val="center"/>
              <w:rPr>
                <w:rFonts w:cs="Arial"/>
                <w:sz w:val="20"/>
                <w:szCs w:val="20"/>
              </w:rPr>
            </w:pPr>
            <w:r w:rsidRPr="0053381D">
              <w:rPr>
                <w:rFonts w:cs="Arial"/>
                <w:sz w:val="20"/>
                <w:szCs w:val="20"/>
              </w:rPr>
              <w:t>MZI</w:t>
            </w:r>
          </w:p>
          <w:p w:rsid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MZI</w:t>
            </w:r>
          </w:p>
        </w:tc>
        <w:tc>
          <w:tcPr>
            <w:tcW w:w="435" w:type="pct"/>
          </w:tcPr>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044059">
              <w:rPr>
                <w:rFonts w:cs="Arial"/>
                <w:sz w:val="20"/>
                <w:szCs w:val="20"/>
              </w:rPr>
              <w:t>1. četrtletje 2019;</w:t>
            </w:r>
          </w:p>
          <w:p w:rsidR="0053381D" w:rsidRPr="00044059" w:rsidRDefault="0053381D" w:rsidP="009B7BE9">
            <w:pPr>
              <w:spacing w:line="240" w:lineRule="auto"/>
              <w:jc w:val="center"/>
              <w:rPr>
                <w:rFonts w:cs="Arial"/>
                <w:sz w:val="20"/>
                <w:szCs w:val="20"/>
              </w:rPr>
            </w:pPr>
            <w:r w:rsidRPr="00044059">
              <w:rPr>
                <w:rFonts w:cs="Arial"/>
                <w:sz w:val="20"/>
                <w:szCs w:val="20"/>
              </w:rPr>
              <w:t>trajno</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rPr>
                <w:rFonts w:cs="Arial"/>
                <w:sz w:val="20"/>
                <w:szCs w:val="20"/>
              </w:rPr>
            </w:pPr>
          </w:p>
        </w:tc>
      </w:tr>
    </w:tbl>
    <w:p w:rsidR="0053381D" w:rsidRPr="0053381D" w:rsidRDefault="0053381D" w:rsidP="009B7BE9">
      <w:pPr>
        <w:spacing w:after="160" w:line="259" w:lineRule="auto"/>
        <w:rPr>
          <w:rFonts w:cs="Arial"/>
          <w:b/>
          <w:color w:val="0070C0"/>
          <w:sz w:val="2"/>
          <w:szCs w:val="2"/>
        </w:rPr>
      </w:pPr>
    </w:p>
    <w:p w:rsidR="0053381D" w:rsidRP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b/>
          <w:color w:val="0070C0"/>
          <w:szCs w:val="20"/>
        </w:rPr>
      </w:pPr>
      <w:r w:rsidRPr="0053381D">
        <w:rPr>
          <w:rFonts w:cs="Arial"/>
          <w:b/>
          <w:color w:val="0070C0"/>
          <w:szCs w:val="20"/>
        </w:rPr>
        <w:t>Realizacija</w:t>
      </w:r>
    </w:p>
    <w:p w:rsidR="00D0580B" w:rsidRPr="00044059" w:rsidRDefault="00D0580B" w:rsidP="00D0580B">
      <w:pPr>
        <w:spacing w:line="240" w:lineRule="auto"/>
        <w:jc w:val="both"/>
        <w:rPr>
          <w:rFonts w:cs="Arial"/>
          <w:szCs w:val="20"/>
        </w:rPr>
      </w:pPr>
      <w:r w:rsidRPr="00044059">
        <w:rPr>
          <w:rFonts w:cs="Arial"/>
          <w:szCs w:val="20"/>
        </w:rPr>
        <w:t xml:space="preserve">1. </w:t>
      </w:r>
      <w:r w:rsidR="00044059" w:rsidRPr="00044059">
        <w:rPr>
          <w:rFonts w:cs="Arial"/>
          <w:szCs w:val="20"/>
        </w:rPr>
        <w:t xml:space="preserve">PN 5.1: Protipoplavna ureditev porečja Selške Sore (do kraja Dolenja vas) – zmanjševanje poplavne ogroženosti OPVP Železniki, </w:t>
      </w:r>
      <w:r w:rsidR="001E0490">
        <w:rPr>
          <w:rFonts w:cs="Arial"/>
          <w:szCs w:val="20"/>
        </w:rPr>
        <w:t xml:space="preserve">projekt </w:t>
      </w:r>
      <w:r w:rsidR="00044059" w:rsidRPr="00044059">
        <w:rPr>
          <w:rFonts w:cs="Arial"/>
          <w:szCs w:val="20"/>
        </w:rPr>
        <w:t>je bil potrjen</w:t>
      </w:r>
      <w:r w:rsidRPr="00044059">
        <w:rPr>
          <w:rFonts w:cs="Arial"/>
          <w:szCs w:val="20"/>
        </w:rPr>
        <w:t xml:space="preserve"> v januarju 2019.</w:t>
      </w:r>
    </w:p>
    <w:p w:rsidR="00D0580B" w:rsidRPr="00044059" w:rsidRDefault="00044059" w:rsidP="00D0580B">
      <w:pPr>
        <w:spacing w:line="240" w:lineRule="auto"/>
        <w:jc w:val="both"/>
        <w:rPr>
          <w:rFonts w:cs="Arial"/>
          <w:szCs w:val="20"/>
        </w:rPr>
      </w:pPr>
      <w:r w:rsidRPr="00044059">
        <w:rPr>
          <w:rFonts w:cs="Arial"/>
          <w:szCs w:val="20"/>
        </w:rPr>
        <w:t>2. PN 6.2: več konkretnih projektov na PN 6.2 (Natura 2000). Zaznan je</w:t>
      </w:r>
      <w:r w:rsidR="00D0580B" w:rsidRPr="00044059">
        <w:rPr>
          <w:rFonts w:cs="Arial"/>
          <w:szCs w:val="20"/>
        </w:rPr>
        <w:t xml:space="preserve"> napredek pri izvajanju konkretnih projektov na OPN 6.2 – 43,5 % potrjenih sredstev</w:t>
      </w:r>
      <w:r w:rsidRPr="00044059">
        <w:rPr>
          <w:rFonts w:cs="Arial"/>
          <w:szCs w:val="20"/>
        </w:rPr>
        <w:t>.</w:t>
      </w:r>
      <w:r w:rsidR="00D0580B" w:rsidRPr="00044059">
        <w:rPr>
          <w:rFonts w:cs="Arial"/>
          <w:szCs w:val="20"/>
        </w:rPr>
        <w:t xml:space="preserve"> </w:t>
      </w:r>
    </w:p>
    <w:p w:rsidR="00D0580B" w:rsidRDefault="00EF3D18" w:rsidP="0053381D">
      <w:pPr>
        <w:spacing w:line="240" w:lineRule="auto"/>
        <w:jc w:val="both"/>
        <w:rPr>
          <w:rFonts w:cs="Arial"/>
          <w:szCs w:val="20"/>
        </w:rPr>
      </w:pPr>
      <w:r>
        <w:rPr>
          <w:rFonts w:cs="Arial"/>
          <w:szCs w:val="20"/>
        </w:rPr>
        <w:t xml:space="preserve">3. do 6: </w:t>
      </w:r>
      <w:r w:rsidR="00E54F64" w:rsidRPr="00202B13">
        <w:rPr>
          <w:rFonts w:cs="Arial"/>
          <w:szCs w:val="20"/>
        </w:rPr>
        <w:t>PN 7.1 in 7.2</w:t>
      </w:r>
    </w:p>
    <w:p w:rsidR="00ED46B6" w:rsidRPr="00ED46B6" w:rsidRDefault="00202B13" w:rsidP="00ED46B6">
      <w:pPr>
        <w:spacing w:line="240" w:lineRule="auto"/>
        <w:jc w:val="both"/>
        <w:rPr>
          <w:rFonts w:eastAsia="Calibri" w:cs="Arial"/>
          <w:szCs w:val="20"/>
        </w:rPr>
      </w:pPr>
      <w:r w:rsidRPr="001E0490">
        <w:rPr>
          <w:rFonts w:eastAsia="Calibri" w:cs="Arial"/>
          <w:szCs w:val="20"/>
        </w:rPr>
        <w:lastRenderedPageBreak/>
        <w:t>4. decembra 2018 je bila</w:t>
      </w:r>
      <w:r w:rsidRPr="00202B13">
        <w:rPr>
          <w:rFonts w:eastAsia="Calibri" w:cs="Arial"/>
          <w:szCs w:val="20"/>
        </w:rPr>
        <w:t xml:space="preserve"> EK poslana vloga projekta </w:t>
      </w:r>
      <w:r w:rsidRPr="00202B13">
        <w:rPr>
          <w:rFonts w:eastAsia="Calibri" w:cs="Arial"/>
          <w:i/>
          <w:szCs w:val="20"/>
        </w:rPr>
        <w:t xml:space="preserve">Nadgradnja železniške proge Maribor–Šentilj–d. m, </w:t>
      </w:r>
      <w:r w:rsidR="001E0490" w:rsidRPr="001E0490">
        <w:rPr>
          <w:rFonts w:eastAsia="Calibri" w:cs="Arial"/>
          <w:szCs w:val="20"/>
        </w:rPr>
        <w:t>vloga bo dopolnjena</w:t>
      </w:r>
      <w:r w:rsidRPr="001E0490">
        <w:rPr>
          <w:rFonts w:eastAsia="Calibri" w:cs="Arial"/>
          <w:szCs w:val="20"/>
        </w:rPr>
        <w:t xml:space="preserve"> na podlagi pripomb</w:t>
      </w:r>
      <w:r w:rsidR="001E0490">
        <w:rPr>
          <w:rFonts w:eastAsia="Calibri" w:cs="Arial"/>
          <w:i/>
          <w:szCs w:val="20"/>
        </w:rPr>
        <w:t xml:space="preserve"> </w:t>
      </w:r>
      <w:r w:rsidR="001E0490" w:rsidRPr="001E0490">
        <w:rPr>
          <w:rFonts w:eastAsia="Calibri" w:cs="Arial"/>
          <w:szCs w:val="20"/>
        </w:rPr>
        <w:t>EK</w:t>
      </w:r>
      <w:r w:rsidRPr="001E0490">
        <w:rPr>
          <w:rFonts w:eastAsia="Calibri" w:cs="Arial"/>
          <w:szCs w:val="20"/>
        </w:rPr>
        <w:t xml:space="preserve"> aprila 2019</w:t>
      </w:r>
      <w:r w:rsidRPr="00202B13">
        <w:rPr>
          <w:rFonts w:eastAsia="Calibri" w:cs="Arial"/>
          <w:i/>
          <w:szCs w:val="20"/>
        </w:rPr>
        <w:t xml:space="preserve">. </w:t>
      </w:r>
      <w:r w:rsidRPr="00202B13">
        <w:rPr>
          <w:rFonts w:eastAsia="Calibri" w:cs="Arial"/>
          <w:szCs w:val="20"/>
        </w:rPr>
        <w:t>Do 31.</w:t>
      </w:r>
      <w:r>
        <w:rPr>
          <w:rFonts w:eastAsia="Calibri" w:cs="Arial"/>
          <w:szCs w:val="20"/>
        </w:rPr>
        <w:t xml:space="preserve"> </w:t>
      </w:r>
      <w:r w:rsidRPr="00202B13">
        <w:rPr>
          <w:rFonts w:eastAsia="Calibri" w:cs="Arial"/>
          <w:szCs w:val="20"/>
        </w:rPr>
        <w:t>3.</w:t>
      </w:r>
      <w:r>
        <w:rPr>
          <w:rFonts w:eastAsia="Calibri" w:cs="Arial"/>
          <w:szCs w:val="20"/>
        </w:rPr>
        <w:t xml:space="preserve"> </w:t>
      </w:r>
      <w:r w:rsidRPr="00202B13">
        <w:rPr>
          <w:rFonts w:eastAsia="Calibri" w:cs="Arial"/>
          <w:szCs w:val="20"/>
        </w:rPr>
        <w:t>2019 je bilo realiziranih 19.188.49</w:t>
      </w:r>
      <w:r>
        <w:rPr>
          <w:rFonts w:eastAsia="Calibri" w:cs="Arial"/>
          <w:szCs w:val="20"/>
        </w:rPr>
        <w:t>4</w:t>
      </w:r>
      <w:r w:rsidRPr="00202B13">
        <w:rPr>
          <w:rFonts w:eastAsia="Calibri" w:cs="Arial"/>
          <w:szCs w:val="20"/>
        </w:rPr>
        <w:t xml:space="preserve"> evrov sredstev EU. Ker za projekt s strani ARSO še ni izdano OVS, pričakujemo prejem izvedbenega sklepa EK o odobritvi finančnega prispevka </w:t>
      </w:r>
      <w:r w:rsidR="001E0490">
        <w:rPr>
          <w:rFonts w:eastAsia="Calibri" w:cs="Arial"/>
          <w:szCs w:val="20"/>
        </w:rPr>
        <w:t xml:space="preserve">šele </w:t>
      </w:r>
      <w:r w:rsidRPr="00202B13">
        <w:rPr>
          <w:rFonts w:eastAsia="Calibri" w:cs="Arial"/>
          <w:szCs w:val="20"/>
        </w:rPr>
        <w:t>v drugi polovici 2019.</w:t>
      </w:r>
      <w:r w:rsidR="00ED46B6" w:rsidRPr="00ED46B6">
        <w:rPr>
          <w:rFonts w:eastAsia="Calibri" w:cs="Arial"/>
          <w:szCs w:val="20"/>
        </w:rPr>
        <w:t xml:space="preserve"> Projektna dokumentacija (PGD) za gradnjo</w:t>
      </w:r>
      <w:r w:rsidR="00ED46B6" w:rsidRPr="00ED46B6">
        <w:rPr>
          <w:rFonts w:eastAsia="Calibri" w:cs="Arial"/>
          <w:i/>
          <w:szCs w:val="20"/>
        </w:rPr>
        <w:t xml:space="preserve"> 2. tira Divača-Koper</w:t>
      </w:r>
      <w:r w:rsidR="00ED46B6" w:rsidRPr="00ED46B6">
        <w:rPr>
          <w:rFonts w:eastAsia="Calibri" w:cs="Arial"/>
          <w:szCs w:val="20"/>
        </w:rPr>
        <w:t xml:space="preserve"> je izdelana; Investicijski program je bil potrjen s strani Vlade RS 24. 1. 2019. Vloga za projekt je v končni fazi usklajevanja z JASPERS. Posredovanje vloge na EK je predvideno v sredini aprila 2019.</w:t>
      </w:r>
    </w:p>
    <w:p w:rsidR="00202B13" w:rsidRDefault="00202B13" w:rsidP="0053381D">
      <w:pPr>
        <w:spacing w:line="240" w:lineRule="auto"/>
        <w:jc w:val="both"/>
        <w:rPr>
          <w:rFonts w:eastAsia="Calibri" w:cs="Arial"/>
          <w:szCs w:val="20"/>
        </w:rPr>
      </w:pPr>
    </w:p>
    <w:p w:rsidR="00202B13" w:rsidRPr="00202B13" w:rsidRDefault="00202B13" w:rsidP="00202B13">
      <w:pPr>
        <w:spacing w:line="240" w:lineRule="auto"/>
        <w:jc w:val="both"/>
        <w:rPr>
          <w:rFonts w:cs="Arial"/>
        </w:rPr>
      </w:pPr>
      <w:r w:rsidRPr="00202B13">
        <w:rPr>
          <w:rFonts w:cs="Arial"/>
          <w:szCs w:val="20"/>
        </w:rPr>
        <w:t xml:space="preserve">Zamude pri odobritvi operacij so v letu 2018 nastale predvsem zaradi večjih zamud pri sprejemanju sprememb okoljske zakonodaje (sprememba </w:t>
      </w:r>
      <w:r w:rsidRPr="00202B13">
        <w:rPr>
          <w:rFonts w:cs="Arial"/>
          <w:i/>
          <w:szCs w:val="20"/>
        </w:rPr>
        <w:t>Uredbe o mejnih vrednosti kazalcev hrupa v okolju,</w:t>
      </w:r>
      <w:r w:rsidRPr="00202B13">
        <w:rPr>
          <w:rFonts w:cs="Arial"/>
          <w:szCs w:val="20"/>
        </w:rPr>
        <w:t xml:space="preserve"> ki je bila sprejeta s strani VRS v juniju 2018), medtem ko sedaj prihaja do zamud zaradi počasnega izvajanja postopkov obravnave vloge operacij za pridobitev okoljskega soglasja. Pri vseh operacijah na prednostnih naložbah 7.1 in 7.2 so bile vloge za pridobitev OVS na ARSO</w:t>
      </w:r>
      <w:r w:rsidRPr="00202B13">
        <w:rPr>
          <w:rFonts w:cs="Arial"/>
        </w:rPr>
        <w:t xml:space="preserve">  </w:t>
      </w:r>
      <w:r w:rsidRPr="00202B13">
        <w:rPr>
          <w:rFonts w:cs="Arial"/>
          <w:szCs w:val="20"/>
        </w:rPr>
        <w:t>pos</w:t>
      </w:r>
      <w:r w:rsidR="001E0490">
        <w:rPr>
          <w:rFonts w:cs="Arial"/>
          <w:szCs w:val="20"/>
        </w:rPr>
        <w:t xml:space="preserve">redovane v 1. polovici 2018 in </w:t>
      </w:r>
      <w:r w:rsidRPr="00202B13">
        <w:rPr>
          <w:rFonts w:cs="Arial"/>
          <w:szCs w:val="20"/>
        </w:rPr>
        <w:t>dopolnjene na osnovi spremenjene zakonodaje</w:t>
      </w:r>
      <w:r w:rsidRPr="00202B13">
        <w:rPr>
          <w:rFonts w:cs="Arial"/>
        </w:rPr>
        <w:t xml:space="preserve"> </w:t>
      </w:r>
      <w:r w:rsidRPr="00202B13">
        <w:rPr>
          <w:rFonts w:cs="Arial"/>
          <w:szCs w:val="20"/>
        </w:rPr>
        <w:t xml:space="preserve">in prejetih pripomb ARSO. </w:t>
      </w:r>
      <w:r w:rsidRPr="00202B13">
        <w:rPr>
          <w:rFonts w:cs="Arial"/>
        </w:rPr>
        <w:t xml:space="preserve">Javna razgrnitev za projekt </w:t>
      </w:r>
      <w:r w:rsidRPr="001E0490">
        <w:rPr>
          <w:rFonts w:cs="Arial"/>
          <w:i/>
        </w:rPr>
        <w:t>Nadgradnja železniške</w:t>
      </w:r>
      <w:r w:rsidRPr="00202B13">
        <w:rPr>
          <w:rFonts w:cs="Arial"/>
          <w:i/>
        </w:rPr>
        <w:t xml:space="preserve"> proge Maribor−Šentilj </w:t>
      </w:r>
      <w:r w:rsidRPr="00202B13">
        <w:rPr>
          <w:rFonts w:cs="Arial"/>
        </w:rPr>
        <w:t>v okviru prednostne naložbe 7.1 je bila objavljena 26. marca in bo trajala do 24. aprila 2019</w:t>
      </w:r>
      <w:r w:rsidR="001E0490">
        <w:rPr>
          <w:rFonts w:cs="Arial"/>
        </w:rPr>
        <w:t>. Z</w:t>
      </w:r>
      <w:r w:rsidRPr="00202B13">
        <w:rPr>
          <w:rFonts w:cs="Arial"/>
        </w:rPr>
        <w:t xml:space="preserve">a projekt </w:t>
      </w:r>
      <w:r w:rsidRPr="00202B13">
        <w:rPr>
          <w:rFonts w:cs="Arial"/>
          <w:i/>
        </w:rPr>
        <w:t>Vozlišče Pragersko</w:t>
      </w:r>
      <w:r w:rsidRPr="00202B13">
        <w:rPr>
          <w:rFonts w:cs="Arial"/>
        </w:rPr>
        <w:t xml:space="preserve"> pa je v obravnavi problematika onesnaženosti zemljin. Zaradi zahteve ARSO po izvedbi dodatnih kemijskih analiz izgrajenih materialov, bo dopolnitev vloge trajala okoli 6 mesecev. </w:t>
      </w:r>
    </w:p>
    <w:p w:rsidR="00202B13" w:rsidRPr="00202B13" w:rsidRDefault="00202B13" w:rsidP="00202B13">
      <w:pPr>
        <w:spacing w:line="240" w:lineRule="auto"/>
        <w:jc w:val="both"/>
        <w:rPr>
          <w:rFonts w:cs="Arial"/>
        </w:rPr>
      </w:pPr>
      <w:r w:rsidRPr="00202B13">
        <w:rPr>
          <w:rFonts w:cs="Arial"/>
        </w:rPr>
        <w:t xml:space="preserve">Javna razgrnitev za projekt v okviru prednostne naložbe 7.2 </w:t>
      </w:r>
      <w:r w:rsidRPr="00202B13">
        <w:rPr>
          <w:rFonts w:cs="Arial"/>
          <w:i/>
        </w:rPr>
        <w:t>Gradnja 3. razvojne osi (južni del) 1. in 2. etapa</w:t>
      </w:r>
      <w:r w:rsidRPr="00202B13">
        <w:rPr>
          <w:rFonts w:cs="Arial"/>
        </w:rPr>
        <w:t xml:space="preserve"> je predvidena v aprilu 2019.</w:t>
      </w:r>
    </w:p>
    <w:p w:rsidR="00202B13" w:rsidRPr="00202B13" w:rsidRDefault="00202B13" w:rsidP="0053381D">
      <w:pPr>
        <w:spacing w:line="240" w:lineRule="auto"/>
        <w:jc w:val="both"/>
        <w:rPr>
          <w:rFonts w:cs="Arial"/>
          <w:szCs w:val="20"/>
        </w:rPr>
      </w:pPr>
    </w:p>
    <w:p w:rsidR="0053381D" w:rsidRDefault="0053381D" w:rsidP="0053381D">
      <w:pPr>
        <w:spacing w:line="240" w:lineRule="auto"/>
        <w:jc w:val="both"/>
        <w:rPr>
          <w:rFonts w:cs="Arial"/>
          <w:b/>
          <w:color w:val="0070C0"/>
          <w:szCs w:val="20"/>
        </w:rPr>
      </w:pPr>
      <w:bookmarkStart w:id="27" w:name="_Toc530560444"/>
      <w:r>
        <w:rPr>
          <w:rFonts w:cs="Arial"/>
          <w:b/>
          <w:color w:val="0070C0"/>
          <w:szCs w:val="20"/>
        </w:rPr>
        <w:br w:type="page"/>
      </w:r>
    </w:p>
    <w:p w:rsidR="009B7BE9" w:rsidRDefault="009B7BE9" w:rsidP="001070C8">
      <w:pPr>
        <w:keepNext/>
        <w:keepLines/>
        <w:spacing w:before="40" w:line="259" w:lineRule="auto"/>
        <w:outlineLvl w:val="2"/>
        <w:rPr>
          <w:rFonts w:cs="Arial"/>
          <w:b/>
          <w:color w:val="FF0000"/>
          <w:szCs w:val="20"/>
        </w:rPr>
      </w:pPr>
      <w:bookmarkStart w:id="28" w:name="_Toc6992290"/>
      <w:r w:rsidRPr="000A6942">
        <w:rPr>
          <w:rFonts w:cs="Arial"/>
          <w:b/>
          <w:color w:val="0070C0"/>
          <w:szCs w:val="20"/>
        </w:rPr>
        <w:lastRenderedPageBreak/>
        <w:t xml:space="preserve">Operacije, za katere je odločitev o podpori izdana, a se v daljšem časovnem obdobju ne dosega tehtnejša </w:t>
      </w:r>
      <w:bookmarkEnd w:id="27"/>
      <w:r w:rsidRPr="000A6942">
        <w:rPr>
          <w:rFonts w:cs="Arial"/>
          <w:b/>
          <w:color w:val="0070C0"/>
          <w:szCs w:val="20"/>
        </w:rPr>
        <w:t>realizacija</w:t>
      </w:r>
      <w:bookmarkEnd w:id="28"/>
      <w:r w:rsidR="003B20AE">
        <w:rPr>
          <w:rFonts w:cs="Arial"/>
          <w:b/>
          <w:color w:val="0070C0"/>
          <w:szCs w:val="20"/>
        </w:rPr>
        <w:t xml:space="preserve"> </w:t>
      </w:r>
    </w:p>
    <w:p w:rsidR="001070C8" w:rsidRPr="009B7BE9" w:rsidRDefault="001070C8" w:rsidP="001070C8">
      <w:pPr>
        <w:keepNext/>
        <w:keepLines/>
        <w:spacing w:before="40" w:line="259" w:lineRule="auto"/>
        <w:outlineLvl w:val="2"/>
        <w:rPr>
          <w:rFonts w:cs="Arial"/>
          <w:color w:val="1F4D78"/>
          <w:szCs w:val="20"/>
        </w:rPr>
      </w:pPr>
    </w:p>
    <w:p w:rsidR="009B7BE9" w:rsidRPr="000A6942" w:rsidRDefault="009B7BE9" w:rsidP="009B7BE9">
      <w:pPr>
        <w:spacing w:line="259" w:lineRule="auto"/>
        <w:jc w:val="both"/>
        <w:rPr>
          <w:rFonts w:eastAsia="Calibri" w:cs="Arial"/>
          <w:szCs w:val="20"/>
        </w:rPr>
      </w:pPr>
      <w:r w:rsidRPr="000A6942">
        <w:rPr>
          <w:rFonts w:eastAsia="Calibri" w:cs="Arial"/>
          <w:szCs w:val="20"/>
        </w:rPr>
        <w:t>Skupna vrednost prispevka EU za operacije s pomembnim finančnim vplivom na izvajanje OP EKP, za katerega je odločitev o podpori izdana, a se v daljšem časovnem obdobju ne dosega tehtnejša realizacija, znaša 404.151.947,44</w:t>
      </w:r>
      <w:r w:rsidRPr="000A6942">
        <w:rPr>
          <w:rFonts w:cs="Arial"/>
          <w:szCs w:val="20"/>
        </w:rPr>
        <w:t xml:space="preserve"> EUR</w:t>
      </w:r>
      <w:r w:rsidRPr="000A6942" w:rsidDel="00E054FC">
        <w:rPr>
          <w:rFonts w:eastAsia="Calibri" w:cs="Arial"/>
          <w:szCs w:val="20"/>
        </w:rPr>
        <w:t xml:space="preserve"> </w:t>
      </w:r>
      <w:r w:rsidRPr="000A6942">
        <w:rPr>
          <w:rFonts w:eastAsia="Calibri" w:cs="Arial"/>
          <w:szCs w:val="20"/>
        </w:rPr>
        <w:t>(do zdaj je bilo realizirano skupno 4.488.997,10</w:t>
      </w:r>
      <w:r w:rsidRPr="000A6942">
        <w:rPr>
          <w:rFonts w:cs="Arial"/>
          <w:szCs w:val="20"/>
        </w:rPr>
        <w:t xml:space="preserve"> EUR</w:t>
      </w:r>
      <w:r w:rsidR="000A6942">
        <w:rPr>
          <w:rFonts w:eastAsia="Calibri" w:cs="Arial"/>
          <w:szCs w:val="20"/>
        </w:rPr>
        <w:t xml:space="preserve"> ali 1,1 odstotka</w:t>
      </w:r>
      <w:r w:rsidRPr="000A6942">
        <w:rPr>
          <w:rFonts w:eastAsia="Calibri" w:cs="Arial"/>
          <w:szCs w:val="20"/>
        </w:rPr>
        <w:t xml:space="preserve"> skupne načrtovane vrednosti).</w:t>
      </w:r>
    </w:p>
    <w:p w:rsidR="009B7BE9" w:rsidRPr="009B7BE9" w:rsidRDefault="009B7BE9" w:rsidP="009B7BE9">
      <w:pPr>
        <w:spacing w:after="160" w:line="259" w:lineRule="auto"/>
        <w:jc w:val="both"/>
        <w:rPr>
          <w:rFonts w:eastAsia="Calibri" w:cs="Arial"/>
          <w:szCs w:val="20"/>
        </w:rPr>
      </w:pPr>
      <w:r w:rsidRPr="009B7BE9">
        <w:rPr>
          <w:rFonts w:eastAsia="Calibri" w:cs="Arial"/>
          <w:szCs w:val="20"/>
        </w:rPr>
        <w:t>Opredeljeni so projekti (operacije), pri katerih so zaznani večji odstopi od načrtovane časovnice v INOP. Predlagana sta dva ukrepa – pospešitev izvajanja operacij in najmanj četrtletno spremljanje stanja na pripravi vloge in pozneje izvajanja projekta. Če se stanje načrtovanja ali priprave operacij ne bo izboljšalo, se preveri možnost za odstope ali preklic odločitve o podpori ter realokacije sredstev EU za druge namene.</w:t>
      </w:r>
    </w:p>
    <w:tbl>
      <w:tblPr>
        <w:tblStyle w:val="Tabelamrea3"/>
        <w:tblW w:w="5000" w:type="pct"/>
        <w:tblLook w:val="04A0" w:firstRow="1" w:lastRow="0" w:firstColumn="1" w:lastColumn="0" w:noHBand="0" w:noVBand="1"/>
      </w:tblPr>
      <w:tblGrid>
        <w:gridCol w:w="1113"/>
        <w:gridCol w:w="8067"/>
        <w:gridCol w:w="1700"/>
        <w:gridCol w:w="964"/>
        <w:gridCol w:w="1280"/>
        <w:gridCol w:w="1662"/>
      </w:tblGrid>
      <w:tr w:rsidR="0053381D" w:rsidRPr="000A6942" w:rsidTr="0053381D">
        <w:tc>
          <w:tcPr>
            <w:tcW w:w="376" w:type="pct"/>
            <w:shd w:val="clear" w:color="auto" w:fill="F2F2F2" w:themeFill="background1" w:themeFillShade="F2"/>
          </w:tcPr>
          <w:p w:rsidR="0053381D" w:rsidRPr="000A6942" w:rsidRDefault="0053381D" w:rsidP="009B7BE9">
            <w:pPr>
              <w:spacing w:line="240" w:lineRule="auto"/>
              <w:jc w:val="center"/>
              <w:rPr>
                <w:rFonts w:cs="Arial"/>
                <w:b/>
                <w:sz w:val="20"/>
                <w:szCs w:val="20"/>
              </w:rPr>
            </w:pPr>
            <w:r w:rsidRPr="000A6942">
              <w:rPr>
                <w:rFonts w:cs="Arial"/>
                <w:b/>
                <w:sz w:val="20"/>
                <w:szCs w:val="20"/>
              </w:rPr>
              <w:t>PO</w:t>
            </w:r>
          </w:p>
        </w:tc>
        <w:tc>
          <w:tcPr>
            <w:tcW w:w="2728"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Težave</w:t>
            </w:r>
          </w:p>
        </w:tc>
        <w:tc>
          <w:tcPr>
            <w:tcW w:w="575"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Rešitve</w:t>
            </w:r>
          </w:p>
        </w:tc>
        <w:tc>
          <w:tcPr>
            <w:tcW w:w="326"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Nosilec</w:t>
            </w:r>
          </w:p>
        </w:tc>
        <w:tc>
          <w:tcPr>
            <w:tcW w:w="433"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Rok</w:t>
            </w:r>
          </w:p>
        </w:tc>
        <w:tc>
          <w:tcPr>
            <w:tcW w:w="562" w:type="pct"/>
            <w:shd w:val="clear" w:color="auto" w:fill="F2F2F2" w:themeFill="background1" w:themeFillShade="F2"/>
            <w:vAlign w:val="center"/>
          </w:tcPr>
          <w:p w:rsidR="0053381D" w:rsidRPr="000A6942" w:rsidRDefault="0053381D" w:rsidP="009B7BE9">
            <w:pPr>
              <w:spacing w:line="240" w:lineRule="auto"/>
              <w:jc w:val="center"/>
              <w:rPr>
                <w:rFonts w:cs="Arial"/>
                <w:b/>
                <w:sz w:val="20"/>
                <w:szCs w:val="20"/>
              </w:rPr>
            </w:pPr>
            <w:r w:rsidRPr="000A6942">
              <w:rPr>
                <w:rFonts w:cs="Arial"/>
                <w:b/>
                <w:sz w:val="20"/>
                <w:szCs w:val="20"/>
              </w:rPr>
              <w:t>Tveganja za izvedbo rešitve</w:t>
            </w:r>
          </w:p>
        </w:tc>
      </w:tr>
      <w:tr w:rsidR="0053381D" w:rsidRPr="009B7BE9" w:rsidTr="0053381D">
        <w:trPr>
          <w:trHeight w:val="134"/>
        </w:trPr>
        <w:tc>
          <w:tcPr>
            <w:tcW w:w="376" w:type="pct"/>
          </w:tcPr>
          <w:p w:rsidR="0053381D" w:rsidRPr="0053381D" w:rsidRDefault="0053381D" w:rsidP="009B7BE9">
            <w:pPr>
              <w:spacing w:line="240" w:lineRule="auto"/>
              <w:contextualSpacing/>
              <w:jc w:val="center"/>
              <w:rPr>
                <w:rFonts w:cs="Arial"/>
                <w:sz w:val="20"/>
                <w:szCs w:val="20"/>
              </w:rPr>
            </w:pPr>
            <w:r w:rsidRPr="0053381D">
              <w:rPr>
                <w:rFonts w:cs="Arial"/>
                <w:sz w:val="20"/>
                <w:szCs w:val="20"/>
              </w:rPr>
              <w:t>MGRT</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MGRT</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53381D">
            <w:pPr>
              <w:spacing w:line="240" w:lineRule="auto"/>
              <w:contextualSpacing/>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MOP</w:t>
            </w: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p>
          <w:p w:rsidR="0053381D" w:rsidRPr="0053381D" w:rsidRDefault="0053381D" w:rsidP="009B7BE9">
            <w:pPr>
              <w:spacing w:line="240" w:lineRule="auto"/>
              <w:contextualSpacing/>
              <w:jc w:val="center"/>
              <w:rPr>
                <w:rFonts w:cs="Arial"/>
                <w:sz w:val="20"/>
                <w:szCs w:val="20"/>
              </w:rPr>
            </w:pPr>
            <w:r w:rsidRPr="0053381D">
              <w:rPr>
                <w:rFonts w:cs="Arial"/>
                <w:sz w:val="20"/>
                <w:szCs w:val="20"/>
              </w:rPr>
              <w:t>MGRT</w:t>
            </w:r>
          </w:p>
        </w:tc>
        <w:tc>
          <w:tcPr>
            <w:tcW w:w="2728" w:type="pct"/>
          </w:tcPr>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3.2: SPOT 4: Vzpostavitev in delovanje nacionalne slovenske poslovne točke (tudi t. i. strateški projekt Vlade RS), upravičenec: SPIRIT, odločitev o podpori izdana: 17. 1. 2018, vrednost prispevka EU skupaj: 8.643.811,92 EUR (do zdaj realizirano: 108.887,1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3.2: Poslovni modeli 2018‒2022: Spodbujanje razvoja in uporabe novih poslovnih modelov za lažje vključevanje v globalne verige vrednosti, upravičenec: SPIRIT, odločitev o podpori izdana: 27. 2. 2018, vrednost prispevka EU skupaj: 8.134.376,52 EUR (do zdaj realizirano 0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6.1: Odvajanje in čiščenje odpadne vode na območju vodonosnika Ljubljanskega polja; upravičenec: MO Ljubljana, odločitev o podpori izdana: 14. 8. 2017, vrednost prispevka EU skupaj: 68.879.165 EUR (do zdaj realizirano 3.967.587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6.1: Odvajanje in čiščenje komunalnih odpadnih voda v porečju Zgornje Save in na območju Kranjskega in Sorškega polja 2. sklop, 2. faza, upravičenec: MO Kranj, odločitev o podpori izdana: 4. 4. 2017, vrednost prispevka EU skupaj: 5.609.059 EUR (do zdaj realizirano 0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5.1: Protipoplavna ureditev porečja Gradaščice (do Ljubljane) – zmanjševanje poplavne ogroženosti OPVP Ljubljana jug in Dobrova, upravičenec: DRSV, odločitev o podpori izdana: 22. 11. 2017, vrednost prispevka EU skupaj: 42.046.483 EUR (do zdaj realizirano 0 EUR);</w:t>
            </w:r>
          </w:p>
          <w:p w:rsidR="0053381D" w:rsidRPr="0053381D" w:rsidRDefault="0053381D" w:rsidP="00D16C0A">
            <w:pPr>
              <w:numPr>
                <w:ilvl w:val="0"/>
                <w:numId w:val="24"/>
              </w:numPr>
              <w:spacing w:line="240" w:lineRule="auto"/>
              <w:contextualSpacing/>
              <w:rPr>
                <w:rFonts w:cs="Arial"/>
                <w:sz w:val="20"/>
                <w:szCs w:val="20"/>
              </w:rPr>
            </w:pPr>
            <w:r w:rsidRPr="0053381D">
              <w:rPr>
                <w:rFonts w:cs="Arial"/>
                <w:sz w:val="20"/>
                <w:szCs w:val="20"/>
              </w:rPr>
              <w:t>PN 5.1: Nadaljevanje projektov zagotovitve poplavne varnosti na porečju Drave, upravičenec: DRSV, odločitev o podpori izdana: 29. 3. 2017, vrednost prispevka EU skupaj: 17.838.052 EUR (do zdaj realizirano 412.523 EUR);</w:t>
            </w:r>
          </w:p>
          <w:p w:rsidR="0053381D" w:rsidRPr="0053381D" w:rsidRDefault="0053381D" w:rsidP="000C257B">
            <w:pPr>
              <w:numPr>
                <w:ilvl w:val="0"/>
                <w:numId w:val="24"/>
              </w:numPr>
              <w:spacing w:line="240" w:lineRule="auto"/>
              <w:contextualSpacing/>
              <w:rPr>
                <w:rFonts w:cs="Arial"/>
                <w:sz w:val="20"/>
                <w:szCs w:val="20"/>
              </w:rPr>
            </w:pPr>
            <w:r w:rsidRPr="0053381D">
              <w:rPr>
                <w:rFonts w:cs="Arial"/>
                <w:sz w:val="20"/>
                <w:szCs w:val="20"/>
              </w:rPr>
              <w:t xml:space="preserve">PN 1, 3, 4, 6: Finančni instrumenti, upravičenec: SID banka, odločitev o podpori izdana: 23. 11. 2017, vrednost prispevka EU skupaj: 253.000.000 EUR </w:t>
            </w:r>
            <w:r w:rsidRPr="0053381D">
              <w:rPr>
                <w:rFonts w:eastAsia="Times New Roman" w:cs="Arial"/>
                <w:sz w:val="20"/>
                <w:szCs w:val="20"/>
              </w:rPr>
              <w:t>(predvidene 4. tranše v 2017, 2019, 2021, 2022 po 25 % zneska, do zdaj realizirano do ravni končnih prejemnikov 400.000 EUR).</w:t>
            </w:r>
          </w:p>
        </w:tc>
        <w:tc>
          <w:tcPr>
            <w:tcW w:w="575" w:type="pct"/>
          </w:tcPr>
          <w:p w:rsidR="0053381D" w:rsidRPr="0053381D" w:rsidRDefault="0053381D" w:rsidP="0053381D">
            <w:pPr>
              <w:tabs>
                <w:tab w:val="left" w:pos="0"/>
              </w:tabs>
              <w:spacing w:line="240" w:lineRule="auto"/>
              <w:rPr>
                <w:rFonts w:cs="Arial"/>
                <w:i/>
                <w:sz w:val="20"/>
                <w:szCs w:val="20"/>
              </w:rPr>
            </w:pPr>
            <w:r w:rsidRPr="0053381D">
              <w:rPr>
                <w:rFonts w:cs="Arial"/>
                <w:i/>
                <w:sz w:val="20"/>
                <w:szCs w:val="20"/>
              </w:rPr>
              <w:t>Zagotoviti je treba:</w:t>
            </w:r>
          </w:p>
          <w:p w:rsidR="0053381D" w:rsidRPr="0053381D" w:rsidRDefault="0053381D" w:rsidP="0053381D">
            <w:pPr>
              <w:numPr>
                <w:ilvl w:val="0"/>
                <w:numId w:val="28"/>
              </w:numPr>
              <w:tabs>
                <w:tab w:val="left" w:pos="227"/>
              </w:tabs>
              <w:spacing w:line="240" w:lineRule="auto"/>
              <w:ind w:left="227" w:hanging="283"/>
              <w:contextualSpacing/>
              <w:rPr>
                <w:rFonts w:cs="Arial"/>
                <w:sz w:val="20"/>
                <w:szCs w:val="20"/>
              </w:rPr>
            </w:pPr>
            <w:r w:rsidRPr="0053381D">
              <w:rPr>
                <w:rFonts w:cs="Arial"/>
                <w:sz w:val="20"/>
                <w:szCs w:val="20"/>
              </w:rPr>
              <w:t>pospešitev načrtovanja operacij,</w:t>
            </w:r>
          </w:p>
          <w:p w:rsidR="0053381D" w:rsidRPr="0053381D" w:rsidRDefault="0053381D" w:rsidP="0053381D">
            <w:pPr>
              <w:tabs>
                <w:tab w:val="left" w:pos="227"/>
              </w:tabs>
              <w:spacing w:line="240" w:lineRule="auto"/>
              <w:ind w:left="227" w:hanging="283"/>
              <w:rPr>
                <w:rFonts w:cs="Arial"/>
                <w:sz w:val="20"/>
                <w:szCs w:val="20"/>
              </w:rPr>
            </w:pPr>
          </w:p>
          <w:p w:rsidR="0053381D" w:rsidRPr="0053381D" w:rsidRDefault="0053381D" w:rsidP="0053381D">
            <w:pPr>
              <w:numPr>
                <w:ilvl w:val="0"/>
                <w:numId w:val="28"/>
              </w:numPr>
              <w:tabs>
                <w:tab w:val="left" w:pos="227"/>
              </w:tabs>
              <w:spacing w:line="240" w:lineRule="auto"/>
              <w:ind w:left="227" w:hanging="283"/>
              <w:contextualSpacing/>
              <w:rPr>
                <w:rFonts w:cs="Arial"/>
                <w:sz w:val="20"/>
                <w:szCs w:val="20"/>
              </w:rPr>
            </w:pPr>
            <w:r w:rsidRPr="007D6F52">
              <w:rPr>
                <w:rFonts w:cs="Arial"/>
                <w:sz w:val="20"/>
                <w:szCs w:val="20"/>
              </w:rPr>
              <w:t xml:space="preserve">četrtletno poročanje </w:t>
            </w:r>
            <w:r w:rsidRPr="0053381D">
              <w:rPr>
                <w:rFonts w:cs="Arial"/>
                <w:sz w:val="20"/>
                <w:szCs w:val="20"/>
              </w:rPr>
              <w:t>o izvedbi ali stanju pri projektu.</w:t>
            </w:r>
          </w:p>
        </w:tc>
        <w:tc>
          <w:tcPr>
            <w:tcW w:w="326" w:type="pct"/>
          </w:tcPr>
          <w:p w:rsidR="0053381D" w:rsidRPr="0053381D" w:rsidRDefault="0053381D" w:rsidP="009B7BE9">
            <w:pPr>
              <w:spacing w:line="240" w:lineRule="auto"/>
              <w:jc w:val="center"/>
              <w:rPr>
                <w:rFonts w:cs="Arial"/>
                <w:sz w:val="20"/>
                <w:szCs w:val="20"/>
              </w:rPr>
            </w:pPr>
            <w:r w:rsidRPr="0053381D">
              <w:rPr>
                <w:rFonts w:cs="Arial"/>
                <w:sz w:val="20"/>
                <w:szCs w:val="20"/>
              </w:rPr>
              <w:t>MGRT</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MGRT</w:t>
            </w:r>
          </w:p>
          <w:p w:rsidR="0053381D" w:rsidRPr="0053381D" w:rsidRDefault="0053381D" w:rsidP="009B7BE9">
            <w:pPr>
              <w:spacing w:line="240" w:lineRule="auto"/>
              <w:jc w:val="center"/>
              <w:rPr>
                <w:rFonts w:cs="Arial"/>
                <w:sz w:val="20"/>
                <w:szCs w:val="20"/>
              </w:rPr>
            </w:pPr>
          </w:p>
          <w:p w:rsid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MOP</w:t>
            </w: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p>
          <w:p w:rsidR="0053381D" w:rsidRPr="0053381D" w:rsidRDefault="0053381D" w:rsidP="009B7BE9">
            <w:pPr>
              <w:spacing w:line="240" w:lineRule="auto"/>
              <w:jc w:val="center"/>
              <w:rPr>
                <w:rFonts w:cs="Arial"/>
                <w:sz w:val="20"/>
                <w:szCs w:val="20"/>
              </w:rPr>
            </w:pPr>
            <w:r w:rsidRPr="0053381D">
              <w:rPr>
                <w:rFonts w:cs="Arial"/>
                <w:sz w:val="20"/>
                <w:szCs w:val="20"/>
              </w:rPr>
              <w:t>MGRT</w:t>
            </w:r>
          </w:p>
        </w:tc>
        <w:tc>
          <w:tcPr>
            <w:tcW w:w="433" w:type="pct"/>
          </w:tcPr>
          <w:p w:rsidR="0053381D" w:rsidRPr="0053381D" w:rsidRDefault="0053381D" w:rsidP="009B7BE9">
            <w:pPr>
              <w:spacing w:line="240" w:lineRule="auto"/>
              <w:jc w:val="center"/>
              <w:rPr>
                <w:rFonts w:cs="Arial"/>
                <w:sz w:val="20"/>
                <w:szCs w:val="20"/>
              </w:rPr>
            </w:pPr>
            <w:r w:rsidRPr="007D6F52">
              <w:rPr>
                <w:rFonts w:cs="Arial"/>
                <w:sz w:val="20"/>
                <w:szCs w:val="20"/>
              </w:rPr>
              <w:t>1. četrtletje 2019</w:t>
            </w:r>
            <w:r w:rsidRPr="0053381D">
              <w:rPr>
                <w:rFonts w:cs="Arial"/>
                <w:sz w:val="20"/>
                <w:szCs w:val="20"/>
              </w:rPr>
              <w:t>;</w:t>
            </w:r>
          </w:p>
          <w:p w:rsidR="0053381D" w:rsidRPr="0053381D" w:rsidRDefault="0053381D" w:rsidP="009B7BE9">
            <w:pPr>
              <w:spacing w:line="240" w:lineRule="auto"/>
              <w:jc w:val="center"/>
              <w:rPr>
                <w:rFonts w:cs="Arial"/>
                <w:sz w:val="20"/>
                <w:szCs w:val="20"/>
              </w:rPr>
            </w:pPr>
            <w:r w:rsidRPr="007D6F52">
              <w:rPr>
                <w:rFonts w:cs="Arial"/>
                <w:sz w:val="20"/>
                <w:szCs w:val="20"/>
              </w:rPr>
              <w:t>trajno</w:t>
            </w:r>
          </w:p>
        </w:tc>
        <w:tc>
          <w:tcPr>
            <w:tcW w:w="562" w:type="pct"/>
          </w:tcPr>
          <w:p w:rsidR="0053381D" w:rsidRPr="0053381D" w:rsidRDefault="0053381D" w:rsidP="009B7BE9">
            <w:pPr>
              <w:spacing w:line="240" w:lineRule="auto"/>
              <w:rPr>
                <w:rFonts w:cs="Arial"/>
                <w:sz w:val="20"/>
                <w:szCs w:val="20"/>
              </w:rPr>
            </w:pPr>
            <w:r w:rsidRPr="0053381D">
              <w:rPr>
                <w:rFonts w:cs="Arial"/>
                <w:sz w:val="20"/>
                <w:szCs w:val="20"/>
              </w:rPr>
              <w:t>Če se stanje izvajanja operacij ne izboljša, proučitev možnosti prerazporeditve.</w:t>
            </w:r>
          </w:p>
        </w:tc>
      </w:tr>
    </w:tbl>
    <w:p w:rsidR="009B7BE9" w:rsidRPr="009B7BE9" w:rsidRDefault="009B7BE9" w:rsidP="009B7BE9">
      <w:pPr>
        <w:spacing w:after="160" w:line="259" w:lineRule="auto"/>
        <w:rPr>
          <w:rFonts w:eastAsia="Calibri" w:cs="Arial"/>
          <w:b/>
          <w:szCs w:val="20"/>
        </w:rPr>
      </w:pPr>
    </w:p>
    <w:p w:rsidR="0053381D" w:rsidRDefault="0053381D">
      <w:pPr>
        <w:spacing w:line="240" w:lineRule="auto"/>
        <w:rPr>
          <w:rFonts w:cs="Arial"/>
          <w:b/>
          <w:color w:val="0070C0"/>
          <w:szCs w:val="20"/>
        </w:rPr>
      </w:pPr>
      <w:r>
        <w:rPr>
          <w:rFonts w:cs="Arial"/>
          <w:b/>
          <w:color w:val="0070C0"/>
          <w:szCs w:val="20"/>
        </w:rPr>
        <w:br w:type="page"/>
      </w:r>
    </w:p>
    <w:p w:rsid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b/>
          <w:szCs w:val="20"/>
        </w:rPr>
      </w:pPr>
      <w:r w:rsidRPr="00286944">
        <w:rPr>
          <w:rFonts w:cs="Arial"/>
          <w:b/>
          <w:color w:val="0070C0"/>
          <w:szCs w:val="20"/>
        </w:rPr>
        <w:lastRenderedPageBreak/>
        <w:t>Realizacija</w:t>
      </w:r>
      <w:r w:rsidRPr="009B7BE9">
        <w:rPr>
          <w:rFonts w:eastAsia="Calibri" w:cs="Arial"/>
          <w:b/>
          <w:szCs w:val="20"/>
        </w:rPr>
        <w:t xml:space="preserve"> </w:t>
      </w:r>
    </w:p>
    <w:p w:rsidR="003F0C23" w:rsidRPr="003F0C23" w:rsidRDefault="003F0C23" w:rsidP="001E0490">
      <w:pPr>
        <w:spacing w:line="240" w:lineRule="auto"/>
        <w:contextualSpacing/>
        <w:jc w:val="both"/>
        <w:rPr>
          <w:rFonts w:cs="Arial"/>
        </w:rPr>
      </w:pPr>
      <w:r w:rsidRPr="003F0C23">
        <w:rPr>
          <w:rFonts w:cs="Arial"/>
        </w:rPr>
        <w:t xml:space="preserve">1. </w:t>
      </w:r>
      <w:r w:rsidRPr="003F0C23">
        <w:rPr>
          <w:rFonts w:cs="Arial"/>
          <w:szCs w:val="20"/>
        </w:rPr>
        <w:t xml:space="preserve">PN 3.2: </w:t>
      </w:r>
      <w:r w:rsidRPr="003F0C23">
        <w:rPr>
          <w:rFonts w:cs="Arial"/>
        </w:rPr>
        <w:t>SPOT 4: Vzpostavitev in delovanje nacionalne slovenske poslovne točke (tudi t. i. strateški projekt Vlade RS), do zdaj realizirano: 350.414 EUR;</w:t>
      </w:r>
      <w:r>
        <w:rPr>
          <w:rFonts w:cs="Arial"/>
        </w:rPr>
        <w:t xml:space="preserve"> </w:t>
      </w:r>
      <w:r w:rsidRPr="003F0C23">
        <w:rPr>
          <w:rFonts w:cs="Arial"/>
        </w:rPr>
        <w:t>na podlagi poročila upravičenca povzemamo glavne izvedene aktivnosti:</w:t>
      </w:r>
    </w:p>
    <w:p w:rsidR="003F0C23" w:rsidRPr="003F0C23" w:rsidRDefault="003F0C23" w:rsidP="003F0C23">
      <w:pPr>
        <w:numPr>
          <w:ilvl w:val="0"/>
          <w:numId w:val="43"/>
        </w:numPr>
        <w:spacing w:line="240" w:lineRule="auto"/>
        <w:contextualSpacing/>
        <w:rPr>
          <w:rFonts w:cs="Arial"/>
          <w:lang w:eastAsia="sl-SI"/>
        </w:rPr>
      </w:pPr>
      <w:r w:rsidRPr="003F0C23">
        <w:rPr>
          <w:rFonts w:cs="Arial"/>
          <w:lang w:eastAsia="sl-SI"/>
        </w:rPr>
        <w:t>na operaciji se je v prvem četrtletju 2019 zaposlilo 8 dodatnih oseb;</w:t>
      </w:r>
    </w:p>
    <w:p w:rsidR="003F0C23" w:rsidRPr="003F0C23" w:rsidRDefault="003F0C23" w:rsidP="003F0C23">
      <w:pPr>
        <w:numPr>
          <w:ilvl w:val="0"/>
          <w:numId w:val="43"/>
        </w:numPr>
        <w:spacing w:line="240" w:lineRule="auto"/>
        <w:contextualSpacing/>
        <w:rPr>
          <w:rFonts w:cs="Arial"/>
          <w:lang w:eastAsia="sl-SI"/>
        </w:rPr>
      </w:pPr>
      <w:r w:rsidRPr="003F0C23">
        <w:rPr>
          <w:rFonts w:cs="Arial"/>
          <w:lang w:eastAsia="sl-SI"/>
        </w:rPr>
        <w:t>izvedena je bila ena delavnica in dve skype usposabljanji za svetovalce v okviru SPOT točk;</w:t>
      </w:r>
    </w:p>
    <w:p w:rsidR="003F0C23" w:rsidRPr="003F0C23" w:rsidRDefault="003F0C23" w:rsidP="003F0C23">
      <w:pPr>
        <w:numPr>
          <w:ilvl w:val="0"/>
          <w:numId w:val="43"/>
        </w:numPr>
        <w:spacing w:line="240" w:lineRule="auto"/>
        <w:contextualSpacing/>
        <w:rPr>
          <w:rFonts w:cs="Arial"/>
          <w:lang w:eastAsia="sl-SI"/>
        </w:rPr>
      </w:pPr>
      <w:r w:rsidRPr="003F0C23">
        <w:rPr>
          <w:rFonts w:cs="Arial"/>
          <w:lang w:eastAsia="sl-SI"/>
        </w:rPr>
        <w:t>izvajale so se aktivnosti v zvezi z vzpostavitvijo sistema vavčerjev, v okviru katerega svetovalci na SPOT točkah pripravljajo vloge za podjetja;</w:t>
      </w:r>
    </w:p>
    <w:p w:rsidR="003F0C23" w:rsidRPr="003F0C23" w:rsidRDefault="003F0C23" w:rsidP="003F0C23">
      <w:pPr>
        <w:numPr>
          <w:ilvl w:val="0"/>
          <w:numId w:val="43"/>
        </w:numPr>
        <w:spacing w:line="240" w:lineRule="auto"/>
        <w:contextualSpacing/>
        <w:jc w:val="both"/>
        <w:rPr>
          <w:rFonts w:cs="Arial"/>
          <w:lang w:eastAsia="sl-SI"/>
        </w:rPr>
      </w:pPr>
      <w:r w:rsidRPr="003F0C23">
        <w:rPr>
          <w:rFonts w:cs="Arial"/>
          <w:lang w:eastAsia="sl-SI"/>
        </w:rPr>
        <w:t>potekajo aktivnosti za pripravo javnih naročil za vzpostavitev enotne kontaktne točke za poslovne subjekte, za vzpostavitev nacionalnega podjetniškega portala, za program Lead Generation, za izvedbo pilotnega programa usposabljanja za slovenske izvoznike (MSP) za nemško govoreče trge (regija DACH)  in za vzpostavitev analitike, ki bo potrebna za učinkovito koordinacijo podpornega okolja;</w:t>
      </w:r>
    </w:p>
    <w:p w:rsidR="003F0C23" w:rsidRPr="003F0C23" w:rsidRDefault="003F0C23" w:rsidP="003F0C23">
      <w:pPr>
        <w:numPr>
          <w:ilvl w:val="0"/>
          <w:numId w:val="43"/>
        </w:numPr>
        <w:spacing w:line="240" w:lineRule="auto"/>
        <w:contextualSpacing/>
        <w:jc w:val="both"/>
        <w:rPr>
          <w:rFonts w:cs="Arial"/>
          <w:lang w:eastAsia="sl-SI"/>
        </w:rPr>
      </w:pPr>
      <w:r w:rsidRPr="003F0C23">
        <w:rPr>
          <w:rFonts w:cs="Arial"/>
          <w:lang w:eastAsia="sl-SI"/>
        </w:rPr>
        <w:t>pripravljen je bil komunikacijski načrt za zagon komunikacijskih aktivnosti in promocije Sistema SPOT, za obdobje petih let, izvedene so bile naslednje komunikacijske aktivnosti: priprava vsebin za krajšo in daljšo predstavitveno brošuro SPOT, posodobitev CGP priročnika SPOT, podpora dogodkom, izvedba projekta Moj projekt ter EU projekt 2019</w:t>
      </w:r>
      <w:r>
        <w:rPr>
          <w:rFonts w:cs="Arial"/>
          <w:lang w:eastAsia="sl-SI"/>
        </w:rPr>
        <w:t xml:space="preserve">. </w:t>
      </w:r>
      <w:r w:rsidRPr="003F0C23">
        <w:rPr>
          <w:rFonts w:cs="Arial"/>
        </w:rPr>
        <w:t>V nadaljevanju se</w:t>
      </w:r>
      <w:r>
        <w:rPr>
          <w:rFonts w:cs="Arial"/>
          <w:lang w:eastAsia="sl-SI"/>
        </w:rPr>
        <w:t xml:space="preserve"> </w:t>
      </w:r>
      <w:r w:rsidRPr="003F0C23">
        <w:rPr>
          <w:rFonts w:cs="Arial"/>
          <w:lang w:eastAsia="sl-SI"/>
        </w:rPr>
        <w:t xml:space="preserve">načrtuje objava in izvedba </w:t>
      </w:r>
      <w:r>
        <w:rPr>
          <w:rFonts w:cs="Arial"/>
          <w:lang w:eastAsia="sl-SI"/>
        </w:rPr>
        <w:t xml:space="preserve">zgoraj navedenih javnih naročil in </w:t>
      </w:r>
      <w:r w:rsidRPr="003F0C23">
        <w:rPr>
          <w:rFonts w:cs="Arial"/>
          <w:lang w:eastAsia="sl-SI"/>
        </w:rPr>
        <w:t>zaposlitev 11 oseb in sicer je načrtovano, da bodo nove zaposlitve izvedene v juniju in septembru 2019.</w:t>
      </w:r>
      <w:r>
        <w:rPr>
          <w:rFonts w:cs="Arial"/>
          <w:lang w:eastAsia="sl-SI"/>
        </w:rPr>
        <w:t xml:space="preserve"> U</w:t>
      </w:r>
      <w:r w:rsidRPr="003F0C23">
        <w:rPr>
          <w:rFonts w:cs="Arial"/>
        </w:rPr>
        <w:t xml:space="preserve">pravičenec </w:t>
      </w:r>
      <w:r>
        <w:rPr>
          <w:rFonts w:cs="Arial"/>
        </w:rPr>
        <w:t xml:space="preserve">je </w:t>
      </w:r>
      <w:r w:rsidRPr="003F0C23">
        <w:rPr>
          <w:rFonts w:cs="Arial"/>
        </w:rPr>
        <w:t xml:space="preserve">pripravil </w:t>
      </w:r>
      <w:r>
        <w:rPr>
          <w:rFonts w:cs="Arial"/>
        </w:rPr>
        <w:t xml:space="preserve">tudi </w:t>
      </w:r>
      <w:r w:rsidRPr="003F0C23">
        <w:rPr>
          <w:rFonts w:cs="Arial"/>
        </w:rPr>
        <w:t>načrt aktivnosti po posameznih sklopih aktivnosti, na podlagi katerega bo MGRT redno spremljal</w:t>
      </w:r>
      <w:r w:rsidR="00DF6031">
        <w:rPr>
          <w:rFonts w:cs="Arial"/>
        </w:rPr>
        <w:t>o</w:t>
      </w:r>
      <w:r w:rsidRPr="003F0C23">
        <w:rPr>
          <w:rFonts w:cs="Arial"/>
        </w:rPr>
        <w:t xml:space="preserve"> izvedbo.</w:t>
      </w:r>
    </w:p>
    <w:p w:rsidR="003F0C23" w:rsidRPr="00CD2710" w:rsidRDefault="003F0C23" w:rsidP="003F0C23">
      <w:pPr>
        <w:spacing w:line="240" w:lineRule="auto"/>
        <w:rPr>
          <w:rFonts w:cs="Arial"/>
          <w:szCs w:val="20"/>
        </w:rPr>
      </w:pPr>
      <w:r w:rsidRPr="00CD2710">
        <w:rPr>
          <w:rFonts w:cs="Arial"/>
          <w:szCs w:val="20"/>
        </w:rPr>
        <w:t>2. PN 3.2:</w:t>
      </w:r>
      <w:r w:rsidR="00AF3A50">
        <w:rPr>
          <w:rFonts w:cs="Arial"/>
          <w:szCs w:val="20"/>
        </w:rPr>
        <w:t xml:space="preserve"> </w:t>
      </w:r>
      <w:r w:rsidRPr="00CD2710">
        <w:rPr>
          <w:rFonts w:cs="Arial"/>
        </w:rPr>
        <w:t>Poslovni modeli 2018‒2022: Spodbujanje razvoja in uporabe novih poslovnih modelov za lažje vključevanje v globalne verige vrednosti, do zdaj realizirano 708 EUR;</w:t>
      </w:r>
      <w:r w:rsidRPr="00CD2710">
        <w:rPr>
          <w:rFonts w:cs="Arial"/>
          <w:szCs w:val="20"/>
        </w:rPr>
        <w:t xml:space="preserve"> v</w:t>
      </w:r>
      <w:r w:rsidRPr="00CD2710">
        <w:t xml:space="preserve"> okviru operacije je bilo izvedeno javno naročilo za izbor ključnih ekspertov/strokovnjakov, ki bodo v podjetjih izvedli trajnostno strateško transformacijo v obdobju 2019–2022. Pripravljen je bil predlog spremembe operacije, v okviru katere je predlagana vključitev sheme de minimis za izvedbo aktivnosti A3.2.</w:t>
      </w:r>
    </w:p>
    <w:p w:rsidR="007D6F52" w:rsidRPr="001070C8" w:rsidRDefault="007D6F52" w:rsidP="007D6F52">
      <w:pPr>
        <w:spacing w:line="240" w:lineRule="auto"/>
        <w:jc w:val="both"/>
        <w:rPr>
          <w:rFonts w:cs="Arial"/>
          <w:szCs w:val="20"/>
        </w:rPr>
      </w:pPr>
      <w:r w:rsidRPr="001070C8">
        <w:rPr>
          <w:rFonts w:cs="Arial"/>
          <w:szCs w:val="20"/>
        </w:rPr>
        <w:t xml:space="preserve">3. PN 6.1: Odvajanje in čiščenje odpadne vode na območju vodonosnika Ljubljanskega polja; opazen je napredek pri gradnji kanalizacije v občini Medvode in Vodice. </w:t>
      </w:r>
    </w:p>
    <w:p w:rsidR="001070C8" w:rsidRDefault="007D6F52" w:rsidP="001070C8">
      <w:pPr>
        <w:spacing w:line="240" w:lineRule="auto"/>
        <w:jc w:val="both"/>
        <w:rPr>
          <w:rFonts w:cs="Arial"/>
          <w:szCs w:val="20"/>
        </w:rPr>
      </w:pPr>
      <w:r w:rsidRPr="001070C8">
        <w:rPr>
          <w:rFonts w:cs="Arial"/>
          <w:szCs w:val="20"/>
        </w:rPr>
        <w:t>4.</w:t>
      </w:r>
      <w:r w:rsidR="001070C8" w:rsidRPr="001070C8">
        <w:rPr>
          <w:rFonts w:cs="Arial"/>
          <w:szCs w:val="20"/>
        </w:rPr>
        <w:t xml:space="preserve"> PN 6.1: Odvajanje in čiščenje komunalnih odpadnih voda v porečju Zgornje Save in na območju Kranjskega </w:t>
      </w:r>
      <w:r w:rsidR="00DF6031">
        <w:rPr>
          <w:rFonts w:cs="Arial"/>
          <w:szCs w:val="20"/>
        </w:rPr>
        <w:t>in Sorškega polja 2. sklop, 2. f</w:t>
      </w:r>
      <w:r w:rsidR="001070C8" w:rsidRPr="001070C8">
        <w:rPr>
          <w:rFonts w:cs="Arial"/>
          <w:szCs w:val="20"/>
        </w:rPr>
        <w:t>aza: podpisana je izvajalska pogodba – pričakuje se intenzivna gradnja v letu 2019.</w:t>
      </w:r>
    </w:p>
    <w:p w:rsidR="009044EB" w:rsidRPr="009044EB" w:rsidRDefault="001070C8" w:rsidP="009044EB">
      <w:pPr>
        <w:spacing w:line="240" w:lineRule="auto"/>
        <w:jc w:val="both"/>
        <w:rPr>
          <w:rFonts w:cs="Arial"/>
          <w:i/>
          <w:szCs w:val="20"/>
          <w:highlight w:val="green"/>
        </w:rPr>
      </w:pPr>
      <w:r w:rsidRPr="009044EB">
        <w:rPr>
          <w:rFonts w:cs="Arial"/>
          <w:szCs w:val="20"/>
        </w:rPr>
        <w:t>5. PN 5.1: Protipoplavna ureditev porečja Gradaščice (do Ljubljane) – zmanjševanje poplavne ogroženosti OPVP Ljubljana jug in Dobrova</w:t>
      </w:r>
      <w:r w:rsidR="009044EB">
        <w:rPr>
          <w:rFonts w:cs="Arial"/>
          <w:szCs w:val="20"/>
        </w:rPr>
        <w:t>: v</w:t>
      </w:r>
      <w:r w:rsidR="009044EB" w:rsidRPr="009044EB">
        <w:rPr>
          <w:rFonts w:cs="Arial"/>
          <w:szCs w:val="20"/>
        </w:rPr>
        <w:t xml:space="preserve"> prvem kvartalu 2019 je bila pripravljena dokumentacija za izvedbo javnega naročila za 1. sklop gradbenih ukrepov. Objava javnega naročila in začetek postopka izbora izvajalca je predviden v drugem kvartalu 2019.</w:t>
      </w:r>
    </w:p>
    <w:p w:rsidR="00C37074" w:rsidRPr="00C37074" w:rsidRDefault="007D6F52" w:rsidP="00C37074">
      <w:pPr>
        <w:spacing w:line="240" w:lineRule="auto"/>
        <w:jc w:val="both"/>
        <w:rPr>
          <w:rFonts w:cs="Arial"/>
          <w:szCs w:val="20"/>
        </w:rPr>
      </w:pPr>
      <w:r w:rsidRPr="001070C8">
        <w:rPr>
          <w:rFonts w:cs="Arial"/>
          <w:szCs w:val="20"/>
        </w:rPr>
        <w:t>6.</w:t>
      </w:r>
      <w:r w:rsidR="001070C8" w:rsidRPr="001070C8">
        <w:rPr>
          <w:rFonts w:cs="Arial"/>
          <w:szCs w:val="20"/>
        </w:rPr>
        <w:t xml:space="preserve"> PN 5.1: </w:t>
      </w:r>
      <w:r w:rsidR="00C37074" w:rsidRPr="00C37074">
        <w:rPr>
          <w:rFonts w:cs="Arial"/>
          <w:szCs w:val="20"/>
        </w:rPr>
        <w:t>Nadaljevanje projektov zagotovitve poplavne varnosti na porečju Drave, do zdaj realizirano 412.523 EUR</w:t>
      </w:r>
      <w:r w:rsidR="00C37074">
        <w:rPr>
          <w:rFonts w:cs="Arial"/>
          <w:szCs w:val="20"/>
        </w:rPr>
        <w:t>. I</w:t>
      </w:r>
      <w:r w:rsidR="00C37074" w:rsidRPr="00C37074">
        <w:rPr>
          <w:rFonts w:cs="Arial"/>
          <w:szCs w:val="20"/>
        </w:rPr>
        <w:t>zbor izvajalcev gradbenih del je v večji meri zaključen, pričakuje se intenzivna gradnja v letu 2019.</w:t>
      </w:r>
    </w:p>
    <w:p w:rsidR="00075148" w:rsidRPr="00075148" w:rsidRDefault="001070C8" w:rsidP="00075148">
      <w:pPr>
        <w:spacing w:line="240" w:lineRule="auto"/>
        <w:rPr>
          <w:rFonts w:cs="Arial"/>
          <w:szCs w:val="20"/>
        </w:rPr>
      </w:pPr>
      <w:r>
        <w:rPr>
          <w:rFonts w:cs="Arial"/>
          <w:szCs w:val="20"/>
        </w:rPr>
        <w:t xml:space="preserve">7. </w:t>
      </w:r>
      <w:r w:rsidRPr="0053381D">
        <w:rPr>
          <w:rFonts w:cs="Arial"/>
          <w:szCs w:val="20"/>
        </w:rPr>
        <w:t xml:space="preserve">PN 1, 3, 4, 6: </w:t>
      </w:r>
      <w:r w:rsidR="00075148" w:rsidRPr="00075148">
        <w:rPr>
          <w:rFonts w:cs="Arial"/>
          <w:szCs w:val="20"/>
        </w:rPr>
        <w:t xml:space="preserve">FI: </w:t>
      </w:r>
    </w:p>
    <w:p w:rsidR="00075148" w:rsidRPr="00075148" w:rsidRDefault="00075148" w:rsidP="00075148">
      <w:pPr>
        <w:spacing w:line="240" w:lineRule="auto"/>
        <w:jc w:val="both"/>
        <w:rPr>
          <w:rFonts w:cs="Arial"/>
          <w:szCs w:val="20"/>
        </w:rPr>
      </w:pPr>
      <w:r w:rsidRPr="00075148">
        <w:rPr>
          <w:rFonts w:cs="Arial"/>
          <w:szCs w:val="20"/>
        </w:rPr>
        <w:t>a)</w:t>
      </w:r>
      <w:r>
        <w:rPr>
          <w:rFonts w:cs="Arial"/>
          <w:szCs w:val="20"/>
        </w:rPr>
        <w:t xml:space="preserve"> </w:t>
      </w:r>
      <w:r w:rsidRPr="00075148">
        <w:rPr>
          <w:rFonts w:cs="Arial"/>
          <w:szCs w:val="20"/>
        </w:rPr>
        <w:t>Priprava finančnih produktov: zaključen razvoj FI/finančnih produktov EKP posojila za celovito energetsko prenovo javnih stavb, EKP posojila za urbani razvoj in EKP posojila za RRI za neposredno izvajanje SID. Pričetek izvajanja/trženja v aprilu 2019. Razvoj produkta EKP portfeljske garancije za MSP je pred časovnico, ostale aktivnosti potekajo v skladu s PFN.</w:t>
      </w:r>
    </w:p>
    <w:p w:rsidR="004E26AF" w:rsidRPr="004E26AF" w:rsidRDefault="00075148" w:rsidP="004E26AF">
      <w:pPr>
        <w:spacing w:line="240" w:lineRule="auto"/>
        <w:jc w:val="both"/>
        <w:rPr>
          <w:rFonts w:cs="Arial"/>
          <w:kern w:val="1"/>
          <w:szCs w:val="20"/>
          <w:lang w:eastAsia="zh-CN"/>
        </w:rPr>
      </w:pPr>
      <w:r w:rsidRPr="00075148">
        <w:rPr>
          <w:rFonts w:cs="Arial"/>
          <w:szCs w:val="20"/>
        </w:rPr>
        <w:t>b)</w:t>
      </w:r>
      <w:r>
        <w:rPr>
          <w:rFonts w:cs="Arial"/>
          <w:szCs w:val="20"/>
        </w:rPr>
        <w:t xml:space="preserve"> H</w:t>
      </w:r>
      <w:r w:rsidRPr="00075148">
        <w:rPr>
          <w:rFonts w:cs="Arial"/>
          <w:szCs w:val="20"/>
        </w:rPr>
        <w:t>itrejše posredovanje sredstev finančnim posrednikom in končnim prejemnikom</w:t>
      </w:r>
      <w:r w:rsidR="00DF6031">
        <w:rPr>
          <w:rFonts w:cs="Arial"/>
          <w:szCs w:val="20"/>
        </w:rPr>
        <w:t xml:space="preserve"> </w:t>
      </w:r>
      <w:r w:rsidRPr="00075148">
        <w:rPr>
          <w:rFonts w:cs="Arial"/>
          <w:szCs w:val="20"/>
        </w:rPr>
        <w:t>v realizaciji, tudi s podpisanim dodatkom SoF za neposredno izvajanje FI s strani sklada skladov, zaradi nezainteresiranosti finan</w:t>
      </w:r>
      <w:r>
        <w:rPr>
          <w:rFonts w:cs="Arial"/>
          <w:szCs w:val="20"/>
        </w:rPr>
        <w:t xml:space="preserve">čnih </w:t>
      </w:r>
      <w:r w:rsidRPr="00075148">
        <w:rPr>
          <w:rFonts w:cs="Arial"/>
          <w:szCs w:val="20"/>
        </w:rPr>
        <w:t xml:space="preserve">institucij. </w:t>
      </w:r>
      <w:r w:rsidRPr="00075148">
        <w:rPr>
          <w:rFonts w:cs="Arial"/>
          <w:kern w:val="1"/>
          <w:szCs w:val="20"/>
          <w:lang w:eastAsia="zh-CN"/>
        </w:rPr>
        <w:t xml:space="preserve">Do konca marca 2019 je bilo </w:t>
      </w:r>
      <w:r>
        <w:rPr>
          <w:rFonts w:cs="Arial"/>
          <w:kern w:val="1"/>
          <w:szCs w:val="20"/>
          <w:lang w:eastAsia="zh-CN"/>
        </w:rPr>
        <w:t>s</w:t>
      </w:r>
      <w:r w:rsidRPr="00075148">
        <w:rPr>
          <w:rFonts w:cs="Arial"/>
          <w:kern w:val="1"/>
          <w:szCs w:val="20"/>
          <w:lang w:eastAsia="zh-CN"/>
        </w:rPr>
        <w:t xml:space="preserve"> FI (posojila za RRI in mikroposojila za MSP) prek finančnih posrednikov podprtih </w:t>
      </w:r>
      <w:r w:rsidR="004E26AF">
        <w:rPr>
          <w:rFonts w:cs="Arial"/>
          <w:kern w:val="1"/>
          <w:szCs w:val="20"/>
          <w:lang w:eastAsia="zh-CN"/>
        </w:rPr>
        <w:t>742 poslov</w:t>
      </w:r>
      <w:r w:rsidRPr="00075148">
        <w:rPr>
          <w:rFonts w:cs="Arial"/>
          <w:kern w:val="1"/>
          <w:szCs w:val="20"/>
          <w:lang w:eastAsia="zh-CN"/>
        </w:rPr>
        <w:t xml:space="preserve"> končnih prejemnikov</w:t>
      </w:r>
      <w:r w:rsidR="004E26AF">
        <w:rPr>
          <w:rFonts w:cs="Arial"/>
          <w:kern w:val="1"/>
          <w:szCs w:val="20"/>
          <w:lang w:eastAsia="zh-CN"/>
        </w:rPr>
        <w:t>,</w:t>
      </w:r>
      <w:r w:rsidRPr="00075148">
        <w:rPr>
          <w:rFonts w:cs="Arial"/>
          <w:kern w:val="1"/>
          <w:szCs w:val="20"/>
          <w:lang w:eastAsia="zh-CN"/>
        </w:rPr>
        <w:t xml:space="preserve"> sklenjenih pogodb v skupni vrednosti 2</w:t>
      </w:r>
      <w:r w:rsidR="004E26AF">
        <w:rPr>
          <w:rFonts w:cs="Arial"/>
          <w:kern w:val="1"/>
          <w:szCs w:val="20"/>
          <w:lang w:eastAsia="zh-CN"/>
        </w:rPr>
        <w:t>3</w:t>
      </w:r>
      <w:r w:rsidRPr="00075148">
        <w:rPr>
          <w:rFonts w:cs="Arial"/>
          <w:kern w:val="1"/>
          <w:szCs w:val="20"/>
          <w:lang w:eastAsia="zh-CN"/>
        </w:rPr>
        <w:t>,8</w:t>
      </w:r>
      <w:r>
        <w:rPr>
          <w:rFonts w:cs="Arial"/>
          <w:kern w:val="1"/>
          <w:szCs w:val="20"/>
          <w:lang w:eastAsia="zh-CN"/>
        </w:rPr>
        <w:t xml:space="preserve"> </w:t>
      </w:r>
      <w:r w:rsidRPr="00075148">
        <w:rPr>
          <w:rFonts w:cs="Arial"/>
          <w:kern w:val="1"/>
          <w:szCs w:val="20"/>
          <w:lang w:eastAsia="zh-CN"/>
        </w:rPr>
        <w:t>milijon</w:t>
      </w:r>
      <w:r>
        <w:rPr>
          <w:rFonts w:cs="Arial"/>
          <w:kern w:val="1"/>
          <w:szCs w:val="20"/>
          <w:lang w:eastAsia="zh-CN"/>
        </w:rPr>
        <w:t>a evrov</w:t>
      </w:r>
      <w:r w:rsidR="009044EB">
        <w:rPr>
          <w:rFonts w:cs="Arial"/>
          <w:kern w:val="1"/>
          <w:szCs w:val="20"/>
          <w:lang w:eastAsia="zh-CN"/>
        </w:rPr>
        <w:t>,</w:t>
      </w:r>
      <w:r w:rsidRPr="00075148">
        <w:rPr>
          <w:rFonts w:cs="Arial"/>
          <w:kern w:val="1"/>
          <w:szCs w:val="20"/>
          <w:lang w:eastAsia="zh-CN"/>
        </w:rPr>
        <w:t xml:space="preserve"> od tega večina (7</w:t>
      </w:r>
      <w:r w:rsidR="004E26AF">
        <w:rPr>
          <w:rFonts w:cs="Arial"/>
          <w:kern w:val="1"/>
          <w:szCs w:val="20"/>
          <w:lang w:eastAsia="zh-CN"/>
        </w:rPr>
        <w:t>5,8</w:t>
      </w:r>
      <w:r>
        <w:rPr>
          <w:rFonts w:cs="Arial"/>
          <w:kern w:val="1"/>
          <w:szCs w:val="20"/>
          <w:lang w:eastAsia="zh-CN"/>
        </w:rPr>
        <w:t xml:space="preserve"> </w:t>
      </w:r>
      <w:r w:rsidRPr="00075148">
        <w:rPr>
          <w:rFonts w:cs="Arial"/>
          <w:kern w:val="1"/>
          <w:szCs w:val="20"/>
          <w:lang w:eastAsia="zh-CN"/>
        </w:rPr>
        <w:t>%) mikroposojil</w:t>
      </w:r>
      <w:r w:rsidR="004E26AF" w:rsidRPr="004E26AF">
        <w:rPr>
          <w:rFonts w:cs="Arial"/>
          <w:kern w:val="1"/>
          <w:szCs w:val="20"/>
          <w:lang w:eastAsia="zh-CN"/>
        </w:rPr>
        <w:t xml:space="preserve"> </w:t>
      </w:r>
      <w:r w:rsidR="004E26AF">
        <w:rPr>
          <w:rFonts w:cs="Arial"/>
          <w:kern w:val="1"/>
          <w:szCs w:val="20"/>
          <w:lang w:eastAsia="zh-CN"/>
        </w:rPr>
        <w:t>in</w:t>
      </w:r>
      <w:r w:rsidR="004E26AF" w:rsidRPr="004E26AF">
        <w:rPr>
          <w:rFonts w:cs="Arial"/>
          <w:kern w:val="1"/>
          <w:szCs w:val="20"/>
          <w:lang w:eastAsia="zh-CN"/>
        </w:rPr>
        <w:t xml:space="preserve"> s strani končnih prejemnikov, po sklenjenih pogodbah, črpanih skupaj 19,7 milijon</w:t>
      </w:r>
      <w:r w:rsidR="004E26AF">
        <w:rPr>
          <w:rFonts w:cs="Arial"/>
          <w:kern w:val="1"/>
          <w:szCs w:val="20"/>
          <w:lang w:eastAsia="zh-CN"/>
        </w:rPr>
        <w:t>a</w:t>
      </w:r>
      <w:r w:rsidR="004E26AF" w:rsidRPr="004E26AF">
        <w:rPr>
          <w:rFonts w:cs="Arial"/>
          <w:kern w:val="1"/>
          <w:szCs w:val="20"/>
          <w:lang w:eastAsia="zh-CN"/>
        </w:rPr>
        <w:t xml:space="preserve"> EUR.</w:t>
      </w:r>
      <w:r w:rsidR="004E26AF" w:rsidRPr="004E26AF" w:rsidDel="007A6C63">
        <w:rPr>
          <w:rFonts w:cs="Arial"/>
          <w:kern w:val="1"/>
          <w:szCs w:val="20"/>
          <w:lang w:eastAsia="zh-CN"/>
        </w:rPr>
        <w:t xml:space="preserve"> </w:t>
      </w:r>
    </w:p>
    <w:p w:rsidR="004E26AF" w:rsidRPr="004E26AF" w:rsidRDefault="0053381D" w:rsidP="004E26AF">
      <w:pPr>
        <w:spacing w:line="240" w:lineRule="auto"/>
        <w:rPr>
          <w:rFonts w:cs="Arial"/>
          <w:szCs w:val="20"/>
        </w:rPr>
      </w:pPr>
      <w:r w:rsidRPr="004E26AF">
        <w:rPr>
          <w:rFonts w:cs="Arial"/>
          <w:szCs w:val="20"/>
        </w:rPr>
        <w:t>c)</w:t>
      </w:r>
      <w:r w:rsidR="004E26AF" w:rsidRPr="004E26AF">
        <w:rPr>
          <w:rFonts w:cs="Arial"/>
          <w:szCs w:val="20"/>
        </w:rPr>
        <w:t xml:space="preserve"> P</w:t>
      </w:r>
      <w:r w:rsidRPr="004E26AF">
        <w:rPr>
          <w:rFonts w:cs="Arial"/>
          <w:szCs w:val="20"/>
        </w:rPr>
        <w:t xml:space="preserve">o sporazumu o financiranju </w:t>
      </w:r>
      <w:r w:rsidR="004E26AF">
        <w:rPr>
          <w:rFonts w:cs="Arial"/>
          <w:szCs w:val="20"/>
        </w:rPr>
        <w:t xml:space="preserve">so </w:t>
      </w:r>
      <w:r w:rsidRPr="004E26AF">
        <w:rPr>
          <w:rFonts w:cs="Arial"/>
          <w:szCs w:val="20"/>
        </w:rPr>
        <w:t>zagotovljena tudi mesečna in kvartalna poročanja. Izvajanje FI se obravnava na mesečnih sestankih med predstavniki PO</w:t>
      </w:r>
      <w:r w:rsidR="004E26AF">
        <w:rPr>
          <w:rFonts w:cs="Arial"/>
          <w:szCs w:val="20"/>
        </w:rPr>
        <w:t xml:space="preserve">: </w:t>
      </w:r>
      <w:r w:rsidRPr="004E26AF">
        <w:rPr>
          <w:rFonts w:cs="Arial"/>
          <w:szCs w:val="20"/>
        </w:rPr>
        <w:t>MGRT, MZI, MO</w:t>
      </w:r>
      <w:r w:rsidR="004E26AF">
        <w:rPr>
          <w:rFonts w:cs="Arial"/>
          <w:szCs w:val="20"/>
        </w:rPr>
        <w:t>P, Z</w:t>
      </w:r>
      <w:r w:rsidRPr="004E26AF">
        <w:rPr>
          <w:rFonts w:cs="Arial"/>
          <w:szCs w:val="20"/>
        </w:rPr>
        <w:t>MO</w:t>
      </w:r>
      <w:r w:rsidR="004E26AF">
        <w:rPr>
          <w:rFonts w:cs="Arial"/>
          <w:szCs w:val="20"/>
        </w:rPr>
        <w:t>S</w:t>
      </w:r>
      <w:r w:rsidRPr="004E26AF">
        <w:rPr>
          <w:rFonts w:cs="Arial"/>
          <w:szCs w:val="20"/>
        </w:rPr>
        <w:t>, SVRK in SID banko d.d.</w:t>
      </w:r>
    </w:p>
    <w:p w:rsidR="0053381D" w:rsidRPr="004E26AF" w:rsidRDefault="0053381D" w:rsidP="004E26AF">
      <w:pPr>
        <w:spacing w:line="240" w:lineRule="auto"/>
        <w:jc w:val="both"/>
        <w:rPr>
          <w:rFonts w:cs="Arial"/>
          <w:szCs w:val="20"/>
        </w:rPr>
      </w:pPr>
    </w:p>
    <w:p w:rsidR="009B7BE9" w:rsidRPr="009B7BE9" w:rsidRDefault="009B7BE9" w:rsidP="009B7BE9">
      <w:pPr>
        <w:spacing w:after="160" w:line="259" w:lineRule="auto"/>
        <w:rPr>
          <w:rFonts w:eastAsia="Calibri" w:cs="Arial"/>
          <w:b/>
          <w:szCs w:val="20"/>
        </w:rPr>
      </w:pPr>
      <w:r w:rsidRPr="009B7BE9">
        <w:rPr>
          <w:rFonts w:eastAsia="Calibri" w:cs="Arial"/>
          <w:b/>
          <w:szCs w:val="20"/>
        </w:rPr>
        <w:br w:type="page"/>
      </w:r>
    </w:p>
    <w:p w:rsidR="00724889" w:rsidRPr="00724889" w:rsidRDefault="00724889" w:rsidP="00724889">
      <w:pPr>
        <w:keepNext/>
        <w:keepLines/>
        <w:spacing w:before="40" w:line="259" w:lineRule="auto"/>
        <w:outlineLvl w:val="1"/>
        <w:rPr>
          <w:b/>
          <w:color w:val="0070C0"/>
          <w:szCs w:val="20"/>
        </w:rPr>
      </w:pPr>
      <w:bookmarkStart w:id="29" w:name="_Toc6992291"/>
      <w:r w:rsidRPr="00724889">
        <w:rPr>
          <w:b/>
          <w:color w:val="0070C0"/>
          <w:szCs w:val="20"/>
        </w:rPr>
        <w:lastRenderedPageBreak/>
        <w:t>2.    Specifične težave po prednostnih oseh in predvidene rešitve</w:t>
      </w:r>
      <w:bookmarkEnd w:id="29"/>
    </w:p>
    <w:p w:rsidR="00724889" w:rsidRPr="00724889" w:rsidRDefault="00724889" w:rsidP="00724889">
      <w:pPr>
        <w:keepNext/>
        <w:keepLines/>
        <w:spacing w:before="40" w:line="259" w:lineRule="auto"/>
        <w:ind w:left="1080"/>
        <w:outlineLvl w:val="1"/>
        <w:rPr>
          <w:rFonts w:cs="Arial"/>
          <w:color w:val="2E74B5"/>
          <w:szCs w:val="20"/>
          <w:lang w:val="en-US" w:eastAsia="sl-SI"/>
        </w:rPr>
      </w:pPr>
    </w:p>
    <w:p w:rsidR="00724889" w:rsidRPr="00724889" w:rsidRDefault="00724889" w:rsidP="00724889">
      <w:pPr>
        <w:keepNext/>
        <w:keepLines/>
        <w:spacing w:before="40" w:line="259" w:lineRule="auto"/>
        <w:outlineLvl w:val="2"/>
        <w:rPr>
          <w:rFonts w:cs="Arial"/>
          <w:b/>
          <w:color w:val="0070C0"/>
          <w:szCs w:val="20"/>
        </w:rPr>
      </w:pPr>
      <w:bookmarkStart w:id="30" w:name="_Toc6992292"/>
      <w:r w:rsidRPr="00724889">
        <w:rPr>
          <w:rFonts w:cs="Arial"/>
          <w:b/>
          <w:color w:val="0070C0"/>
          <w:szCs w:val="20"/>
        </w:rPr>
        <w:t>Prednostna os 1: Krepitev raziskav, tehnološkega razvoja in inovacij (v EUR)</w:t>
      </w:r>
      <w:bookmarkEnd w:id="30"/>
    </w:p>
    <w:p w:rsidR="00724889" w:rsidRPr="00724889" w:rsidRDefault="00724889" w:rsidP="00724889">
      <w:pPr>
        <w:keepNext/>
        <w:keepLines/>
        <w:spacing w:before="40" w:line="259" w:lineRule="auto"/>
        <w:outlineLvl w:val="2"/>
        <w:rPr>
          <w:rFonts w:cs="Arial"/>
          <w:b/>
          <w:color w:val="0070C0"/>
          <w:szCs w:val="20"/>
        </w:rPr>
      </w:pPr>
    </w:p>
    <w:tbl>
      <w:tblPr>
        <w:tblStyle w:val="Tabelamrea3"/>
        <w:tblW w:w="5000" w:type="pct"/>
        <w:tblLook w:val="04A0" w:firstRow="1" w:lastRow="0" w:firstColumn="1" w:lastColumn="0" w:noHBand="0" w:noVBand="1"/>
      </w:tblPr>
      <w:tblGrid>
        <w:gridCol w:w="5888"/>
        <w:gridCol w:w="4820"/>
        <w:gridCol w:w="2038"/>
        <w:gridCol w:w="2040"/>
      </w:tblGrid>
      <w:tr w:rsidR="00724889" w:rsidRPr="00724889" w:rsidTr="00724889">
        <w:tc>
          <w:tcPr>
            <w:tcW w:w="1991"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Težave</w:t>
            </w:r>
          </w:p>
        </w:tc>
        <w:tc>
          <w:tcPr>
            <w:tcW w:w="1630"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Rešitve</w:t>
            </w:r>
          </w:p>
        </w:tc>
        <w:tc>
          <w:tcPr>
            <w:tcW w:w="689"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Nosilec</w:t>
            </w:r>
          </w:p>
        </w:tc>
        <w:tc>
          <w:tcPr>
            <w:tcW w:w="690" w:type="pct"/>
            <w:shd w:val="clear" w:color="auto" w:fill="F2F2F2" w:themeFill="background1" w:themeFillShade="F2"/>
            <w:vAlign w:val="center"/>
          </w:tcPr>
          <w:p w:rsidR="00724889" w:rsidRPr="00724889" w:rsidRDefault="00724889" w:rsidP="00724889">
            <w:pPr>
              <w:spacing w:line="240" w:lineRule="auto"/>
              <w:jc w:val="center"/>
              <w:rPr>
                <w:rFonts w:cs="Arial"/>
                <w:b/>
                <w:sz w:val="20"/>
                <w:szCs w:val="20"/>
              </w:rPr>
            </w:pPr>
            <w:r w:rsidRPr="00724889">
              <w:rPr>
                <w:rFonts w:cs="Arial"/>
                <w:b/>
                <w:sz w:val="20"/>
                <w:szCs w:val="20"/>
              </w:rPr>
              <w:t>Rok</w:t>
            </w:r>
          </w:p>
        </w:tc>
      </w:tr>
      <w:tr w:rsidR="00724889" w:rsidRPr="00724889" w:rsidTr="00724889">
        <w:trPr>
          <w:trHeight w:val="1663"/>
        </w:trPr>
        <w:tc>
          <w:tcPr>
            <w:tcW w:w="1991" w:type="pct"/>
          </w:tcPr>
          <w:p w:rsidR="00724889" w:rsidRPr="00724889" w:rsidRDefault="00724889" w:rsidP="00724889">
            <w:pPr>
              <w:spacing w:line="240" w:lineRule="auto"/>
              <w:rPr>
                <w:rFonts w:cs="Arial"/>
                <w:i/>
                <w:sz w:val="20"/>
                <w:szCs w:val="20"/>
              </w:rPr>
            </w:pPr>
            <w:r w:rsidRPr="00724889">
              <w:rPr>
                <w:rFonts w:cs="Arial"/>
                <w:i/>
                <w:sz w:val="20"/>
                <w:szCs w:val="20"/>
              </w:rPr>
              <w:t>V izvajanju 1. prednostne osi so ugotovljena naslednja tveganja:</w:t>
            </w:r>
          </w:p>
          <w:p w:rsidR="00724889" w:rsidRPr="00724889" w:rsidRDefault="00724889" w:rsidP="00724889">
            <w:pPr>
              <w:numPr>
                <w:ilvl w:val="0"/>
                <w:numId w:val="9"/>
              </w:numPr>
              <w:spacing w:line="240" w:lineRule="auto"/>
              <w:contextualSpacing/>
              <w:rPr>
                <w:rFonts w:cs="Arial"/>
                <w:i/>
                <w:sz w:val="20"/>
                <w:szCs w:val="20"/>
              </w:rPr>
            </w:pPr>
            <w:r w:rsidRPr="00724889">
              <w:rPr>
                <w:rFonts w:cs="Arial"/>
                <w:i/>
                <w:sz w:val="20"/>
                <w:szCs w:val="20"/>
              </w:rPr>
              <w:t>manjša realizacija podpor za operacije v vzhodni kohezijski regiji,</w:t>
            </w:r>
          </w:p>
          <w:p w:rsidR="00724889" w:rsidRPr="00724889" w:rsidRDefault="00724889" w:rsidP="00724889">
            <w:pPr>
              <w:numPr>
                <w:ilvl w:val="0"/>
                <w:numId w:val="9"/>
              </w:numPr>
              <w:spacing w:line="240" w:lineRule="auto"/>
              <w:contextualSpacing/>
              <w:rPr>
                <w:rFonts w:cs="Arial"/>
                <w:i/>
                <w:sz w:val="20"/>
                <w:szCs w:val="20"/>
              </w:rPr>
            </w:pPr>
            <w:r w:rsidRPr="00724889">
              <w:rPr>
                <w:rFonts w:cs="Arial"/>
                <w:i/>
                <w:sz w:val="20"/>
                <w:szCs w:val="20"/>
              </w:rPr>
              <w:t>zamude pri načrtovanju projektov (operacij) ali javnih razpisov,</w:t>
            </w:r>
          </w:p>
          <w:p w:rsidR="00724889" w:rsidRPr="00724889" w:rsidRDefault="00724889" w:rsidP="00724889">
            <w:pPr>
              <w:numPr>
                <w:ilvl w:val="0"/>
                <w:numId w:val="9"/>
              </w:numPr>
              <w:spacing w:line="240" w:lineRule="auto"/>
              <w:contextualSpacing/>
              <w:rPr>
                <w:rFonts w:cs="Arial"/>
                <w:i/>
                <w:sz w:val="20"/>
                <w:szCs w:val="20"/>
              </w:rPr>
            </w:pPr>
            <w:r w:rsidRPr="00724889">
              <w:rPr>
                <w:rFonts w:cs="Arial"/>
                <w:i/>
                <w:sz w:val="20"/>
                <w:szCs w:val="20"/>
              </w:rPr>
              <w:t>dolgotrajni postopki izvedbe javnih razpisov prek okvirnih rokov, zapisanih v razpisni dokumentaciji (zamude pri sklepanju pogodb o sofinanciranju), in</w:t>
            </w:r>
          </w:p>
          <w:p w:rsidR="00724889" w:rsidRPr="00724889" w:rsidRDefault="00724889" w:rsidP="00724889">
            <w:pPr>
              <w:numPr>
                <w:ilvl w:val="0"/>
                <w:numId w:val="9"/>
              </w:numPr>
              <w:spacing w:line="240" w:lineRule="auto"/>
              <w:contextualSpacing/>
              <w:rPr>
                <w:rFonts w:cs="Arial"/>
                <w:i/>
                <w:color w:val="0070C0"/>
                <w:sz w:val="20"/>
                <w:szCs w:val="20"/>
              </w:rPr>
            </w:pPr>
            <w:r w:rsidRPr="00724889">
              <w:rPr>
                <w:rFonts w:cs="Arial"/>
                <w:i/>
                <w:sz w:val="20"/>
                <w:szCs w:val="20"/>
              </w:rPr>
              <w:t>izvajanje finančnih instrumentov.</w:t>
            </w:r>
          </w:p>
        </w:tc>
        <w:tc>
          <w:tcPr>
            <w:tcW w:w="1630" w:type="pct"/>
          </w:tcPr>
          <w:p w:rsidR="00724889" w:rsidRPr="00724889" w:rsidRDefault="00724889" w:rsidP="00724889">
            <w:pPr>
              <w:spacing w:line="240" w:lineRule="auto"/>
              <w:rPr>
                <w:rFonts w:cs="Arial"/>
                <w:i/>
                <w:sz w:val="20"/>
                <w:szCs w:val="20"/>
              </w:rPr>
            </w:pPr>
            <w:r w:rsidRPr="00724889">
              <w:rPr>
                <w:rFonts w:cs="Arial"/>
                <w:i/>
                <w:sz w:val="20"/>
                <w:szCs w:val="20"/>
              </w:rPr>
              <w:t>Aktivnosti:</w:t>
            </w:r>
          </w:p>
          <w:p w:rsidR="00724889" w:rsidRPr="00724889" w:rsidRDefault="00724889" w:rsidP="00724889">
            <w:pPr>
              <w:spacing w:line="240" w:lineRule="auto"/>
              <w:rPr>
                <w:rFonts w:cs="Arial"/>
                <w:i/>
                <w:sz w:val="20"/>
                <w:szCs w:val="20"/>
              </w:rPr>
            </w:pPr>
          </w:p>
          <w:p w:rsidR="00724889" w:rsidRPr="00724889" w:rsidRDefault="00724889" w:rsidP="00724889">
            <w:pPr>
              <w:numPr>
                <w:ilvl w:val="0"/>
                <w:numId w:val="13"/>
              </w:numPr>
              <w:spacing w:line="240" w:lineRule="auto"/>
              <w:contextualSpacing/>
              <w:rPr>
                <w:rFonts w:cs="Arial"/>
                <w:i/>
                <w:sz w:val="20"/>
                <w:szCs w:val="20"/>
              </w:rPr>
            </w:pPr>
            <w:r w:rsidRPr="00724889">
              <w:rPr>
                <w:rFonts w:cs="Arial"/>
                <w:i/>
                <w:sz w:val="20"/>
                <w:szCs w:val="20"/>
              </w:rPr>
              <w:t xml:space="preserve">načrtovanje in spremljanje aktivnosti za pospešitev črpanja sredstev v vzhodni kohezijski regiji, </w:t>
            </w:r>
          </w:p>
          <w:p w:rsidR="00724889" w:rsidRPr="00724889" w:rsidRDefault="00724889" w:rsidP="00724889">
            <w:pPr>
              <w:numPr>
                <w:ilvl w:val="0"/>
                <w:numId w:val="13"/>
              </w:numPr>
              <w:spacing w:line="240" w:lineRule="auto"/>
              <w:contextualSpacing/>
              <w:rPr>
                <w:rFonts w:cs="Arial"/>
                <w:i/>
                <w:sz w:val="20"/>
                <w:szCs w:val="20"/>
              </w:rPr>
            </w:pPr>
            <w:r w:rsidRPr="00724889">
              <w:rPr>
                <w:rFonts w:cs="Arial"/>
                <w:i/>
                <w:sz w:val="20"/>
                <w:szCs w:val="20"/>
              </w:rPr>
              <w:t>pospešitev postopkov načrtovanja operacij ali javnih razpisov,</w:t>
            </w:r>
          </w:p>
          <w:p w:rsidR="00724889" w:rsidRPr="00724889" w:rsidRDefault="00724889" w:rsidP="00724889">
            <w:pPr>
              <w:numPr>
                <w:ilvl w:val="0"/>
                <w:numId w:val="13"/>
              </w:numPr>
              <w:spacing w:line="240" w:lineRule="auto"/>
              <w:contextualSpacing/>
              <w:rPr>
                <w:rFonts w:cs="Arial"/>
                <w:i/>
                <w:sz w:val="20"/>
                <w:szCs w:val="20"/>
                <w:lang w:eastAsia="sl-SI"/>
              </w:rPr>
            </w:pPr>
            <w:r w:rsidRPr="00724889">
              <w:rPr>
                <w:rFonts w:cs="Arial"/>
                <w:i/>
                <w:sz w:val="20"/>
                <w:szCs w:val="20"/>
                <w:lang w:eastAsia="sl-SI"/>
              </w:rPr>
              <w:t>zagotovitev izvedbenih pogojev za izvedbo javnih razpisov v skladu s predvidenimi roki.</w:t>
            </w:r>
          </w:p>
        </w:tc>
        <w:tc>
          <w:tcPr>
            <w:tcW w:w="689" w:type="pct"/>
          </w:tcPr>
          <w:p w:rsidR="00724889" w:rsidRPr="00724889" w:rsidRDefault="00724889" w:rsidP="00724889">
            <w:pPr>
              <w:spacing w:line="240" w:lineRule="auto"/>
              <w:jc w:val="center"/>
              <w:rPr>
                <w:rFonts w:cs="Arial"/>
                <w:i/>
                <w:color w:val="0070C0"/>
                <w:sz w:val="20"/>
                <w:szCs w:val="20"/>
              </w:rPr>
            </w:pPr>
          </w:p>
          <w:p w:rsidR="00724889" w:rsidRPr="00724889" w:rsidRDefault="00724889" w:rsidP="00724889">
            <w:pPr>
              <w:spacing w:line="240" w:lineRule="auto"/>
              <w:jc w:val="center"/>
              <w:rPr>
                <w:rFonts w:cs="Arial"/>
                <w:i/>
                <w:color w:val="0070C0"/>
                <w:sz w:val="20"/>
                <w:szCs w:val="20"/>
              </w:rPr>
            </w:pPr>
          </w:p>
          <w:p w:rsidR="00724889" w:rsidRPr="00724889" w:rsidRDefault="00724889" w:rsidP="00724889">
            <w:pPr>
              <w:spacing w:line="240" w:lineRule="auto"/>
              <w:jc w:val="center"/>
              <w:rPr>
                <w:rFonts w:cs="Arial"/>
                <w:i/>
                <w:sz w:val="20"/>
                <w:szCs w:val="20"/>
              </w:rPr>
            </w:pPr>
            <w:r w:rsidRPr="00724889">
              <w:rPr>
                <w:rFonts w:cs="Arial"/>
                <w:i/>
                <w:sz w:val="20"/>
                <w:szCs w:val="20"/>
              </w:rPr>
              <w:t>MIZŠ</w:t>
            </w:r>
          </w:p>
          <w:p w:rsidR="00724889" w:rsidRPr="00724889" w:rsidRDefault="00724889" w:rsidP="00724889">
            <w:pPr>
              <w:spacing w:line="240" w:lineRule="auto"/>
              <w:jc w:val="center"/>
              <w:rPr>
                <w:rFonts w:cs="Arial"/>
                <w:i/>
                <w:sz w:val="20"/>
                <w:szCs w:val="20"/>
              </w:rPr>
            </w:pPr>
          </w:p>
          <w:p w:rsidR="00724889" w:rsidRPr="00724889" w:rsidRDefault="00724889" w:rsidP="00724889">
            <w:pPr>
              <w:spacing w:line="240" w:lineRule="auto"/>
              <w:jc w:val="center"/>
              <w:rPr>
                <w:rFonts w:cs="Arial"/>
                <w:i/>
                <w:sz w:val="20"/>
                <w:szCs w:val="20"/>
              </w:rPr>
            </w:pPr>
          </w:p>
          <w:p w:rsidR="00724889" w:rsidRPr="00724889" w:rsidRDefault="00724889" w:rsidP="00724889">
            <w:pPr>
              <w:spacing w:line="240" w:lineRule="auto"/>
              <w:jc w:val="center"/>
              <w:rPr>
                <w:rFonts w:cs="Arial"/>
                <w:i/>
                <w:sz w:val="20"/>
                <w:szCs w:val="20"/>
              </w:rPr>
            </w:pPr>
            <w:r w:rsidRPr="00724889">
              <w:rPr>
                <w:rFonts w:cs="Arial"/>
                <w:i/>
                <w:sz w:val="20"/>
                <w:szCs w:val="20"/>
              </w:rPr>
              <w:t>MK, MJU</w:t>
            </w:r>
          </w:p>
          <w:p w:rsidR="00724889" w:rsidRPr="00724889" w:rsidRDefault="00724889" w:rsidP="00724889">
            <w:pPr>
              <w:spacing w:line="240" w:lineRule="auto"/>
              <w:jc w:val="center"/>
              <w:rPr>
                <w:rFonts w:cs="Arial"/>
                <w:i/>
                <w:sz w:val="20"/>
                <w:szCs w:val="20"/>
              </w:rPr>
            </w:pPr>
          </w:p>
          <w:p w:rsidR="00724889" w:rsidRPr="00724889" w:rsidRDefault="00724889" w:rsidP="00724889">
            <w:pPr>
              <w:spacing w:line="240" w:lineRule="auto"/>
              <w:jc w:val="center"/>
              <w:rPr>
                <w:rFonts w:cs="Arial"/>
                <w:i/>
                <w:color w:val="0070C0"/>
                <w:sz w:val="20"/>
                <w:szCs w:val="20"/>
              </w:rPr>
            </w:pPr>
            <w:r w:rsidRPr="00724889">
              <w:rPr>
                <w:rFonts w:cs="Arial"/>
                <w:i/>
                <w:sz w:val="20"/>
                <w:szCs w:val="20"/>
              </w:rPr>
              <w:t>MGRT</w:t>
            </w:r>
          </w:p>
        </w:tc>
        <w:tc>
          <w:tcPr>
            <w:tcW w:w="690" w:type="pct"/>
          </w:tcPr>
          <w:p w:rsidR="00724889" w:rsidRPr="00724889" w:rsidRDefault="00724889" w:rsidP="00724889">
            <w:pPr>
              <w:spacing w:line="240" w:lineRule="auto"/>
              <w:jc w:val="center"/>
              <w:rPr>
                <w:rFonts w:cs="Arial"/>
                <w:i/>
                <w:color w:val="0070C0"/>
                <w:sz w:val="20"/>
                <w:szCs w:val="20"/>
              </w:rPr>
            </w:pPr>
          </w:p>
          <w:p w:rsidR="00724889" w:rsidRPr="00724889" w:rsidRDefault="00724889" w:rsidP="00724889">
            <w:pPr>
              <w:spacing w:line="240" w:lineRule="auto"/>
              <w:rPr>
                <w:rFonts w:cs="Arial"/>
                <w:i/>
                <w:color w:val="0070C0"/>
                <w:sz w:val="20"/>
                <w:szCs w:val="20"/>
              </w:rPr>
            </w:pPr>
          </w:p>
          <w:p w:rsidR="00724889" w:rsidRPr="00724889" w:rsidRDefault="00724889" w:rsidP="00724889">
            <w:pPr>
              <w:spacing w:line="240" w:lineRule="auto"/>
              <w:jc w:val="center"/>
              <w:rPr>
                <w:rFonts w:cs="Arial"/>
                <w:i/>
                <w:sz w:val="20"/>
                <w:szCs w:val="20"/>
              </w:rPr>
            </w:pPr>
            <w:r w:rsidRPr="00724889">
              <w:rPr>
                <w:rFonts w:cs="Arial"/>
                <w:i/>
                <w:sz w:val="20"/>
                <w:szCs w:val="20"/>
              </w:rPr>
              <w:t>1. četrtletje 2019</w:t>
            </w:r>
          </w:p>
          <w:p w:rsidR="00724889" w:rsidRPr="00724889" w:rsidRDefault="00724889" w:rsidP="00724889">
            <w:pPr>
              <w:spacing w:line="240" w:lineRule="auto"/>
              <w:jc w:val="center"/>
              <w:rPr>
                <w:rFonts w:cs="Arial"/>
                <w:i/>
                <w:color w:val="0070C0"/>
                <w:sz w:val="20"/>
                <w:szCs w:val="20"/>
              </w:rPr>
            </w:pPr>
          </w:p>
        </w:tc>
      </w:tr>
    </w:tbl>
    <w:p w:rsidR="00724889" w:rsidRPr="00724889" w:rsidRDefault="00724889" w:rsidP="00724889">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jc w:val="both"/>
        <w:rPr>
          <w:szCs w:val="20"/>
        </w:rPr>
      </w:pPr>
      <w:r w:rsidRPr="00724889">
        <w:rPr>
          <w:szCs w:val="20"/>
        </w:rPr>
        <w:t>(i)</w:t>
      </w:r>
      <w:r>
        <w:rPr>
          <w:szCs w:val="20"/>
        </w:rPr>
        <w:t xml:space="preserve"> </w:t>
      </w:r>
      <w:r w:rsidRPr="00724889">
        <w:rPr>
          <w:szCs w:val="20"/>
        </w:rPr>
        <w:t xml:space="preserve">Realizirano: MIZŠ je v ukrepih za optimizacijo realizacije v letu 2018 upravičencem omogočilo oddajo razširjenih zahtevkov. Izvedena je bila sprememba OP EKP. S ciljem doseganja finančnega mejnika okvira uspešnosti je okrepilo tudi komunikacijo z upravičenci v zvezi z izvedbo aktivnosti v letu 2018. Tako bo nekatere izdatke nastale do 31. 12. 2018 možno certificirati in jih vključiti v okvir uspešnosti. </w:t>
      </w:r>
    </w:p>
    <w:p w:rsidR="00193D8E" w:rsidRPr="00193D8E" w:rsidRDefault="00724889" w:rsidP="00193D8E">
      <w:pPr>
        <w:spacing w:line="240" w:lineRule="auto"/>
        <w:jc w:val="both"/>
        <w:rPr>
          <w:rFonts w:cs="Arial"/>
          <w:szCs w:val="20"/>
        </w:rPr>
      </w:pPr>
      <w:r w:rsidRPr="00724889">
        <w:rPr>
          <w:rFonts w:cs="Arial"/>
          <w:szCs w:val="20"/>
        </w:rPr>
        <w:t>Potrjena je bila tudi operacija HPC RIVR, ki se v celoti izvaja in financira iz sredstev vzhodne kohezijske regije.</w:t>
      </w:r>
      <w:r w:rsidR="00193D8E" w:rsidRPr="00193D8E">
        <w:rPr>
          <w:rFonts w:cs="Arial"/>
          <w:szCs w:val="20"/>
        </w:rPr>
        <w:t xml:space="preserve"> V INOP 9.0. je vključen nov projekt </w:t>
      </w:r>
      <w:r w:rsidR="00193D8E" w:rsidRPr="00193D8E">
        <w:rPr>
          <w:rFonts w:cs="Arial"/>
          <w:i/>
          <w:szCs w:val="20"/>
        </w:rPr>
        <w:t>Vzpostavitev domačih centrov srednje velike RI,</w:t>
      </w:r>
      <w:r w:rsidR="00193D8E" w:rsidRPr="00193D8E">
        <w:rPr>
          <w:rFonts w:cs="Arial"/>
          <w:szCs w:val="20"/>
        </w:rPr>
        <w:t xml:space="preserve"> ki se bo </w:t>
      </w:r>
      <w:r w:rsidR="00193D8E">
        <w:rPr>
          <w:rFonts w:cs="Arial"/>
          <w:szCs w:val="20"/>
        </w:rPr>
        <w:t>prav tako</w:t>
      </w:r>
      <w:r w:rsidR="00193D8E" w:rsidRPr="00193D8E">
        <w:rPr>
          <w:rFonts w:cs="Arial"/>
          <w:szCs w:val="20"/>
        </w:rPr>
        <w:t xml:space="preserve"> financiral iz sredstev vzhodne kohezijske regije.</w:t>
      </w:r>
    </w:p>
    <w:p w:rsidR="00724889" w:rsidRPr="00724889" w:rsidRDefault="00724889" w:rsidP="00724889">
      <w:pPr>
        <w:spacing w:line="240" w:lineRule="auto"/>
        <w:jc w:val="both"/>
        <w:rPr>
          <w:rFonts w:cs="Arial"/>
          <w:szCs w:val="20"/>
        </w:rPr>
      </w:pPr>
    </w:p>
    <w:p w:rsidR="00724889" w:rsidRPr="00724889" w:rsidRDefault="00724889" w:rsidP="00724889">
      <w:pPr>
        <w:spacing w:line="240" w:lineRule="auto"/>
        <w:jc w:val="both"/>
        <w:rPr>
          <w:szCs w:val="20"/>
        </w:rPr>
      </w:pPr>
      <w:r w:rsidRPr="00724889">
        <w:rPr>
          <w:szCs w:val="20"/>
        </w:rPr>
        <w:t>(iii)</w:t>
      </w:r>
      <w:r w:rsidR="00AF3A50">
        <w:rPr>
          <w:szCs w:val="20"/>
        </w:rPr>
        <w:t xml:space="preserve"> </w:t>
      </w:r>
      <w:r w:rsidRPr="00724889">
        <w:rPr>
          <w:szCs w:val="20"/>
        </w:rPr>
        <w:t>Realizirano: na MGRT</w:t>
      </w:r>
      <w:r w:rsidRPr="00724889">
        <w:t xml:space="preserve"> je p</w:t>
      </w:r>
      <w:r w:rsidRPr="00724889">
        <w:rPr>
          <w:szCs w:val="20"/>
        </w:rPr>
        <w:t>ospešeno izvajanje upravljalnih preverjanj, ki se prednostno izvajajo za vrednostno najvišje ZZI ter tiste, katerih izdatki so nastali v letu 2018, ustrezno se tudi skrajšujejo roki za izplačilo ZZI.</w:t>
      </w:r>
    </w:p>
    <w:p w:rsidR="00724889" w:rsidRPr="00724889" w:rsidRDefault="00724889" w:rsidP="00724889">
      <w:pPr>
        <w:spacing w:line="240" w:lineRule="auto"/>
        <w:jc w:val="both"/>
        <w:rPr>
          <w:i/>
          <w:szCs w:val="20"/>
        </w:rPr>
      </w:pPr>
      <w:r w:rsidRPr="00724889">
        <w:rPr>
          <w:szCs w:val="20"/>
        </w:rPr>
        <w:t>(ii)</w:t>
      </w:r>
      <w:r w:rsidR="00AF3A50">
        <w:rPr>
          <w:szCs w:val="20"/>
        </w:rPr>
        <w:t xml:space="preserve"> </w:t>
      </w:r>
      <w:r w:rsidRPr="00724889">
        <w:rPr>
          <w:szCs w:val="20"/>
        </w:rPr>
        <w:t xml:space="preserve">Realizirano: MK je pospešilo postopke načrtovanja operacij in javnih razpisov in na OU posredovalo še zadnjo vlogo za odločitev o podpori za javni razpis </w:t>
      </w:r>
      <w:r w:rsidRPr="00724889">
        <w:rPr>
          <w:i/>
          <w:szCs w:val="20"/>
        </w:rPr>
        <w:t>Razvoj slovenščine v digitalnem okolju - jezikovni viri in tehnologije.</w:t>
      </w:r>
    </w:p>
    <w:p w:rsidR="00724889" w:rsidRPr="00724889" w:rsidRDefault="00724889" w:rsidP="00724889">
      <w:pPr>
        <w:spacing w:line="240" w:lineRule="auto"/>
        <w:jc w:val="both"/>
        <w:rPr>
          <w:color w:val="000000"/>
          <w:szCs w:val="20"/>
        </w:rPr>
      </w:pPr>
      <w:r w:rsidRPr="00724889">
        <w:rPr>
          <w:color w:val="000000"/>
          <w:szCs w:val="20"/>
        </w:rPr>
        <w:t>(ii)</w:t>
      </w:r>
      <w:r w:rsidR="00AF3A50">
        <w:rPr>
          <w:color w:val="000000"/>
          <w:szCs w:val="20"/>
        </w:rPr>
        <w:t xml:space="preserve"> </w:t>
      </w:r>
      <w:r w:rsidRPr="00724889">
        <w:rPr>
          <w:color w:val="000000"/>
          <w:szCs w:val="20"/>
        </w:rPr>
        <w:t>Delno realizirano</w:t>
      </w:r>
      <w:r w:rsidR="005E1F2E">
        <w:rPr>
          <w:color w:val="000000"/>
          <w:szCs w:val="20"/>
        </w:rPr>
        <w:t xml:space="preserve"> MJU</w:t>
      </w:r>
      <w:r w:rsidRPr="00724889">
        <w:rPr>
          <w:color w:val="000000"/>
          <w:szCs w:val="20"/>
        </w:rPr>
        <w:t>: pospešitev postopkov načrtovanja operacij ali javnih razpisov je v izvajanju</w:t>
      </w:r>
      <w:r w:rsidR="00CA43CF">
        <w:rPr>
          <w:color w:val="000000"/>
          <w:szCs w:val="20"/>
        </w:rPr>
        <w:t>, se pa zaradi spremenjenih razmer na trgu izvajajo določene spremembe oziroma dopolnitve dokumentacije</w:t>
      </w:r>
      <w:r w:rsidRPr="00724889">
        <w:rPr>
          <w:color w:val="000000"/>
          <w:szCs w:val="20"/>
        </w:rPr>
        <w:t>.</w:t>
      </w:r>
    </w:p>
    <w:p w:rsidR="00724889" w:rsidRPr="00724889" w:rsidRDefault="00724889" w:rsidP="00724889">
      <w:pPr>
        <w:spacing w:line="240" w:lineRule="auto"/>
        <w:jc w:val="both"/>
        <w:rPr>
          <w:rFonts w:cs="Arial"/>
          <w:color w:val="000000"/>
          <w:szCs w:val="20"/>
        </w:rPr>
      </w:pPr>
    </w:p>
    <w:p w:rsidR="00724889" w:rsidRPr="00724889" w:rsidRDefault="00724889" w:rsidP="00D61847">
      <w:pPr>
        <w:jc w:val="both"/>
        <w:rPr>
          <w:b/>
        </w:rPr>
      </w:pPr>
      <w:r w:rsidRPr="00724889">
        <w:t xml:space="preserve">V okviru FI je oblikovan produkt </w:t>
      </w:r>
      <w:r w:rsidRPr="00724889">
        <w:rPr>
          <w:i/>
        </w:rPr>
        <w:t>Posojila za RRI za velika podjetja in MSP</w:t>
      </w:r>
      <w:r w:rsidRPr="00724889">
        <w:t xml:space="preserve">, ki se že izvaja prek finančnega posrednika Sberbank d.d. in z aprilom 2019 tudi neposredno prek SID banke d.d. Razvoj produkta </w:t>
      </w:r>
      <w:r w:rsidRPr="00724889">
        <w:rPr>
          <w:i/>
        </w:rPr>
        <w:t>Portfeljske garancije za RRI</w:t>
      </w:r>
      <w:r w:rsidRPr="00724889">
        <w:t xml:space="preserve"> je v pripravi in je v skladu s PFN časovnico. Do konca marca 2019 se je s sredstvi FI podprlo 9 poslov končnih prejemnikov v skupni vrednosti 5.770.71</w:t>
      </w:r>
      <w:r>
        <w:t>5</w:t>
      </w:r>
      <w:r w:rsidRPr="00724889">
        <w:t xml:space="preserve"> EUR. Končni prejemniki, so po sklenjenih pogodbah v tem obdobju črpali skupaj EUR 2.405.05</w:t>
      </w:r>
      <w:r>
        <w:t>7 EUR</w:t>
      </w:r>
      <w:r w:rsidRPr="00724889">
        <w:t>.</w:t>
      </w:r>
    </w:p>
    <w:p w:rsidR="003B43F9" w:rsidRDefault="003B43F9">
      <w:pPr>
        <w:spacing w:line="240" w:lineRule="auto"/>
        <w:rPr>
          <w:rFonts w:cs="Arial"/>
          <w:b/>
          <w:color w:val="0070C0"/>
          <w:szCs w:val="20"/>
        </w:rPr>
      </w:pPr>
      <w:bookmarkStart w:id="31" w:name="_Toc530560447"/>
      <w:r>
        <w:rPr>
          <w:rFonts w:cs="Arial"/>
          <w:b/>
          <w:color w:val="0070C0"/>
          <w:szCs w:val="20"/>
        </w:rPr>
        <w:br w:type="page"/>
      </w:r>
    </w:p>
    <w:p w:rsidR="008B21B3" w:rsidRPr="008B21B3" w:rsidRDefault="008B21B3" w:rsidP="008B21B3">
      <w:pPr>
        <w:keepNext/>
        <w:keepLines/>
        <w:spacing w:before="40" w:line="259" w:lineRule="auto"/>
        <w:outlineLvl w:val="2"/>
        <w:rPr>
          <w:rFonts w:eastAsia="Calibri" w:cs="Arial"/>
          <w:b/>
          <w:color w:val="FF0000"/>
          <w:szCs w:val="20"/>
        </w:rPr>
      </w:pPr>
      <w:bookmarkStart w:id="32" w:name="_Toc6992293"/>
      <w:r w:rsidRPr="008B21B3">
        <w:rPr>
          <w:rFonts w:cs="Arial"/>
          <w:b/>
          <w:color w:val="0070C0"/>
          <w:szCs w:val="20"/>
        </w:rPr>
        <w:lastRenderedPageBreak/>
        <w:t>Prednostna os 2: Izboljšanje dostopnosti, uporabe in kakovosti informacijskih in komunikacijskih tehnologij (v EUR)</w:t>
      </w:r>
      <w:bookmarkEnd w:id="32"/>
      <w:r w:rsidRPr="008B21B3">
        <w:rPr>
          <w:rFonts w:cs="Arial"/>
          <w:b/>
          <w:color w:val="0070C0"/>
          <w:szCs w:val="20"/>
        </w:rPr>
        <w:t xml:space="preserve"> </w:t>
      </w:r>
    </w:p>
    <w:p w:rsidR="008B21B3" w:rsidRPr="008B21B3" w:rsidRDefault="008B21B3" w:rsidP="008B21B3">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6589"/>
        <w:gridCol w:w="4536"/>
        <w:gridCol w:w="1745"/>
        <w:gridCol w:w="1916"/>
      </w:tblGrid>
      <w:tr w:rsidR="008B21B3" w:rsidRPr="008B21B3" w:rsidTr="00D61847">
        <w:tc>
          <w:tcPr>
            <w:tcW w:w="2228"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Težave</w:t>
            </w:r>
          </w:p>
        </w:tc>
        <w:tc>
          <w:tcPr>
            <w:tcW w:w="1534"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Rešitve</w:t>
            </w:r>
          </w:p>
        </w:tc>
        <w:tc>
          <w:tcPr>
            <w:tcW w:w="590"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Nosilec</w:t>
            </w:r>
          </w:p>
        </w:tc>
        <w:tc>
          <w:tcPr>
            <w:tcW w:w="648"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Rok</w:t>
            </w:r>
          </w:p>
        </w:tc>
      </w:tr>
      <w:tr w:rsidR="008B21B3" w:rsidRPr="008B21B3" w:rsidTr="00D61847">
        <w:trPr>
          <w:trHeight w:val="3208"/>
        </w:trPr>
        <w:tc>
          <w:tcPr>
            <w:tcW w:w="2228" w:type="pct"/>
          </w:tcPr>
          <w:p w:rsidR="008B21B3" w:rsidRPr="008B21B3" w:rsidRDefault="008B21B3" w:rsidP="008B21B3">
            <w:pPr>
              <w:spacing w:line="240" w:lineRule="auto"/>
              <w:rPr>
                <w:rFonts w:cs="Arial"/>
                <w:i/>
                <w:sz w:val="20"/>
                <w:szCs w:val="20"/>
              </w:rPr>
            </w:pPr>
            <w:r w:rsidRPr="008B21B3">
              <w:rPr>
                <w:rFonts w:cs="Arial"/>
                <w:i/>
                <w:sz w:val="20"/>
                <w:szCs w:val="20"/>
              </w:rPr>
              <w:t>V izvajanju 2. prednostne osi so ugotovljena naslednja tveganja:</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MJU je v okviru prednostne naložbe 2.1 izvajal javni razpis za sofinanciranje gradnje odprtih širokopasovnih omrežij naslednje generacije – GOŠO 3. Na javni razpis do predvidenega datuma ni prispela nobena vloga. Na podlagi izvedenih analiz in posvetov z relevantnimi deležniki je bilo besedilo za objavo ponovljenega javnega razpisa za sofinanciranje gradnje odprtih širokopasovnih omrežij naslednje generacije GOŠO 3A dopolnjeno in objavljeno v Uradnem listu z rokom za prijavo do 19. oktobra 2018. Do predvidenega roka so prispele štiri vloge, ki so v postopku ocenjevanja in pregleda izpolnjevanja pogojev. Okvir uspešnosti zaradi navedenih dejstev ne bo dosežen;</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v okviru prednostne naložbe 2.2 so možne potencialne zamude pri izvajanju zaradi izvedb postopkov javnih naročil.</w:t>
            </w:r>
          </w:p>
        </w:tc>
        <w:tc>
          <w:tcPr>
            <w:tcW w:w="1534" w:type="pct"/>
          </w:tcPr>
          <w:p w:rsidR="008B21B3" w:rsidRPr="008B21B3" w:rsidRDefault="008B21B3" w:rsidP="008B21B3">
            <w:pPr>
              <w:spacing w:line="240" w:lineRule="auto"/>
              <w:rPr>
                <w:rFonts w:cs="Arial"/>
                <w:i/>
                <w:sz w:val="20"/>
                <w:szCs w:val="20"/>
              </w:rPr>
            </w:pPr>
            <w:r w:rsidRPr="008B21B3">
              <w:rPr>
                <w:rFonts w:cs="Arial"/>
                <w:i/>
                <w:sz w:val="20"/>
                <w:szCs w:val="20"/>
              </w:rPr>
              <w:t>Zagotoviti je treba:</w:t>
            </w:r>
          </w:p>
          <w:p w:rsidR="008B21B3" w:rsidRPr="008B21B3" w:rsidRDefault="008B21B3" w:rsidP="008B21B3">
            <w:pPr>
              <w:spacing w:line="240" w:lineRule="auto"/>
              <w:rPr>
                <w:rFonts w:cs="Arial"/>
                <w:i/>
                <w:sz w:val="20"/>
                <w:szCs w:val="20"/>
              </w:rPr>
            </w:pPr>
          </w:p>
          <w:p w:rsidR="008B21B3" w:rsidRPr="008B21B3" w:rsidRDefault="008B21B3" w:rsidP="008B21B3">
            <w:pPr>
              <w:numPr>
                <w:ilvl w:val="0"/>
                <w:numId w:val="14"/>
              </w:numPr>
              <w:spacing w:line="240" w:lineRule="auto"/>
              <w:contextualSpacing/>
              <w:rPr>
                <w:rFonts w:cs="Arial"/>
                <w:i/>
                <w:sz w:val="20"/>
                <w:szCs w:val="20"/>
              </w:rPr>
            </w:pPr>
            <w:r w:rsidRPr="008B21B3">
              <w:rPr>
                <w:rFonts w:cs="Arial"/>
                <w:i/>
                <w:sz w:val="20"/>
                <w:szCs w:val="20"/>
              </w:rPr>
              <w:t>izvedbo postopkov javnega razpisa v skladu s predvidenim časovnim okvirom ter spremljanje predvidenega doseganja ciljev okvira uspešnosti.</w:t>
            </w:r>
          </w:p>
          <w:p w:rsidR="008B21B3" w:rsidRPr="008B21B3" w:rsidRDefault="008B21B3" w:rsidP="008B21B3">
            <w:pPr>
              <w:spacing w:line="240" w:lineRule="auto"/>
              <w:rPr>
                <w:rFonts w:cs="Arial"/>
                <w:i/>
                <w:sz w:val="20"/>
                <w:szCs w:val="20"/>
              </w:rPr>
            </w:pPr>
          </w:p>
        </w:tc>
        <w:tc>
          <w:tcPr>
            <w:tcW w:w="590" w:type="pct"/>
          </w:tcPr>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MJU</w:t>
            </w:r>
          </w:p>
          <w:p w:rsidR="008B21B3" w:rsidRPr="008B21B3" w:rsidRDefault="008B21B3" w:rsidP="008B21B3">
            <w:pPr>
              <w:spacing w:line="240" w:lineRule="auto"/>
              <w:jc w:val="center"/>
              <w:rPr>
                <w:rFonts w:cs="Arial"/>
                <w:i/>
                <w:sz w:val="20"/>
                <w:szCs w:val="20"/>
              </w:rPr>
            </w:pPr>
          </w:p>
        </w:tc>
        <w:tc>
          <w:tcPr>
            <w:tcW w:w="648" w:type="pct"/>
          </w:tcPr>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1. četrtletje 2019</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8B21B3" w:rsidRPr="00253D8E" w:rsidRDefault="008B21B3" w:rsidP="008B21B3">
      <w:pPr>
        <w:spacing w:line="240" w:lineRule="auto"/>
        <w:jc w:val="both"/>
        <w:rPr>
          <w:rFonts w:cs="Arial"/>
          <w:szCs w:val="20"/>
          <w:lang w:eastAsia="sl-SI"/>
        </w:rPr>
      </w:pPr>
      <w:r w:rsidRPr="008B21B3">
        <w:rPr>
          <w:rFonts w:cs="Arial"/>
          <w:szCs w:val="20"/>
          <w:lang w:eastAsia="sl-SI"/>
        </w:rPr>
        <w:t xml:space="preserve">Na podlagi izvedenih analiz in posvetov z relevantnimi deležniki je bilo besedilo za objavo ponovljenega javnega razpisa za sofinanciranje gradnje odprtih širokopasovnih omrežij naslednje generacije </w:t>
      </w:r>
      <w:r w:rsidRPr="008B21B3">
        <w:rPr>
          <w:rFonts w:cs="Arial"/>
          <w:i/>
          <w:szCs w:val="20"/>
          <w:lang w:eastAsia="sl-SI"/>
        </w:rPr>
        <w:t>GOŠO 3A</w:t>
      </w:r>
      <w:r w:rsidRPr="008B21B3">
        <w:rPr>
          <w:rFonts w:cs="Arial"/>
          <w:szCs w:val="20"/>
          <w:lang w:eastAsia="sl-SI"/>
        </w:rPr>
        <w:t xml:space="preserve"> dopolnjeno in objavljeno v Uradnem listu RS z rokom za prijavo do 19. oktobra 2018. Do predvidenega roka so prispele štiri vloge. Prijavitelji so bili pozvani k dopolnitvi dveh vlog, ki so jih tudi pravočasno dopolnili. Nobena od vlog ni izpolnjevala pogojev za sofinanciranje, zato so bile s sklepom za</w:t>
      </w:r>
      <w:r w:rsidR="008654C8">
        <w:rPr>
          <w:rFonts w:cs="Arial"/>
          <w:szCs w:val="20"/>
          <w:lang w:eastAsia="sl-SI"/>
        </w:rPr>
        <w:t>vrnjene. F</w:t>
      </w:r>
      <w:r w:rsidRPr="008B21B3">
        <w:rPr>
          <w:rFonts w:cs="Arial"/>
          <w:szCs w:val="20"/>
          <w:lang w:eastAsia="sl-SI"/>
        </w:rPr>
        <w:t>ebruarj</w:t>
      </w:r>
      <w:r w:rsidR="008654C8">
        <w:rPr>
          <w:rFonts w:cs="Arial"/>
          <w:szCs w:val="20"/>
          <w:lang w:eastAsia="sl-SI"/>
        </w:rPr>
        <w:t>a</w:t>
      </w:r>
      <w:r w:rsidRPr="008B21B3">
        <w:rPr>
          <w:rFonts w:cs="Arial"/>
          <w:szCs w:val="20"/>
          <w:lang w:eastAsia="sl-SI"/>
        </w:rPr>
        <w:t xml:space="preserve"> 2019 se je zaključil tudi postopek testiranja tržnega interesa skladno z Dodatkom k NGN 2020. Z novimi podatki o gospodinjstvih na belih lisah, ki bodo pridobljeni z novim postopkom testiranjem tržnega interesa, bo realnejša slika in vpogled v stanje širokopasovne infrastrukture v RS, ker se je v tem postopku izvedlo celovito testiranje tržnega interes na vseh območjih, kjer ustrezna infrastruktura še ne obstaja. Na podlagi rezultatov testiranja tržnega interesa se pripravlja prenovljen javni razpis </w:t>
      </w:r>
      <w:r w:rsidRPr="008B21B3">
        <w:rPr>
          <w:rFonts w:cs="Arial"/>
          <w:i/>
          <w:szCs w:val="20"/>
          <w:lang w:eastAsia="sl-SI"/>
        </w:rPr>
        <w:t>GOŠO 4.</w:t>
      </w:r>
    </w:p>
    <w:p w:rsidR="008B21B3" w:rsidRDefault="008B21B3" w:rsidP="009B7BE9">
      <w:pPr>
        <w:keepNext/>
        <w:keepLines/>
        <w:spacing w:before="40" w:line="259" w:lineRule="auto"/>
        <w:outlineLvl w:val="2"/>
        <w:rPr>
          <w:rFonts w:cs="Arial"/>
          <w:b/>
          <w:color w:val="0070C0"/>
          <w:szCs w:val="20"/>
          <w:highlight w:val="green"/>
        </w:rPr>
      </w:pPr>
    </w:p>
    <w:p w:rsidR="003B43F9" w:rsidRDefault="003B43F9">
      <w:pPr>
        <w:spacing w:line="240" w:lineRule="auto"/>
        <w:rPr>
          <w:rFonts w:cs="Arial"/>
          <w:b/>
          <w:color w:val="0070C0"/>
          <w:szCs w:val="20"/>
        </w:rPr>
      </w:pPr>
      <w:bookmarkStart w:id="33" w:name="_Toc530560448"/>
      <w:bookmarkEnd w:id="31"/>
      <w:r>
        <w:rPr>
          <w:rFonts w:cs="Arial"/>
          <w:b/>
          <w:color w:val="0070C0"/>
          <w:szCs w:val="20"/>
        </w:rPr>
        <w:br w:type="page"/>
      </w:r>
    </w:p>
    <w:p w:rsidR="008B21B3" w:rsidRPr="008B21B3" w:rsidRDefault="008B21B3" w:rsidP="008B21B3">
      <w:pPr>
        <w:keepNext/>
        <w:keepLines/>
        <w:spacing w:before="40" w:line="259" w:lineRule="auto"/>
        <w:outlineLvl w:val="2"/>
        <w:rPr>
          <w:rFonts w:cs="Arial"/>
          <w:b/>
          <w:color w:val="FF0000"/>
          <w:szCs w:val="20"/>
        </w:rPr>
      </w:pPr>
      <w:bookmarkStart w:id="34" w:name="_Toc6992294"/>
      <w:r w:rsidRPr="008B21B3">
        <w:rPr>
          <w:rFonts w:cs="Arial"/>
          <w:b/>
          <w:color w:val="0070C0"/>
          <w:szCs w:val="20"/>
        </w:rPr>
        <w:lastRenderedPageBreak/>
        <w:t>Prednostna os 3: Povečanje konkurenčnosti malih in srednje velikih podjetij (v EUR)</w:t>
      </w:r>
      <w:bookmarkEnd w:id="34"/>
      <w:r w:rsidRPr="008B21B3">
        <w:rPr>
          <w:rFonts w:cs="Arial"/>
          <w:b/>
          <w:color w:val="0070C0"/>
          <w:szCs w:val="20"/>
        </w:rPr>
        <w:t xml:space="preserve"> </w:t>
      </w:r>
    </w:p>
    <w:p w:rsidR="008B21B3" w:rsidRPr="008B21B3" w:rsidRDefault="008B21B3" w:rsidP="008B21B3">
      <w:pPr>
        <w:keepNext/>
        <w:keepLines/>
        <w:spacing w:before="40" w:line="259" w:lineRule="auto"/>
        <w:outlineLvl w:val="2"/>
        <w:rPr>
          <w:rFonts w:eastAsia="Calibri" w:cs="Arial"/>
          <w:szCs w:val="20"/>
        </w:rPr>
      </w:pPr>
    </w:p>
    <w:tbl>
      <w:tblPr>
        <w:tblStyle w:val="Tabelamrea3"/>
        <w:tblW w:w="5000" w:type="pct"/>
        <w:tblLook w:val="04A0" w:firstRow="1" w:lastRow="0" w:firstColumn="1" w:lastColumn="0" w:noHBand="0" w:noVBand="1"/>
      </w:tblPr>
      <w:tblGrid>
        <w:gridCol w:w="7086"/>
        <w:gridCol w:w="4897"/>
        <w:gridCol w:w="1567"/>
        <w:gridCol w:w="1236"/>
      </w:tblGrid>
      <w:tr w:rsidR="008B21B3" w:rsidRPr="008B21B3" w:rsidTr="008B21B3">
        <w:tc>
          <w:tcPr>
            <w:tcW w:w="2396"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Težave</w:t>
            </w:r>
          </w:p>
        </w:tc>
        <w:tc>
          <w:tcPr>
            <w:tcW w:w="1656"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Rešitve</w:t>
            </w:r>
          </w:p>
        </w:tc>
        <w:tc>
          <w:tcPr>
            <w:tcW w:w="530"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Nosilec</w:t>
            </w:r>
          </w:p>
        </w:tc>
        <w:tc>
          <w:tcPr>
            <w:tcW w:w="418" w:type="pct"/>
            <w:shd w:val="clear" w:color="auto" w:fill="F2F2F2" w:themeFill="background1" w:themeFillShade="F2"/>
            <w:vAlign w:val="center"/>
          </w:tcPr>
          <w:p w:rsidR="008B21B3" w:rsidRPr="008B21B3" w:rsidRDefault="008B21B3" w:rsidP="008B21B3">
            <w:pPr>
              <w:spacing w:line="240" w:lineRule="auto"/>
              <w:jc w:val="center"/>
              <w:rPr>
                <w:rFonts w:cs="Arial"/>
                <w:b/>
                <w:sz w:val="20"/>
                <w:szCs w:val="20"/>
              </w:rPr>
            </w:pPr>
            <w:r w:rsidRPr="008B21B3">
              <w:rPr>
                <w:rFonts w:cs="Arial"/>
                <w:b/>
                <w:sz w:val="20"/>
                <w:szCs w:val="20"/>
              </w:rPr>
              <w:t>Rok</w:t>
            </w:r>
          </w:p>
        </w:tc>
      </w:tr>
      <w:tr w:rsidR="008B21B3" w:rsidRPr="008B21B3" w:rsidTr="008B21B3">
        <w:trPr>
          <w:trHeight w:val="2566"/>
        </w:trPr>
        <w:tc>
          <w:tcPr>
            <w:tcW w:w="2396" w:type="pct"/>
          </w:tcPr>
          <w:p w:rsidR="008B21B3" w:rsidRPr="008B21B3" w:rsidRDefault="008B21B3" w:rsidP="008B21B3">
            <w:pPr>
              <w:spacing w:line="240" w:lineRule="auto"/>
              <w:rPr>
                <w:rFonts w:cs="Arial"/>
                <w:i/>
                <w:sz w:val="20"/>
                <w:szCs w:val="20"/>
              </w:rPr>
            </w:pPr>
            <w:r w:rsidRPr="008B21B3">
              <w:rPr>
                <w:rFonts w:cs="Arial"/>
                <w:i/>
                <w:sz w:val="20"/>
                <w:szCs w:val="20"/>
              </w:rPr>
              <w:t>V izvajanju 3. prednostne osi so ugotovljena naslednja tveganja:</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izvajanje finančnih instrumentov,</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izvajanje po pristopu endogene regionalne politike,</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dolgotrajno načrtovanje operacij ali javnih razpisov,</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dolgotrajni postopki izvedbe javnih razpisov prek okvirnih rokov, zapisanih v razpisni dokumentaciji (zamude pri sklepanju pogodb o sofinanciranju),</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pomanjkanje večje medsebojne skladnosti in dopolnjevanja, kadar gre za ukrepe podpornega okolja za MSP,</w:t>
            </w:r>
          </w:p>
          <w:p w:rsidR="008B21B3" w:rsidRPr="008B21B3" w:rsidRDefault="008B21B3" w:rsidP="008B21B3">
            <w:pPr>
              <w:numPr>
                <w:ilvl w:val="0"/>
                <w:numId w:val="9"/>
              </w:numPr>
              <w:spacing w:line="240" w:lineRule="auto"/>
              <w:contextualSpacing/>
              <w:rPr>
                <w:rFonts w:cs="Arial"/>
                <w:i/>
                <w:sz w:val="20"/>
                <w:szCs w:val="20"/>
              </w:rPr>
            </w:pPr>
            <w:r w:rsidRPr="008B21B3">
              <w:rPr>
                <w:rFonts w:cs="Arial"/>
                <w:i/>
                <w:sz w:val="20"/>
                <w:szCs w:val="20"/>
              </w:rPr>
              <w:t>izvajanje operacij, kadar upravičenec SPIRIT (dve t. i. operaciji s pomembnim vplivom na izvajanje OP EKP).</w:t>
            </w:r>
          </w:p>
        </w:tc>
        <w:tc>
          <w:tcPr>
            <w:tcW w:w="1656" w:type="pct"/>
          </w:tcPr>
          <w:p w:rsidR="008B21B3" w:rsidRPr="008B21B3" w:rsidRDefault="008B21B3" w:rsidP="008B21B3">
            <w:pPr>
              <w:spacing w:line="240" w:lineRule="auto"/>
              <w:rPr>
                <w:rFonts w:cs="Arial"/>
                <w:i/>
                <w:sz w:val="20"/>
                <w:szCs w:val="20"/>
              </w:rPr>
            </w:pPr>
            <w:r w:rsidRPr="008B21B3">
              <w:rPr>
                <w:rFonts w:cs="Arial"/>
                <w:i/>
                <w:sz w:val="20"/>
                <w:szCs w:val="20"/>
              </w:rPr>
              <w:t>Aktivnosti:</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zagotovitev izvedbenih pogojev za izvedbo javnih razpisov v skladu s predvidenimi roki,</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priprava operacij ali javnih razpisov v skladu z INOP,</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na nacionalni ravni zagotoviti takšne strateške podlage ter pripraviti takšne operacije ali javne razpise, ki zagotavljajo večje sinergije med predvidenimi ukrepi podpornega okolja za MSP,</w:t>
            </w:r>
          </w:p>
          <w:p w:rsidR="008B21B3" w:rsidRPr="008B21B3" w:rsidRDefault="008B21B3" w:rsidP="008B21B3">
            <w:pPr>
              <w:numPr>
                <w:ilvl w:val="0"/>
                <w:numId w:val="15"/>
              </w:numPr>
              <w:spacing w:line="240" w:lineRule="auto"/>
              <w:contextualSpacing/>
              <w:rPr>
                <w:rFonts w:cs="Arial"/>
                <w:i/>
                <w:sz w:val="20"/>
                <w:szCs w:val="20"/>
              </w:rPr>
            </w:pPr>
            <w:r w:rsidRPr="008B21B3">
              <w:rPr>
                <w:rFonts w:cs="Arial"/>
                <w:i/>
                <w:sz w:val="20"/>
                <w:szCs w:val="20"/>
              </w:rPr>
              <w:t>zagotoviti izvajanje pogodbe o sofinanciranju v skladu s pogoji ali preveriti alternative ob tem, če napredka ne bi bilo.</w:t>
            </w:r>
          </w:p>
        </w:tc>
        <w:tc>
          <w:tcPr>
            <w:tcW w:w="530" w:type="pct"/>
          </w:tcPr>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MGRT</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MK</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MGRT</w:t>
            </w: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MGRT (SPIRIT)</w:t>
            </w:r>
          </w:p>
        </w:tc>
        <w:tc>
          <w:tcPr>
            <w:tcW w:w="418" w:type="pct"/>
          </w:tcPr>
          <w:p w:rsidR="008B21B3" w:rsidRPr="008B21B3" w:rsidRDefault="008B21B3" w:rsidP="008B21B3">
            <w:pPr>
              <w:spacing w:line="240" w:lineRule="auto"/>
              <w:rPr>
                <w:rFonts w:cs="Arial"/>
                <w:i/>
                <w:sz w:val="20"/>
                <w:szCs w:val="20"/>
              </w:rPr>
            </w:pPr>
          </w:p>
          <w:p w:rsidR="008B21B3" w:rsidRPr="008B21B3" w:rsidRDefault="008B21B3" w:rsidP="008B21B3">
            <w:pPr>
              <w:spacing w:line="240" w:lineRule="auto"/>
              <w:jc w:val="center"/>
              <w:rPr>
                <w:rFonts w:cs="Arial"/>
                <w:i/>
                <w:sz w:val="20"/>
                <w:szCs w:val="20"/>
              </w:rPr>
            </w:pPr>
            <w:r w:rsidRPr="008B21B3">
              <w:rPr>
                <w:rFonts w:cs="Arial"/>
                <w:i/>
                <w:sz w:val="20"/>
                <w:szCs w:val="20"/>
              </w:rPr>
              <w:t>1. četrtletje 2019</w:t>
            </w:r>
          </w:p>
          <w:p w:rsidR="008B21B3" w:rsidRPr="008B21B3" w:rsidRDefault="008B21B3" w:rsidP="008B21B3">
            <w:pPr>
              <w:spacing w:line="240" w:lineRule="auto"/>
              <w:jc w:val="center"/>
              <w:rPr>
                <w:rFonts w:cs="Arial"/>
                <w:i/>
                <w:sz w:val="20"/>
                <w:szCs w:val="20"/>
              </w:rPr>
            </w:pPr>
          </w:p>
        </w:tc>
      </w:tr>
    </w:tbl>
    <w:p w:rsidR="008B21B3" w:rsidRPr="008B21B3" w:rsidRDefault="008B21B3" w:rsidP="008B21B3">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8B21B3" w:rsidRPr="008B21B3" w:rsidRDefault="008B21B3" w:rsidP="008B21B3">
      <w:pPr>
        <w:spacing w:line="240" w:lineRule="auto"/>
        <w:jc w:val="both"/>
        <w:rPr>
          <w:rFonts w:cs="Arial"/>
          <w:b/>
          <w:i/>
          <w:color w:val="00B050"/>
          <w:szCs w:val="20"/>
        </w:rPr>
      </w:pPr>
    </w:p>
    <w:p w:rsidR="008B21B3" w:rsidRPr="008B21B3" w:rsidRDefault="008B21B3" w:rsidP="008B21B3">
      <w:pPr>
        <w:spacing w:line="240" w:lineRule="auto"/>
        <w:jc w:val="both"/>
        <w:rPr>
          <w:rFonts w:cs="Arial"/>
          <w:szCs w:val="20"/>
        </w:rPr>
      </w:pPr>
      <w:r w:rsidRPr="008B21B3">
        <w:rPr>
          <w:rFonts w:cs="Arial"/>
          <w:szCs w:val="20"/>
        </w:rPr>
        <w:t>Izvajanje FI: V okviru FI je oblikovan produkt mikroposojil za MSP, ki se že izvaja prek dveh finančnih posrednikov (Primorska hranilnica, SPS). Do konca marca 2019 je s tem produktom podprto 733 poslov končnih prejemnikov ter sklenjenih pogodb v skupni vrednosti 18.118.108 EUR. Končni prejemniki so po sklenjenih pogodbah, do konca obravnavanega obdobja črpali skupaj 17.346.108 EUR.</w:t>
      </w:r>
    </w:p>
    <w:p w:rsidR="008B21B3" w:rsidRPr="008B21B3" w:rsidRDefault="008B21B3" w:rsidP="008B21B3">
      <w:pPr>
        <w:spacing w:line="240" w:lineRule="auto"/>
        <w:jc w:val="both"/>
        <w:rPr>
          <w:rFonts w:cs="Arial"/>
          <w:szCs w:val="20"/>
        </w:rPr>
      </w:pPr>
    </w:p>
    <w:p w:rsidR="008B21B3" w:rsidRPr="008B21B3" w:rsidRDefault="008B21B3" w:rsidP="008B21B3">
      <w:pPr>
        <w:spacing w:line="240" w:lineRule="auto"/>
        <w:jc w:val="both"/>
        <w:rPr>
          <w:rFonts w:cs="Arial"/>
          <w:szCs w:val="20"/>
        </w:rPr>
      </w:pPr>
      <w:r w:rsidRPr="008B21B3">
        <w:rPr>
          <w:rFonts w:cs="Arial"/>
          <w:szCs w:val="20"/>
        </w:rPr>
        <w:t>Nadaljevalo se je potrjevanje vlog projektov v okviru endogene regionalne politike. Do konca marca 2019 so bile izdane tri odločitve o podpori v skupni vrednosti EU dela 1,2 milijona evrov. Tri vloge so bile v fazi usklajevanja med MGRT in OU.</w:t>
      </w:r>
    </w:p>
    <w:p w:rsidR="008B21B3" w:rsidRPr="008B21B3" w:rsidRDefault="008B21B3" w:rsidP="008B21B3">
      <w:pPr>
        <w:spacing w:line="240" w:lineRule="auto"/>
        <w:jc w:val="both"/>
        <w:rPr>
          <w:rFonts w:cs="Arial"/>
          <w:szCs w:val="20"/>
        </w:rPr>
      </w:pPr>
    </w:p>
    <w:p w:rsidR="008B21B3" w:rsidRPr="008B21B3" w:rsidRDefault="008B21B3" w:rsidP="008B21B3">
      <w:pPr>
        <w:spacing w:line="240" w:lineRule="auto"/>
        <w:jc w:val="both"/>
        <w:rPr>
          <w:rFonts w:cs="Arial"/>
          <w:szCs w:val="20"/>
        </w:rPr>
      </w:pPr>
      <w:r w:rsidRPr="008B21B3">
        <w:rPr>
          <w:rFonts w:cs="Arial"/>
          <w:szCs w:val="20"/>
        </w:rPr>
        <w:t>Stanje na dveh operacijah, ki imata pomemben vpliv na izvajanje OP EKP je opisano v poglavju 1.2</w:t>
      </w:r>
      <w:r>
        <w:rPr>
          <w:rFonts w:cs="Arial"/>
          <w:szCs w:val="20"/>
        </w:rPr>
        <w:t xml:space="preserve"> tega dokumenta</w:t>
      </w:r>
      <w:r w:rsidRPr="008B21B3">
        <w:rPr>
          <w:rFonts w:cs="Arial"/>
          <w:szCs w:val="20"/>
        </w:rPr>
        <w:t>.</w:t>
      </w:r>
    </w:p>
    <w:p w:rsidR="008B21B3" w:rsidRDefault="008B21B3" w:rsidP="009B7BE9">
      <w:pPr>
        <w:keepNext/>
        <w:keepLines/>
        <w:spacing w:before="40" w:line="259" w:lineRule="auto"/>
        <w:outlineLvl w:val="2"/>
        <w:rPr>
          <w:rFonts w:cs="Arial"/>
          <w:b/>
          <w:color w:val="0070C0"/>
          <w:szCs w:val="20"/>
          <w:highlight w:val="green"/>
        </w:rPr>
      </w:pPr>
    </w:p>
    <w:p w:rsidR="003B43F9" w:rsidRDefault="003B43F9">
      <w:pPr>
        <w:spacing w:line="240" w:lineRule="auto"/>
        <w:rPr>
          <w:rFonts w:cs="Arial"/>
          <w:b/>
          <w:color w:val="0070C0"/>
          <w:szCs w:val="20"/>
        </w:rPr>
      </w:pPr>
      <w:bookmarkStart w:id="35" w:name="_Toc530560449"/>
      <w:bookmarkEnd w:id="33"/>
      <w:r>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6" w:name="_Toc6992295"/>
      <w:r w:rsidRPr="00255240">
        <w:rPr>
          <w:rFonts w:cs="Arial"/>
          <w:b/>
          <w:color w:val="0070C0"/>
          <w:szCs w:val="20"/>
        </w:rPr>
        <w:lastRenderedPageBreak/>
        <w:t>Prednostna os 4: Podpora za prehod na nizkoogljično gospodarstvo (v EUR)</w:t>
      </w:r>
      <w:bookmarkEnd w:id="36"/>
    </w:p>
    <w:p w:rsidR="00255240" w:rsidRPr="00255240" w:rsidRDefault="00255240" w:rsidP="00255240">
      <w:pPr>
        <w:keepNext/>
        <w:keepLines/>
        <w:spacing w:before="40" w:line="259" w:lineRule="auto"/>
        <w:outlineLvl w:val="2"/>
        <w:rPr>
          <w:rFonts w:cs="Arial"/>
          <w:b/>
          <w:color w:val="0070C0"/>
          <w:szCs w:val="20"/>
        </w:rPr>
      </w:pPr>
    </w:p>
    <w:tbl>
      <w:tblPr>
        <w:tblStyle w:val="Tabelamrea3"/>
        <w:tblW w:w="5000" w:type="pct"/>
        <w:tblLook w:val="04A0" w:firstRow="1" w:lastRow="0" w:firstColumn="1" w:lastColumn="0" w:noHBand="0" w:noVBand="1"/>
      </w:tblPr>
      <w:tblGrid>
        <w:gridCol w:w="6497"/>
        <w:gridCol w:w="5580"/>
        <w:gridCol w:w="1275"/>
        <w:gridCol w:w="1434"/>
      </w:tblGrid>
      <w:tr w:rsidR="00255240" w:rsidRPr="00255240" w:rsidTr="00255240">
        <w:tc>
          <w:tcPr>
            <w:tcW w:w="2197"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Težave</w:t>
            </w:r>
          </w:p>
        </w:tc>
        <w:tc>
          <w:tcPr>
            <w:tcW w:w="1887"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Rešitve</w:t>
            </w:r>
          </w:p>
        </w:tc>
        <w:tc>
          <w:tcPr>
            <w:tcW w:w="431"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Nosilec</w:t>
            </w:r>
          </w:p>
        </w:tc>
        <w:tc>
          <w:tcPr>
            <w:tcW w:w="485"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Rok</w:t>
            </w:r>
          </w:p>
        </w:tc>
      </w:tr>
      <w:tr w:rsidR="00255240" w:rsidRPr="00255240" w:rsidTr="00255240">
        <w:trPr>
          <w:trHeight w:val="274"/>
        </w:trPr>
        <w:tc>
          <w:tcPr>
            <w:tcW w:w="2197" w:type="pct"/>
          </w:tcPr>
          <w:p w:rsidR="00255240" w:rsidRPr="00255240" w:rsidRDefault="00255240" w:rsidP="00255240">
            <w:pPr>
              <w:spacing w:line="240" w:lineRule="auto"/>
              <w:rPr>
                <w:rFonts w:cs="Arial"/>
                <w:i/>
                <w:sz w:val="20"/>
                <w:szCs w:val="20"/>
              </w:rPr>
            </w:pPr>
            <w:r w:rsidRPr="00255240">
              <w:rPr>
                <w:rFonts w:cs="Arial"/>
                <w:i/>
                <w:sz w:val="20"/>
                <w:szCs w:val="20"/>
              </w:rPr>
              <w:t>V izvajanju 4. prednostne osi so ugotovljena naslednja tveganja:</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izvajanje finančnih instrumentov za prednostno naložbo 4.1,</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4.1 se izvajanje zamika zaradi postopkov javno-zasebnega partnerstva in javnih naročil,</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4.1 so dolgotrajni postopki izbora operacij (dvostopenjsko),</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 xml:space="preserve">za prednostno naložbo 4.1 je dolgotrajna in pomanjkljiva priprava projektne in investicijske dokumentacije, </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prednostni naložbi 4.1 in 4.4 zagotavljanje lastnih virov za izvedbo operacij (na integralnih proračunskih postavkah),</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prednostni naložbi 4.1 in 4.2 dolgotrajni postopki uvrščanja projektov v NRP ter specifične zahteve po prilagoditvah (razumevanje operacije in uvrščanja te v NRP),</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4.4 izvajanje po pristopu endogene regionalne politike,</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4.4 zagotavljanje zadostne kadrovske zasedbe za izvedbo izjemnega števila neposrednih potrditev</w:t>
            </w:r>
            <w:r w:rsidRPr="00255240">
              <w:rPr>
                <w:rFonts w:cs="Arial"/>
                <w:sz w:val="20"/>
                <w:szCs w:val="20"/>
              </w:rPr>
              <w:t xml:space="preserve"> </w:t>
            </w:r>
            <w:r w:rsidRPr="00255240">
              <w:rPr>
                <w:rFonts w:cs="Arial"/>
                <w:i/>
                <w:sz w:val="20"/>
                <w:szCs w:val="20"/>
              </w:rPr>
              <w:t>po pristopu endogene regionalne politike in</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za prednostno naložbo 4.4 prepočasen izbor operacij CTN in DRR.</w:t>
            </w:r>
          </w:p>
        </w:tc>
        <w:tc>
          <w:tcPr>
            <w:tcW w:w="1887" w:type="pct"/>
          </w:tcPr>
          <w:p w:rsidR="00255240" w:rsidRPr="00255240" w:rsidRDefault="00255240" w:rsidP="00255240">
            <w:pPr>
              <w:spacing w:line="240" w:lineRule="auto"/>
              <w:rPr>
                <w:rFonts w:cs="Arial"/>
                <w:i/>
                <w:sz w:val="20"/>
                <w:szCs w:val="20"/>
              </w:rPr>
            </w:pPr>
            <w:r w:rsidRPr="00255240">
              <w:rPr>
                <w:rFonts w:cs="Arial"/>
                <w:i/>
                <w:sz w:val="20"/>
                <w:szCs w:val="20"/>
              </w:rPr>
              <w:t>Zagotoviti je treba:</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prilagoditev možnosti izvajanja z znižanjem vrednosti kazalnikov in finančno realokacijo (sprememba OP EKP),</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vrednotenje postopkov izbora operacij, ki ga izvedejo zunanji strokovnjaki, ter lastna analiza in priprava poenostavitev postopkov izbora operacij,</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uporaba mehanizma EIB ELENA (pomoč pri projektih energetske učinkovitosti, obnovljive rabe energije in urbane mobilnosti),</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proučitev možnosti zagotavljanja lastnih sredstev sofinanciranja (na integralnih proračunskih postavkah),</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preveritev možnosti drugačne obravnave uvrščanja projektov v NRP ter specifične zahteve po prilagoditvah,</w:t>
            </w:r>
          </w:p>
          <w:p w:rsidR="00255240" w:rsidRPr="00255240" w:rsidRDefault="00255240" w:rsidP="00255240">
            <w:pPr>
              <w:numPr>
                <w:ilvl w:val="0"/>
                <w:numId w:val="16"/>
              </w:numPr>
              <w:spacing w:line="240" w:lineRule="auto"/>
              <w:contextualSpacing/>
              <w:rPr>
                <w:rFonts w:cs="Arial"/>
                <w:i/>
                <w:sz w:val="20"/>
                <w:szCs w:val="20"/>
              </w:rPr>
            </w:pPr>
            <w:r w:rsidRPr="00255240">
              <w:rPr>
                <w:rFonts w:cs="Arial"/>
                <w:i/>
                <w:sz w:val="20"/>
                <w:szCs w:val="20"/>
              </w:rPr>
              <w:t>proučitev možnosti kroženja zaposlenih ali prenosa kvot zaposlenih na ravni posredniških organov ali izvajalskih organov za prenos kompetenc.</w:t>
            </w:r>
          </w:p>
          <w:p w:rsidR="00255240" w:rsidRPr="00255240" w:rsidRDefault="00255240" w:rsidP="00255240">
            <w:pPr>
              <w:spacing w:line="240" w:lineRule="auto"/>
              <w:rPr>
                <w:rFonts w:cs="Arial"/>
                <w:i/>
                <w:sz w:val="20"/>
                <w:szCs w:val="20"/>
              </w:rPr>
            </w:pPr>
          </w:p>
        </w:tc>
        <w:tc>
          <w:tcPr>
            <w:tcW w:w="431" w:type="pct"/>
          </w:tcPr>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 in MZI</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MZI in resorji</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 MF in resorji</w:t>
            </w:r>
          </w:p>
          <w:p w:rsidR="00255240" w:rsidRPr="00255240" w:rsidRDefault="00255240" w:rsidP="00255240">
            <w:pPr>
              <w:spacing w:line="240" w:lineRule="auto"/>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 in MZI</w:t>
            </w:r>
          </w:p>
          <w:p w:rsidR="00255240" w:rsidRPr="00255240" w:rsidRDefault="00255240" w:rsidP="00255240">
            <w:pPr>
              <w:spacing w:line="240" w:lineRule="auto"/>
              <w:jc w:val="center"/>
              <w:rPr>
                <w:rFonts w:cs="Arial"/>
                <w:i/>
                <w:sz w:val="20"/>
                <w:szCs w:val="20"/>
              </w:rPr>
            </w:pPr>
            <w:r w:rsidRPr="00255240">
              <w:rPr>
                <w:rFonts w:cs="Arial"/>
                <w:i/>
                <w:sz w:val="20"/>
                <w:szCs w:val="20"/>
              </w:rPr>
              <w:t>(MF)</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OU</w:t>
            </w:r>
          </w:p>
        </w:tc>
        <w:tc>
          <w:tcPr>
            <w:tcW w:w="485" w:type="pct"/>
          </w:tcPr>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trike/>
                <w:color w:val="FF0000"/>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1. četrtletje 2019</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trajno</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1. četrtletje 2019</w:t>
            </w:r>
          </w:p>
          <w:p w:rsidR="00255240" w:rsidRPr="00255240" w:rsidRDefault="00255240" w:rsidP="00255240">
            <w:pPr>
              <w:spacing w:line="240" w:lineRule="auto"/>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1. četrtletje 2019</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2. četrtletje 2019</w:t>
            </w:r>
          </w:p>
          <w:p w:rsidR="00255240" w:rsidRPr="00255240" w:rsidRDefault="00255240" w:rsidP="00255240">
            <w:pPr>
              <w:spacing w:line="240" w:lineRule="auto"/>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255240" w:rsidRPr="00255240" w:rsidRDefault="00255240" w:rsidP="00255240">
      <w:pPr>
        <w:spacing w:line="240" w:lineRule="auto"/>
        <w:jc w:val="both"/>
        <w:rPr>
          <w:rFonts w:cs="Arial"/>
          <w:szCs w:val="20"/>
        </w:rPr>
      </w:pPr>
      <w:r w:rsidRPr="00255240">
        <w:rPr>
          <w:rFonts w:cs="Arial"/>
          <w:szCs w:val="20"/>
        </w:rPr>
        <w:t xml:space="preserve">(i) Realizirano: </w:t>
      </w:r>
      <w:r>
        <w:rPr>
          <w:rFonts w:cs="Arial"/>
          <w:szCs w:val="20"/>
        </w:rPr>
        <w:t>p</w:t>
      </w:r>
      <w:r w:rsidRPr="00255240">
        <w:rPr>
          <w:rFonts w:cs="Arial"/>
          <w:szCs w:val="20"/>
        </w:rPr>
        <w:t>otrditev spremembe OP EKP, verzija 4.1 (11. 12. 2018).</w:t>
      </w:r>
    </w:p>
    <w:p w:rsidR="00ED46B6" w:rsidRPr="00ED46B6" w:rsidRDefault="00ED46B6" w:rsidP="00ED46B6">
      <w:pPr>
        <w:spacing w:line="240" w:lineRule="auto"/>
        <w:jc w:val="both"/>
        <w:rPr>
          <w:rFonts w:cs="Arial"/>
          <w:szCs w:val="20"/>
        </w:rPr>
      </w:pPr>
      <w:r w:rsidRPr="00ED46B6">
        <w:rPr>
          <w:rFonts w:cs="Arial"/>
          <w:szCs w:val="20"/>
        </w:rPr>
        <w:t>(ii)</w:t>
      </w:r>
      <w:r w:rsidR="00253D8E">
        <w:rPr>
          <w:rFonts w:cs="Arial"/>
          <w:szCs w:val="20"/>
        </w:rPr>
        <w:t xml:space="preserve"> </w:t>
      </w:r>
      <w:r w:rsidRPr="00ED46B6">
        <w:rPr>
          <w:rFonts w:cs="Arial"/>
          <w:szCs w:val="20"/>
        </w:rPr>
        <w:t>Delno realizirano: na podlagi lastne analize je OU v sodelovanju z MZI pripravil poenostavitev postopkov (</w:t>
      </w:r>
      <w:r w:rsidRPr="00ED46B6">
        <w:rPr>
          <w:rFonts w:cs="Arial"/>
          <w:i/>
          <w:szCs w:val="20"/>
        </w:rPr>
        <w:t xml:space="preserve">Navodila organa upravljanja za načrtovanje, odločanje o podpori, spremljanje, poročanje in vrednotenje, izvajanja </w:t>
      </w:r>
      <w:r w:rsidRPr="00ED46B6">
        <w:rPr>
          <w:rFonts w:cs="Arial"/>
          <w:szCs w:val="20"/>
        </w:rPr>
        <w:t>– verzija 1.10, 31. 12. 2018)</w:t>
      </w:r>
      <w:r w:rsidRPr="00ED46B6">
        <w:t xml:space="preserve">, </w:t>
      </w:r>
      <w:r w:rsidRPr="00ED46B6">
        <w:rPr>
          <w:rFonts w:cs="Arial"/>
          <w:szCs w:val="20"/>
        </w:rPr>
        <w:t xml:space="preserve">spremenjena so bila </w:t>
      </w:r>
      <w:r w:rsidRPr="00ED46B6">
        <w:rPr>
          <w:rFonts w:cs="Arial"/>
          <w:i/>
          <w:szCs w:val="20"/>
        </w:rPr>
        <w:t>Navodila za delo posredniških organov in upravičencev pri ukrepu energetske prenove stavb javnega sektorja</w:t>
      </w:r>
      <w:r w:rsidRPr="00ED46B6">
        <w:rPr>
          <w:rFonts w:cs="Arial"/>
          <w:szCs w:val="20"/>
        </w:rPr>
        <w:t xml:space="preserve"> in dokumenti vezani na spremembo postopkov PO/nosilni PO MZI.</w:t>
      </w:r>
    </w:p>
    <w:p w:rsidR="00255240" w:rsidRPr="00255240" w:rsidRDefault="00ED46B6" w:rsidP="00255240">
      <w:pPr>
        <w:spacing w:line="240" w:lineRule="auto"/>
        <w:jc w:val="both"/>
        <w:rPr>
          <w:rFonts w:cs="Arial"/>
          <w:szCs w:val="20"/>
        </w:rPr>
      </w:pPr>
      <w:r w:rsidRPr="00ED46B6">
        <w:rPr>
          <w:rFonts w:cs="Arial"/>
          <w:szCs w:val="20"/>
        </w:rPr>
        <w:t>(iii)</w:t>
      </w:r>
      <w:r w:rsidR="00253D8E">
        <w:rPr>
          <w:rFonts w:cs="Arial"/>
          <w:szCs w:val="20"/>
        </w:rPr>
        <w:t xml:space="preserve"> </w:t>
      </w:r>
      <w:r w:rsidRPr="00ED46B6">
        <w:rPr>
          <w:rFonts w:cs="Arial"/>
          <w:szCs w:val="20"/>
        </w:rPr>
        <w:t>Sporazumi med MZI in koristniki sredstev so v fazi usklajevanja</w:t>
      </w:r>
      <w:r>
        <w:rPr>
          <w:rFonts w:cs="Arial"/>
          <w:szCs w:val="20"/>
        </w:rPr>
        <w:t xml:space="preserve">, predvidoma </w:t>
      </w:r>
      <w:r w:rsidRPr="00ED46B6">
        <w:rPr>
          <w:rFonts w:cs="Arial"/>
          <w:szCs w:val="20"/>
        </w:rPr>
        <w:t>maj</w:t>
      </w:r>
      <w:r>
        <w:rPr>
          <w:rFonts w:cs="Arial"/>
          <w:szCs w:val="20"/>
        </w:rPr>
        <w:t>a</w:t>
      </w:r>
      <w:r w:rsidRPr="00ED46B6">
        <w:rPr>
          <w:rFonts w:cs="Arial"/>
          <w:szCs w:val="20"/>
        </w:rPr>
        <w:t xml:space="preserve"> 2019 bo objavljen poziv k oddaji prijav za sofinaciranje iz sredstev TP ELENA.</w:t>
      </w:r>
    </w:p>
    <w:p w:rsidR="00255240" w:rsidRPr="00255240" w:rsidRDefault="00255240" w:rsidP="00255240">
      <w:pPr>
        <w:spacing w:line="240" w:lineRule="auto"/>
        <w:jc w:val="both"/>
        <w:rPr>
          <w:rFonts w:cs="Arial"/>
          <w:szCs w:val="20"/>
        </w:rPr>
      </w:pPr>
      <w:r w:rsidRPr="00255240">
        <w:rPr>
          <w:rFonts w:cs="Arial"/>
          <w:szCs w:val="20"/>
        </w:rPr>
        <w:t>(iv), (v) in (vi): še ni realizacije.</w:t>
      </w:r>
    </w:p>
    <w:p w:rsidR="00255240" w:rsidRPr="00255240" w:rsidRDefault="00255240" w:rsidP="00255240">
      <w:pPr>
        <w:spacing w:line="240" w:lineRule="auto"/>
        <w:jc w:val="both"/>
        <w:rPr>
          <w:rFonts w:cs="Arial"/>
          <w:szCs w:val="20"/>
          <w:lang w:eastAsia="sl-SI"/>
        </w:rPr>
      </w:pPr>
      <w:r w:rsidRPr="00255240">
        <w:rPr>
          <w:rFonts w:cs="Arial"/>
          <w:szCs w:val="20"/>
          <w:lang w:eastAsia="sl-SI"/>
        </w:rPr>
        <w:t>FI</w:t>
      </w:r>
      <w:r>
        <w:rPr>
          <w:rFonts w:cs="Arial"/>
          <w:szCs w:val="20"/>
          <w:lang w:eastAsia="sl-SI"/>
        </w:rPr>
        <w:t>:</w:t>
      </w:r>
      <w:r w:rsidRPr="00255240">
        <w:rPr>
          <w:rFonts w:cs="Arial"/>
          <w:szCs w:val="20"/>
          <w:lang w:eastAsia="sl-SI"/>
        </w:rPr>
        <w:t xml:space="preserve"> </w:t>
      </w:r>
      <w:r w:rsidRPr="00255240">
        <w:rPr>
          <w:rFonts w:cs="Arial"/>
          <w:szCs w:val="20"/>
        </w:rPr>
        <w:t xml:space="preserve">izvajanje </w:t>
      </w:r>
      <w:r>
        <w:rPr>
          <w:rFonts w:cs="Arial"/>
          <w:szCs w:val="20"/>
        </w:rPr>
        <w:t>FI</w:t>
      </w:r>
      <w:r w:rsidRPr="00255240">
        <w:rPr>
          <w:rFonts w:cs="Arial"/>
          <w:szCs w:val="20"/>
        </w:rPr>
        <w:t xml:space="preserve"> za </w:t>
      </w:r>
      <w:r>
        <w:rPr>
          <w:rFonts w:cs="Arial"/>
          <w:szCs w:val="20"/>
        </w:rPr>
        <w:t>PN</w:t>
      </w:r>
      <w:r w:rsidRPr="00255240">
        <w:rPr>
          <w:rFonts w:cs="Arial"/>
          <w:szCs w:val="20"/>
        </w:rPr>
        <w:t xml:space="preserve"> 4.1</w:t>
      </w:r>
      <w:r w:rsidRPr="00255240">
        <w:rPr>
          <w:rFonts w:cs="Arial"/>
          <w:szCs w:val="20"/>
          <w:lang w:eastAsia="sl-SI"/>
        </w:rPr>
        <w:t xml:space="preserve">: </w:t>
      </w:r>
      <w:r w:rsidRPr="00255240">
        <w:rPr>
          <w:rFonts w:cs="Arial"/>
          <w:i/>
          <w:szCs w:val="20"/>
          <w:lang w:eastAsia="sl-SI"/>
        </w:rPr>
        <w:t>Produkt posojila za celovito energetsko prenovo javnih stavb</w:t>
      </w:r>
      <w:r w:rsidRPr="00255240">
        <w:rPr>
          <w:rFonts w:cs="Arial"/>
          <w:szCs w:val="20"/>
          <w:lang w:eastAsia="sl-SI"/>
        </w:rPr>
        <w:t xml:space="preserve"> je razvit. Izvajalec je SID banka-sklad skladov. Pričetek izvajanja/trže</w:t>
      </w:r>
      <w:r w:rsidR="00253D8E">
        <w:rPr>
          <w:rFonts w:cs="Arial"/>
          <w:szCs w:val="20"/>
          <w:lang w:eastAsia="sl-SI"/>
        </w:rPr>
        <w:t>nja FI do končnih prejemnikov maja</w:t>
      </w:r>
      <w:r w:rsidRPr="00255240">
        <w:rPr>
          <w:rFonts w:cs="Arial"/>
          <w:szCs w:val="20"/>
          <w:lang w:eastAsia="sl-SI"/>
        </w:rPr>
        <w:t xml:space="preserve"> 2019.</w:t>
      </w:r>
    </w:p>
    <w:p w:rsidR="00255240" w:rsidRDefault="00255240" w:rsidP="009B7BE9">
      <w:pPr>
        <w:keepNext/>
        <w:keepLines/>
        <w:spacing w:before="40" w:line="259" w:lineRule="auto"/>
        <w:outlineLvl w:val="2"/>
        <w:rPr>
          <w:rFonts w:cs="Arial"/>
          <w:b/>
          <w:color w:val="0070C0"/>
          <w:szCs w:val="20"/>
          <w:highlight w:val="green"/>
        </w:rPr>
      </w:pPr>
    </w:p>
    <w:p w:rsidR="003B43F9" w:rsidRDefault="003B43F9">
      <w:pPr>
        <w:spacing w:line="240" w:lineRule="auto"/>
        <w:rPr>
          <w:rFonts w:cs="Arial"/>
          <w:b/>
          <w:color w:val="0070C0"/>
          <w:szCs w:val="20"/>
        </w:rPr>
      </w:pPr>
      <w:bookmarkStart w:id="37" w:name="_Toc530560450"/>
      <w:bookmarkEnd w:id="35"/>
      <w:r>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8" w:name="_Toc6992296"/>
      <w:r w:rsidRPr="00255240">
        <w:rPr>
          <w:rFonts w:cs="Arial"/>
          <w:b/>
          <w:color w:val="0070C0"/>
          <w:szCs w:val="20"/>
        </w:rPr>
        <w:lastRenderedPageBreak/>
        <w:t>Prednostna os 5: Spodbujanje prilagajanja podnebnim spremembam ter preprečevanja in obvladovanja tveganj (v EUR)</w:t>
      </w:r>
      <w:bookmarkEnd w:id="38"/>
    </w:p>
    <w:p w:rsidR="00255240" w:rsidRPr="00255240" w:rsidRDefault="00255240" w:rsidP="00255240">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7204"/>
        <w:gridCol w:w="4717"/>
        <w:gridCol w:w="1348"/>
        <w:gridCol w:w="1517"/>
      </w:tblGrid>
      <w:tr w:rsidR="00255240" w:rsidRPr="00255240" w:rsidTr="00255240">
        <w:tc>
          <w:tcPr>
            <w:tcW w:w="2436"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Težave</w:t>
            </w:r>
          </w:p>
        </w:tc>
        <w:tc>
          <w:tcPr>
            <w:tcW w:w="1595"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Rešitve</w:t>
            </w:r>
          </w:p>
        </w:tc>
        <w:tc>
          <w:tcPr>
            <w:tcW w:w="456"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Nosilec</w:t>
            </w:r>
          </w:p>
        </w:tc>
        <w:tc>
          <w:tcPr>
            <w:tcW w:w="513" w:type="pct"/>
            <w:shd w:val="clear" w:color="auto" w:fill="F2F2F2" w:themeFill="background1" w:themeFillShade="F2"/>
            <w:vAlign w:val="center"/>
          </w:tcPr>
          <w:p w:rsidR="00255240" w:rsidRPr="00255240" w:rsidRDefault="00255240" w:rsidP="00255240">
            <w:pPr>
              <w:spacing w:line="240" w:lineRule="auto"/>
              <w:jc w:val="center"/>
              <w:rPr>
                <w:rFonts w:cs="Arial"/>
                <w:b/>
                <w:sz w:val="20"/>
                <w:szCs w:val="20"/>
              </w:rPr>
            </w:pPr>
            <w:r w:rsidRPr="00255240">
              <w:rPr>
                <w:rFonts w:cs="Arial"/>
                <w:b/>
                <w:sz w:val="20"/>
                <w:szCs w:val="20"/>
              </w:rPr>
              <w:t>Rok</w:t>
            </w:r>
          </w:p>
        </w:tc>
      </w:tr>
      <w:tr w:rsidR="00255240" w:rsidRPr="00255240" w:rsidTr="00255240">
        <w:trPr>
          <w:trHeight w:val="1620"/>
        </w:trPr>
        <w:tc>
          <w:tcPr>
            <w:tcW w:w="2436" w:type="pct"/>
          </w:tcPr>
          <w:p w:rsidR="00255240" w:rsidRPr="00255240" w:rsidRDefault="00255240" w:rsidP="00255240">
            <w:pPr>
              <w:spacing w:line="240" w:lineRule="auto"/>
              <w:rPr>
                <w:rFonts w:cs="Arial"/>
                <w:i/>
                <w:sz w:val="20"/>
                <w:szCs w:val="20"/>
              </w:rPr>
            </w:pPr>
            <w:r w:rsidRPr="00255240">
              <w:rPr>
                <w:rFonts w:cs="Arial"/>
                <w:i/>
                <w:sz w:val="20"/>
                <w:szCs w:val="20"/>
              </w:rPr>
              <w:t>V izvajanju 5. prednostne osi so ugotovljena naslednja tveganja:</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načrtovanje in pridobivanje dovoljenj za izvedbo operacij v okviru ukrepanja KS (zaradi zahtevnosti gre za obsežne postopke v okviru treh projektov protipoplavne zaščite),</w:t>
            </w:r>
          </w:p>
          <w:p w:rsidR="00255240" w:rsidRPr="00255240" w:rsidRDefault="00255240" w:rsidP="00255240">
            <w:pPr>
              <w:numPr>
                <w:ilvl w:val="0"/>
                <w:numId w:val="9"/>
              </w:numPr>
              <w:spacing w:line="240" w:lineRule="auto"/>
              <w:contextualSpacing/>
              <w:rPr>
                <w:rFonts w:cs="Arial"/>
                <w:i/>
                <w:sz w:val="20"/>
                <w:szCs w:val="20"/>
              </w:rPr>
            </w:pPr>
            <w:r w:rsidRPr="00255240">
              <w:rPr>
                <w:rFonts w:cs="Arial"/>
                <w:i/>
                <w:sz w:val="20"/>
                <w:szCs w:val="20"/>
              </w:rPr>
              <w:t>administrativne težave, vezane na status Uprave RS za zaščito in reševanje v informacijskih sistemih v okviru ukrepanja KS (MFeRAC).</w:t>
            </w:r>
          </w:p>
        </w:tc>
        <w:tc>
          <w:tcPr>
            <w:tcW w:w="1595" w:type="pct"/>
          </w:tcPr>
          <w:p w:rsidR="00255240" w:rsidRPr="00255240" w:rsidRDefault="00255240" w:rsidP="00255240">
            <w:pPr>
              <w:spacing w:line="240" w:lineRule="auto"/>
              <w:rPr>
                <w:rFonts w:cs="Arial"/>
                <w:i/>
                <w:sz w:val="20"/>
                <w:szCs w:val="20"/>
              </w:rPr>
            </w:pPr>
            <w:r w:rsidRPr="00255240">
              <w:rPr>
                <w:rFonts w:cs="Arial"/>
                <w:i/>
                <w:sz w:val="20"/>
                <w:szCs w:val="20"/>
              </w:rPr>
              <w:t>Zagotoviti je treba:</w:t>
            </w:r>
          </w:p>
          <w:p w:rsidR="00255240" w:rsidRPr="00255240" w:rsidRDefault="00255240" w:rsidP="00255240">
            <w:pPr>
              <w:numPr>
                <w:ilvl w:val="0"/>
                <w:numId w:val="17"/>
              </w:numPr>
              <w:spacing w:line="240" w:lineRule="auto"/>
              <w:contextualSpacing/>
              <w:rPr>
                <w:rFonts w:cs="Arial"/>
                <w:i/>
                <w:sz w:val="20"/>
                <w:szCs w:val="20"/>
              </w:rPr>
            </w:pPr>
            <w:r w:rsidRPr="00255240">
              <w:rPr>
                <w:rFonts w:cs="Arial"/>
                <w:i/>
                <w:sz w:val="20"/>
                <w:szCs w:val="20"/>
              </w:rPr>
              <w:t>poseben akcijski načrt in v tem okviru delovanje delovne skupine za spremljanje izvajanja akcijskega načrta,</w:t>
            </w:r>
          </w:p>
          <w:p w:rsidR="00255240" w:rsidRPr="00255240" w:rsidRDefault="00255240" w:rsidP="00255240">
            <w:pPr>
              <w:numPr>
                <w:ilvl w:val="0"/>
                <w:numId w:val="17"/>
              </w:numPr>
              <w:spacing w:line="240" w:lineRule="auto"/>
              <w:contextualSpacing/>
              <w:rPr>
                <w:rFonts w:cs="Arial"/>
                <w:i/>
                <w:sz w:val="20"/>
                <w:szCs w:val="20"/>
              </w:rPr>
            </w:pPr>
            <w:r w:rsidRPr="00255240">
              <w:rPr>
                <w:rFonts w:cs="Arial"/>
                <w:i/>
                <w:sz w:val="20"/>
                <w:szCs w:val="20"/>
              </w:rPr>
              <w:t>proučitev možnosti in opredelitev rešitve z izvedbo.</w:t>
            </w:r>
          </w:p>
        </w:tc>
        <w:tc>
          <w:tcPr>
            <w:tcW w:w="456" w:type="pct"/>
          </w:tcPr>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 xml:space="preserve">DRSV </w:t>
            </w:r>
          </w:p>
          <w:p w:rsidR="00255240" w:rsidRPr="00255240" w:rsidRDefault="00255240" w:rsidP="00255240">
            <w:pPr>
              <w:spacing w:line="240" w:lineRule="auto"/>
              <w:jc w:val="center"/>
              <w:rPr>
                <w:rFonts w:cs="Arial"/>
                <w:i/>
                <w:sz w:val="20"/>
                <w:szCs w:val="20"/>
              </w:rPr>
            </w:pPr>
            <w:r w:rsidRPr="00255240">
              <w:rPr>
                <w:rFonts w:cs="Arial"/>
                <w:i/>
                <w:sz w:val="20"/>
                <w:szCs w:val="20"/>
              </w:rPr>
              <w:t>(MOP in OU)</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MOP in MF</w:t>
            </w:r>
          </w:p>
        </w:tc>
        <w:tc>
          <w:tcPr>
            <w:tcW w:w="513" w:type="pct"/>
          </w:tcPr>
          <w:p w:rsidR="00255240" w:rsidRPr="00255240" w:rsidRDefault="00255240" w:rsidP="00255240">
            <w:pPr>
              <w:spacing w:line="240" w:lineRule="auto"/>
              <w:rPr>
                <w:rFonts w:cs="Arial"/>
                <w:i/>
                <w:sz w:val="20"/>
                <w:szCs w:val="20"/>
              </w:rPr>
            </w:pPr>
          </w:p>
          <w:p w:rsidR="00255240" w:rsidRPr="00255240" w:rsidRDefault="00255240" w:rsidP="00255240">
            <w:pPr>
              <w:spacing w:line="240" w:lineRule="auto"/>
              <w:jc w:val="center"/>
              <w:rPr>
                <w:rFonts w:cs="Arial"/>
                <w:i/>
                <w:sz w:val="20"/>
                <w:szCs w:val="20"/>
              </w:rPr>
            </w:pPr>
            <w:r w:rsidRPr="00255240">
              <w:rPr>
                <w:rFonts w:cs="Arial"/>
                <w:i/>
                <w:sz w:val="20"/>
                <w:szCs w:val="20"/>
              </w:rPr>
              <w:t>v izvedbi</w:t>
            </w:r>
          </w:p>
          <w:p w:rsidR="00255240" w:rsidRPr="00255240" w:rsidRDefault="00255240" w:rsidP="00255240">
            <w:pPr>
              <w:spacing w:line="240" w:lineRule="auto"/>
              <w:jc w:val="center"/>
              <w:rPr>
                <w:rFonts w:cs="Arial"/>
                <w:i/>
                <w:sz w:val="20"/>
                <w:szCs w:val="20"/>
              </w:rPr>
            </w:pPr>
            <w:r w:rsidRPr="00255240">
              <w:rPr>
                <w:rFonts w:cs="Arial"/>
                <w:i/>
                <w:sz w:val="20"/>
                <w:szCs w:val="20"/>
              </w:rPr>
              <w:t>trajno</w:t>
            </w:r>
          </w:p>
          <w:p w:rsidR="00255240" w:rsidRPr="00255240" w:rsidRDefault="00255240" w:rsidP="00255240">
            <w:pPr>
              <w:spacing w:line="240" w:lineRule="auto"/>
              <w:jc w:val="center"/>
              <w:rPr>
                <w:rFonts w:cs="Arial"/>
                <w:i/>
                <w:sz w:val="20"/>
                <w:szCs w:val="20"/>
              </w:rPr>
            </w:pPr>
          </w:p>
          <w:p w:rsidR="00255240" w:rsidRPr="00255240" w:rsidRDefault="00255240" w:rsidP="00255240">
            <w:pPr>
              <w:spacing w:line="240" w:lineRule="auto"/>
              <w:contextualSpacing/>
              <w:jc w:val="center"/>
              <w:rPr>
                <w:rFonts w:cs="Arial"/>
                <w:i/>
                <w:sz w:val="20"/>
                <w:szCs w:val="20"/>
              </w:rPr>
            </w:pPr>
            <w:r w:rsidRPr="00255240">
              <w:rPr>
                <w:rFonts w:cs="Arial"/>
                <w:i/>
                <w:sz w:val="20"/>
                <w:szCs w:val="20"/>
              </w:rPr>
              <w:t>1. četrtletje 2019</w:t>
            </w:r>
          </w:p>
        </w:tc>
      </w:tr>
    </w:tbl>
    <w:p w:rsidR="00255240" w:rsidRPr="00255240" w:rsidRDefault="00255240" w:rsidP="00255240">
      <w:pPr>
        <w:spacing w:after="160" w:line="259" w:lineRule="auto"/>
        <w:rPr>
          <w:rFonts w:eastAsia="Calibri" w:cs="Arial"/>
          <w:b/>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B243CF" w:rsidRPr="00B243CF" w:rsidRDefault="00B243CF" w:rsidP="00B243CF">
      <w:pPr>
        <w:spacing w:line="240" w:lineRule="auto"/>
        <w:jc w:val="both"/>
        <w:rPr>
          <w:rFonts w:cs="Arial"/>
          <w:szCs w:val="20"/>
        </w:rPr>
      </w:pPr>
      <w:r w:rsidRPr="00B243CF">
        <w:rPr>
          <w:rFonts w:cs="Arial"/>
          <w:szCs w:val="20"/>
        </w:rPr>
        <w:t>V drugem kvartalu 2018 je bila podpisana pogodba</w:t>
      </w:r>
      <w:r w:rsidR="00253D8E">
        <w:rPr>
          <w:rFonts w:cs="Arial"/>
          <w:szCs w:val="20"/>
        </w:rPr>
        <w:t xml:space="preserve"> za</w:t>
      </w:r>
      <w:r w:rsidRPr="00B243CF">
        <w:rPr>
          <w:rFonts w:cs="Arial"/>
          <w:szCs w:val="20"/>
        </w:rPr>
        <w:t xml:space="preserve"> izvedbo ukrepov v okviru operacije </w:t>
      </w:r>
      <w:r w:rsidRPr="00B243CF">
        <w:rPr>
          <w:rFonts w:cs="Arial"/>
          <w:i/>
          <w:szCs w:val="20"/>
        </w:rPr>
        <w:t>Zagotovitev poplavne varnosti porečja Drave - Območje Meže z Mislinjo</w:t>
      </w:r>
      <w:r w:rsidRPr="00B243CF">
        <w:rPr>
          <w:rFonts w:cs="Arial"/>
          <w:szCs w:val="20"/>
        </w:rPr>
        <w:t xml:space="preserve"> (ESRR).</w:t>
      </w:r>
    </w:p>
    <w:p w:rsidR="00255240" w:rsidRDefault="00255240" w:rsidP="00255240">
      <w:pPr>
        <w:spacing w:line="240" w:lineRule="auto"/>
        <w:jc w:val="both"/>
        <w:rPr>
          <w:rFonts w:cs="Arial"/>
          <w:szCs w:val="20"/>
        </w:rPr>
      </w:pPr>
      <w:r w:rsidRPr="00B243CF">
        <w:rPr>
          <w:rFonts w:cs="Arial"/>
          <w:szCs w:val="20"/>
        </w:rPr>
        <w:t xml:space="preserve">V zadnjem kvartalu 2018 se je zaključil postopek priprave dokumentacije za izvedbo javnih naročil za gradnjo v okviru operacije </w:t>
      </w:r>
      <w:r w:rsidRPr="00B243CF">
        <w:rPr>
          <w:rFonts w:cs="Arial"/>
          <w:i/>
          <w:szCs w:val="20"/>
        </w:rPr>
        <w:t>Protipoplavna ureditev porečja Gradaščice (KS).</w:t>
      </w:r>
      <w:r w:rsidRPr="00B243CF">
        <w:rPr>
          <w:rFonts w:cs="Arial"/>
          <w:szCs w:val="20"/>
        </w:rPr>
        <w:t xml:space="preserve"> Objava javnega naročila je pre</w:t>
      </w:r>
      <w:r w:rsidR="00B243CF">
        <w:rPr>
          <w:rFonts w:cs="Arial"/>
          <w:szCs w:val="20"/>
        </w:rPr>
        <w:t>d</w:t>
      </w:r>
      <w:r w:rsidRPr="00B243CF">
        <w:rPr>
          <w:rFonts w:cs="Arial"/>
          <w:szCs w:val="20"/>
        </w:rPr>
        <w:t xml:space="preserve">videna v drugem kvartalu 2019. </w:t>
      </w:r>
    </w:p>
    <w:p w:rsidR="00B243CF" w:rsidRPr="00B243CF" w:rsidRDefault="00B243CF" w:rsidP="00255240">
      <w:pPr>
        <w:spacing w:line="240" w:lineRule="auto"/>
        <w:jc w:val="both"/>
        <w:rPr>
          <w:rFonts w:cs="Arial"/>
          <w:szCs w:val="20"/>
        </w:rPr>
      </w:pPr>
    </w:p>
    <w:p w:rsidR="00255240" w:rsidRPr="00B243CF" w:rsidRDefault="00255240" w:rsidP="00B243CF">
      <w:pPr>
        <w:spacing w:after="160" w:line="259" w:lineRule="auto"/>
        <w:rPr>
          <w:rFonts w:cs="Arial"/>
          <w:i/>
          <w:szCs w:val="20"/>
        </w:rPr>
      </w:pPr>
      <w:r w:rsidRPr="00B243CF">
        <w:rPr>
          <w:rFonts w:cs="Arial"/>
          <w:szCs w:val="20"/>
        </w:rPr>
        <w:t xml:space="preserve">V prvem kvartalu 2019 je bila izdana odločitev o podpori za projekt </w:t>
      </w:r>
      <w:r w:rsidRPr="00B243CF">
        <w:rPr>
          <w:rFonts w:cs="Arial"/>
          <w:i/>
          <w:szCs w:val="20"/>
        </w:rPr>
        <w:t>Protipoplavna ureditev Selške Sore (KS)</w:t>
      </w:r>
      <w:r w:rsidR="00B243CF">
        <w:rPr>
          <w:rFonts w:cs="Arial"/>
          <w:i/>
          <w:szCs w:val="20"/>
        </w:rPr>
        <w:t>.</w:t>
      </w:r>
    </w:p>
    <w:bookmarkEnd w:id="37"/>
    <w:p w:rsidR="009B7BE9" w:rsidRPr="009B7BE9" w:rsidRDefault="009B7BE9" w:rsidP="003B43F9">
      <w:pPr>
        <w:spacing w:after="160" w:line="259" w:lineRule="auto"/>
        <w:rPr>
          <w:rFonts w:eastAsia="Calibri" w:cs="Arial"/>
          <w:b/>
          <w:szCs w:val="20"/>
        </w:rPr>
      </w:pPr>
      <w:r w:rsidRPr="009B7BE9">
        <w:rPr>
          <w:rFonts w:eastAsia="Calibri" w:cs="Arial"/>
          <w:b/>
          <w:szCs w:val="20"/>
        </w:rPr>
        <w:br w:type="page"/>
      </w:r>
    </w:p>
    <w:p w:rsidR="00B243CF" w:rsidRPr="00B243CF" w:rsidRDefault="00B243CF" w:rsidP="00B243CF">
      <w:pPr>
        <w:keepNext/>
        <w:keepLines/>
        <w:spacing w:before="40" w:line="259" w:lineRule="auto"/>
        <w:outlineLvl w:val="2"/>
        <w:rPr>
          <w:rFonts w:cs="Arial"/>
          <w:b/>
          <w:color w:val="0070C0"/>
          <w:szCs w:val="20"/>
        </w:rPr>
      </w:pPr>
      <w:bookmarkStart w:id="39" w:name="_Toc6992297"/>
      <w:bookmarkStart w:id="40" w:name="_Toc530560451"/>
      <w:r w:rsidRPr="00B243CF">
        <w:rPr>
          <w:rFonts w:cs="Arial"/>
          <w:b/>
          <w:color w:val="0070C0"/>
          <w:szCs w:val="20"/>
        </w:rPr>
        <w:lastRenderedPageBreak/>
        <w:t>Prednostna os 6: Ohranjanje in varstvo okolja ter spodbujanje učinkovite rabe virov (v EUR)</w:t>
      </w:r>
      <w:bookmarkEnd w:id="39"/>
    </w:p>
    <w:p w:rsidR="00B243CF" w:rsidRPr="00B243CF" w:rsidRDefault="00B243CF" w:rsidP="00B243CF">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5716"/>
        <w:gridCol w:w="5758"/>
        <w:gridCol w:w="1251"/>
        <w:gridCol w:w="2061"/>
      </w:tblGrid>
      <w:tr w:rsidR="00B243CF" w:rsidRPr="00B243CF" w:rsidTr="00BE5694">
        <w:tc>
          <w:tcPr>
            <w:tcW w:w="1933"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Težave</w:t>
            </w:r>
          </w:p>
        </w:tc>
        <w:tc>
          <w:tcPr>
            <w:tcW w:w="1947"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Rešitve</w:t>
            </w:r>
          </w:p>
        </w:tc>
        <w:tc>
          <w:tcPr>
            <w:tcW w:w="423"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Nosilec</w:t>
            </w:r>
          </w:p>
        </w:tc>
        <w:tc>
          <w:tcPr>
            <w:tcW w:w="697" w:type="pct"/>
            <w:shd w:val="clear" w:color="auto" w:fill="F2F2F2" w:themeFill="background1" w:themeFillShade="F2"/>
            <w:vAlign w:val="center"/>
          </w:tcPr>
          <w:p w:rsidR="00B243CF" w:rsidRPr="00B243CF" w:rsidRDefault="00B243CF" w:rsidP="00B243CF">
            <w:pPr>
              <w:spacing w:line="240" w:lineRule="auto"/>
              <w:jc w:val="center"/>
              <w:rPr>
                <w:rFonts w:cs="Arial"/>
                <w:b/>
                <w:sz w:val="20"/>
                <w:szCs w:val="20"/>
              </w:rPr>
            </w:pPr>
            <w:r w:rsidRPr="00B243CF">
              <w:rPr>
                <w:rFonts w:cs="Arial"/>
                <w:b/>
                <w:sz w:val="20"/>
                <w:szCs w:val="20"/>
              </w:rPr>
              <w:t>Rok</w:t>
            </w:r>
          </w:p>
        </w:tc>
      </w:tr>
      <w:tr w:rsidR="00B243CF" w:rsidRPr="00B243CF" w:rsidTr="00BE5694">
        <w:trPr>
          <w:trHeight w:val="2372"/>
        </w:trPr>
        <w:tc>
          <w:tcPr>
            <w:tcW w:w="1933" w:type="pct"/>
          </w:tcPr>
          <w:p w:rsidR="00B243CF" w:rsidRPr="00B243CF" w:rsidRDefault="00B243CF" w:rsidP="00B243CF">
            <w:pPr>
              <w:spacing w:line="240" w:lineRule="auto"/>
              <w:rPr>
                <w:rFonts w:cs="Arial"/>
                <w:i/>
                <w:sz w:val="20"/>
                <w:szCs w:val="20"/>
              </w:rPr>
            </w:pPr>
            <w:r w:rsidRPr="00B243CF">
              <w:rPr>
                <w:rFonts w:cs="Arial"/>
                <w:i/>
                <w:sz w:val="20"/>
                <w:szCs w:val="20"/>
              </w:rPr>
              <w:t>V izvajanju 6. prednostne osi so ugotovljena naslednja tveganja:</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6.1 zamiki pri izvajanju operacij, za katere je že izdana odločitev o podpori,</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6.1</w:t>
            </w:r>
            <w:r w:rsidRPr="00B243CF">
              <w:rPr>
                <w:rFonts w:cs="Arial"/>
                <w:sz w:val="20"/>
                <w:szCs w:val="20"/>
              </w:rPr>
              <w:t xml:space="preserve"> </w:t>
            </w:r>
            <w:r w:rsidRPr="00B243CF">
              <w:rPr>
                <w:rFonts w:cs="Arial"/>
                <w:i/>
                <w:sz w:val="20"/>
                <w:szCs w:val="20"/>
              </w:rPr>
              <w:t>izvajanje po pristopu endogene regionalne politike,</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6.2 prepočasno pošiljanje vlog za projekte (operacije) posredniškemu organu (s seznama možnih projektov),</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za prednostno naložbo 6.3 prepočasen izbor operacij CTN in</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 xml:space="preserve">izvajanje finančnih instrumentov za </w:t>
            </w:r>
          </w:p>
          <w:p w:rsidR="00B243CF" w:rsidRPr="00B243CF" w:rsidRDefault="00B243CF" w:rsidP="00B243CF">
            <w:pPr>
              <w:numPr>
                <w:ilvl w:val="0"/>
                <w:numId w:val="9"/>
              </w:numPr>
              <w:spacing w:line="240" w:lineRule="auto"/>
              <w:contextualSpacing/>
              <w:rPr>
                <w:rFonts w:cs="Arial"/>
                <w:i/>
                <w:sz w:val="20"/>
                <w:szCs w:val="20"/>
              </w:rPr>
            </w:pPr>
            <w:r w:rsidRPr="00B243CF">
              <w:rPr>
                <w:rFonts w:cs="Arial"/>
                <w:i/>
                <w:sz w:val="20"/>
                <w:szCs w:val="20"/>
              </w:rPr>
              <w:t>prednostno naložbo 6.3.</w:t>
            </w:r>
          </w:p>
        </w:tc>
        <w:tc>
          <w:tcPr>
            <w:tcW w:w="1947" w:type="pct"/>
          </w:tcPr>
          <w:p w:rsidR="00B243CF" w:rsidRPr="00B243CF" w:rsidRDefault="00B243CF" w:rsidP="00B243CF">
            <w:pPr>
              <w:spacing w:line="240" w:lineRule="auto"/>
              <w:rPr>
                <w:rFonts w:cs="Arial"/>
                <w:i/>
                <w:sz w:val="20"/>
                <w:szCs w:val="20"/>
              </w:rPr>
            </w:pPr>
            <w:r w:rsidRPr="00B243CF">
              <w:rPr>
                <w:rFonts w:cs="Arial"/>
                <w:i/>
                <w:sz w:val="20"/>
                <w:szCs w:val="20"/>
              </w:rPr>
              <w:t>Zagotoviti je treba:</w:t>
            </w:r>
          </w:p>
          <w:p w:rsidR="00B243CF" w:rsidRPr="00B243CF" w:rsidRDefault="00B243CF" w:rsidP="00B243CF">
            <w:pPr>
              <w:numPr>
                <w:ilvl w:val="0"/>
                <w:numId w:val="18"/>
              </w:numPr>
              <w:spacing w:line="240" w:lineRule="auto"/>
              <w:contextualSpacing/>
              <w:rPr>
                <w:rFonts w:cs="Arial"/>
                <w:i/>
                <w:sz w:val="20"/>
                <w:szCs w:val="20"/>
              </w:rPr>
            </w:pPr>
            <w:r w:rsidRPr="00B243CF">
              <w:rPr>
                <w:rFonts w:cs="Arial"/>
                <w:i/>
                <w:sz w:val="20"/>
                <w:szCs w:val="20"/>
              </w:rPr>
              <w:t>redno spremljanje izvajanja operacije s pomembnim finančnim vplivom na izvajanje OP EKP za prednostno naložbo 6.1 (kjer so ugotovljene zamude), - napredek pri operaciji GORKI 2. sklop (2.faza)          - podpisane izvajalske pogodbe.</w:t>
            </w:r>
          </w:p>
          <w:p w:rsidR="00B243CF" w:rsidRPr="00B243CF" w:rsidRDefault="00B243CF" w:rsidP="00B243CF">
            <w:pPr>
              <w:numPr>
                <w:ilvl w:val="0"/>
                <w:numId w:val="18"/>
              </w:numPr>
              <w:spacing w:line="240" w:lineRule="auto"/>
              <w:contextualSpacing/>
              <w:rPr>
                <w:rFonts w:cs="Arial"/>
                <w:i/>
                <w:sz w:val="20"/>
                <w:szCs w:val="20"/>
              </w:rPr>
            </w:pPr>
            <w:r w:rsidRPr="00B243CF">
              <w:rPr>
                <w:rFonts w:cs="Arial"/>
                <w:i/>
                <w:sz w:val="20"/>
                <w:szCs w:val="20"/>
              </w:rPr>
              <w:t>pospešitev priprav vlog za operacije in medsebojna koordinacija komplementarnih ukrepov;</w:t>
            </w:r>
          </w:p>
          <w:p w:rsidR="00B243CF" w:rsidRPr="00B243CF" w:rsidRDefault="00B243CF" w:rsidP="00B243CF">
            <w:pPr>
              <w:numPr>
                <w:ilvl w:val="0"/>
                <w:numId w:val="18"/>
              </w:numPr>
              <w:spacing w:line="240" w:lineRule="auto"/>
              <w:contextualSpacing/>
              <w:rPr>
                <w:rFonts w:cs="Arial"/>
                <w:i/>
                <w:sz w:val="20"/>
                <w:szCs w:val="20"/>
              </w:rPr>
            </w:pPr>
            <w:r w:rsidRPr="00B243CF">
              <w:rPr>
                <w:rFonts w:cs="Arial"/>
                <w:i/>
                <w:sz w:val="20"/>
                <w:szCs w:val="20"/>
              </w:rPr>
              <w:t>če vloge za odločitev o podpori s seznama (Program upravljanja območij Natura 2000, Priloga 6.4) ne bodo poslane OU, OU prouči možnosti za izvedbo prerazporeditev načrtovanih sredstev za druge ukrepe, za katere so pripravljeni projekti za izvedbo na voljo.</w:t>
            </w:r>
          </w:p>
        </w:tc>
        <w:tc>
          <w:tcPr>
            <w:tcW w:w="423" w:type="pct"/>
          </w:tcPr>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r w:rsidRPr="00B243CF">
              <w:rPr>
                <w:rFonts w:cs="Arial"/>
                <w:i/>
                <w:sz w:val="20"/>
                <w:szCs w:val="20"/>
              </w:rPr>
              <w:t>MOP</w:t>
            </w: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r w:rsidRPr="00B243CF">
              <w:rPr>
                <w:rFonts w:cs="Arial"/>
                <w:i/>
                <w:sz w:val="20"/>
                <w:szCs w:val="20"/>
              </w:rPr>
              <w:t>MOP, MK</w:t>
            </w: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p>
          <w:p w:rsidR="00B243CF" w:rsidRPr="00B243CF" w:rsidRDefault="00B243CF" w:rsidP="00B243CF">
            <w:pPr>
              <w:spacing w:line="240" w:lineRule="auto"/>
              <w:jc w:val="center"/>
              <w:rPr>
                <w:rFonts w:cs="Arial"/>
                <w:i/>
                <w:sz w:val="20"/>
                <w:szCs w:val="20"/>
              </w:rPr>
            </w:pPr>
            <w:r w:rsidRPr="00B243CF">
              <w:rPr>
                <w:rFonts w:cs="Arial"/>
                <w:i/>
                <w:sz w:val="20"/>
                <w:szCs w:val="20"/>
              </w:rPr>
              <w:t>MOP</w:t>
            </w:r>
          </w:p>
        </w:tc>
        <w:tc>
          <w:tcPr>
            <w:tcW w:w="697" w:type="pct"/>
          </w:tcPr>
          <w:p w:rsidR="00B243CF" w:rsidRPr="00B243CF" w:rsidRDefault="00B243CF" w:rsidP="00B243CF">
            <w:pPr>
              <w:spacing w:line="240" w:lineRule="auto"/>
              <w:ind w:right="-172"/>
              <w:rPr>
                <w:rFonts w:cs="Arial"/>
                <w:i/>
                <w:sz w:val="20"/>
                <w:szCs w:val="20"/>
              </w:rPr>
            </w:pPr>
          </w:p>
          <w:p w:rsidR="00B243CF" w:rsidRPr="00B243CF" w:rsidRDefault="00B243CF" w:rsidP="00B243CF">
            <w:pPr>
              <w:spacing w:line="240" w:lineRule="auto"/>
              <w:ind w:right="-172"/>
              <w:contextualSpacing/>
              <w:jc w:val="center"/>
              <w:rPr>
                <w:rFonts w:cs="Arial"/>
                <w:i/>
                <w:sz w:val="20"/>
                <w:szCs w:val="20"/>
              </w:rPr>
            </w:pPr>
            <w:r w:rsidRPr="00B243CF">
              <w:rPr>
                <w:rFonts w:cs="Arial"/>
                <w:i/>
                <w:sz w:val="20"/>
                <w:szCs w:val="20"/>
              </w:rPr>
              <w:t>trajno</w:t>
            </w:r>
          </w:p>
          <w:p w:rsidR="00B243CF" w:rsidRPr="00B243CF" w:rsidRDefault="00B243CF" w:rsidP="00B243CF">
            <w:pPr>
              <w:spacing w:line="240" w:lineRule="auto"/>
              <w:ind w:right="-172"/>
              <w:contextualSpacing/>
              <w:jc w:val="center"/>
              <w:rPr>
                <w:rFonts w:cs="Arial"/>
                <w:i/>
                <w:sz w:val="20"/>
                <w:szCs w:val="20"/>
              </w:rPr>
            </w:pPr>
          </w:p>
          <w:p w:rsidR="00B243CF" w:rsidRDefault="00B243CF" w:rsidP="00B243CF">
            <w:pPr>
              <w:spacing w:line="240" w:lineRule="auto"/>
              <w:ind w:right="-172"/>
              <w:contextualSpacing/>
              <w:jc w:val="center"/>
              <w:rPr>
                <w:rFonts w:cs="Arial"/>
                <w:i/>
                <w:sz w:val="20"/>
                <w:szCs w:val="20"/>
              </w:rPr>
            </w:pPr>
          </w:p>
          <w:p w:rsidR="00BE5694" w:rsidRPr="009C1F6F" w:rsidRDefault="00BE5694" w:rsidP="00BE5694">
            <w:pPr>
              <w:spacing w:line="240" w:lineRule="auto"/>
              <w:ind w:right="-172"/>
              <w:contextualSpacing/>
              <w:jc w:val="center"/>
              <w:rPr>
                <w:rFonts w:cs="Arial"/>
                <w:i/>
                <w:sz w:val="20"/>
                <w:szCs w:val="20"/>
              </w:rPr>
            </w:pPr>
            <w:r w:rsidRPr="009C1F6F">
              <w:rPr>
                <w:rFonts w:cs="Arial"/>
                <w:i/>
                <w:sz w:val="20"/>
                <w:szCs w:val="20"/>
              </w:rPr>
              <w:t>1. četrtletje 2019</w:t>
            </w:r>
          </w:p>
          <w:p w:rsidR="00BE5694" w:rsidRPr="009C1F6F" w:rsidRDefault="00BE5694" w:rsidP="00BE5694">
            <w:pPr>
              <w:spacing w:line="240" w:lineRule="auto"/>
              <w:ind w:right="-172"/>
              <w:contextualSpacing/>
              <w:jc w:val="center"/>
              <w:rPr>
                <w:rFonts w:cs="Arial"/>
                <w:i/>
                <w:sz w:val="20"/>
                <w:szCs w:val="20"/>
              </w:rPr>
            </w:pPr>
          </w:p>
          <w:p w:rsidR="00BE5694" w:rsidRPr="009C1F6F" w:rsidRDefault="00BE5694" w:rsidP="00BE5694">
            <w:pPr>
              <w:spacing w:line="240" w:lineRule="auto"/>
              <w:ind w:right="-172"/>
              <w:contextualSpacing/>
              <w:jc w:val="center"/>
              <w:rPr>
                <w:rFonts w:cs="Arial"/>
                <w:i/>
                <w:sz w:val="20"/>
                <w:szCs w:val="20"/>
              </w:rPr>
            </w:pPr>
          </w:p>
          <w:p w:rsidR="00BE5694" w:rsidRPr="00B243CF" w:rsidRDefault="00BE5694" w:rsidP="00BE5694">
            <w:pPr>
              <w:spacing w:line="240" w:lineRule="auto"/>
              <w:ind w:right="-172"/>
              <w:contextualSpacing/>
              <w:jc w:val="center"/>
              <w:rPr>
                <w:rFonts w:cs="Arial"/>
                <w:i/>
                <w:sz w:val="20"/>
                <w:szCs w:val="20"/>
              </w:rPr>
            </w:pPr>
            <w:r w:rsidRPr="009C1F6F">
              <w:rPr>
                <w:rFonts w:cs="Arial"/>
                <w:i/>
                <w:sz w:val="20"/>
                <w:szCs w:val="20"/>
              </w:rPr>
              <w:t>1. četrtletje 2019</w:t>
            </w:r>
          </w:p>
          <w:p w:rsidR="00B243CF" w:rsidRPr="00B243CF" w:rsidRDefault="00B243CF" w:rsidP="00B243CF">
            <w:pPr>
              <w:spacing w:line="240" w:lineRule="auto"/>
              <w:ind w:right="-172"/>
              <w:contextualSpacing/>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B243CF" w:rsidRPr="00B243CF" w:rsidRDefault="00B243CF" w:rsidP="000634C7">
      <w:pPr>
        <w:jc w:val="both"/>
      </w:pPr>
      <w:r w:rsidRPr="00B243CF">
        <w:t>Na p</w:t>
      </w:r>
      <w:r w:rsidR="00BE5694">
        <w:t xml:space="preserve">odročju mehanizma CTN je bil v 2. polovici </w:t>
      </w:r>
      <w:r w:rsidRPr="00B243CF">
        <w:t xml:space="preserve">leta 2018 narejen znaten napredek pri potrjevanju </w:t>
      </w:r>
      <w:r w:rsidR="00BE5694">
        <w:t xml:space="preserve">operacij in izvedbi operacij. </w:t>
      </w:r>
      <w:r w:rsidRPr="00B243CF">
        <w:t>ZMOS je 28. septembra 2018 objavilo 2. povabilo k predložitvi vlog</w:t>
      </w:r>
      <w:r w:rsidR="00253D8E">
        <w:t xml:space="preserve"> za sofinanciranje operacij. Januarja</w:t>
      </w:r>
      <w:r w:rsidRPr="00B243CF">
        <w:t xml:space="preserve"> 2019 je bil na skupščini ZMOS potrjen seznam izbranih operacij in sicer je bilo na po</w:t>
      </w:r>
      <w:r w:rsidR="00253D8E">
        <w:t>vabilu uspešnih 16 operacij. Februarja</w:t>
      </w:r>
      <w:r w:rsidRPr="00B243CF">
        <w:t xml:space="preserve"> 2019 se je začela izvajati 2. faza izbora in s tem možnost predložitve vlog na PO MOP.</w:t>
      </w:r>
    </w:p>
    <w:p w:rsidR="00B243CF" w:rsidRPr="00B243CF" w:rsidRDefault="00B243CF" w:rsidP="000634C7"/>
    <w:p w:rsidR="00B243CF" w:rsidRPr="00B243CF" w:rsidRDefault="00B243CF" w:rsidP="000634C7">
      <w:r w:rsidRPr="00B243CF">
        <w:t>FI</w:t>
      </w:r>
      <w:r w:rsidR="00BE5694">
        <w:t>:</w:t>
      </w:r>
      <w:r w:rsidRPr="00B243CF">
        <w:t xml:space="preserve"> izvajanje </w:t>
      </w:r>
      <w:r w:rsidR="00BE5694">
        <w:t>FI</w:t>
      </w:r>
      <w:r w:rsidRPr="00B243CF">
        <w:t xml:space="preserve"> za </w:t>
      </w:r>
      <w:r w:rsidR="00BE5694">
        <w:t>PN</w:t>
      </w:r>
      <w:r w:rsidRPr="00B243CF">
        <w:t xml:space="preserve"> 6.3: produkt </w:t>
      </w:r>
      <w:r w:rsidRPr="00B243CF">
        <w:rPr>
          <w:i/>
        </w:rPr>
        <w:t>EKP posojila za urbani razvoj</w:t>
      </w:r>
      <w:r w:rsidRPr="00B243CF">
        <w:t xml:space="preserve"> je razvit. Pričetek izvajanja/trženja </w:t>
      </w:r>
      <w:r w:rsidR="00BE5694">
        <w:t xml:space="preserve">bo </w:t>
      </w:r>
      <w:r w:rsidRPr="00B243CF">
        <w:t>april</w:t>
      </w:r>
      <w:r w:rsidR="00BE5694">
        <w:t>a</w:t>
      </w:r>
      <w:r w:rsidRPr="00B243CF">
        <w:t xml:space="preserve"> 2019. Izvajalec </w:t>
      </w:r>
      <w:r w:rsidR="00BE5694">
        <w:t xml:space="preserve">je </w:t>
      </w:r>
      <w:r w:rsidRPr="00B243CF">
        <w:t>SID banka- sklad skladov neposredno.</w:t>
      </w:r>
    </w:p>
    <w:p w:rsidR="00B243CF" w:rsidRDefault="00B243CF" w:rsidP="000634C7">
      <w:pPr>
        <w:rPr>
          <w:b/>
          <w:color w:val="0070C0"/>
          <w:highlight w:val="green"/>
        </w:rPr>
      </w:pPr>
    </w:p>
    <w:p w:rsidR="003B43F9" w:rsidRDefault="003B43F9">
      <w:pPr>
        <w:spacing w:line="240" w:lineRule="auto"/>
        <w:rPr>
          <w:rFonts w:cs="Arial"/>
          <w:b/>
          <w:color w:val="0070C0"/>
          <w:szCs w:val="20"/>
        </w:rPr>
      </w:pPr>
      <w:bookmarkStart w:id="41" w:name="_Toc530560452"/>
      <w:bookmarkEnd w:id="40"/>
      <w:r>
        <w:rPr>
          <w:rFonts w:cs="Arial"/>
          <w:b/>
          <w:color w:val="0070C0"/>
          <w:szCs w:val="20"/>
        </w:rPr>
        <w:br w:type="page"/>
      </w:r>
    </w:p>
    <w:p w:rsidR="001E69AA" w:rsidRPr="001E69AA" w:rsidRDefault="001E69AA" w:rsidP="001E69AA">
      <w:pPr>
        <w:keepNext/>
        <w:keepLines/>
        <w:spacing w:before="40" w:line="259" w:lineRule="auto"/>
        <w:outlineLvl w:val="2"/>
        <w:rPr>
          <w:rFonts w:cs="Arial"/>
          <w:b/>
          <w:color w:val="0070C0"/>
          <w:szCs w:val="20"/>
        </w:rPr>
      </w:pPr>
      <w:bookmarkStart w:id="42" w:name="_Toc6992298"/>
      <w:r w:rsidRPr="001E69AA">
        <w:rPr>
          <w:rFonts w:cs="Arial"/>
          <w:b/>
          <w:color w:val="0070C0"/>
          <w:szCs w:val="20"/>
        </w:rPr>
        <w:lastRenderedPageBreak/>
        <w:t>Prednostna os 7: Spodbujanje trajnostnega prometa in izboljšanje omrežnih infrastruktur (v EUR)</w:t>
      </w:r>
      <w:bookmarkEnd w:id="42"/>
    </w:p>
    <w:p w:rsidR="001E69AA" w:rsidRPr="001E69AA" w:rsidRDefault="001E69AA" w:rsidP="001E69AA">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6938"/>
        <w:gridCol w:w="4711"/>
        <w:gridCol w:w="1360"/>
        <w:gridCol w:w="1777"/>
      </w:tblGrid>
      <w:tr w:rsidR="001E69AA" w:rsidRPr="001E69AA" w:rsidTr="001E69AA">
        <w:tc>
          <w:tcPr>
            <w:tcW w:w="2346"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Težave</w:t>
            </w:r>
          </w:p>
        </w:tc>
        <w:tc>
          <w:tcPr>
            <w:tcW w:w="1593"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Rešitve</w:t>
            </w:r>
          </w:p>
        </w:tc>
        <w:tc>
          <w:tcPr>
            <w:tcW w:w="460"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Nosilec</w:t>
            </w:r>
          </w:p>
        </w:tc>
        <w:tc>
          <w:tcPr>
            <w:tcW w:w="601" w:type="pct"/>
            <w:shd w:val="clear" w:color="auto" w:fill="F2F2F2" w:themeFill="background1" w:themeFillShade="F2"/>
            <w:vAlign w:val="center"/>
          </w:tcPr>
          <w:p w:rsidR="001E69AA" w:rsidRPr="001E69AA" w:rsidRDefault="001E69AA" w:rsidP="001E69AA">
            <w:pPr>
              <w:spacing w:line="240" w:lineRule="auto"/>
              <w:jc w:val="center"/>
              <w:rPr>
                <w:rFonts w:cs="Arial"/>
                <w:b/>
                <w:sz w:val="20"/>
                <w:szCs w:val="20"/>
              </w:rPr>
            </w:pPr>
            <w:r w:rsidRPr="001E69AA">
              <w:rPr>
                <w:rFonts w:cs="Arial"/>
                <w:b/>
                <w:sz w:val="20"/>
                <w:szCs w:val="20"/>
              </w:rPr>
              <w:t>Rok</w:t>
            </w:r>
          </w:p>
        </w:tc>
      </w:tr>
      <w:tr w:rsidR="001E69AA" w:rsidRPr="001E69AA" w:rsidTr="001E69AA">
        <w:trPr>
          <w:trHeight w:val="1658"/>
        </w:trPr>
        <w:tc>
          <w:tcPr>
            <w:tcW w:w="2346" w:type="pct"/>
          </w:tcPr>
          <w:p w:rsidR="001E69AA" w:rsidRPr="001E69AA" w:rsidRDefault="001E69AA" w:rsidP="001E69AA">
            <w:pPr>
              <w:spacing w:line="240" w:lineRule="auto"/>
              <w:rPr>
                <w:rFonts w:cs="Arial"/>
                <w:i/>
                <w:sz w:val="20"/>
                <w:szCs w:val="20"/>
              </w:rPr>
            </w:pPr>
            <w:r w:rsidRPr="001E69AA">
              <w:rPr>
                <w:rFonts w:cs="Arial"/>
                <w:i/>
                <w:sz w:val="20"/>
                <w:szCs w:val="20"/>
              </w:rPr>
              <w:t>V izvajanju 7. prednostne osi so ugotovljena naslednja tveganja:</w:t>
            </w:r>
          </w:p>
          <w:p w:rsidR="001E69AA" w:rsidRPr="001E69AA" w:rsidRDefault="001E69AA" w:rsidP="001E69AA">
            <w:pPr>
              <w:numPr>
                <w:ilvl w:val="0"/>
                <w:numId w:val="9"/>
              </w:numPr>
              <w:spacing w:line="240" w:lineRule="auto"/>
              <w:contextualSpacing/>
              <w:rPr>
                <w:rFonts w:cs="Arial"/>
                <w:i/>
                <w:sz w:val="20"/>
                <w:szCs w:val="20"/>
              </w:rPr>
            </w:pPr>
            <w:r w:rsidRPr="001E69AA">
              <w:rPr>
                <w:rFonts w:cs="Arial"/>
                <w:i/>
                <w:sz w:val="20"/>
                <w:szCs w:val="20"/>
              </w:rPr>
              <w:t>za prednostno naložbo 7.1 načrtovanje in pridobivanje dovoljenj za izvedbo treh operacij v okviru ukrepanja KS (zaradi zahtevnosti gre za obsežne postopke v okviru treh projektov železniške infrastrukture) in</w:t>
            </w:r>
          </w:p>
          <w:p w:rsidR="001E69AA" w:rsidRPr="001E69AA" w:rsidRDefault="001E69AA" w:rsidP="001E69AA">
            <w:pPr>
              <w:numPr>
                <w:ilvl w:val="0"/>
                <w:numId w:val="9"/>
              </w:numPr>
              <w:spacing w:line="240" w:lineRule="auto"/>
              <w:contextualSpacing/>
              <w:rPr>
                <w:rFonts w:cs="Arial"/>
                <w:i/>
                <w:sz w:val="20"/>
                <w:szCs w:val="20"/>
              </w:rPr>
            </w:pPr>
            <w:r w:rsidRPr="001E69AA">
              <w:rPr>
                <w:rFonts w:cs="Arial"/>
                <w:i/>
                <w:sz w:val="20"/>
                <w:szCs w:val="20"/>
              </w:rPr>
              <w:t>za prednostno naložbo 7.2</w:t>
            </w:r>
            <w:r w:rsidRPr="001E69AA">
              <w:rPr>
                <w:rFonts w:cs="Arial"/>
                <w:sz w:val="20"/>
                <w:szCs w:val="20"/>
              </w:rPr>
              <w:t xml:space="preserve"> </w:t>
            </w:r>
            <w:r w:rsidRPr="001E69AA">
              <w:rPr>
                <w:rFonts w:cs="Arial"/>
                <w:i/>
                <w:sz w:val="20"/>
                <w:szCs w:val="20"/>
              </w:rPr>
              <w:t>izvajanje po pristopu endogene regionalne politike.</w:t>
            </w:r>
          </w:p>
        </w:tc>
        <w:tc>
          <w:tcPr>
            <w:tcW w:w="1593" w:type="pct"/>
          </w:tcPr>
          <w:p w:rsidR="001E69AA" w:rsidRPr="001E69AA" w:rsidRDefault="001E69AA" w:rsidP="001E69AA">
            <w:pPr>
              <w:spacing w:line="240" w:lineRule="auto"/>
              <w:rPr>
                <w:rFonts w:cs="Arial"/>
                <w:i/>
                <w:sz w:val="20"/>
                <w:szCs w:val="20"/>
              </w:rPr>
            </w:pPr>
            <w:r w:rsidRPr="001E69AA">
              <w:rPr>
                <w:rFonts w:cs="Arial"/>
                <w:i/>
                <w:sz w:val="20"/>
                <w:szCs w:val="20"/>
              </w:rPr>
              <w:t>Zagotoviti je treba:</w:t>
            </w:r>
          </w:p>
          <w:p w:rsidR="001E69AA" w:rsidRPr="001E69AA" w:rsidRDefault="001E69AA" w:rsidP="001E69AA">
            <w:pPr>
              <w:numPr>
                <w:ilvl w:val="0"/>
                <w:numId w:val="19"/>
              </w:numPr>
              <w:spacing w:line="240" w:lineRule="auto"/>
              <w:contextualSpacing/>
              <w:rPr>
                <w:rFonts w:cs="Arial"/>
                <w:i/>
                <w:sz w:val="20"/>
                <w:szCs w:val="20"/>
              </w:rPr>
            </w:pPr>
            <w:r w:rsidRPr="001E69AA">
              <w:rPr>
                <w:rFonts w:cs="Arial"/>
                <w:i/>
                <w:sz w:val="20"/>
                <w:szCs w:val="20"/>
              </w:rPr>
              <w:t>prednostno obravnavo v postopkih okoljske presoje predvidenih operacij OP EKP,</w:t>
            </w:r>
          </w:p>
          <w:p w:rsidR="001E69AA" w:rsidRPr="001E69AA" w:rsidRDefault="001E69AA" w:rsidP="001E69AA">
            <w:pPr>
              <w:numPr>
                <w:ilvl w:val="0"/>
                <w:numId w:val="19"/>
              </w:numPr>
              <w:spacing w:line="240" w:lineRule="auto"/>
              <w:contextualSpacing/>
              <w:rPr>
                <w:rFonts w:cs="Arial"/>
                <w:i/>
                <w:sz w:val="20"/>
                <w:szCs w:val="20"/>
              </w:rPr>
            </w:pPr>
            <w:r w:rsidRPr="001E69AA">
              <w:rPr>
                <w:rFonts w:cs="Arial"/>
                <w:i/>
                <w:sz w:val="20"/>
                <w:szCs w:val="20"/>
              </w:rPr>
              <w:t>pospešitev priprave investicijske in projektne dokumentacije za operacijo gradnje sklopa drugi tir Divača‒Koper.</w:t>
            </w:r>
          </w:p>
          <w:p w:rsidR="001E69AA" w:rsidRPr="001E69AA" w:rsidRDefault="001E69AA" w:rsidP="001E69AA">
            <w:pPr>
              <w:spacing w:line="240" w:lineRule="auto"/>
              <w:rPr>
                <w:rFonts w:cs="Arial"/>
                <w:i/>
                <w:sz w:val="20"/>
                <w:szCs w:val="20"/>
              </w:rPr>
            </w:pPr>
          </w:p>
        </w:tc>
        <w:tc>
          <w:tcPr>
            <w:tcW w:w="460" w:type="pct"/>
          </w:tcPr>
          <w:p w:rsidR="001E69AA" w:rsidRPr="001E69AA" w:rsidRDefault="001E69AA" w:rsidP="001E69AA">
            <w:pPr>
              <w:spacing w:line="240" w:lineRule="auto"/>
              <w:jc w:val="center"/>
              <w:rPr>
                <w:rFonts w:cs="Arial"/>
                <w:i/>
                <w:sz w:val="20"/>
                <w:szCs w:val="20"/>
              </w:rPr>
            </w:pPr>
          </w:p>
          <w:p w:rsidR="001E69AA" w:rsidRPr="001E69AA" w:rsidRDefault="001E69AA" w:rsidP="001E69AA">
            <w:pPr>
              <w:spacing w:line="240" w:lineRule="auto"/>
              <w:jc w:val="center"/>
              <w:rPr>
                <w:rFonts w:cs="Arial"/>
                <w:i/>
                <w:sz w:val="20"/>
                <w:szCs w:val="20"/>
              </w:rPr>
            </w:pPr>
            <w:r w:rsidRPr="001E69AA">
              <w:rPr>
                <w:rFonts w:cs="Arial"/>
                <w:i/>
                <w:sz w:val="20"/>
                <w:szCs w:val="20"/>
              </w:rPr>
              <w:t>ARSO</w:t>
            </w:r>
          </w:p>
          <w:p w:rsidR="001E69AA" w:rsidRPr="001E69AA" w:rsidRDefault="001E69AA" w:rsidP="001E69AA">
            <w:pPr>
              <w:spacing w:line="240" w:lineRule="auto"/>
              <w:jc w:val="center"/>
              <w:rPr>
                <w:rFonts w:cs="Arial"/>
                <w:i/>
                <w:sz w:val="20"/>
                <w:szCs w:val="20"/>
              </w:rPr>
            </w:pPr>
          </w:p>
          <w:p w:rsidR="001E69AA" w:rsidRPr="001E69AA" w:rsidRDefault="001E69AA" w:rsidP="001E69AA">
            <w:pPr>
              <w:spacing w:line="240" w:lineRule="auto"/>
              <w:jc w:val="center"/>
              <w:rPr>
                <w:rFonts w:cs="Arial"/>
                <w:i/>
                <w:sz w:val="20"/>
                <w:szCs w:val="20"/>
              </w:rPr>
            </w:pPr>
          </w:p>
          <w:p w:rsidR="001E69AA" w:rsidRPr="001E69AA" w:rsidRDefault="001E69AA" w:rsidP="001E69AA">
            <w:pPr>
              <w:spacing w:line="240" w:lineRule="auto"/>
              <w:jc w:val="center"/>
              <w:rPr>
                <w:rFonts w:cs="Arial"/>
                <w:i/>
                <w:sz w:val="20"/>
                <w:szCs w:val="20"/>
              </w:rPr>
            </w:pPr>
            <w:r w:rsidRPr="001E69AA">
              <w:rPr>
                <w:rFonts w:cs="Arial"/>
                <w:i/>
                <w:sz w:val="20"/>
                <w:szCs w:val="20"/>
              </w:rPr>
              <w:t>MZI</w:t>
            </w:r>
          </w:p>
        </w:tc>
        <w:tc>
          <w:tcPr>
            <w:tcW w:w="601" w:type="pct"/>
          </w:tcPr>
          <w:p w:rsidR="001E69AA" w:rsidRPr="001E69AA" w:rsidRDefault="001E69AA" w:rsidP="001E69AA">
            <w:pPr>
              <w:spacing w:line="240" w:lineRule="auto"/>
              <w:rPr>
                <w:rFonts w:cs="Arial"/>
                <w:i/>
                <w:sz w:val="20"/>
                <w:szCs w:val="20"/>
              </w:rPr>
            </w:pPr>
          </w:p>
          <w:p w:rsidR="001E69AA" w:rsidRPr="001E69AA" w:rsidRDefault="001E69AA" w:rsidP="001E69AA">
            <w:pPr>
              <w:spacing w:line="240" w:lineRule="auto"/>
              <w:contextualSpacing/>
              <w:jc w:val="center"/>
              <w:rPr>
                <w:rFonts w:cs="Arial"/>
                <w:sz w:val="20"/>
                <w:szCs w:val="20"/>
              </w:rPr>
            </w:pPr>
            <w:r w:rsidRPr="001E69AA">
              <w:rPr>
                <w:rFonts w:cs="Arial"/>
                <w:sz w:val="20"/>
                <w:szCs w:val="20"/>
              </w:rPr>
              <w:t>trajno</w:t>
            </w:r>
          </w:p>
          <w:p w:rsidR="001E69AA" w:rsidRPr="001E69AA" w:rsidRDefault="001E69AA" w:rsidP="001E69AA">
            <w:pPr>
              <w:spacing w:line="240" w:lineRule="auto"/>
              <w:contextualSpacing/>
              <w:jc w:val="center"/>
              <w:rPr>
                <w:rFonts w:cs="Arial"/>
                <w:sz w:val="20"/>
                <w:szCs w:val="20"/>
              </w:rPr>
            </w:pPr>
          </w:p>
          <w:p w:rsidR="001E69AA" w:rsidRPr="001E69AA" w:rsidRDefault="001E69AA" w:rsidP="001E69AA">
            <w:pPr>
              <w:spacing w:line="240" w:lineRule="auto"/>
              <w:contextualSpacing/>
              <w:jc w:val="center"/>
              <w:rPr>
                <w:rFonts w:cs="Arial"/>
                <w:sz w:val="20"/>
                <w:szCs w:val="20"/>
              </w:rPr>
            </w:pPr>
          </w:p>
          <w:p w:rsidR="001E69AA" w:rsidRPr="001E69AA" w:rsidRDefault="001E69AA" w:rsidP="001E69AA">
            <w:pPr>
              <w:spacing w:line="240" w:lineRule="auto"/>
              <w:contextualSpacing/>
              <w:jc w:val="center"/>
              <w:rPr>
                <w:rFonts w:cs="Arial"/>
                <w:i/>
                <w:sz w:val="20"/>
                <w:szCs w:val="20"/>
              </w:rPr>
            </w:pPr>
            <w:r w:rsidRPr="001E69AA">
              <w:rPr>
                <w:rFonts w:cs="Arial"/>
                <w:sz w:val="20"/>
                <w:szCs w:val="20"/>
              </w:rPr>
              <w:t>1. četrtletje 2019</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1E69AA" w:rsidRPr="00CD1111" w:rsidRDefault="00E078C5" w:rsidP="001E69AA">
      <w:pPr>
        <w:autoSpaceDE w:val="0"/>
        <w:autoSpaceDN w:val="0"/>
        <w:adjustRightInd w:val="0"/>
        <w:spacing w:line="240" w:lineRule="auto"/>
        <w:jc w:val="both"/>
        <w:rPr>
          <w:rFonts w:cs="Arial"/>
          <w:b/>
          <w:szCs w:val="20"/>
          <w:lang w:eastAsia="sl-SI"/>
        </w:rPr>
      </w:pPr>
      <w:r>
        <w:rPr>
          <w:rFonts w:cs="Arial"/>
          <w:szCs w:val="20"/>
        </w:rPr>
        <w:t xml:space="preserve">(i) </w:t>
      </w:r>
      <w:r w:rsidR="001E69AA" w:rsidRPr="00CD1111">
        <w:rPr>
          <w:rFonts w:cs="Arial"/>
          <w:szCs w:val="20"/>
        </w:rPr>
        <w:t xml:space="preserve">Zavezujoč sklep Vlade RS z dne 6. 12. 2018: </w:t>
      </w:r>
      <w:r w:rsidR="001E69AA" w:rsidRPr="00CD1111">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 sofinanciranih iz evropskih sredstev s ciljem pospešitve izvajanja evropske kohezijske politike 2014–2020</w:t>
      </w:r>
      <w:r w:rsidR="001E69AA" w:rsidRPr="00CD1111">
        <w:rPr>
          <w:rFonts w:cs="Arial"/>
          <w:b/>
          <w:szCs w:val="20"/>
          <w:lang w:eastAsia="sl-SI"/>
        </w:rPr>
        <w:t>.</w:t>
      </w:r>
    </w:p>
    <w:p w:rsidR="001E69AA" w:rsidRPr="001E69AA" w:rsidRDefault="00E078C5" w:rsidP="001E69AA">
      <w:pPr>
        <w:spacing w:line="240" w:lineRule="auto"/>
        <w:rPr>
          <w:rFonts w:cs="Arial"/>
          <w:szCs w:val="20"/>
          <w:lang w:eastAsia="sl-SI"/>
        </w:rPr>
      </w:pPr>
      <w:r>
        <w:rPr>
          <w:rFonts w:cs="Arial"/>
          <w:szCs w:val="20"/>
        </w:rPr>
        <w:t xml:space="preserve">(ii) </w:t>
      </w:r>
      <w:r w:rsidR="001E69AA" w:rsidRPr="001E69AA">
        <w:rPr>
          <w:rFonts w:cs="Arial"/>
          <w:szCs w:val="20"/>
        </w:rPr>
        <w:t>Projektna dokumentacija (PGD) za gradnjo 2. tira Divača-Koper je izdelana; Investicijski program je bil potrjen s strani Vlade RS 24. 1. 2019</w:t>
      </w:r>
      <w:r w:rsidR="001E69AA" w:rsidRPr="001E69AA">
        <w:rPr>
          <w:rFonts w:cs="Arial"/>
          <w:szCs w:val="20"/>
          <w:lang w:eastAsia="sl-SI"/>
        </w:rPr>
        <w:t>. Vloga za projekt je v končni fazi usklajevanja z JASPERS. Posredovanje vloge na EK je predvideno v sredini aprila 2019.</w:t>
      </w:r>
    </w:p>
    <w:p w:rsidR="001E69AA" w:rsidRDefault="001E69AA" w:rsidP="009B7BE9">
      <w:pPr>
        <w:keepNext/>
        <w:keepLines/>
        <w:spacing w:before="40" w:line="259" w:lineRule="auto"/>
        <w:outlineLvl w:val="2"/>
        <w:rPr>
          <w:rFonts w:cs="Arial"/>
          <w:b/>
          <w:color w:val="0070C0"/>
          <w:szCs w:val="20"/>
          <w:highlight w:val="green"/>
        </w:rPr>
      </w:pPr>
    </w:p>
    <w:bookmarkEnd w:id="41"/>
    <w:p w:rsidR="003B43F9" w:rsidRPr="009B7BE9" w:rsidRDefault="003B43F9" w:rsidP="00FB0AA0">
      <w:pPr>
        <w:spacing w:line="240" w:lineRule="auto"/>
        <w:rPr>
          <w:rFonts w:eastAsia="Calibri" w:cs="Arial"/>
          <w:b/>
          <w:szCs w:val="20"/>
        </w:rPr>
      </w:pPr>
    </w:p>
    <w:p w:rsidR="003B43F9" w:rsidRDefault="003B43F9">
      <w:pPr>
        <w:spacing w:line="240" w:lineRule="auto"/>
        <w:rPr>
          <w:rFonts w:cs="Arial"/>
          <w:b/>
          <w:color w:val="0070C0"/>
          <w:szCs w:val="20"/>
        </w:rPr>
      </w:pPr>
      <w:bookmarkStart w:id="43" w:name="_Toc530560453"/>
      <w:r>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44" w:name="_Toc6992299"/>
      <w:r w:rsidRPr="00E078C5">
        <w:rPr>
          <w:rFonts w:cs="Arial"/>
          <w:b/>
          <w:color w:val="0070C0"/>
          <w:szCs w:val="20"/>
        </w:rPr>
        <w:lastRenderedPageBreak/>
        <w:t>Prednostna os 8: Spodbujanje trajnostnega in kakovostnega zaposlovanja ter mobilnosti delovne sile</w:t>
      </w:r>
      <w:bookmarkEnd w:id="43"/>
      <w:r w:rsidRPr="00E078C5">
        <w:rPr>
          <w:rFonts w:cs="Arial"/>
          <w:b/>
          <w:color w:val="0070C0"/>
          <w:szCs w:val="20"/>
        </w:rPr>
        <w:t xml:space="preserve"> (v EUR)</w:t>
      </w:r>
      <w:bookmarkEnd w:id="44"/>
      <w:r w:rsidR="00A41507">
        <w:rPr>
          <w:rFonts w:cs="Arial"/>
          <w:b/>
          <w:color w:val="0070C0"/>
          <w:szCs w:val="20"/>
        </w:rPr>
        <w:t xml:space="preserve"> </w:t>
      </w:r>
    </w:p>
    <w:p w:rsidR="009B7BE9" w:rsidRPr="009B7BE9" w:rsidRDefault="009B7BE9" w:rsidP="009B7BE9">
      <w:pPr>
        <w:keepNext/>
        <w:keepLines/>
        <w:spacing w:before="40" w:line="259" w:lineRule="auto"/>
        <w:outlineLvl w:val="2"/>
        <w:rPr>
          <w:rFonts w:cs="Arial"/>
          <w:color w:val="1F4D78"/>
          <w:szCs w:val="20"/>
        </w:rPr>
      </w:pPr>
    </w:p>
    <w:p w:rsidR="009B7BE9" w:rsidRPr="009B7BE9" w:rsidRDefault="009B7BE9" w:rsidP="009B7BE9">
      <w:pPr>
        <w:spacing w:after="160" w:line="259" w:lineRule="auto"/>
        <w:ind w:left="1440" w:hanging="1440"/>
        <w:jc w:val="both"/>
        <w:rPr>
          <w:rFonts w:eastAsia="Calibri" w:cs="Arial"/>
          <w:i/>
          <w:szCs w:val="20"/>
        </w:rPr>
      </w:pPr>
      <w:r w:rsidRPr="009B7BE9">
        <w:rPr>
          <w:rFonts w:eastAsia="Calibri" w:cs="Arial"/>
          <w:i/>
          <w:szCs w:val="20"/>
        </w:rPr>
        <w:t>Opomba: Razlike med višinami sredstev na izdanih odločitvah o podpori in potrjenih operacijah so posledica predvsem uvažanja podatkov iz zunanjih informacijskih sistemov (APZ-net) in informacijskega sistema Javnega štipendijskega, razvojnega, invalidskega in preživninskega sklada Republike Slovenije. Zato je eden izmed ključnih izzivov tudi uskladitev teh sistemov.</w:t>
      </w:r>
    </w:p>
    <w:p w:rsidR="00B86551" w:rsidRPr="009B7BE9" w:rsidRDefault="00B86551" w:rsidP="009870E1">
      <w:pPr>
        <w:spacing w:after="160" w:line="259" w:lineRule="auto"/>
        <w:jc w:val="both"/>
        <w:rPr>
          <w:rFonts w:eastAsia="Calibri" w:cs="Arial"/>
          <w:i/>
          <w:szCs w:val="20"/>
        </w:rPr>
      </w:pPr>
    </w:p>
    <w:tbl>
      <w:tblPr>
        <w:tblStyle w:val="Tabelamrea3"/>
        <w:tblW w:w="5000" w:type="pct"/>
        <w:tblLook w:val="04A0" w:firstRow="1" w:lastRow="0" w:firstColumn="1" w:lastColumn="0" w:noHBand="0" w:noVBand="1"/>
      </w:tblPr>
      <w:tblGrid>
        <w:gridCol w:w="6683"/>
        <w:gridCol w:w="5172"/>
        <w:gridCol w:w="1378"/>
        <w:gridCol w:w="1553"/>
      </w:tblGrid>
      <w:tr w:rsidR="003B43F9" w:rsidRPr="00D16C0A" w:rsidTr="003B43F9">
        <w:tc>
          <w:tcPr>
            <w:tcW w:w="2260"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74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46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525"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3B43F9">
        <w:trPr>
          <w:trHeight w:val="1658"/>
        </w:trPr>
        <w:tc>
          <w:tcPr>
            <w:tcW w:w="2260" w:type="pct"/>
          </w:tcPr>
          <w:p w:rsidR="003B43F9" w:rsidRPr="009B7BE9" w:rsidRDefault="003B43F9" w:rsidP="009B7BE9">
            <w:pPr>
              <w:spacing w:line="240" w:lineRule="auto"/>
              <w:rPr>
                <w:rFonts w:cs="Arial"/>
                <w:i/>
                <w:sz w:val="20"/>
                <w:szCs w:val="20"/>
              </w:rPr>
            </w:pPr>
            <w:r w:rsidRPr="009B7BE9">
              <w:rPr>
                <w:rFonts w:cs="Arial"/>
                <w:i/>
                <w:sz w:val="20"/>
                <w:szCs w:val="20"/>
              </w:rPr>
              <w:t>V izvajanju 8.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za prednostni naložbi 8.1 in 8.2 gre v večini primerov za dolgoletne operacije, ki pa po polovici obdobja izvajanja z opredeljenimi ukrepi ne ustrezajo več spremenjenim okoliščinam (npr. aktivna politika zaposlovanja), kar pomeni niz sprememb programov oziroma tveganja za nedoseganje načrtovanih finančnih in fizičnih ciljev OP</w:t>
            </w:r>
            <w:r>
              <w:rPr>
                <w:rFonts w:cs="Arial"/>
                <w:i/>
                <w:sz w:val="20"/>
                <w:szCs w:val="20"/>
              </w:rPr>
              <w:t xml:space="preserve"> EKP</w:t>
            </w:r>
            <w:r w:rsidRPr="009B7BE9">
              <w:rPr>
                <w:rFonts w:cs="Arial"/>
                <w:i/>
                <w:sz w:val="20"/>
                <w:szCs w:val="20"/>
              </w:rPr>
              <w:t xml:space="preserve"> (npr. kazalniki).</w:t>
            </w:r>
          </w:p>
        </w:tc>
        <w:tc>
          <w:tcPr>
            <w:tcW w:w="1749"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0"/>
              </w:numPr>
              <w:spacing w:line="240" w:lineRule="auto"/>
              <w:contextualSpacing/>
              <w:rPr>
                <w:rFonts w:cs="Arial"/>
                <w:i/>
                <w:sz w:val="20"/>
                <w:szCs w:val="20"/>
              </w:rPr>
            </w:pPr>
            <w:r w:rsidRPr="009B7BE9">
              <w:rPr>
                <w:rFonts w:cs="Arial"/>
                <w:i/>
                <w:sz w:val="20"/>
                <w:szCs w:val="20"/>
              </w:rPr>
              <w:t>proučitev in predlog sprememb na področju aktivne politike zaposlovanja v smislu prenove ukrepov in</w:t>
            </w:r>
          </w:p>
          <w:p w:rsidR="003B43F9" w:rsidRPr="009B7BE9" w:rsidRDefault="003B43F9" w:rsidP="00D16C0A">
            <w:pPr>
              <w:numPr>
                <w:ilvl w:val="0"/>
                <w:numId w:val="20"/>
              </w:numPr>
              <w:spacing w:line="240" w:lineRule="auto"/>
              <w:contextualSpacing/>
              <w:rPr>
                <w:rFonts w:cs="Arial"/>
                <w:i/>
                <w:sz w:val="20"/>
                <w:szCs w:val="20"/>
              </w:rPr>
            </w:pPr>
            <w:r w:rsidRPr="009B7BE9">
              <w:rPr>
                <w:rFonts w:cs="Arial"/>
                <w:i/>
                <w:sz w:val="20"/>
                <w:szCs w:val="20"/>
              </w:rPr>
              <w:t>načrtovanje dolgoletnih operacij v dveh etapah z vmesnim vrednotenjem doseženih rezultatov in prilagoditev izvajanja v drugi etapi.</w:t>
            </w:r>
          </w:p>
          <w:p w:rsidR="003B43F9" w:rsidRPr="009B7BE9" w:rsidRDefault="003B43F9" w:rsidP="009B7BE9">
            <w:pPr>
              <w:spacing w:line="240" w:lineRule="auto"/>
              <w:rPr>
                <w:rFonts w:cs="Arial"/>
                <w:i/>
                <w:sz w:val="20"/>
                <w:szCs w:val="20"/>
              </w:rPr>
            </w:pPr>
          </w:p>
        </w:tc>
        <w:tc>
          <w:tcPr>
            <w:tcW w:w="466"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p w:rsidR="003B43F9" w:rsidRPr="009B7BE9" w:rsidRDefault="003B43F9" w:rsidP="009B7BE9">
            <w:pPr>
              <w:spacing w:line="240" w:lineRule="auto"/>
              <w:jc w:val="center"/>
              <w:rPr>
                <w:rFonts w:cs="Arial"/>
                <w:i/>
                <w:sz w:val="20"/>
                <w:szCs w:val="20"/>
              </w:rPr>
            </w:pPr>
            <w:r w:rsidRPr="009B7BE9">
              <w:rPr>
                <w:rFonts w:cs="Arial"/>
                <w:i/>
                <w:sz w:val="20"/>
                <w:szCs w:val="20"/>
              </w:rPr>
              <w:t>(OU)</w:t>
            </w:r>
          </w:p>
        </w:tc>
        <w:tc>
          <w:tcPr>
            <w:tcW w:w="525" w:type="pct"/>
          </w:tcPr>
          <w:p w:rsidR="003B43F9" w:rsidRPr="009B7BE9" w:rsidRDefault="003B43F9" w:rsidP="009B7BE9">
            <w:pPr>
              <w:spacing w:line="240" w:lineRule="auto"/>
              <w:rPr>
                <w:rFonts w:cs="Arial"/>
                <w:i/>
                <w:sz w:val="20"/>
                <w:szCs w:val="20"/>
              </w:rPr>
            </w:pPr>
          </w:p>
          <w:p w:rsidR="003B43F9" w:rsidRPr="00E078C5" w:rsidRDefault="003B43F9" w:rsidP="009B7BE9">
            <w:pPr>
              <w:spacing w:line="240" w:lineRule="auto"/>
              <w:contextualSpacing/>
              <w:jc w:val="center"/>
              <w:rPr>
                <w:rFonts w:cs="Arial"/>
                <w:i/>
                <w:sz w:val="20"/>
                <w:szCs w:val="20"/>
              </w:rPr>
            </w:pPr>
            <w:r w:rsidRPr="00E078C5">
              <w:rPr>
                <w:rFonts w:cs="Arial"/>
                <w:i/>
                <w:sz w:val="20"/>
                <w:szCs w:val="20"/>
              </w:rPr>
              <w:t>1. četrtletje 2019</w:t>
            </w:r>
          </w:p>
          <w:p w:rsidR="003B43F9" w:rsidRPr="00E078C5" w:rsidRDefault="00970F96" w:rsidP="009B7BE9">
            <w:pPr>
              <w:spacing w:line="240" w:lineRule="auto"/>
              <w:contextualSpacing/>
              <w:jc w:val="center"/>
              <w:rPr>
                <w:rFonts w:cs="Arial"/>
                <w:i/>
                <w:sz w:val="20"/>
                <w:szCs w:val="20"/>
              </w:rPr>
            </w:pPr>
            <w:r w:rsidRPr="00E078C5">
              <w:rPr>
                <w:rFonts w:cs="Arial"/>
                <w:i/>
                <w:sz w:val="20"/>
                <w:szCs w:val="20"/>
              </w:rPr>
              <w:t>t</w:t>
            </w:r>
            <w:r w:rsidR="003B43F9" w:rsidRPr="00E078C5">
              <w:rPr>
                <w:rFonts w:cs="Arial"/>
                <w:i/>
                <w:sz w:val="20"/>
                <w:szCs w:val="20"/>
              </w:rPr>
              <w:t>rajno</w:t>
            </w:r>
          </w:p>
          <w:p w:rsidR="003B43F9" w:rsidRPr="009B7BE9" w:rsidRDefault="003B43F9" w:rsidP="009B7BE9">
            <w:pPr>
              <w:spacing w:line="240" w:lineRule="auto"/>
              <w:contextualSpacing/>
              <w:jc w:val="center"/>
              <w:rPr>
                <w:rFonts w:cs="Arial"/>
                <w:i/>
                <w:sz w:val="20"/>
                <w:szCs w:val="20"/>
              </w:rPr>
            </w:pPr>
          </w:p>
        </w:tc>
      </w:tr>
    </w:tbl>
    <w:p w:rsidR="00D61847" w:rsidRDefault="00D61847" w:rsidP="00D61847">
      <w:pPr>
        <w:spacing w:after="160" w:line="259" w:lineRule="auto"/>
        <w:rPr>
          <w:rFonts w:cs="Arial"/>
          <w:b/>
          <w:color w:val="0070C0"/>
          <w:szCs w:val="20"/>
        </w:rPr>
      </w:pPr>
      <w:bookmarkStart w:id="45" w:name="_Toc530560454"/>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B434C3" w:rsidRPr="00B434C3" w:rsidRDefault="00B434C3" w:rsidP="00253D8E">
      <w:pPr>
        <w:jc w:val="both"/>
      </w:pPr>
      <w:r w:rsidRPr="00B434C3">
        <w:t>(i), (ii)</w:t>
      </w:r>
      <w:r>
        <w:t xml:space="preserve"> </w:t>
      </w:r>
      <w:r w:rsidR="008D1763">
        <w:t xml:space="preserve">v izvajanju: </w:t>
      </w:r>
      <w:r w:rsidRPr="00B434C3">
        <w:t>v okviru analize tveganj je MDDSZ natančneje opredelilo vzroke že identificiranih težav: kazalnik ID 8.8 (spodbude za zaposlitev) v sklopu okvira uspešnosti do konca 2018 v KRVS ni bil dosežen, zaradi spremenjenih razmer na trgu dela, ko je bil v obdobju gospodarske rasti interes za subvencije s strani delodajalcev manjši oz. po drugi strani delodajalci zaposlujejo osebe iz drugih bolj zaposljivih ciljnih skupin kot so opredeljene v 8.1.1 (DBO, starejši, nižje izobraženi). Prav tako se izkazuje premajhen interes za vključevanje v programe usposabljanja in izobraževanja. Težave so bile tudi s prenosom zahtevkov iz APZ.net (IS ZRSZ) v eMA.</w:t>
      </w:r>
    </w:p>
    <w:p w:rsidR="00B434C3" w:rsidRPr="00B434C3" w:rsidRDefault="00B434C3" w:rsidP="00B434C3">
      <w:pPr>
        <w:jc w:val="both"/>
      </w:pPr>
      <w:r w:rsidRPr="00B434C3">
        <w:t xml:space="preserve">Z analizo so bili določeni </w:t>
      </w:r>
      <w:r w:rsidR="00253D8E">
        <w:t>podrobnejši</w:t>
      </w:r>
      <w:r w:rsidRPr="00B434C3">
        <w:t xml:space="preserve"> ukrepi za odpravo tveganj: </w:t>
      </w:r>
    </w:p>
    <w:p w:rsidR="00B434C3" w:rsidRPr="00B434C3" w:rsidRDefault="00B434C3" w:rsidP="00B434C3">
      <w:pPr>
        <w:jc w:val="both"/>
        <w:rPr>
          <w:i/>
        </w:rPr>
      </w:pPr>
      <w:r w:rsidRPr="00B434C3">
        <w:t>- za specifični cilj 8.1.1 v smeri izboljšanja vključevanja ranljivih ciljnih skupin, boljših pogojev ter administrativne razbremenitve izvajalcev/delodajalcev, razpoznavnosti programov v javnosti. MDDSZ je v sodelovanju z ZRSZ pripravil</w:t>
      </w:r>
      <w:r>
        <w:t>o</w:t>
      </w:r>
      <w:r w:rsidRPr="00B434C3">
        <w:t xml:space="preserve"> prenovo (spremembo) naslednjih obstoječih operacij/programov APZ ESS: </w:t>
      </w:r>
      <w:r w:rsidRPr="00B434C3">
        <w:rPr>
          <w:i/>
        </w:rPr>
        <w:t xml:space="preserve">Zaposli.me, Usposabljanje na delovnem mestu, Neformalno usposabljanje in izobraževanje ter MIC; Upravičenec ZRSZ je že izvedel dodatne sestanke z izvajalci MIC za aktivnejše sodelovanje in vključevanje </w:t>
      </w:r>
      <w:r w:rsidR="008B6F4C">
        <w:rPr>
          <w:i/>
        </w:rPr>
        <w:t>brezposelnih oseb</w:t>
      </w:r>
      <w:r w:rsidRPr="00B434C3">
        <w:rPr>
          <w:i/>
        </w:rPr>
        <w:t xml:space="preserve"> v programe usposabljanj, svetovalci v pisarnah za delo z delodajalci še dodatno promovirajo programe za usposabljanje in zaposlovanje </w:t>
      </w:r>
      <w:r w:rsidR="008B6F4C">
        <w:rPr>
          <w:i/>
        </w:rPr>
        <w:t>brezposelnih oseb</w:t>
      </w:r>
      <w:r w:rsidRPr="00B434C3">
        <w:rPr>
          <w:i/>
        </w:rPr>
        <w:t xml:space="preserve"> med potencialnimi delodajalci. Načrtuje se tudi večja promocijska akcija vseh programov v drugem četrtletju 2019. Prav tako se na ZRSZ pripravljajo na uvedbo uporabnikom prijazne uporabe programov v smislu skupnih javnih povabil, ki bodo posledično tudi zmanjšale administrativno breme za vlagatelje.</w:t>
      </w:r>
    </w:p>
    <w:p w:rsidR="003B43F9" w:rsidRPr="00B434C3" w:rsidRDefault="00B434C3" w:rsidP="00B434C3">
      <w:pPr>
        <w:jc w:val="both"/>
      </w:pPr>
      <w:r w:rsidRPr="00B434C3">
        <w:t>- za specifični cilj 8.2.1: od začetka leta 2019 sta se začela izvajati dva projekta v okviru javnega razpisa za sofinanciranje inovativnih projektov za mlade, v okviru katerih bodo spodbujali čimprejšnjo in ciljno usmerjeno aktivacijo mladih brezposelnih oseb v smislu proaktivnega in samostojnega vključevanja na trg dela. Pripravlja se sprememba programov za usposabljanje brezposelnih mladih z namenom večje zaposljivosti, predvsem z vsebinskega vidika (dodatni ukrepi za večjo uspešnost).</w:t>
      </w:r>
      <w:r w:rsidRPr="00B434C3">
        <w:rPr>
          <w:i/>
        </w:rPr>
        <w:t xml:space="preserve"> </w:t>
      </w:r>
      <w:r w:rsidRPr="00B434C3">
        <w:t>Tudi v okviru tega specifičnega cilja se na ZRSZ pripravljajo na uvedbo uporabnikom prijazne uporabe programov v smislu skupnih javnih povabil, ki bodo posledično tudi zmanjšale administrativno breme za vlagatelje.</w:t>
      </w:r>
      <w:r w:rsidR="003B43F9">
        <w:rPr>
          <w:rFonts w:cs="Arial"/>
          <w:b/>
          <w:color w:val="0070C0"/>
          <w:szCs w:val="20"/>
        </w:rPr>
        <w:br w:type="page"/>
      </w:r>
    </w:p>
    <w:p w:rsidR="009B7BE9" w:rsidRPr="000A6942" w:rsidRDefault="009B7BE9" w:rsidP="009B7BE9">
      <w:pPr>
        <w:keepNext/>
        <w:keepLines/>
        <w:spacing w:before="40" w:line="259" w:lineRule="auto"/>
        <w:outlineLvl w:val="2"/>
        <w:rPr>
          <w:rFonts w:cs="Arial"/>
          <w:b/>
          <w:color w:val="0070C0"/>
          <w:szCs w:val="20"/>
        </w:rPr>
      </w:pPr>
      <w:bookmarkStart w:id="46" w:name="_Toc6992300"/>
      <w:r w:rsidRPr="000A6942">
        <w:rPr>
          <w:rFonts w:cs="Arial"/>
          <w:b/>
          <w:color w:val="0070C0"/>
          <w:szCs w:val="20"/>
        </w:rPr>
        <w:lastRenderedPageBreak/>
        <w:t>Prednostna os 9: Spodbujanje socialnega vključevanja ter boj proti revščini in kakršni koli diskriminaciji</w:t>
      </w:r>
      <w:bookmarkEnd w:id="45"/>
      <w:r w:rsidRPr="000A6942">
        <w:rPr>
          <w:rFonts w:cs="Arial"/>
          <w:b/>
          <w:color w:val="0070C0"/>
          <w:szCs w:val="20"/>
        </w:rPr>
        <w:t xml:space="preserve"> (v EUR)</w:t>
      </w:r>
      <w:bookmarkEnd w:id="46"/>
    </w:p>
    <w:p w:rsidR="009B7BE9" w:rsidRPr="009B7BE9" w:rsidRDefault="009B7BE9" w:rsidP="009B7BE9">
      <w:pPr>
        <w:keepNext/>
        <w:keepLines/>
        <w:spacing w:before="40" w:line="259" w:lineRule="auto"/>
        <w:outlineLvl w:val="2"/>
        <w:rPr>
          <w:rFonts w:cs="Arial"/>
          <w:color w:val="1F4D78"/>
          <w:szCs w:val="20"/>
        </w:rPr>
      </w:pPr>
    </w:p>
    <w:tbl>
      <w:tblPr>
        <w:tblStyle w:val="Tabelamrea3"/>
        <w:tblW w:w="5000" w:type="pct"/>
        <w:tblLook w:val="04A0" w:firstRow="1" w:lastRow="0" w:firstColumn="1" w:lastColumn="0" w:noHBand="0" w:noVBand="1"/>
      </w:tblPr>
      <w:tblGrid>
        <w:gridCol w:w="7012"/>
        <w:gridCol w:w="4344"/>
        <w:gridCol w:w="1866"/>
        <w:gridCol w:w="1564"/>
      </w:tblGrid>
      <w:tr w:rsidR="003B43F9" w:rsidRPr="00D16C0A" w:rsidTr="003B43F9">
        <w:tc>
          <w:tcPr>
            <w:tcW w:w="2371"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46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631"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52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3B43F9">
        <w:trPr>
          <w:trHeight w:val="1658"/>
        </w:trPr>
        <w:tc>
          <w:tcPr>
            <w:tcW w:w="2371" w:type="pct"/>
          </w:tcPr>
          <w:p w:rsidR="003B43F9" w:rsidRPr="009B7BE9" w:rsidRDefault="003B43F9" w:rsidP="009B7BE9">
            <w:pPr>
              <w:spacing w:line="240" w:lineRule="auto"/>
              <w:rPr>
                <w:rFonts w:cs="Arial"/>
                <w:i/>
                <w:sz w:val="20"/>
                <w:szCs w:val="20"/>
              </w:rPr>
            </w:pPr>
            <w:r w:rsidRPr="009B7BE9">
              <w:rPr>
                <w:rFonts w:cs="Arial"/>
                <w:i/>
                <w:sz w:val="20"/>
                <w:szCs w:val="20"/>
              </w:rPr>
              <w:t>V izvajanju 9.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bil ugotovljen zamik začetka izvajanja zaradi razdrobljenosti ukrepov po vsebini in nosilcih (predvsem za prednostno naložbo 9.1),</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realizacija operacij pomembno zaostaja v zahodni kohezijski regiji,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načrtovanje operacij ali javnih razpisov predolgo trajalo (zaradi obravnavanja novih vsebinskih področij ukrepanja in s tem povezanih upravičencev),</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vključevanje novih vrst upravičencev v okvir izvajanja OP</w:t>
            </w:r>
            <w:r>
              <w:rPr>
                <w:rFonts w:cs="Arial"/>
                <w:i/>
                <w:sz w:val="20"/>
                <w:szCs w:val="20"/>
              </w:rPr>
              <w:t xml:space="preserve"> EKP</w:t>
            </w:r>
            <w:r w:rsidRPr="009B7BE9">
              <w:rPr>
                <w:rFonts w:cs="Arial"/>
                <w:i/>
                <w:sz w:val="20"/>
                <w:szCs w:val="20"/>
              </w:rPr>
              <w:t xml:space="preserve"> pomeni večja tveganja zaradi manjših kompetenc,</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w:t>
            </w:r>
            <w:r w:rsidRPr="009B7BE9">
              <w:rPr>
                <w:rFonts w:cs="Arial"/>
                <w:sz w:val="20"/>
                <w:szCs w:val="20"/>
              </w:rPr>
              <w:t xml:space="preserve"> </w:t>
            </w:r>
            <w:r w:rsidRPr="009B7BE9">
              <w:rPr>
                <w:rFonts w:cs="Arial"/>
                <w:i/>
                <w:sz w:val="20"/>
                <w:szCs w:val="20"/>
              </w:rPr>
              <w:t>izvajanje po pristopu endogene regionalne politike,</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glede socialnega podjetništva in s tem povezanimi podjetji,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ESRR priprava in načrtovanje ukrepov na področju deinsitucionalzacije (ugotovljene zamude),</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ESRR glede gradnje preventivnih centrov so zamude v izvajanju operacij,</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ESRR glede CLLD se posredniški organ srečuje z velikim administrativnim bremenom v procesu preverjanj, saj gre za veliko operacij manjše vrednosti.</w:t>
            </w:r>
          </w:p>
        </w:tc>
        <w:tc>
          <w:tcPr>
            <w:tcW w:w="1469"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proučitev razlogov za počasnejšo realizacijo operacij v zahodni kohezijski regiji ter s tem povezani pripravo in realizacijo aktivnosti za pospešitev črpanja,</w:t>
            </w: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usposabljanja za izboljšanje kompetenc upravičencev za izvajanje operacij,</w:t>
            </w:r>
          </w:p>
          <w:p w:rsidR="003B43F9" w:rsidRPr="009B7BE9" w:rsidRDefault="003B43F9" w:rsidP="009B7BE9">
            <w:pPr>
              <w:spacing w:line="240" w:lineRule="auto"/>
              <w:ind w:left="750"/>
              <w:contextualSpacing/>
              <w:rPr>
                <w:rFonts w:cs="Arial"/>
                <w:i/>
                <w:sz w:val="20"/>
                <w:szCs w:val="20"/>
              </w:rPr>
            </w:pP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pospešitev načrtovanja in pošiljanje vlog za odločitev o podpori OU na področju ukrepanja na področju deinstitucionalizacije (ESRR),</w:t>
            </w:r>
          </w:p>
          <w:p w:rsidR="003B43F9" w:rsidRPr="009B7BE9" w:rsidRDefault="003B43F9" w:rsidP="00D16C0A">
            <w:pPr>
              <w:numPr>
                <w:ilvl w:val="0"/>
                <w:numId w:val="21"/>
              </w:numPr>
              <w:spacing w:line="240" w:lineRule="auto"/>
              <w:contextualSpacing/>
              <w:rPr>
                <w:rFonts w:cs="Arial"/>
                <w:i/>
                <w:sz w:val="20"/>
                <w:szCs w:val="20"/>
              </w:rPr>
            </w:pPr>
            <w:r w:rsidRPr="009B7BE9">
              <w:rPr>
                <w:rFonts w:cs="Arial"/>
                <w:i/>
                <w:sz w:val="20"/>
                <w:szCs w:val="20"/>
              </w:rPr>
              <w:t>proučitev možnosti za uporabo poenostavljenih oblik stroškov in, če je relevantno, uporabe.</w:t>
            </w:r>
          </w:p>
          <w:p w:rsidR="003B43F9" w:rsidRPr="009B7BE9" w:rsidRDefault="003B43F9" w:rsidP="009B7BE9">
            <w:pPr>
              <w:spacing w:line="240" w:lineRule="auto"/>
              <w:rPr>
                <w:rFonts w:cs="Arial"/>
                <w:i/>
                <w:sz w:val="20"/>
                <w:szCs w:val="20"/>
              </w:rPr>
            </w:pPr>
          </w:p>
        </w:tc>
        <w:tc>
          <w:tcPr>
            <w:tcW w:w="631"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MIZŠ, MDDSZ, MZ, MK</w:t>
            </w:r>
          </w:p>
          <w:p w:rsidR="003B43F9" w:rsidRDefault="003B43F9" w:rsidP="009B7BE9">
            <w:pPr>
              <w:spacing w:line="240" w:lineRule="auto"/>
              <w:jc w:val="center"/>
              <w:rPr>
                <w:rFonts w:cs="Arial"/>
                <w:i/>
                <w:sz w:val="20"/>
                <w:szCs w:val="20"/>
              </w:rPr>
            </w:pPr>
          </w:p>
          <w:p w:rsidR="003B43F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 MK, MIZŠ, MGRT, MZ in OU</w:t>
            </w: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p w:rsidR="003B43F9" w:rsidRDefault="003B43F9" w:rsidP="009B7BE9">
            <w:pPr>
              <w:spacing w:line="240" w:lineRule="auto"/>
              <w:jc w:val="center"/>
              <w:rPr>
                <w:rFonts w:cs="Arial"/>
                <w:i/>
                <w:sz w:val="20"/>
                <w:szCs w:val="20"/>
              </w:rPr>
            </w:pPr>
          </w:p>
          <w:p w:rsidR="003B43F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MGRT</w:t>
            </w:r>
          </w:p>
        </w:tc>
        <w:tc>
          <w:tcPr>
            <w:tcW w:w="529" w:type="pct"/>
          </w:tcPr>
          <w:p w:rsidR="003B43F9" w:rsidRPr="009B7BE9" w:rsidRDefault="003B43F9" w:rsidP="009B7BE9">
            <w:pPr>
              <w:spacing w:line="240" w:lineRule="auto"/>
              <w:rPr>
                <w:rFonts w:cs="Arial"/>
                <w:i/>
                <w:sz w:val="20"/>
                <w:szCs w:val="20"/>
              </w:rPr>
            </w:pPr>
          </w:p>
          <w:p w:rsidR="003B43F9" w:rsidRPr="000B5A17" w:rsidRDefault="00970F96" w:rsidP="009B7BE9">
            <w:pPr>
              <w:spacing w:line="240" w:lineRule="auto"/>
              <w:contextualSpacing/>
              <w:jc w:val="center"/>
              <w:rPr>
                <w:rFonts w:cs="Arial"/>
                <w:i/>
                <w:sz w:val="20"/>
                <w:szCs w:val="20"/>
              </w:rPr>
            </w:pPr>
            <w:r w:rsidRPr="000B5A17">
              <w:rPr>
                <w:rFonts w:cs="Arial"/>
                <w:i/>
                <w:sz w:val="20"/>
                <w:szCs w:val="20"/>
              </w:rPr>
              <w:t>t</w:t>
            </w:r>
            <w:r w:rsidR="003B43F9" w:rsidRPr="000B5A17">
              <w:rPr>
                <w:rFonts w:cs="Arial"/>
                <w:i/>
                <w:sz w:val="20"/>
                <w:szCs w:val="20"/>
              </w:rPr>
              <w:t>rajno</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1. četrtletje 2019</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1. četrtletje 2019</w:t>
            </w:r>
          </w:p>
          <w:p w:rsidR="003B43F9" w:rsidRPr="000B5A17" w:rsidRDefault="003B43F9" w:rsidP="009B7BE9">
            <w:pPr>
              <w:spacing w:line="240" w:lineRule="auto"/>
              <w:contextualSpacing/>
              <w:rPr>
                <w:rFonts w:cs="Arial"/>
                <w:i/>
                <w:sz w:val="20"/>
                <w:szCs w:val="20"/>
              </w:rPr>
            </w:pPr>
          </w:p>
          <w:p w:rsidR="003B43F9" w:rsidRPr="000B5A17" w:rsidRDefault="003B43F9" w:rsidP="009B7BE9">
            <w:pPr>
              <w:spacing w:line="240" w:lineRule="auto"/>
              <w:contextualSpacing/>
              <w:rPr>
                <w:rFonts w:cs="Arial"/>
                <w:i/>
                <w:sz w:val="20"/>
                <w:szCs w:val="20"/>
              </w:rPr>
            </w:pPr>
          </w:p>
          <w:p w:rsidR="003B43F9" w:rsidRPr="009B7BE9" w:rsidRDefault="003B43F9" w:rsidP="009B7BE9">
            <w:pPr>
              <w:spacing w:line="240" w:lineRule="auto"/>
              <w:contextualSpacing/>
              <w:jc w:val="center"/>
              <w:rPr>
                <w:rFonts w:cs="Arial"/>
                <w:i/>
                <w:sz w:val="20"/>
                <w:szCs w:val="20"/>
              </w:rPr>
            </w:pPr>
            <w:r w:rsidRPr="000B5A17">
              <w:rPr>
                <w:rFonts w:cs="Arial"/>
                <w:i/>
                <w:sz w:val="20"/>
                <w:szCs w:val="20"/>
              </w:rPr>
              <w:t>1. četrtletje 2019</w:t>
            </w:r>
          </w:p>
        </w:tc>
      </w:tr>
    </w:tbl>
    <w:p w:rsidR="00FC3157" w:rsidRDefault="00FC315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387754" w:rsidRDefault="00070BBB" w:rsidP="00FC3157">
      <w:pPr>
        <w:autoSpaceDE w:val="0"/>
        <w:autoSpaceDN w:val="0"/>
        <w:adjustRightInd w:val="0"/>
        <w:spacing w:line="240" w:lineRule="auto"/>
        <w:jc w:val="both"/>
        <w:rPr>
          <w:rFonts w:cs="Arial"/>
          <w:bCs/>
          <w:color w:val="000000"/>
          <w:szCs w:val="20"/>
          <w:lang w:eastAsia="sl-SI"/>
        </w:rPr>
      </w:pPr>
      <w:r w:rsidRPr="00DE0083">
        <w:rPr>
          <w:rFonts w:cs="Arial"/>
          <w:szCs w:val="20"/>
          <w:lang w:eastAsia="sl-SI"/>
        </w:rPr>
        <w:t>(i) V izvajanju: SVRK je v prvem četrtletju intenzivno delala na doseganju okvira uspešnosti v zahodni kohezijski regiji. Predvsem se je usklajevalo ZZI, kjer je NPU v vlogi upravičenca. K doseganju večje realizacije finančnih ciljev pomembno prispevajo operacije, v katerih MDDSZ nastopa kot upravičenec (NPU=U). MDDSZ pospešeno izvaja vse postopke za čimprejšnjo certifikacijo vseh Z</w:t>
      </w:r>
      <w:r w:rsidR="00131A22" w:rsidRPr="00DE0083">
        <w:rPr>
          <w:rFonts w:cs="Arial"/>
          <w:szCs w:val="20"/>
          <w:lang w:eastAsia="sl-SI"/>
        </w:rPr>
        <w:t>Z</w:t>
      </w:r>
      <w:r w:rsidRPr="00DE0083">
        <w:rPr>
          <w:rFonts w:cs="Arial"/>
          <w:szCs w:val="20"/>
          <w:lang w:eastAsia="sl-SI"/>
        </w:rPr>
        <w:t xml:space="preserve">I, ki se nanašajo na izvajanje v 2017 in 2018. </w:t>
      </w:r>
      <w:r w:rsidR="00387754" w:rsidRPr="00FC3157">
        <w:rPr>
          <w:rFonts w:cs="Arial"/>
          <w:bCs/>
          <w:color w:val="000000"/>
          <w:szCs w:val="20"/>
          <w:lang w:eastAsia="sl-SI"/>
        </w:rPr>
        <w:t>Določene aktivnosti je bilo mogoče izvesti šele od marca 2019, kar lahko predstavlja oviro pri doseganju okvira uspešnosti.</w:t>
      </w:r>
    </w:p>
    <w:p w:rsidR="00AA44E1" w:rsidRPr="00FC3157" w:rsidRDefault="00AA44E1" w:rsidP="00FC3157">
      <w:pPr>
        <w:autoSpaceDE w:val="0"/>
        <w:autoSpaceDN w:val="0"/>
        <w:adjustRightInd w:val="0"/>
        <w:spacing w:line="240" w:lineRule="auto"/>
        <w:jc w:val="both"/>
        <w:rPr>
          <w:rFonts w:cs="Arial"/>
          <w:bCs/>
          <w:color w:val="000000"/>
          <w:szCs w:val="20"/>
          <w:lang w:eastAsia="sl-SI"/>
        </w:rPr>
      </w:pPr>
    </w:p>
    <w:p w:rsidR="00131A22" w:rsidRPr="00DE0083" w:rsidRDefault="00070BBB" w:rsidP="00131A22">
      <w:pPr>
        <w:autoSpaceDE w:val="0"/>
        <w:autoSpaceDN w:val="0"/>
        <w:adjustRightInd w:val="0"/>
        <w:spacing w:line="240" w:lineRule="auto"/>
        <w:jc w:val="both"/>
        <w:rPr>
          <w:rFonts w:cs="Arial"/>
          <w:szCs w:val="20"/>
          <w:lang w:eastAsia="sl-SI"/>
        </w:rPr>
      </w:pPr>
      <w:r w:rsidRPr="00DE0083">
        <w:rPr>
          <w:rFonts w:cs="Arial"/>
          <w:szCs w:val="20"/>
          <w:lang w:eastAsia="sl-SI"/>
        </w:rPr>
        <w:t>(ii) Realizirano: MIZŠ je izvedlo anketo o zadovoljstvu upravičencev, na podlagi katere je pripravil</w:t>
      </w:r>
      <w:r w:rsidR="00131A22" w:rsidRPr="00DE0083">
        <w:rPr>
          <w:rFonts w:cs="Arial"/>
          <w:szCs w:val="20"/>
          <w:lang w:eastAsia="sl-SI"/>
        </w:rPr>
        <w:t>o</w:t>
      </w:r>
      <w:r w:rsidRPr="00DE0083">
        <w:rPr>
          <w:rFonts w:cs="Arial"/>
          <w:szCs w:val="20"/>
          <w:lang w:eastAsia="sl-SI"/>
        </w:rPr>
        <w:t xml:space="preserve"> tudi podrobnejši načrt izboljšanja kompetenc (bodisi preko usposabljanj, pomoči/svetovanja na terenu ipd.) glede na specifike potreb pos</w:t>
      </w:r>
      <w:r w:rsidR="00131A22" w:rsidRPr="00DE0083">
        <w:rPr>
          <w:rFonts w:cs="Arial"/>
          <w:szCs w:val="20"/>
          <w:lang w:eastAsia="sl-SI"/>
        </w:rPr>
        <w:t xml:space="preserve">ameznih upravičencev. MIZŠ je </w:t>
      </w:r>
      <w:r w:rsidRPr="00DE0083">
        <w:rPr>
          <w:rFonts w:cs="Arial"/>
          <w:szCs w:val="20"/>
          <w:lang w:eastAsia="sl-SI"/>
        </w:rPr>
        <w:t>marc</w:t>
      </w:r>
      <w:r w:rsidR="00131A22" w:rsidRPr="00DE0083">
        <w:rPr>
          <w:rFonts w:cs="Arial"/>
          <w:szCs w:val="20"/>
          <w:lang w:eastAsia="sl-SI"/>
        </w:rPr>
        <w:t>a</w:t>
      </w:r>
      <w:r w:rsidRPr="00DE0083">
        <w:rPr>
          <w:rFonts w:cs="Arial"/>
          <w:szCs w:val="20"/>
          <w:lang w:eastAsia="sl-SI"/>
        </w:rPr>
        <w:t xml:space="preserve"> 2019 izvedl</w:t>
      </w:r>
      <w:r w:rsidR="00131A22" w:rsidRPr="00DE0083">
        <w:rPr>
          <w:rFonts w:cs="Arial"/>
          <w:szCs w:val="20"/>
          <w:lang w:eastAsia="sl-SI"/>
        </w:rPr>
        <w:t>o</w:t>
      </w:r>
      <w:r w:rsidRPr="00DE0083">
        <w:rPr>
          <w:rFonts w:cs="Arial"/>
          <w:szCs w:val="20"/>
          <w:lang w:eastAsia="sl-SI"/>
        </w:rPr>
        <w:t xml:space="preserve"> dve usposabljanji za upravičence glede izvajanja postopkov javnega naročanja ter spremljanja in evidentiranja knjigovodskih evidenc. Prav tako so se marca začeli izvajati dodatni pregledi operacij na terenu, ki so namenjeni predvsem celoviti in pravočasni podpori ter zagotavljanju jasnih navodil in usmeritev zaradi različnih dilem in odprtih vprašanj s strani upravičencev in se bodo nadaljevali tekom leta. </w:t>
      </w:r>
      <w:r w:rsidR="00131A22" w:rsidRPr="00DE0083">
        <w:rPr>
          <w:rFonts w:cs="Arial"/>
          <w:szCs w:val="20"/>
          <w:lang w:eastAsia="sl-SI"/>
        </w:rPr>
        <w:t xml:space="preserve">MDDSZ kontinuirano izvaja </w:t>
      </w:r>
      <w:r w:rsidRPr="00DE0083">
        <w:rPr>
          <w:rFonts w:cs="Arial"/>
          <w:szCs w:val="20"/>
          <w:lang w:eastAsia="sl-SI"/>
        </w:rPr>
        <w:t>usposabljanja, ki prispevajo k izboljšanju kompetenc za izvajanje operacij kot tudi za uspešno delo v IS eMA in sicer za vse novo izbrane</w:t>
      </w:r>
      <w:r w:rsidRPr="00131A22">
        <w:rPr>
          <w:rFonts w:ascii="Calibri" w:hAnsi="Calibri" w:cs="Calibri"/>
          <w:sz w:val="24"/>
          <w:lang w:eastAsia="sl-SI"/>
        </w:rPr>
        <w:t xml:space="preserve"> </w:t>
      </w:r>
      <w:r w:rsidRPr="00DE0083">
        <w:rPr>
          <w:rFonts w:cs="Arial"/>
          <w:szCs w:val="20"/>
          <w:lang w:eastAsia="sl-SI"/>
        </w:rPr>
        <w:t xml:space="preserve">upravičence. </w:t>
      </w:r>
    </w:p>
    <w:p w:rsidR="00070BBB" w:rsidRDefault="00070BBB" w:rsidP="00131A22">
      <w:pPr>
        <w:autoSpaceDE w:val="0"/>
        <w:autoSpaceDN w:val="0"/>
        <w:adjustRightInd w:val="0"/>
        <w:spacing w:line="240" w:lineRule="auto"/>
        <w:jc w:val="both"/>
        <w:rPr>
          <w:rFonts w:cs="Arial"/>
          <w:szCs w:val="20"/>
          <w:lang w:eastAsia="sl-SI"/>
        </w:rPr>
      </w:pPr>
      <w:r w:rsidRPr="00DE0083">
        <w:rPr>
          <w:rFonts w:cs="Arial"/>
          <w:szCs w:val="20"/>
          <w:lang w:eastAsia="sl-SI"/>
        </w:rPr>
        <w:lastRenderedPageBreak/>
        <w:t>(i</w:t>
      </w:r>
      <w:r w:rsidR="00131A22" w:rsidRPr="00DE0083">
        <w:rPr>
          <w:rFonts w:cs="Arial"/>
          <w:szCs w:val="20"/>
          <w:lang w:eastAsia="sl-SI"/>
        </w:rPr>
        <w:t>ii) V izvajanju: z</w:t>
      </w:r>
      <w:r w:rsidRPr="00DE0083">
        <w:rPr>
          <w:rFonts w:cs="Arial"/>
          <w:szCs w:val="20"/>
          <w:lang w:eastAsia="sl-SI"/>
        </w:rPr>
        <w:t>aradi kompleksnosti priprave vlog za izvajanje operacij na PN 9.3 je MDDSZ v zaostanku s pripravo in potrjevanjem vlog na področju deinstuticionalizacije.</w:t>
      </w:r>
    </w:p>
    <w:p w:rsidR="00AA44E1" w:rsidRPr="00DE0083" w:rsidRDefault="00AA44E1" w:rsidP="00131A22">
      <w:pPr>
        <w:autoSpaceDE w:val="0"/>
        <w:autoSpaceDN w:val="0"/>
        <w:adjustRightInd w:val="0"/>
        <w:spacing w:line="240" w:lineRule="auto"/>
        <w:jc w:val="both"/>
        <w:rPr>
          <w:rFonts w:cs="Arial"/>
          <w:szCs w:val="20"/>
          <w:lang w:eastAsia="sl-SI"/>
        </w:rPr>
      </w:pPr>
    </w:p>
    <w:p w:rsidR="00E078C5" w:rsidRDefault="00131A22" w:rsidP="00131A22">
      <w:pPr>
        <w:spacing w:line="240" w:lineRule="auto"/>
        <w:jc w:val="both"/>
        <w:rPr>
          <w:rFonts w:cs="Arial"/>
          <w:szCs w:val="20"/>
          <w:lang w:eastAsia="sl-SI"/>
        </w:rPr>
      </w:pPr>
      <w:r w:rsidRPr="00DE0083">
        <w:rPr>
          <w:rFonts w:cs="Arial"/>
          <w:szCs w:val="20"/>
          <w:lang w:eastAsia="sl-SI"/>
        </w:rPr>
        <w:t>(iv) V izvajanju: t</w:t>
      </w:r>
      <w:r w:rsidR="00070BBB" w:rsidRPr="00DE0083">
        <w:rPr>
          <w:rFonts w:cs="Arial"/>
          <w:szCs w:val="20"/>
          <w:lang w:eastAsia="sl-SI"/>
        </w:rPr>
        <w:t>ekom priprave novih vlog za odločitev o podpori se pripravljajo tudi metodologije za poenostavljene stroške na podlagi vseh dosedanjih izkušenj.</w:t>
      </w:r>
    </w:p>
    <w:p w:rsidR="00AA44E1" w:rsidRDefault="00AA44E1">
      <w:pPr>
        <w:spacing w:line="240" w:lineRule="auto"/>
        <w:rPr>
          <w:rFonts w:cs="Arial"/>
          <w:szCs w:val="20"/>
          <w:highlight w:val="yellow"/>
        </w:rPr>
      </w:pPr>
      <w:r>
        <w:rPr>
          <w:rFonts w:cs="Arial"/>
          <w:szCs w:val="20"/>
          <w:highlight w:val="yellow"/>
        </w:rPr>
        <w:br w:type="page"/>
      </w:r>
    </w:p>
    <w:p w:rsidR="009B7BE9" w:rsidRPr="000A6942" w:rsidRDefault="009B7BE9" w:rsidP="009B7BE9">
      <w:pPr>
        <w:keepNext/>
        <w:keepLines/>
        <w:spacing w:before="40" w:line="259" w:lineRule="auto"/>
        <w:outlineLvl w:val="2"/>
        <w:rPr>
          <w:rFonts w:cs="Arial"/>
          <w:b/>
          <w:color w:val="0070C0"/>
          <w:szCs w:val="20"/>
        </w:rPr>
      </w:pPr>
      <w:bookmarkStart w:id="47" w:name="_Toc530560455"/>
      <w:bookmarkStart w:id="48" w:name="_Toc6992301"/>
      <w:r w:rsidRPr="000A6942">
        <w:rPr>
          <w:rFonts w:cs="Arial"/>
          <w:b/>
          <w:color w:val="0070C0"/>
          <w:szCs w:val="20"/>
        </w:rPr>
        <w:lastRenderedPageBreak/>
        <w:t>Prednostna os 10: Naložbe v izobraževanje, usposabljanje in vseživljenjsko učenje</w:t>
      </w:r>
      <w:bookmarkEnd w:id="47"/>
      <w:r w:rsidRPr="000A6942">
        <w:rPr>
          <w:rFonts w:cs="Arial"/>
          <w:b/>
          <w:color w:val="0070C0"/>
          <w:szCs w:val="20"/>
        </w:rPr>
        <w:t xml:space="preserve"> (v EUR)</w:t>
      </w:r>
      <w:bookmarkEnd w:id="48"/>
    </w:p>
    <w:p w:rsidR="009B7BE9" w:rsidRPr="009B7BE9" w:rsidRDefault="009B7BE9" w:rsidP="009B7BE9">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6716"/>
        <w:gridCol w:w="4613"/>
        <w:gridCol w:w="1813"/>
        <w:gridCol w:w="1644"/>
      </w:tblGrid>
      <w:tr w:rsidR="003B43F9" w:rsidRPr="00D16C0A" w:rsidTr="00D61847">
        <w:tc>
          <w:tcPr>
            <w:tcW w:w="2271"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560"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613"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55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D61847">
        <w:trPr>
          <w:trHeight w:val="1658"/>
        </w:trPr>
        <w:tc>
          <w:tcPr>
            <w:tcW w:w="2271" w:type="pct"/>
          </w:tcPr>
          <w:p w:rsidR="003B43F9" w:rsidRPr="009B7BE9" w:rsidRDefault="003B43F9" w:rsidP="009B7BE9">
            <w:pPr>
              <w:spacing w:line="240" w:lineRule="auto"/>
              <w:rPr>
                <w:rFonts w:cs="Arial"/>
                <w:i/>
                <w:sz w:val="20"/>
                <w:szCs w:val="20"/>
              </w:rPr>
            </w:pPr>
            <w:r w:rsidRPr="009B7BE9">
              <w:rPr>
                <w:rFonts w:cs="Arial"/>
                <w:i/>
                <w:sz w:val="20"/>
                <w:szCs w:val="20"/>
              </w:rPr>
              <w:t>V izvajanju 10.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bil ugotovljen zamik začetka izvajanja zaradi izvajanja ukrepanja predhodnega programskega obdobja,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 xml:space="preserve">na področju ukrepanja ESS je celovito upravljanje izvajanja prednostne osi zelo težavno, saj vključuje niz raznovrstnih vsebin in njihovih nosilcev, </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je načrtovanje operacij ali javnih razpisov predolgo trajalo (zahtevno medsebojno usklajevanje med različnimi deležniki),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ESS vključevanje novih vrst upravičencev v okvir izvajanja OP</w:t>
            </w:r>
            <w:r>
              <w:rPr>
                <w:rFonts w:cs="Arial"/>
                <w:i/>
                <w:sz w:val="20"/>
                <w:szCs w:val="20"/>
              </w:rPr>
              <w:t xml:space="preserve"> EKP</w:t>
            </w:r>
            <w:r w:rsidRPr="009B7BE9">
              <w:rPr>
                <w:rFonts w:cs="Arial"/>
                <w:i/>
                <w:sz w:val="20"/>
                <w:szCs w:val="20"/>
              </w:rPr>
              <w:t xml:space="preserve"> pomeni večja tveganja zaradi manjših kompetenc,</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na področju ukrepanja ESRR administrativne težave pri izvajanju operacije (razdrobljenost velikega števila ciljnih skupin in možne zamude).</w:t>
            </w:r>
          </w:p>
          <w:p w:rsidR="003B43F9" w:rsidRPr="009B7BE9" w:rsidRDefault="003B43F9" w:rsidP="009B7BE9">
            <w:pPr>
              <w:spacing w:line="240" w:lineRule="auto"/>
              <w:rPr>
                <w:rFonts w:cs="Arial"/>
                <w:i/>
                <w:sz w:val="20"/>
                <w:szCs w:val="20"/>
              </w:rPr>
            </w:pPr>
          </w:p>
        </w:tc>
        <w:tc>
          <w:tcPr>
            <w:tcW w:w="1560"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2"/>
              </w:numPr>
              <w:spacing w:line="240" w:lineRule="auto"/>
              <w:ind w:left="861"/>
              <w:contextualSpacing/>
              <w:rPr>
                <w:rFonts w:cs="Arial"/>
                <w:i/>
                <w:sz w:val="20"/>
                <w:szCs w:val="20"/>
              </w:rPr>
            </w:pPr>
            <w:r w:rsidRPr="009B7BE9">
              <w:rPr>
                <w:rFonts w:cs="Arial"/>
                <w:i/>
                <w:sz w:val="20"/>
                <w:szCs w:val="20"/>
              </w:rPr>
              <w:t>usposabljanja za izboljšanje kompetenc upravičencev za izvajanje operacij,</w:t>
            </w:r>
          </w:p>
          <w:p w:rsidR="003B43F9" w:rsidRPr="009B7BE9" w:rsidRDefault="003B43F9" w:rsidP="009B7BE9">
            <w:pPr>
              <w:spacing w:line="240" w:lineRule="auto"/>
              <w:ind w:left="750"/>
              <w:contextualSpacing/>
              <w:rPr>
                <w:rFonts w:cs="Arial"/>
                <w:i/>
                <w:sz w:val="20"/>
                <w:szCs w:val="20"/>
              </w:rPr>
            </w:pPr>
          </w:p>
          <w:p w:rsidR="003B43F9" w:rsidRPr="009B7BE9" w:rsidRDefault="003B43F9" w:rsidP="00D16C0A">
            <w:pPr>
              <w:numPr>
                <w:ilvl w:val="0"/>
                <w:numId w:val="22"/>
              </w:numPr>
              <w:spacing w:line="240" w:lineRule="auto"/>
              <w:ind w:left="861"/>
              <w:contextualSpacing/>
              <w:rPr>
                <w:rFonts w:cs="Arial"/>
                <w:i/>
                <w:sz w:val="20"/>
                <w:szCs w:val="20"/>
              </w:rPr>
            </w:pPr>
            <w:r w:rsidRPr="009B7BE9">
              <w:rPr>
                <w:rFonts w:cs="Arial"/>
                <w:i/>
                <w:sz w:val="20"/>
                <w:szCs w:val="20"/>
              </w:rPr>
              <w:t>pospešitev izvajanja operacije na področju informacijsko-komunikacijske tehnologije v vzgojno-izobraževalnih zavodih (ESRR).</w:t>
            </w:r>
          </w:p>
          <w:p w:rsidR="003B43F9" w:rsidRPr="009B7BE9" w:rsidRDefault="003B43F9" w:rsidP="009B7BE9">
            <w:pPr>
              <w:spacing w:line="240" w:lineRule="auto"/>
              <w:ind w:left="30"/>
              <w:rPr>
                <w:rFonts w:cs="Arial"/>
                <w:i/>
                <w:sz w:val="20"/>
                <w:szCs w:val="20"/>
              </w:rPr>
            </w:pPr>
          </w:p>
        </w:tc>
        <w:tc>
          <w:tcPr>
            <w:tcW w:w="613"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MIZŠ, MDDSZ MK in OU</w:t>
            </w:r>
          </w:p>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MIZŠ</w:t>
            </w:r>
          </w:p>
          <w:p w:rsidR="003B43F9" w:rsidRPr="009B7BE9" w:rsidRDefault="003B43F9" w:rsidP="009B7BE9">
            <w:pPr>
              <w:spacing w:line="240" w:lineRule="auto"/>
              <w:jc w:val="center"/>
              <w:rPr>
                <w:rFonts w:cs="Arial"/>
                <w:i/>
                <w:sz w:val="20"/>
                <w:szCs w:val="20"/>
              </w:rPr>
            </w:pPr>
            <w:r w:rsidRPr="009B7BE9">
              <w:rPr>
                <w:rFonts w:cs="Arial"/>
                <w:i/>
                <w:sz w:val="20"/>
                <w:szCs w:val="20"/>
              </w:rPr>
              <w:t>(ARNES)</w:t>
            </w:r>
          </w:p>
          <w:p w:rsidR="003B43F9" w:rsidRPr="009B7BE9" w:rsidRDefault="003B43F9" w:rsidP="009B7BE9">
            <w:pPr>
              <w:spacing w:line="240" w:lineRule="auto"/>
              <w:jc w:val="center"/>
              <w:rPr>
                <w:rFonts w:cs="Arial"/>
                <w:i/>
                <w:sz w:val="20"/>
                <w:szCs w:val="20"/>
              </w:rPr>
            </w:pPr>
          </w:p>
        </w:tc>
        <w:tc>
          <w:tcPr>
            <w:tcW w:w="556" w:type="pct"/>
          </w:tcPr>
          <w:p w:rsidR="003B43F9" w:rsidRDefault="003B43F9" w:rsidP="009B7BE9">
            <w:pPr>
              <w:spacing w:line="240" w:lineRule="auto"/>
              <w:contextualSpacing/>
              <w:jc w:val="center"/>
              <w:rPr>
                <w:rFonts w:cs="Arial"/>
                <w:i/>
                <w:sz w:val="20"/>
                <w:szCs w:val="20"/>
              </w:rPr>
            </w:pPr>
          </w:p>
          <w:p w:rsidR="003B43F9" w:rsidRPr="008A5E5C" w:rsidRDefault="003B43F9" w:rsidP="009B7BE9">
            <w:pPr>
              <w:spacing w:line="240" w:lineRule="auto"/>
              <w:contextualSpacing/>
              <w:jc w:val="center"/>
              <w:rPr>
                <w:rFonts w:cs="Arial"/>
                <w:i/>
                <w:sz w:val="20"/>
                <w:szCs w:val="20"/>
              </w:rPr>
            </w:pPr>
            <w:r w:rsidRPr="008A5E5C">
              <w:rPr>
                <w:rFonts w:cs="Arial"/>
                <w:i/>
                <w:sz w:val="20"/>
                <w:szCs w:val="20"/>
              </w:rPr>
              <w:t>1. četrtletje 2019</w:t>
            </w:r>
          </w:p>
          <w:p w:rsidR="003B43F9" w:rsidRPr="008A5E5C" w:rsidRDefault="003B43F9" w:rsidP="009B7BE9">
            <w:pPr>
              <w:spacing w:line="240" w:lineRule="auto"/>
              <w:contextualSpacing/>
              <w:jc w:val="center"/>
              <w:rPr>
                <w:rFonts w:cs="Arial"/>
                <w:i/>
                <w:sz w:val="20"/>
                <w:szCs w:val="20"/>
              </w:rPr>
            </w:pPr>
          </w:p>
          <w:p w:rsidR="003B43F9" w:rsidRPr="008A5E5C" w:rsidRDefault="00970F96" w:rsidP="009B7BE9">
            <w:pPr>
              <w:spacing w:line="240" w:lineRule="auto"/>
              <w:contextualSpacing/>
              <w:jc w:val="center"/>
              <w:rPr>
                <w:rFonts w:cs="Arial"/>
                <w:i/>
                <w:sz w:val="20"/>
                <w:szCs w:val="20"/>
              </w:rPr>
            </w:pPr>
            <w:r w:rsidRPr="008A5E5C">
              <w:rPr>
                <w:rFonts w:cs="Arial"/>
                <w:i/>
                <w:sz w:val="20"/>
                <w:szCs w:val="20"/>
              </w:rPr>
              <w:t>t</w:t>
            </w:r>
            <w:r w:rsidR="003B43F9" w:rsidRPr="008A5E5C">
              <w:rPr>
                <w:rFonts w:cs="Arial"/>
                <w:i/>
                <w:sz w:val="20"/>
                <w:szCs w:val="20"/>
              </w:rPr>
              <w:t>rajno</w:t>
            </w:r>
          </w:p>
          <w:p w:rsidR="003B43F9" w:rsidRPr="009B7BE9" w:rsidRDefault="003B43F9" w:rsidP="009B7BE9">
            <w:pPr>
              <w:spacing w:line="240" w:lineRule="auto"/>
              <w:contextualSpacing/>
              <w:jc w:val="center"/>
              <w:rPr>
                <w:rFonts w:cs="Arial"/>
                <w:i/>
                <w:sz w:val="20"/>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F667E4" w:rsidRPr="00F667E4" w:rsidRDefault="00F667E4" w:rsidP="00253D8E">
      <w:pPr>
        <w:spacing w:line="240" w:lineRule="auto"/>
        <w:jc w:val="both"/>
        <w:rPr>
          <w:rFonts w:cs="Arial"/>
          <w:szCs w:val="20"/>
        </w:rPr>
      </w:pPr>
      <w:r w:rsidRPr="00F667E4">
        <w:rPr>
          <w:rFonts w:cs="Arial"/>
          <w:szCs w:val="20"/>
        </w:rPr>
        <w:t>(i) Realizirano: MIZŠ je izvedlo anketo o zadovoljstvu upravičencev, na podlagi katere je pripravilo tudi podrobnejši načrt izboljšanja kompetenc (bodisi preko usposabljanj, pomoči/svetovanja na terenu ipd.) glede na specifike potreb posameznih upravičencev.</w:t>
      </w:r>
      <w:r>
        <w:rPr>
          <w:rFonts w:cs="Arial"/>
          <w:szCs w:val="20"/>
        </w:rPr>
        <w:t xml:space="preserve"> MIZŠ je </w:t>
      </w:r>
      <w:r w:rsidRPr="00F667E4">
        <w:rPr>
          <w:rFonts w:cs="Arial"/>
          <w:szCs w:val="20"/>
        </w:rPr>
        <w:t>marc</w:t>
      </w:r>
      <w:r>
        <w:rPr>
          <w:rFonts w:cs="Arial"/>
          <w:szCs w:val="20"/>
        </w:rPr>
        <w:t>a</w:t>
      </w:r>
      <w:r w:rsidRPr="00F667E4">
        <w:rPr>
          <w:rFonts w:cs="Arial"/>
          <w:szCs w:val="20"/>
        </w:rPr>
        <w:t xml:space="preserve"> 2019 izvedl</w:t>
      </w:r>
      <w:r>
        <w:rPr>
          <w:rFonts w:cs="Arial"/>
          <w:szCs w:val="20"/>
        </w:rPr>
        <w:t>o</w:t>
      </w:r>
      <w:r w:rsidRPr="00F667E4">
        <w:rPr>
          <w:rFonts w:cs="Arial"/>
          <w:szCs w:val="20"/>
        </w:rPr>
        <w:t xml:space="preserve"> dve usposabljanji za upravičence glede izvajanja postopkov javnega naročanja ter spremljanja in evidentiranja knjigovodskih evidenc. Prav tako so se marca začeli izvajati dodatni pregledi operacij na terenu, ki so namenjeni predvsem celoviti in pravočasni podpori ter zagotavljanju jasnih navodil in usmeritev zaradi različnih dilem in odprtih vprašanj s strani upravičencev in se bodo nadaljevali tekom leta. </w:t>
      </w:r>
      <w:r w:rsidR="006A3C22">
        <w:rPr>
          <w:rFonts w:cs="Arial"/>
          <w:szCs w:val="20"/>
        </w:rPr>
        <w:t>MDDSZ je v stalnem</w:t>
      </w:r>
      <w:r w:rsidR="002D6BC8">
        <w:rPr>
          <w:rFonts w:cs="Arial"/>
          <w:szCs w:val="20"/>
        </w:rPr>
        <w:t xml:space="preserve"> kontaktu z izvajalci programov in izvaja tako usposabljanja, ki prispevajo k izboljšanju kompetenc za izvajanje operacij kot tudi za uspešno delo v IS eMA.</w:t>
      </w:r>
    </w:p>
    <w:p w:rsidR="008A5E5C" w:rsidRPr="000B5A17" w:rsidRDefault="008A5E5C" w:rsidP="00253D8E">
      <w:pPr>
        <w:jc w:val="both"/>
        <w:rPr>
          <w:rFonts w:cs="Arial"/>
          <w:szCs w:val="20"/>
        </w:rPr>
      </w:pPr>
      <w:r w:rsidRPr="000B5A17">
        <w:rPr>
          <w:rFonts w:cs="Arial"/>
          <w:szCs w:val="20"/>
        </w:rPr>
        <w:t>(ii)</w:t>
      </w:r>
      <w:r w:rsidR="00253D8E">
        <w:rPr>
          <w:rFonts w:cs="Arial"/>
          <w:szCs w:val="20"/>
        </w:rPr>
        <w:t xml:space="preserve"> </w:t>
      </w:r>
      <w:r w:rsidRPr="000B5A17">
        <w:rPr>
          <w:rFonts w:cs="Arial"/>
          <w:szCs w:val="20"/>
        </w:rPr>
        <w:t xml:space="preserve">V okviru programa </w:t>
      </w:r>
      <w:r w:rsidRPr="000B5A17">
        <w:rPr>
          <w:rFonts w:cs="Arial"/>
          <w:i/>
          <w:szCs w:val="20"/>
        </w:rPr>
        <w:t>Nadaljnje vzpostavitve IKT</w:t>
      </w:r>
      <w:r w:rsidRPr="000B5A17">
        <w:rPr>
          <w:rFonts w:cs="Arial"/>
          <w:szCs w:val="20"/>
        </w:rPr>
        <w:t>-infrastrukture v vzgoji in izobraževanju, sofinancirano iz ESRR, so se do sedaj izvedle 3 dejavnosti in sicer je bilo na vzgojno-izobraževalne zavode dobavljenih 20.356 kosov opreme (namizni, prenosni, tablični računalniki, monitorji projektorji), zgrajena so bila brezžična omrežja na 410 lokacijah vzgojno-izobraževalnih zavodov ter potekal je razvoj, nadgradnja in zagotavljanje delovanja e-storitev in e-vsebin (število e-storitev 4 (2 končan</w:t>
      </w:r>
      <w:r w:rsidR="000B5A17" w:rsidRPr="000B5A17">
        <w:rPr>
          <w:rFonts w:cs="Arial"/>
          <w:szCs w:val="20"/>
        </w:rPr>
        <w:t>i</w:t>
      </w:r>
      <w:r w:rsidRPr="000B5A17">
        <w:rPr>
          <w:rFonts w:cs="Arial"/>
          <w:szCs w:val="20"/>
        </w:rPr>
        <w:t>, 2 v izdelavi), število e-vsebin</w:t>
      </w:r>
      <w:r w:rsidR="00253D8E">
        <w:rPr>
          <w:rFonts w:cs="Arial"/>
          <w:szCs w:val="20"/>
        </w:rPr>
        <w:t>:</w:t>
      </w:r>
      <w:r w:rsidRPr="000B5A17">
        <w:rPr>
          <w:rFonts w:cs="Arial"/>
          <w:szCs w:val="20"/>
        </w:rPr>
        <w:t xml:space="preserve"> 12 končanih).</w:t>
      </w:r>
      <w:r w:rsidR="00F667E4">
        <w:rPr>
          <w:rFonts w:cs="Arial"/>
          <w:szCs w:val="20"/>
        </w:rPr>
        <w:t xml:space="preserve"> Večjih zaostankov in zamud ni.</w:t>
      </w:r>
    </w:p>
    <w:p w:rsidR="008A5E5C" w:rsidRDefault="008A5E5C" w:rsidP="003B43F9">
      <w:pPr>
        <w:rPr>
          <w:rFonts w:cs="Arial"/>
          <w:color w:val="0070C0"/>
          <w:szCs w:val="20"/>
          <w:highlight w:val="green"/>
        </w:rPr>
      </w:pPr>
    </w:p>
    <w:p w:rsidR="003B43F9" w:rsidRDefault="003B43F9">
      <w:pPr>
        <w:spacing w:line="240" w:lineRule="auto"/>
        <w:rPr>
          <w:rFonts w:cs="Arial"/>
          <w:b/>
          <w:color w:val="0070C0"/>
          <w:szCs w:val="20"/>
        </w:rPr>
      </w:pPr>
      <w:bookmarkStart w:id="49" w:name="_Toc530560456"/>
      <w:r>
        <w:rPr>
          <w:rFonts w:cs="Arial"/>
          <w:b/>
          <w:color w:val="0070C0"/>
          <w:szCs w:val="20"/>
        </w:rPr>
        <w:br w:type="page"/>
      </w:r>
    </w:p>
    <w:p w:rsidR="009B7BE9" w:rsidRPr="000A6942" w:rsidRDefault="009B7BE9" w:rsidP="009B7BE9">
      <w:pPr>
        <w:keepNext/>
        <w:keepLines/>
        <w:spacing w:before="40" w:line="259" w:lineRule="auto"/>
        <w:outlineLvl w:val="2"/>
        <w:rPr>
          <w:rFonts w:cs="Arial"/>
          <w:b/>
          <w:color w:val="0070C0"/>
          <w:szCs w:val="20"/>
        </w:rPr>
      </w:pPr>
      <w:bookmarkStart w:id="50" w:name="_Toc6992302"/>
      <w:r w:rsidRPr="000A6942">
        <w:rPr>
          <w:rFonts w:cs="Arial"/>
          <w:b/>
          <w:color w:val="0070C0"/>
          <w:szCs w:val="20"/>
        </w:rPr>
        <w:lastRenderedPageBreak/>
        <w:t>Prednostna os 11: Izboljšanje učinkovitosti javne uprave</w:t>
      </w:r>
      <w:bookmarkEnd w:id="49"/>
      <w:r w:rsidRPr="000A6942">
        <w:rPr>
          <w:rFonts w:cs="Arial"/>
          <w:b/>
          <w:color w:val="0070C0"/>
          <w:szCs w:val="20"/>
        </w:rPr>
        <w:t xml:space="preserve"> (v EUR)</w:t>
      </w:r>
      <w:bookmarkEnd w:id="50"/>
    </w:p>
    <w:p w:rsidR="009B7BE9" w:rsidRPr="009B7BE9" w:rsidRDefault="009B7BE9" w:rsidP="009B7BE9">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5764"/>
        <w:gridCol w:w="4513"/>
        <w:gridCol w:w="1934"/>
        <w:gridCol w:w="1289"/>
        <w:gridCol w:w="1286"/>
      </w:tblGrid>
      <w:tr w:rsidR="003B43F9" w:rsidRPr="00D16C0A" w:rsidTr="00D61847">
        <w:tc>
          <w:tcPr>
            <w:tcW w:w="1949"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52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654"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43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c>
          <w:tcPr>
            <w:tcW w:w="435"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Tveganja za izvedbo rešitve</w:t>
            </w:r>
          </w:p>
        </w:tc>
      </w:tr>
      <w:tr w:rsidR="003B43F9" w:rsidRPr="009B7BE9" w:rsidTr="00D61847">
        <w:trPr>
          <w:trHeight w:val="1658"/>
        </w:trPr>
        <w:tc>
          <w:tcPr>
            <w:tcW w:w="1949" w:type="pct"/>
          </w:tcPr>
          <w:p w:rsidR="003B43F9" w:rsidRPr="009B7BE9" w:rsidRDefault="003B43F9" w:rsidP="009B7BE9">
            <w:pPr>
              <w:spacing w:line="240" w:lineRule="auto"/>
              <w:rPr>
                <w:rFonts w:cs="Arial"/>
                <w:i/>
                <w:sz w:val="20"/>
                <w:szCs w:val="20"/>
              </w:rPr>
            </w:pPr>
            <w:r w:rsidRPr="009B7BE9">
              <w:rPr>
                <w:rFonts w:cs="Arial"/>
                <w:i/>
                <w:sz w:val="20"/>
                <w:szCs w:val="20"/>
              </w:rPr>
              <w:t>V izvajanju 11. prednostne osi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doseganje okvira uspešnosti zaradi počasnejše dinamike izvajanja operacije učinkovito pravosodje (predvsem zaradi sprememb v centralizaciji informatike na ravni države),</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potencialne zamude pri javnem naročanju,</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počasnejše izvajanje operacij pri upravičencu MF,</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ugotovljen zamik začetka izvajanja, zaradi zamika pri izvedbi javnega razpisa s področja podpor za socialne partnerje.</w:t>
            </w:r>
          </w:p>
        </w:tc>
        <w:tc>
          <w:tcPr>
            <w:tcW w:w="1526" w:type="pct"/>
          </w:tcPr>
          <w:p w:rsidR="003B43F9" w:rsidRPr="009B7BE9" w:rsidRDefault="003B43F9" w:rsidP="009B7BE9">
            <w:pPr>
              <w:spacing w:line="240" w:lineRule="auto"/>
              <w:rPr>
                <w:rFonts w:cs="Arial"/>
                <w:i/>
                <w:sz w:val="20"/>
                <w:szCs w:val="20"/>
              </w:rPr>
            </w:pPr>
            <w:r w:rsidRPr="009B7BE9">
              <w:rPr>
                <w:rFonts w:cs="Arial"/>
                <w:i/>
                <w:sz w:val="20"/>
                <w:szCs w:val="20"/>
              </w:rPr>
              <w:t>Zagotoviti je treba:</w:t>
            </w:r>
          </w:p>
          <w:p w:rsidR="003B43F9" w:rsidRPr="009B7BE9" w:rsidRDefault="003B43F9" w:rsidP="00D16C0A">
            <w:pPr>
              <w:numPr>
                <w:ilvl w:val="0"/>
                <w:numId w:val="23"/>
              </w:numPr>
              <w:spacing w:line="240" w:lineRule="auto"/>
              <w:contextualSpacing/>
              <w:rPr>
                <w:rFonts w:cs="Arial"/>
                <w:i/>
                <w:sz w:val="20"/>
                <w:szCs w:val="20"/>
              </w:rPr>
            </w:pPr>
            <w:r w:rsidRPr="009B7BE9">
              <w:rPr>
                <w:rFonts w:cs="Arial"/>
                <w:i/>
                <w:sz w:val="20"/>
                <w:szCs w:val="20"/>
              </w:rPr>
              <w:t>spremembo OP</w:t>
            </w:r>
            <w:r>
              <w:rPr>
                <w:rFonts w:cs="Arial"/>
                <w:i/>
                <w:sz w:val="20"/>
                <w:szCs w:val="20"/>
              </w:rPr>
              <w:t xml:space="preserve"> EKP</w:t>
            </w:r>
            <w:r w:rsidRPr="009B7BE9">
              <w:rPr>
                <w:rFonts w:cs="Arial"/>
                <w:i/>
                <w:sz w:val="20"/>
                <w:szCs w:val="20"/>
              </w:rPr>
              <w:t>,</w:t>
            </w:r>
          </w:p>
          <w:p w:rsidR="003B43F9" w:rsidRPr="009B7BE9" w:rsidRDefault="003B43F9" w:rsidP="00D16C0A">
            <w:pPr>
              <w:numPr>
                <w:ilvl w:val="0"/>
                <w:numId w:val="23"/>
              </w:numPr>
              <w:spacing w:line="240" w:lineRule="auto"/>
              <w:contextualSpacing/>
              <w:rPr>
                <w:rFonts w:cs="Arial"/>
                <w:i/>
                <w:sz w:val="20"/>
                <w:szCs w:val="20"/>
              </w:rPr>
            </w:pPr>
            <w:r w:rsidRPr="009B7BE9">
              <w:rPr>
                <w:rFonts w:cs="Arial"/>
                <w:i/>
                <w:sz w:val="20"/>
                <w:szCs w:val="20"/>
              </w:rPr>
              <w:t>pospešitve izvajanja operacij, pri katerih upravičenec MF,</w:t>
            </w:r>
          </w:p>
          <w:p w:rsidR="003B43F9" w:rsidRPr="009B7BE9" w:rsidRDefault="003B43F9" w:rsidP="00D16C0A">
            <w:pPr>
              <w:numPr>
                <w:ilvl w:val="0"/>
                <w:numId w:val="23"/>
              </w:numPr>
              <w:rPr>
                <w:rFonts w:cs="Arial"/>
                <w:i/>
                <w:sz w:val="20"/>
                <w:szCs w:val="20"/>
                <w:lang w:eastAsia="sl-SI"/>
              </w:rPr>
            </w:pPr>
            <w:r w:rsidRPr="009B7BE9">
              <w:rPr>
                <w:rFonts w:cs="Arial"/>
                <w:i/>
                <w:sz w:val="20"/>
                <w:szCs w:val="20"/>
                <w:lang w:eastAsia="sl-SI"/>
              </w:rPr>
              <w:t>pospešitev postopkov javnega naročanja,</w:t>
            </w:r>
          </w:p>
          <w:p w:rsidR="003B43F9" w:rsidRPr="009B7BE9" w:rsidRDefault="003B43F9" w:rsidP="009B7BE9">
            <w:pPr>
              <w:spacing w:line="240" w:lineRule="auto"/>
              <w:ind w:left="750"/>
              <w:contextualSpacing/>
              <w:rPr>
                <w:rFonts w:cs="Arial"/>
                <w:i/>
                <w:sz w:val="20"/>
                <w:szCs w:val="20"/>
              </w:rPr>
            </w:pPr>
          </w:p>
          <w:p w:rsidR="003B43F9" w:rsidRPr="009B7BE9" w:rsidRDefault="003B43F9" w:rsidP="00D16C0A">
            <w:pPr>
              <w:numPr>
                <w:ilvl w:val="0"/>
                <w:numId w:val="23"/>
              </w:numPr>
              <w:spacing w:line="240" w:lineRule="auto"/>
              <w:contextualSpacing/>
              <w:rPr>
                <w:rFonts w:cs="Arial"/>
                <w:i/>
                <w:sz w:val="20"/>
                <w:szCs w:val="20"/>
              </w:rPr>
            </w:pPr>
            <w:r w:rsidRPr="009B7BE9">
              <w:rPr>
                <w:rFonts w:cs="Arial"/>
                <w:i/>
                <w:sz w:val="20"/>
                <w:szCs w:val="20"/>
              </w:rPr>
              <w:t>zagotovitev pogojev za izvedbo javnih razpisov v skladu s predvidenimi roki.</w:t>
            </w:r>
          </w:p>
        </w:tc>
        <w:tc>
          <w:tcPr>
            <w:tcW w:w="654"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jc w:val="center"/>
              <w:rPr>
                <w:rFonts w:cs="Arial"/>
                <w:i/>
                <w:sz w:val="20"/>
                <w:szCs w:val="20"/>
              </w:rPr>
            </w:pPr>
            <w:r w:rsidRPr="009B7BE9">
              <w:rPr>
                <w:rFonts w:cs="Arial"/>
                <w:i/>
                <w:sz w:val="20"/>
                <w:szCs w:val="20"/>
              </w:rPr>
              <w:t>MP in OU</w:t>
            </w:r>
          </w:p>
          <w:p w:rsidR="003B43F9" w:rsidRPr="009B7BE9" w:rsidRDefault="003B43F9" w:rsidP="009B7BE9">
            <w:pPr>
              <w:jc w:val="center"/>
              <w:rPr>
                <w:rFonts w:cs="Arial"/>
                <w:i/>
                <w:sz w:val="20"/>
                <w:szCs w:val="20"/>
              </w:rPr>
            </w:pPr>
            <w:r w:rsidRPr="009B7BE9">
              <w:rPr>
                <w:rFonts w:cs="Arial"/>
                <w:i/>
                <w:sz w:val="20"/>
                <w:szCs w:val="20"/>
              </w:rPr>
              <w:t>MJU</w:t>
            </w:r>
          </w:p>
          <w:p w:rsidR="003B43F9" w:rsidRPr="009B7BE9" w:rsidRDefault="003B43F9" w:rsidP="009B7BE9">
            <w:pPr>
              <w:jc w:val="center"/>
              <w:rPr>
                <w:rFonts w:cs="Arial"/>
                <w:i/>
                <w:sz w:val="20"/>
                <w:szCs w:val="20"/>
              </w:rPr>
            </w:pPr>
          </w:p>
          <w:p w:rsidR="003B43F9" w:rsidRPr="009B7BE9" w:rsidRDefault="003B43F9" w:rsidP="009B7BE9">
            <w:pPr>
              <w:jc w:val="center"/>
              <w:rPr>
                <w:rFonts w:cs="Arial"/>
                <w:i/>
                <w:sz w:val="20"/>
                <w:szCs w:val="20"/>
              </w:rPr>
            </w:pPr>
            <w:r w:rsidRPr="009B7BE9">
              <w:rPr>
                <w:rFonts w:cs="Arial"/>
                <w:i/>
                <w:sz w:val="20"/>
                <w:szCs w:val="20"/>
              </w:rPr>
              <w:t>MJU, MP</w:t>
            </w:r>
          </w:p>
          <w:p w:rsidR="003B43F9" w:rsidRPr="009B7BE9" w:rsidRDefault="003B43F9" w:rsidP="009B7BE9">
            <w:pPr>
              <w:jc w:val="center"/>
              <w:rPr>
                <w:rFonts w:cs="Arial"/>
                <w:i/>
                <w:sz w:val="20"/>
                <w:szCs w:val="20"/>
              </w:rPr>
            </w:pPr>
            <w:r w:rsidRPr="009B7BE9">
              <w:rPr>
                <w:rFonts w:cs="Arial"/>
                <w:i/>
                <w:sz w:val="20"/>
                <w:szCs w:val="20"/>
              </w:rPr>
              <w:t>(MF)</w:t>
            </w:r>
          </w:p>
          <w:p w:rsidR="003B43F9" w:rsidRPr="009B7BE9" w:rsidRDefault="003B43F9" w:rsidP="009B7BE9">
            <w:pPr>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MDDSZ</w:t>
            </w:r>
          </w:p>
        </w:tc>
        <w:tc>
          <w:tcPr>
            <w:tcW w:w="436" w:type="pct"/>
          </w:tcPr>
          <w:p w:rsidR="003B43F9" w:rsidRPr="009B7BE9" w:rsidRDefault="003B43F9" w:rsidP="009B7BE9">
            <w:pPr>
              <w:spacing w:line="240" w:lineRule="auto"/>
              <w:rPr>
                <w:rFonts w:cs="Arial"/>
                <w:i/>
                <w:sz w:val="20"/>
                <w:szCs w:val="20"/>
              </w:rPr>
            </w:pPr>
          </w:p>
          <w:p w:rsidR="003B43F9" w:rsidRPr="000B5A17" w:rsidRDefault="00970F96" w:rsidP="009B7BE9">
            <w:pPr>
              <w:spacing w:line="240" w:lineRule="auto"/>
              <w:contextualSpacing/>
              <w:jc w:val="center"/>
              <w:rPr>
                <w:rFonts w:cs="Arial"/>
                <w:i/>
                <w:sz w:val="20"/>
                <w:szCs w:val="20"/>
              </w:rPr>
            </w:pPr>
            <w:r w:rsidRPr="000B5A17">
              <w:rPr>
                <w:rFonts w:cs="Arial"/>
                <w:i/>
                <w:sz w:val="20"/>
                <w:szCs w:val="20"/>
              </w:rPr>
              <w:t>v</w:t>
            </w:r>
            <w:r w:rsidR="003B43F9" w:rsidRPr="000B5A17">
              <w:rPr>
                <w:rFonts w:cs="Arial"/>
                <w:i/>
                <w:sz w:val="20"/>
                <w:szCs w:val="20"/>
              </w:rPr>
              <w:t xml:space="preserve"> izvedbi</w:t>
            </w: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1. četrtletje 2019</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r w:rsidRPr="000B5A17">
              <w:rPr>
                <w:rFonts w:cs="Arial"/>
                <w:i/>
                <w:sz w:val="20"/>
                <w:szCs w:val="20"/>
              </w:rPr>
              <w:t>Trajno</w:t>
            </w:r>
          </w:p>
          <w:p w:rsidR="003B43F9" w:rsidRPr="000B5A17" w:rsidRDefault="003B43F9" w:rsidP="009B7BE9">
            <w:pPr>
              <w:spacing w:line="240" w:lineRule="auto"/>
              <w:contextualSpacing/>
              <w:jc w:val="center"/>
              <w:rPr>
                <w:rFonts w:cs="Arial"/>
                <w:i/>
                <w:sz w:val="20"/>
                <w:szCs w:val="20"/>
              </w:rPr>
            </w:pPr>
          </w:p>
          <w:p w:rsidR="003B43F9" w:rsidRPr="000B5A17" w:rsidRDefault="003B43F9" w:rsidP="009B7BE9">
            <w:pPr>
              <w:spacing w:line="240" w:lineRule="auto"/>
              <w:contextualSpacing/>
              <w:jc w:val="center"/>
              <w:rPr>
                <w:rFonts w:cs="Arial"/>
                <w:i/>
                <w:sz w:val="20"/>
                <w:szCs w:val="20"/>
              </w:rPr>
            </w:pPr>
          </w:p>
          <w:p w:rsidR="003B43F9" w:rsidRPr="009B7BE9" w:rsidRDefault="003B43F9" w:rsidP="009B7BE9">
            <w:pPr>
              <w:spacing w:line="240" w:lineRule="auto"/>
              <w:contextualSpacing/>
              <w:jc w:val="center"/>
              <w:rPr>
                <w:rFonts w:cs="Arial"/>
                <w:i/>
                <w:sz w:val="20"/>
                <w:szCs w:val="20"/>
              </w:rPr>
            </w:pPr>
            <w:r w:rsidRPr="000B5A17">
              <w:rPr>
                <w:rFonts w:cs="Arial"/>
                <w:i/>
                <w:sz w:val="20"/>
                <w:szCs w:val="20"/>
              </w:rPr>
              <w:t>Trajno</w:t>
            </w:r>
          </w:p>
        </w:tc>
        <w:tc>
          <w:tcPr>
            <w:tcW w:w="435" w:type="pct"/>
          </w:tcPr>
          <w:p w:rsidR="003B43F9" w:rsidRPr="009B7BE9" w:rsidRDefault="003B43F9" w:rsidP="009B7BE9">
            <w:pPr>
              <w:spacing w:line="240" w:lineRule="auto"/>
              <w:rPr>
                <w:rFonts w:cs="Arial"/>
                <w:i/>
                <w:sz w:val="20"/>
                <w:szCs w:val="20"/>
              </w:rPr>
            </w:pPr>
          </w:p>
          <w:p w:rsidR="003B43F9" w:rsidRPr="009B7BE9" w:rsidRDefault="003B43F9" w:rsidP="009B7BE9">
            <w:pPr>
              <w:spacing w:line="240" w:lineRule="auto"/>
              <w:rPr>
                <w:rFonts w:cs="Arial"/>
                <w:i/>
                <w:sz w:val="20"/>
                <w:szCs w:val="20"/>
              </w:rPr>
            </w:pPr>
            <w:r w:rsidRPr="00431816">
              <w:rPr>
                <w:rFonts w:cs="Arial"/>
                <w:i/>
                <w:sz w:val="20"/>
                <w:szCs w:val="20"/>
              </w:rPr>
              <w:t>Odločitev EK.</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0B5A17" w:rsidRDefault="000B5A17" w:rsidP="000B5A17">
      <w:pPr>
        <w:spacing w:line="240" w:lineRule="auto"/>
        <w:rPr>
          <w:rFonts w:cs="Arial"/>
          <w:szCs w:val="20"/>
        </w:rPr>
      </w:pPr>
      <w:r>
        <w:rPr>
          <w:rFonts w:cs="Arial"/>
          <w:szCs w:val="20"/>
        </w:rPr>
        <w:t>(i) Izvedeno</w:t>
      </w:r>
    </w:p>
    <w:p w:rsidR="000B5A17" w:rsidRPr="000B5A17" w:rsidRDefault="000B5A17" w:rsidP="000B5A17">
      <w:pPr>
        <w:spacing w:line="240" w:lineRule="auto"/>
        <w:rPr>
          <w:rFonts w:cs="Arial"/>
          <w:szCs w:val="20"/>
        </w:rPr>
      </w:pPr>
      <w:r w:rsidRPr="000B5A17">
        <w:rPr>
          <w:rFonts w:cs="Arial"/>
          <w:szCs w:val="20"/>
        </w:rPr>
        <w:t>(ii)</w:t>
      </w:r>
      <w:r w:rsidR="00253D8E">
        <w:rPr>
          <w:rFonts w:cs="Arial"/>
          <w:szCs w:val="20"/>
        </w:rPr>
        <w:t xml:space="preserve"> </w:t>
      </w:r>
      <w:r w:rsidRPr="000B5A17">
        <w:rPr>
          <w:rFonts w:cs="Arial"/>
          <w:szCs w:val="20"/>
        </w:rPr>
        <w:t>Pri upravičencu se operacije izvajajo skladno s spremenjenimi odločitvami o podpori - vključno s postopki javnega naročanja (MJU – MF)</w:t>
      </w:r>
      <w:r w:rsidR="00253D8E">
        <w:rPr>
          <w:rFonts w:cs="Arial"/>
          <w:szCs w:val="20"/>
        </w:rPr>
        <w:t>.</w:t>
      </w:r>
    </w:p>
    <w:p w:rsidR="000B5A17" w:rsidRPr="000B5A17" w:rsidRDefault="000B5A17" w:rsidP="000B5A17">
      <w:pPr>
        <w:spacing w:line="240" w:lineRule="auto"/>
        <w:rPr>
          <w:rFonts w:cs="Arial"/>
          <w:szCs w:val="20"/>
        </w:rPr>
      </w:pPr>
      <w:r w:rsidRPr="000B5A17">
        <w:rPr>
          <w:rFonts w:cs="Arial"/>
          <w:szCs w:val="20"/>
        </w:rPr>
        <w:t>(iii)</w:t>
      </w:r>
      <w:r w:rsidR="00253D8E">
        <w:rPr>
          <w:rFonts w:cs="Arial"/>
          <w:szCs w:val="20"/>
        </w:rPr>
        <w:t xml:space="preserve"> </w:t>
      </w:r>
      <w:r w:rsidRPr="000B5A17">
        <w:rPr>
          <w:rFonts w:cs="Arial"/>
          <w:szCs w:val="20"/>
        </w:rPr>
        <w:t>Krajšanje možnih rokov za pripravo dokumentacije za oddajo javnih naročil (korekcije terminskih planov podaktivnosti (MP).</w:t>
      </w:r>
    </w:p>
    <w:p w:rsidR="000B5A17" w:rsidRPr="000B5A17" w:rsidRDefault="000B5A17" w:rsidP="000B5A17">
      <w:pPr>
        <w:spacing w:line="240" w:lineRule="auto"/>
        <w:rPr>
          <w:rFonts w:cs="Arial"/>
          <w:szCs w:val="20"/>
        </w:rPr>
      </w:pPr>
      <w:r w:rsidRPr="000B5A17">
        <w:rPr>
          <w:rFonts w:cs="Arial"/>
          <w:szCs w:val="20"/>
        </w:rPr>
        <w:t>(iv)</w:t>
      </w:r>
      <w:r w:rsidR="00253D8E">
        <w:rPr>
          <w:rFonts w:cs="Arial"/>
          <w:szCs w:val="20"/>
        </w:rPr>
        <w:t xml:space="preserve"> </w:t>
      </w:r>
      <w:r w:rsidRPr="000B5A17">
        <w:rPr>
          <w:rFonts w:cs="Arial"/>
          <w:szCs w:val="20"/>
        </w:rPr>
        <w:t>V okviru JR za socialne partnerje se predvideva v letu 2019 dodatni JR (MDDSZ)</w:t>
      </w:r>
      <w:r>
        <w:rPr>
          <w:rFonts w:cs="Arial"/>
          <w:szCs w:val="20"/>
        </w:rPr>
        <w:t>.</w:t>
      </w:r>
    </w:p>
    <w:p w:rsidR="003B43F9" w:rsidRDefault="003B43F9">
      <w:pPr>
        <w:spacing w:line="240" w:lineRule="auto"/>
        <w:rPr>
          <w:rFonts w:cs="Arial"/>
          <w:b/>
          <w:color w:val="0070C0"/>
          <w:szCs w:val="20"/>
        </w:rPr>
      </w:pPr>
      <w:bookmarkStart w:id="51" w:name="_Toc530560457"/>
      <w:r>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52" w:name="_Toc6992303"/>
      <w:r w:rsidRPr="000A6942">
        <w:rPr>
          <w:rFonts w:cs="Arial"/>
          <w:b/>
          <w:color w:val="0070C0"/>
          <w:szCs w:val="20"/>
        </w:rPr>
        <w:lastRenderedPageBreak/>
        <w:t>Tehnična podpora</w:t>
      </w:r>
      <w:bookmarkEnd w:id="51"/>
      <w:r w:rsidRPr="000A6942">
        <w:rPr>
          <w:rFonts w:cs="Arial"/>
          <w:b/>
          <w:color w:val="0070C0"/>
          <w:szCs w:val="20"/>
        </w:rPr>
        <w:t xml:space="preserve"> (v EUR)</w:t>
      </w:r>
      <w:bookmarkEnd w:id="52"/>
    </w:p>
    <w:p w:rsidR="009B7BE9" w:rsidRPr="009B7BE9" w:rsidRDefault="009B7BE9" w:rsidP="009B7BE9">
      <w:pPr>
        <w:spacing w:after="160" w:line="259" w:lineRule="auto"/>
        <w:jc w:val="center"/>
        <w:rPr>
          <w:rFonts w:eastAsia="Calibri" w:cs="Arial"/>
          <w:b/>
          <w:szCs w:val="20"/>
        </w:rPr>
      </w:pPr>
    </w:p>
    <w:tbl>
      <w:tblPr>
        <w:tblStyle w:val="Tabelamrea3"/>
        <w:tblW w:w="5000" w:type="pct"/>
        <w:tblLook w:val="04A0" w:firstRow="1" w:lastRow="0" w:firstColumn="1" w:lastColumn="0" w:noHBand="0" w:noVBand="1"/>
      </w:tblPr>
      <w:tblGrid>
        <w:gridCol w:w="8330"/>
        <w:gridCol w:w="3649"/>
        <w:gridCol w:w="1340"/>
        <w:gridCol w:w="1467"/>
      </w:tblGrid>
      <w:tr w:rsidR="003B43F9" w:rsidRPr="00D16C0A" w:rsidTr="003B43F9">
        <w:tc>
          <w:tcPr>
            <w:tcW w:w="2817"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Težave</w:t>
            </w:r>
          </w:p>
        </w:tc>
        <w:tc>
          <w:tcPr>
            <w:tcW w:w="1234"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Rešitve</w:t>
            </w:r>
          </w:p>
        </w:tc>
        <w:tc>
          <w:tcPr>
            <w:tcW w:w="453"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Nosilec</w:t>
            </w:r>
          </w:p>
        </w:tc>
        <w:tc>
          <w:tcPr>
            <w:tcW w:w="496" w:type="pct"/>
            <w:shd w:val="clear" w:color="auto" w:fill="F2F2F2" w:themeFill="background1" w:themeFillShade="F2"/>
            <w:vAlign w:val="center"/>
          </w:tcPr>
          <w:p w:rsidR="003B43F9" w:rsidRPr="00D16C0A" w:rsidRDefault="003B43F9" w:rsidP="009B7BE9">
            <w:pPr>
              <w:spacing w:line="240" w:lineRule="auto"/>
              <w:jc w:val="center"/>
              <w:rPr>
                <w:rFonts w:cs="Arial"/>
                <w:b/>
                <w:sz w:val="20"/>
                <w:szCs w:val="20"/>
              </w:rPr>
            </w:pPr>
            <w:r w:rsidRPr="00D16C0A">
              <w:rPr>
                <w:rFonts w:cs="Arial"/>
                <w:b/>
                <w:sz w:val="20"/>
                <w:szCs w:val="20"/>
              </w:rPr>
              <w:t>Rok</w:t>
            </w:r>
          </w:p>
        </w:tc>
      </w:tr>
      <w:tr w:rsidR="003B43F9" w:rsidRPr="009B7BE9" w:rsidTr="003B43F9">
        <w:trPr>
          <w:trHeight w:val="1658"/>
        </w:trPr>
        <w:tc>
          <w:tcPr>
            <w:tcW w:w="2817" w:type="pct"/>
          </w:tcPr>
          <w:p w:rsidR="003B43F9" w:rsidRPr="009B7BE9" w:rsidRDefault="003B43F9" w:rsidP="009B7BE9">
            <w:pPr>
              <w:spacing w:line="240" w:lineRule="auto"/>
              <w:rPr>
                <w:rFonts w:cs="Arial"/>
                <w:i/>
                <w:sz w:val="20"/>
                <w:szCs w:val="20"/>
              </w:rPr>
            </w:pPr>
            <w:r w:rsidRPr="009B7BE9">
              <w:rPr>
                <w:rFonts w:cs="Arial"/>
                <w:i/>
                <w:sz w:val="20"/>
                <w:szCs w:val="20"/>
              </w:rPr>
              <w:t>V izvajanju tehnične podpore so ugotovljena naslednja tveganja:</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v finančni perspektivi v obdobju 2014–2020 imamo za tehnično pomoč predvideno skupno število 578 zaposlitev. Sredstva za ta namen so potrjena do konca leta 2022. Pri tem v projektih niso predvidene vse zakonsko pogojene spremembe, saj se te spreminjajo in jih ni mogoče vnaprej načrtovati. Pri OU predvidevamo, da bodo zaradi novo nastalih okoliščin (npr. zvišanje plač v javnem sektorju, napredovanje javnih uslužbencev) sredstva porabljena še pred koncem leta 2022. V tej finančni perspektivi ni več prostih sredstev tehnične pomoči. Če želimo sredstva tehnične pomoči nameniti tudi sistemskim ureditvam na drugih ravneh, je treba sredstva najprej sprostiti;</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 xml:space="preserve">zaposleni imajo sklenjeno pogodbo za nedoločen čas z Republiko Slovenijo kot delodajalcem in ti zaposleni niso vključeni v kadrovski načrt Vlade RS. Hkrati so vse trenutne zaposlitve, ki se financirajo iz sredstev tehnične pomoči, ključne za izvajanje nalog evropske kohezijske politike. Brez teh zaposlitev bi bilo črpanje evropske kohezijske politike ogroženo; </w:t>
            </w:r>
          </w:p>
          <w:p w:rsidR="003B43F9" w:rsidRPr="009B7BE9" w:rsidRDefault="003B43F9" w:rsidP="00D16C0A">
            <w:pPr>
              <w:numPr>
                <w:ilvl w:val="0"/>
                <w:numId w:val="9"/>
              </w:numPr>
              <w:spacing w:line="240" w:lineRule="auto"/>
              <w:contextualSpacing/>
              <w:rPr>
                <w:rFonts w:cs="Arial"/>
                <w:i/>
                <w:sz w:val="20"/>
                <w:szCs w:val="20"/>
              </w:rPr>
            </w:pPr>
            <w:r w:rsidRPr="009B7BE9">
              <w:rPr>
                <w:rFonts w:cs="Arial"/>
                <w:i/>
                <w:sz w:val="20"/>
                <w:szCs w:val="20"/>
              </w:rPr>
              <w:t>iz osnutka zakonodajnega predloga (predlog Uredbe 375/2018) izhaja, da bo sredstev tehnične pomoči v naslednji finančni perspektivi manj za Slovenijo, sorazmerno glede na znižanje alokacije, ter predvidoma bo manjši delež za namen tehnične pomoči iz Evropskega sklada za regionalni razvoj in Kohezijskega sklada.</w:t>
            </w:r>
          </w:p>
        </w:tc>
        <w:tc>
          <w:tcPr>
            <w:tcW w:w="1234" w:type="pct"/>
          </w:tcPr>
          <w:p w:rsidR="003B43F9" w:rsidRPr="009B7BE9" w:rsidRDefault="003B43F9" w:rsidP="003B43F9">
            <w:pPr>
              <w:spacing w:line="240" w:lineRule="auto"/>
              <w:ind w:left="317" w:hanging="283"/>
              <w:rPr>
                <w:rFonts w:cs="Arial"/>
                <w:i/>
                <w:sz w:val="20"/>
                <w:szCs w:val="20"/>
              </w:rPr>
            </w:pPr>
            <w:r w:rsidRPr="009B7BE9">
              <w:rPr>
                <w:rFonts w:cs="Arial"/>
                <w:i/>
                <w:sz w:val="20"/>
                <w:szCs w:val="20"/>
              </w:rPr>
              <w:t>Zagotoviti je treba:</w:t>
            </w:r>
          </w:p>
          <w:p w:rsidR="003B43F9" w:rsidRPr="009B7BE9" w:rsidRDefault="003B43F9" w:rsidP="003B43F9">
            <w:pPr>
              <w:numPr>
                <w:ilvl w:val="0"/>
                <w:numId w:val="33"/>
              </w:numPr>
              <w:spacing w:line="240" w:lineRule="auto"/>
              <w:ind w:left="317" w:hanging="283"/>
              <w:contextualSpacing/>
              <w:rPr>
                <w:rFonts w:cs="Arial"/>
                <w:i/>
                <w:sz w:val="20"/>
                <w:szCs w:val="20"/>
              </w:rPr>
            </w:pPr>
            <w:r w:rsidRPr="009B7BE9">
              <w:rPr>
                <w:rFonts w:cs="Arial"/>
                <w:i/>
                <w:sz w:val="20"/>
                <w:szCs w:val="20"/>
              </w:rPr>
              <w:t>čim prej je treba začeti izvajati ukrepe prilagajanja na predvideno znižanje sredstev tehnične pomoči, in ga v smislu načina financiranja smiselno doreči z MJU ob hkratnem zagotavljanju zadostnih sredstev tehnične pomoči za ukrepe optimizacije koriščenja evropskih kohezijskih sredstev. V ta namen na SVRK pripravljamo vladno gradivo, ki predvideva spremembo vira financiranja iz tehnične podpore na drug vir financiranja (z vidika precejšnjega bremena za proračun RS je treba začeti postopni prehod).</w:t>
            </w:r>
          </w:p>
        </w:tc>
        <w:tc>
          <w:tcPr>
            <w:tcW w:w="453" w:type="pct"/>
          </w:tcPr>
          <w:p w:rsidR="003B43F9" w:rsidRPr="009B7BE9" w:rsidRDefault="003B43F9" w:rsidP="009B7BE9">
            <w:pPr>
              <w:spacing w:line="240" w:lineRule="auto"/>
              <w:jc w:val="center"/>
              <w:rPr>
                <w:rFonts w:cs="Arial"/>
                <w:i/>
                <w:sz w:val="20"/>
                <w:szCs w:val="20"/>
              </w:rPr>
            </w:pPr>
          </w:p>
          <w:p w:rsidR="003B43F9" w:rsidRPr="009B7BE9" w:rsidRDefault="003B43F9" w:rsidP="009B7BE9">
            <w:pPr>
              <w:spacing w:line="240" w:lineRule="auto"/>
              <w:jc w:val="center"/>
              <w:rPr>
                <w:rFonts w:cs="Arial"/>
                <w:i/>
                <w:sz w:val="20"/>
                <w:szCs w:val="20"/>
              </w:rPr>
            </w:pPr>
            <w:r w:rsidRPr="009B7BE9">
              <w:rPr>
                <w:rFonts w:cs="Arial"/>
                <w:i/>
                <w:sz w:val="20"/>
                <w:szCs w:val="20"/>
              </w:rPr>
              <w:t>OU in v nadaljevanju vsi resorji, upravičeni do TP</w:t>
            </w:r>
          </w:p>
        </w:tc>
        <w:tc>
          <w:tcPr>
            <w:tcW w:w="496" w:type="pct"/>
          </w:tcPr>
          <w:p w:rsidR="003B43F9" w:rsidRPr="009B7BE9" w:rsidRDefault="003B43F9" w:rsidP="009B7BE9">
            <w:pPr>
              <w:spacing w:line="240" w:lineRule="auto"/>
              <w:rPr>
                <w:rFonts w:cs="Arial"/>
                <w:i/>
                <w:sz w:val="20"/>
                <w:szCs w:val="20"/>
              </w:rPr>
            </w:pPr>
          </w:p>
          <w:p w:rsidR="003B43F9" w:rsidRPr="009B7BE9" w:rsidRDefault="003B43F9" w:rsidP="009B7BE9">
            <w:pPr>
              <w:spacing w:line="240" w:lineRule="auto"/>
              <w:contextualSpacing/>
              <w:jc w:val="center"/>
              <w:rPr>
                <w:rFonts w:cs="Arial"/>
                <w:i/>
                <w:sz w:val="20"/>
                <w:szCs w:val="20"/>
              </w:rPr>
            </w:pPr>
            <w:r w:rsidRPr="000B5A17">
              <w:rPr>
                <w:rFonts w:cs="Arial"/>
                <w:i/>
                <w:sz w:val="20"/>
                <w:szCs w:val="20"/>
              </w:rPr>
              <w:t>4. četrtletje 2018</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3B43F9" w:rsidRPr="000B5A17" w:rsidRDefault="003B43F9" w:rsidP="003B43F9">
      <w:pPr>
        <w:spacing w:after="160" w:line="259" w:lineRule="auto"/>
        <w:rPr>
          <w:rFonts w:eastAsia="Calibri" w:cs="Arial"/>
          <w:b/>
          <w:szCs w:val="20"/>
        </w:rPr>
      </w:pPr>
      <w:r w:rsidRPr="000B5A17">
        <w:rPr>
          <w:rFonts w:cs="Arial"/>
          <w:szCs w:val="20"/>
        </w:rPr>
        <w:t>Na sestanku z MJU predstavljena situacija.</w:t>
      </w:r>
    </w:p>
    <w:sectPr w:rsidR="003B43F9" w:rsidRPr="000B5A17" w:rsidSect="0053381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9E" w:rsidRDefault="00CC3A9E">
      <w:r>
        <w:separator/>
      </w:r>
    </w:p>
  </w:endnote>
  <w:endnote w:type="continuationSeparator" w:id="0">
    <w:p w:rsidR="00CC3A9E" w:rsidRDefault="00CC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GGothicM">
    <w:altName w:val="Arial Unicode MS"/>
    <w:panose1 w:val="00000000000000000000"/>
    <w:charset w:val="8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HGSMinchoE">
    <w:altName w:val="MS Mincho"/>
    <w:panose1 w:val="00000000000000000000"/>
    <w:charset w:val="8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default"/>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70604"/>
      <w:docPartObj>
        <w:docPartGallery w:val="Page Numbers (Bottom of Page)"/>
        <w:docPartUnique/>
      </w:docPartObj>
    </w:sdtPr>
    <w:sdtEndPr>
      <w:rPr>
        <w:rFonts w:asciiTheme="minorHAnsi" w:hAnsiTheme="minorHAnsi" w:cstheme="minorHAnsi"/>
      </w:rPr>
    </w:sdtEndPr>
    <w:sdtContent>
      <w:p w:rsidR="00CC3A9E" w:rsidRPr="00ED13B6" w:rsidRDefault="00CC3A9E">
        <w:pPr>
          <w:pStyle w:val="Noga"/>
          <w:jc w:val="right"/>
          <w:rPr>
            <w:rFonts w:asciiTheme="minorHAnsi" w:hAnsiTheme="minorHAnsi" w:cstheme="minorHAnsi"/>
          </w:rPr>
        </w:pPr>
        <w:r w:rsidRPr="00ED13B6">
          <w:rPr>
            <w:rFonts w:asciiTheme="minorHAnsi" w:hAnsiTheme="minorHAnsi" w:cstheme="minorHAnsi"/>
          </w:rPr>
          <w:fldChar w:fldCharType="begin"/>
        </w:r>
        <w:r w:rsidRPr="00ED13B6">
          <w:rPr>
            <w:rFonts w:asciiTheme="minorHAnsi" w:hAnsiTheme="minorHAnsi" w:cstheme="minorHAnsi"/>
          </w:rPr>
          <w:instrText>PAGE   \* MERGEFORMAT</w:instrText>
        </w:r>
        <w:r w:rsidRPr="00ED13B6">
          <w:rPr>
            <w:rFonts w:asciiTheme="minorHAnsi" w:hAnsiTheme="minorHAnsi" w:cstheme="minorHAnsi"/>
          </w:rPr>
          <w:fldChar w:fldCharType="separate"/>
        </w:r>
        <w:r w:rsidR="00230326">
          <w:rPr>
            <w:rFonts w:asciiTheme="minorHAnsi" w:hAnsiTheme="minorHAnsi" w:cstheme="minorHAnsi"/>
            <w:noProof/>
          </w:rPr>
          <w:t>5</w:t>
        </w:r>
        <w:r w:rsidRPr="00ED13B6">
          <w:rPr>
            <w:rFonts w:asciiTheme="minorHAnsi" w:hAnsiTheme="minorHAnsi" w:cstheme="minorHAnsi"/>
          </w:rPr>
          <w:fldChar w:fldCharType="end"/>
        </w:r>
      </w:p>
    </w:sdtContent>
  </w:sdt>
  <w:p w:rsidR="00CC3A9E" w:rsidRDefault="00CC3A9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9E" w:rsidRDefault="00CC3A9E">
      <w:r>
        <w:separator/>
      </w:r>
    </w:p>
  </w:footnote>
  <w:footnote w:type="continuationSeparator" w:id="0">
    <w:p w:rsidR="00CC3A9E" w:rsidRDefault="00CC3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708FE8"/>
    <w:lvl w:ilvl="0">
      <w:numFmt w:val="bullet"/>
      <w:lvlText w:val="*"/>
      <w:lvlJc w:val="left"/>
    </w:lvl>
  </w:abstractNum>
  <w:abstractNum w:abstractNumId="1">
    <w:nsid w:val="024710B9"/>
    <w:multiLevelType w:val="hybridMultilevel"/>
    <w:tmpl w:val="BBD6A70A"/>
    <w:lvl w:ilvl="0" w:tplc="86E213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396917"/>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
    <w:nsid w:val="079042C9"/>
    <w:multiLevelType w:val="hybridMultilevel"/>
    <w:tmpl w:val="7CDEF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C76337"/>
    <w:multiLevelType w:val="hybridMultilevel"/>
    <w:tmpl w:val="1388888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5">
    <w:nsid w:val="0A0A4BB9"/>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C9B45CA"/>
    <w:multiLevelType w:val="hybridMultilevel"/>
    <w:tmpl w:val="D63A2662"/>
    <w:lvl w:ilvl="0" w:tplc="915E326C">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2E60D5"/>
    <w:multiLevelType w:val="hybridMultilevel"/>
    <w:tmpl w:val="A26810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32262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9">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1CDC6D8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1">
    <w:nsid w:val="1E845A91"/>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2">
    <w:nsid w:val="22624D88"/>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74301B4"/>
    <w:multiLevelType w:val="hybridMultilevel"/>
    <w:tmpl w:val="F10AB250"/>
    <w:lvl w:ilvl="0" w:tplc="795E97A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97A5505"/>
    <w:multiLevelType w:val="hybridMultilevel"/>
    <w:tmpl w:val="EFA8C74A"/>
    <w:lvl w:ilvl="0" w:tplc="795E97A6">
      <w:start w:val="1"/>
      <w:numFmt w:val="bullet"/>
      <w:lvlText w:val="-"/>
      <w:lvlJc w:val="left"/>
      <w:pPr>
        <w:ind w:left="3478" w:hanging="360"/>
      </w:pPr>
      <w:rPr>
        <w:rFonts w:ascii="Calibri" w:eastAsiaTheme="minorHAnsi" w:hAnsi="Calibri" w:cs="Calibri" w:hint="default"/>
      </w:rPr>
    </w:lvl>
    <w:lvl w:ilvl="1" w:tplc="04240003" w:tentative="1">
      <w:start w:val="1"/>
      <w:numFmt w:val="bullet"/>
      <w:lvlText w:val="o"/>
      <w:lvlJc w:val="left"/>
      <w:pPr>
        <w:ind w:left="4198" w:hanging="360"/>
      </w:pPr>
      <w:rPr>
        <w:rFonts w:ascii="Courier New" w:hAnsi="Courier New" w:cs="Courier New" w:hint="default"/>
      </w:rPr>
    </w:lvl>
    <w:lvl w:ilvl="2" w:tplc="04240005" w:tentative="1">
      <w:start w:val="1"/>
      <w:numFmt w:val="bullet"/>
      <w:lvlText w:val=""/>
      <w:lvlJc w:val="left"/>
      <w:pPr>
        <w:ind w:left="4918" w:hanging="360"/>
      </w:pPr>
      <w:rPr>
        <w:rFonts w:ascii="Wingdings" w:hAnsi="Wingdings" w:hint="default"/>
      </w:rPr>
    </w:lvl>
    <w:lvl w:ilvl="3" w:tplc="04240001" w:tentative="1">
      <w:start w:val="1"/>
      <w:numFmt w:val="bullet"/>
      <w:lvlText w:val=""/>
      <w:lvlJc w:val="left"/>
      <w:pPr>
        <w:ind w:left="5638" w:hanging="360"/>
      </w:pPr>
      <w:rPr>
        <w:rFonts w:ascii="Symbol" w:hAnsi="Symbol" w:hint="default"/>
      </w:rPr>
    </w:lvl>
    <w:lvl w:ilvl="4" w:tplc="04240003" w:tentative="1">
      <w:start w:val="1"/>
      <w:numFmt w:val="bullet"/>
      <w:lvlText w:val="o"/>
      <w:lvlJc w:val="left"/>
      <w:pPr>
        <w:ind w:left="6358" w:hanging="360"/>
      </w:pPr>
      <w:rPr>
        <w:rFonts w:ascii="Courier New" w:hAnsi="Courier New" w:cs="Courier New" w:hint="default"/>
      </w:rPr>
    </w:lvl>
    <w:lvl w:ilvl="5" w:tplc="04240005" w:tentative="1">
      <w:start w:val="1"/>
      <w:numFmt w:val="bullet"/>
      <w:lvlText w:val=""/>
      <w:lvlJc w:val="left"/>
      <w:pPr>
        <w:ind w:left="7078" w:hanging="360"/>
      </w:pPr>
      <w:rPr>
        <w:rFonts w:ascii="Wingdings" w:hAnsi="Wingdings" w:hint="default"/>
      </w:rPr>
    </w:lvl>
    <w:lvl w:ilvl="6" w:tplc="04240001" w:tentative="1">
      <w:start w:val="1"/>
      <w:numFmt w:val="bullet"/>
      <w:lvlText w:val=""/>
      <w:lvlJc w:val="left"/>
      <w:pPr>
        <w:ind w:left="7798" w:hanging="360"/>
      </w:pPr>
      <w:rPr>
        <w:rFonts w:ascii="Symbol" w:hAnsi="Symbol" w:hint="default"/>
      </w:rPr>
    </w:lvl>
    <w:lvl w:ilvl="7" w:tplc="04240003" w:tentative="1">
      <w:start w:val="1"/>
      <w:numFmt w:val="bullet"/>
      <w:lvlText w:val="o"/>
      <w:lvlJc w:val="left"/>
      <w:pPr>
        <w:ind w:left="8518" w:hanging="360"/>
      </w:pPr>
      <w:rPr>
        <w:rFonts w:ascii="Courier New" w:hAnsi="Courier New" w:cs="Courier New" w:hint="default"/>
      </w:rPr>
    </w:lvl>
    <w:lvl w:ilvl="8" w:tplc="04240005" w:tentative="1">
      <w:start w:val="1"/>
      <w:numFmt w:val="bullet"/>
      <w:lvlText w:val=""/>
      <w:lvlJc w:val="left"/>
      <w:pPr>
        <w:ind w:left="9238" w:hanging="360"/>
      </w:pPr>
      <w:rPr>
        <w:rFonts w:ascii="Wingdings" w:hAnsi="Wingdings" w:hint="default"/>
      </w:rPr>
    </w:lvl>
  </w:abstractNum>
  <w:abstractNum w:abstractNumId="15">
    <w:nsid w:val="2B7F6E3A"/>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6">
    <w:nsid w:val="2E313D3B"/>
    <w:multiLevelType w:val="multilevel"/>
    <w:tmpl w:val="987C48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A5710D"/>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8">
    <w:nsid w:val="335C1DC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9">
    <w:nsid w:val="34665B1F"/>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0">
    <w:nsid w:val="374F08B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B36A4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3">
    <w:nsid w:val="3906696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3A8113C4"/>
    <w:multiLevelType w:val="multilevel"/>
    <w:tmpl w:val="076650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2D7065"/>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271A4E"/>
    <w:multiLevelType w:val="multilevel"/>
    <w:tmpl w:val="D8805A24"/>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A9F06A2"/>
    <w:multiLevelType w:val="hybridMultilevel"/>
    <w:tmpl w:val="3A6A5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03D74ED"/>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1">
    <w:nsid w:val="51061B90"/>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2">
    <w:nsid w:val="51654BAC"/>
    <w:multiLevelType w:val="multilevel"/>
    <w:tmpl w:val="A9D4BFB8"/>
    <w:lvl w:ilvl="0">
      <w:start w:val="1"/>
      <w:numFmt w:val="decimal"/>
      <w:pStyle w:val="Prvinivo"/>
      <w:lvlText w:val="%1."/>
      <w:lvlJc w:val="left"/>
      <w:pPr>
        <w:ind w:left="720" w:hanging="360"/>
      </w:pPr>
    </w:lvl>
    <w:lvl w:ilvl="1">
      <w:start w:val="1"/>
      <w:numFmt w:val="decimal"/>
      <w:pStyle w:val="Druginiv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4D779DB"/>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4">
    <w:nsid w:val="55600B42"/>
    <w:multiLevelType w:val="hybridMultilevel"/>
    <w:tmpl w:val="BE8CBA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6747280"/>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6">
    <w:nsid w:val="624C37AB"/>
    <w:multiLevelType w:val="hybridMultilevel"/>
    <w:tmpl w:val="490A7450"/>
    <w:lvl w:ilvl="0" w:tplc="C1A68A3C">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67463BC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8">
    <w:nsid w:val="716153B7"/>
    <w:multiLevelType w:val="hybridMultilevel"/>
    <w:tmpl w:val="A7888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23D60B4"/>
    <w:multiLevelType w:val="hybridMultilevel"/>
    <w:tmpl w:val="4AF89F30"/>
    <w:lvl w:ilvl="0" w:tplc="F68889F4">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5550B0C"/>
    <w:multiLevelType w:val="hybridMultilevel"/>
    <w:tmpl w:val="775ECA56"/>
    <w:lvl w:ilvl="0" w:tplc="BA62D2B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791270B9"/>
    <w:multiLevelType w:val="hybridMultilevel"/>
    <w:tmpl w:val="B33EDC36"/>
    <w:lvl w:ilvl="0" w:tplc="00DA1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nsid w:val="7A8C17A9"/>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3">
    <w:nsid w:val="7DB1536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4">
    <w:nsid w:val="7FF35D27"/>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27"/>
  </w:num>
  <w:num w:numId="2">
    <w:abstractNumId w:val="21"/>
  </w:num>
  <w:num w:numId="3">
    <w:abstractNumId w:val="24"/>
    <w:lvlOverride w:ilvl="0">
      <w:startOverride w:val="1"/>
    </w:lvlOverride>
  </w:num>
  <w:num w:numId="4">
    <w:abstractNumId w:val="9"/>
  </w:num>
  <w:num w:numId="5">
    <w:abstractNumId w:val="32"/>
  </w:num>
  <w:num w:numId="6">
    <w:abstractNumId w:val="28"/>
  </w:num>
  <w:num w:numId="7">
    <w:abstractNumId w:val="29"/>
  </w:num>
  <w:num w:numId="8">
    <w:abstractNumId w:val="4"/>
  </w:num>
  <w:num w:numId="9">
    <w:abstractNumId w:val="13"/>
  </w:num>
  <w:num w:numId="10">
    <w:abstractNumId w:val="15"/>
  </w:num>
  <w:num w:numId="11">
    <w:abstractNumId w:val="42"/>
  </w:num>
  <w:num w:numId="12">
    <w:abstractNumId w:val="20"/>
  </w:num>
  <w:num w:numId="13">
    <w:abstractNumId w:val="35"/>
  </w:num>
  <w:num w:numId="14">
    <w:abstractNumId w:val="10"/>
  </w:num>
  <w:num w:numId="15">
    <w:abstractNumId w:val="19"/>
  </w:num>
  <w:num w:numId="16">
    <w:abstractNumId w:val="44"/>
  </w:num>
  <w:num w:numId="17">
    <w:abstractNumId w:val="18"/>
  </w:num>
  <w:num w:numId="18">
    <w:abstractNumId w:val="43"/>
  </w:num>
  <w:num w:numId="19">
    <w:abstractNumId w:val="31"/>
  </w:num>
  <w:num w:numId="20">
    <w:abstractNumId w:val="11"/>
  </w:num>
  <w:num w:numId="21">
    <w:abstractNumId w:val="8"/>
  </w:num>
  <w:num w:numId="22">
    <w:abstractNumId w:val="26"/>
  </w:num>
  <w:num w:numId="23">
    <w:abstractNumId w:val="30"/>
  </w:num>
  <w:num w:numId="24">
    <w:abstractNumId w:val="36"/>
  </w:num>
  <w:num w:numId="25">
    <w:abstractNumId w:val="7"/>
  </w:num>
  <w:num w:numId="26">
    <w:abstractNumId w:val="5"/>
  </w:num>
  <w:num w:numId="27">
    <w:abstractNumId w:val="23"/>
  </w:num>
  <w:num w:numId="28">
    <w:abstractNumId w:val="12"/>
  </w:num>
  <w:num w:numId="29">
    <w:abstractNumId w:val="14"/>
  </w:num>
  <w:num w:numId="30">
    <w:abstractNumId w:val="37"/>
  </w:num>
  <w:num w:numId="31">
    <w:abstractNumId w:val="1"/>
  </w:num>
  <w:num w:numId="32">
    <w:abstractNumId w:val="22"/>
  </w:num>
  <w:num w:numId="33">
    <w:abstractNumId w:val="33"/>
  </w:num>
  <w:num w:numId="34">
    <w:abstractNumId w:val="17"/>
  </w:num>
  <w:num w:numId="35">
    <w:abstractNumId w:val="2"/>
  </w:num>
  <w:num w:numId="36">
    <w:abstractNumId w:val="25"/>
  </w:num>
  <w:num w:numId="37">
    <w:abstractNumId w:val="39"/>
  </w:num>
  <w:num w:numId="38">
    <w:abstractNumId w:val="34"/>
  </w:num>
  <w:num w:numId="39">
    <w:abstractNumId w:val="16"/>
  </w:num>
  <w:num w:numId="40">
    <w:abstractNumId w:val="41"/>
  </w:num>
  <w:num w:numId="41">
    <w:abstractNumId w:val="3"/>
  </w:num>
  <w:num w:numId="42">
    <w:abstractNumId w:val="40"/>
  </w:num>
  <w:num w:numId="43">
    <w:abstractNumId w:val="6"/>
  </w:num>
  <w:num w:numId="44">
    <w:abstractNumId w:val="38"/>
  </w:num>
  <w:num w:numId="45">
    <w:abstractNumId w:val="0"/>
    <w:lvlOverride w:ilvl="0">
      <w:lvl w:ilvl="0">
        <w:numFmt w:val="bullet"/>
        <w:lvlText w:val=""/>
        <w:legacy w:legacy="1" w:legacySpace="0" w:legacyIndent="0"/>
        <w:lvlJc w:val="left"/>
        <w:rPr>
          <w:rFonts w:ascii="Symbol" w:hAnsi="Symbol" w:hint="default"/>
          <w:sz w:val="22"/>
        </w:rPr>
      </w:lvl>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6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101"/>
    <w:rsid w:val="00001082"/>
    <w:rsid w:val="00001145"/>
    <w:rsid w:val="000014D8"/>
    <w:rsid w:val="00001D69"/>
    <w:rsid w:val="000033A9"/>
    <w:rsid w:val="00005AC2"/>
    <w:rsid w:val="00005BBF"/>
    <w:rsid w:val="000064E2"/>
    <w:rsid w:val="00006BC9"/>
    <w:rsid w:val="00006DD7"/>
    <w:rsid w:val="000071B2"/>
    <w:rsid w:val="0000750A"/>
    <w:rsid w:val="00012B2E"/>
    <w:rsid w:val="000130C9"/>
    <w:rsid w:val="0001341F"/>
    <w:rsid w:val="000144CD"/>
    <w:rsid w:val="00014986"/>
    <w:rsid w:val="000151E4"/>
    <w:rsid w:val="00015565"/>
    <w:rsid w:val="0001567F"/>
    <w:rsid w:val="000174DF"/>
    <w:rsid w:val="00017A1A"/>
    <w:rsid w:val="000204FF"/>
    <w:rsid w:val="000205B2"/>
    <w:rsid w:val="00021A38"/>
    <w:rsid w:val="000228C9"/>
    <w:rsid w:val="00022BD4"/>
    <w:rsid w:val="00023A88"/>
    <w:rsid w:val="00024AF5"/>
    <w:rsid w:val="0002541E"/>
    <w:rsid w:val="000255B4"/>
    <w:rsid w:val="00025D7B"/>
    <w:rsid w:val="00026541"/>
    <w:rsid w:val="00026AA3"/>
    <w:rsid w:val="00026D55"/>
    <w:rsid w:val="0003045B"/>
    <w:rsid w:val="00030CE3"/>
    <w:rsid w:val="00031F53"/>
    <w:rsid w:val="00032F48"/>
    <w:rsid w:val="000331A0"/>
    <w:rsid w:val="0003485D"/>
    <w:rsid w:val="0003522E"/>
    <w:rsid w:val="00036784"/>
    <w:rsid w:val="00037A23"/>
    <w:rsid w:val="000421A5"/>
    <w:rsid w:val="0004255B"/>
    <w:rsid w:val="00042A7A"/>
    <w:rsid w:val="00043566"/>
    <w:rsid w:val="0004399B"/>
    <w:rsid w:val="00044059"/>
    <w:rsid w:val="000440A3"/>
    <w:rsid w:val="00044786"/>
    <w:rsid w:val="00046E70"/>
    <w:rsid w:val="00047122"/>
    <w:rsid w:val="0004719C"/>
    <w:rsid w:val="00050593"/>
    <w:rsid w:val="00050F5C"/>
    <w:rsid w:val="000516BA"/>
    <w:rsid w:val="00051D70"/>
    <w:rsid w:val="00052B79"/>
    <w:rsid w:val="00054B64"/>
    <w:rsid w:val="00055322"/>
    <w:rsid w:val="00056501"/>
    <w:rsid w:val="00056743"/>
    <w:rsid w:val="00056B00"/>
    <w:rsid w:val="00057D68"/>
    <w:rsid w:val="000604A1"/>
    <w:rsid w:val="00060DC2"/>
    <w:rsid w:val="00061BF3"/>
    <w:rsid w:val="000632ED"/>
    <w:rsid w:val="000634C7"/>
    <w:rsid w:val="000643E0"/>
    <w:rsid w:val="000652E7"/>
    <w:rsid w:val="00065A3B"/>
    <w:rsid w:val="0006756A"/>
    <w:rsid w:val="00070192"/>
    <w:rsid w:val="0007065B"/>
    <w:rsid w:val="00070BBB"/>
    <w:rsid w:val="00071C92"/>
    <w:rsid w:val="0007269D"/>
    <w:rsid w:val="0007351E"/>
    <w:rsid w:val="000743AD"/>
    <w:rsid w:val="0007453D"/>
    <w:rsid w:val="00075148"/>
    <w:rsid w:val="00075FC1"/>
    <w:rsid w:val="0007616B"/>
    <w:rsid w:val="00076438"/>
    <w:rsid w:val="000803BC"/>
    <w:rsid w:val="000816BE"/>
    <w:rsid w:val="00081984"/>
    <w:rsid w:val="00081F04"/>
    <w:rsid w:val="0008236C"/>
    <w:rsid w:val="00084304"/>
    <w:rsid w:val="0008474C"/>
    <w:rsid w:val="00084ABE"/>
    <w:rsid w:val="00084DDE"/>
    <w:rsid w:val="00086299"/>
    <w:rsid w:val="00086B2D"/>
    <w:rsid w:val="00086D55"/>
    <w:rsid w:val="00087613"/>
    <w:rsid w:val="0008776B"/>
    <w:rsid w:val="00087B39"/>
    <w:rsid w:val="000900C7"/>
    <w:rsid w:val="00090483"/>
    <w:rsid w:val="00090F98"/>
    <w:rsid w:val="000910D3"/>
    <w:rsid w:val="00091999"/>
    <w:rsid w:val="0009225E"/>
    <w:rsid w:val="0009362C"/>
    <w:rsid w:val="00093C69"/>
    <w:rsid w:val="00094F09"/>
    <w:rsid w:val="00096090"/>
    <w:rsid w:val="000962A1"/>
    <w:rsid w:val="00096713"/>
    <w:rsid w:val="00097500"/>
    <w:rsid w:val="00097521"/>
    <w:rsid w:val="000A1B15"/>
    <w:rsid w:val="000A1C9C"/>
    <w:rsid w:val="000A44C7"/>
    <w:rsid w:val="000A6850"/>
    <w:rsid w:val="000A6881"/>
    <w:rsid w:val="000A6942"/>
    <w:rsid w:val="000A7238"/>
    <w:rsid w:val="000A75BC"/>
    <w:rsid w:val="000B04E6"/>
    <w:rsid w:val="000B06E6"/>
    <w:rsid w:val="000B1395"/>
    <w:rsid w:val="000B24A0"/>
    <w:rsid w:val="000B297F"/>
    <w:rsid w:val="000B4130"/>
    <w:rsid w:val="000B5A17"/>
    <w:rsid w:val="000B79EE"/>
    <w:rsid w:val="000C0779"/>
    <w:rsid w:val="000C092D"/>
    <w:rsid w:val="000C09D6"/>
    <w:rsid w:val="000C13A8"/>
    <w:rsid w:val="000C15D3"/>
    <w:rsid w:val="000C257B"/>
    <w:rsid w:val="000C39F0"/>
    <w:rsid w:val="000C5A0E"/>
    <w:rsid w:val="000C5EE9"/>
    <w:rsid w:val="000C7905"/>
    <w:rsid w:val="000D0FC2"/>
    <w:rsid w:val="000D1683"/>
    <w:rsid w:val="000D3E7E"/>
    <w:rsid w:val="000D467D"/>
    <w:rsid w:val="000D4732"/>
    <w:rsid w:val="000D4922"/>
    <w:rsid w:val="000D577E"/>
    <w:rsid w:val="000D66A6"/>
    <w:rsid w:val="000D6BAB"/>
    <w:rsid w:val="000D7393"/>
    <w:rsid w:val="000D7B65"/>
    <w:rsid w:val="000E262D"/>
    <w:rsid w:val="000E33CF"/>
    <w:rsid w:val="000E4A47"/>
    <w:rsid w:val="000E4BA4"/>
    <w:rsid w:val="000E4D8D"/>
    <w:rsid w:val="000E53FE"/>
    <w:rsid w:val="000E5611"/>
    <w:rsid w:val="000E5EDA"/>
    <w:rsid w:val="000E67A7"/>
    <w:rsid w:val="000F24B9"/>
    <w:rsid w:val="000F28AB"/>
    <w:rsid w:val="000F3186"/>
    <w:rsid w:val="000F3280"/>
    <w:rsid w:val="000F45CD"/>
    <w:rsid w:val="000F4F01"/>
    <w:rsid w:val="000F5847"/>
    <w:rsid w:val="000F6632"/>
    <w:rsid w:val="000F7B90"/>
    <w:rsid w:val="00101180"/>
    <w:rsid w:val="001018D1"/>
    <w:rsid w:val="00101A87"/>
    <w:rsid w:val="00101AAE"/>
    <w:rsid w:val="00104136"/>
    <w:rsid w:val="0010625A"/>
    <w:rsid w:val="00106401"/>
    <w:rsid w:val="001065EF"/>
    <w:rsid w:val="00107031"/>
    <w:rsid w:val="001070C8"/>
    <w:rsid w:val="001106AE"/>
    <w:rsid w:val="00111BC8"/>
    <w:rsid w:val="001120BD"/>
    <w:rsid w:val="001123A8"/>
    <w:rsid w:val="00112564"/>
    <w:rsid w:val="001144DB"/>
    <w:rsid w:val="001155E9"/>
    <w:rsid w:val="00117419"/>
    <w:rsid w:val="00117AD1"/>
    <w:rsid w:val="00120303"/>
    <w:rsid w:val="00120B6E"/>
    <w:rsid w:val="001232A9"/>
    <w:rsid w:val="001240B3"/>
    <w:rsid w:val="001248EC"/>
    <w:rsid w:val="0012522F"/>
    <w:rsid w:val="00126C38"/>
    <w:rsid w:val="00127AEA"/>
    <w:rsid w:val="00130AFA"/>
    <w:rsid w:val="00130C77"/>
    <w:rsid w:val="001310DC"/>
    <w:rsid w:val="0013137F"/>
    <w:rsid w:val="001319E3"/>
    <w:rsid w:val="00131A22"/>
    <w:rsid w:val="001320CF"/>
    <w:rsid w:val="00132192"/>
    <w:rsid w:val="00133815"/>
    <w:rsid w:val="0013460B"/>
    <w:rsid w:val="001357B2"/>
    <w:rsid w:val="001358AF"/>
    <w:rsid w:val="001370EB"/>
    <w:rsid w:val="001374D2"/>
    <w:rsid w:val="0014097F"/>
    <w:rsid w:val="00141463"/>
    <w:rsid w:val="00142D88"/>
    <w:rsid w:val="0014490D"/>
    <w:rsid w:val="00144BAD"/>
    <w:rsid w:val="00145189"/>
    <w:rsid w:val="00145A13"/>
    <w:rsid w:val="001478DB"/>
    <w:rsid w:val="001503C6"/>
    <w:rsid w:val="0015058D"/>
    <w:rsid w:val="00150737"/>
    <w:rsid w:val="00150F1A"/>
    <w:rsid w:val="00151A62"/>
    <w:rsid w:val="00151AB9"/>
    <w:rsid w:val="00151B02"/>
    <w:rsid w:val="0015310D"/>
    <w:rsid w:val="001542D1"/>
    <w:rsid w:val="00154687"/>
    <w:rsid w:val="00155BD9"/>
    <w:rsid w:val="001637E3"/>
    <w:rsid w:val="00164325"/>
    <w:rsid w:val="001646C2"/>
    <w:rsid w:val="0016570C"/>
    <w:rsid w:val="001661C2"/>
    <w:rsid w:val="001664D2"/>
    <w:rsid w:val="00166670"/>
    <w:rsid w:val="00166A24"/>
    <w:rsid w:val="00167C02"/>
    <w:rsid w:val="00170BBB"/>
    <w:rsid w:val="00170BD8"/>
    <w:rsid w:val="0017174F"/>
    <w:rsid w:val="00171E3B"/>
    <w:rsid w:val="00172941"/>
    <w:rsid w:val="00174556"/>
    <w:rsid w:val="0017478F"/>
    <w:rsid w:val="00174F66"/>
    <w:rsid w:val="00175CD9"/>
    <w:rsid w:val="0017694B"/>
    <w:rsid w:val="00177B47"/>
    <w:rsid w:val="001807F7"/>
    <w:rsid w:val="00180A48"/>
    <w:rsid w:val="001811A7"/>
    <w:rsid w:val="00181748"/>
    <w:rsid w:val="001827C5"/>
    <w:rsid w:val="00182EBC"/>
    <w:rsid w:val="001845FB"/>
    <w:rsid w:val="00184CED"/>
    <w:rsid w:val="0018551D"/>
    <w:rsid w:val="00186717"/>
    <w:rsid w:val="001903C2"/>
    <w:rsid w:val="00190D69"/>
    <w:rsid w:val="00191734"/>
    <w:rsid w:val="001931F2"/>
    <w:rsid w:val="00193D8E"/>
    <w:rsid w:val="00193FF3"/>
    <w:rsid w:val="001947AA"/>
    <w:rsid w:val="00194DF6"/>
    <w:rsid w:val="00195D8A"/>
    <w:rsid w:val="0019610B"/>
    <w:rsid w:val="00196A10"/>
    <w:rsid w:val="00196A7E"/>
    <w:rsid w:val="001976B6"/>
    <w:rsid w:val="001A1F4F"/>
    <w:rsid w:val="001A52D4"/>
    <w:rsid w:val="001A54DB"/>
    <w:rsid w:val="001A62C7"/>
    <w:rsid w:val="001A7F25"/>
    <w:rsid w:val="001B1C8D"/>
    <w:rsid w:val="001B25AE"/>
    <w:rsid w:val="001B2A4C"/>
    <w:rsid w:val="001B2B96"/>
    <w:rsid w:val="001B33BA"/>
    <w:rsid w:val="001B3CA7"/>
    <w:rsid w:val="001B5024"/>
    <w:rsid w:val="001B5745"/>
    <w:rsid w:val="001B59CD"/>
    <w:rsid w:val="001B5D91"/>
    <w:rsid w:val="001B5DA3"/>
    <w:rsid w:val="001C0A5E"/>
    <w:rsid w:val="001C14F9"/>
    <w:rsid w:val="001C2454"/>
    <w:rsid w:val="001C2623"/>
    <w:rsid w:val="001C3E56"/>
    <w:rsid w:val="001C516A"/>
    <w:rsid w:val="001C6059"/>
    <w:rsid w:val="001C657E"/>
    <w:rsid w:val="001C6F62"/>
    <w:rsid w:val="001D1200"/>
    <w:rsid w:val="001D2CF1"/>
    <w:rsid w:val="001D39BE"/>
    <w:rsid w:val="001D5858"/>
    <w:rsid w:val="001D777E"/>
    <w:rsid w:val="001E007F"/>
    <w:rsid w:val="001E03EA"/>
    <w:rsid w:val="001E0490"/>
    <w:rsid w:val="001E1440"/>
    <w:rsid w:val="001E196F"/>
    <w:rsid w:val="001E3671"/>
    <w:rsid w:val="001E4A21"/>
    <w:rsid w:val="001E5234"/>
    <w:rsid w:val="001E60A7"/>
    <w:rsid w:val="001E6315"/>
    <w:rsid w:val="001E66DA"/>
    <w:rsid w:val="001E69AA"/>
    <w:rsid w:val="001E6EA5"/>
    <w:rsid w:val="001E7AB5"/>
    <w:rsid w:val="001F09FD"/>
    <w:rsid w:val="001F1596"/>
    <w:rsid w:val="001F6856"/>
    <w:rsid w:val="001F7FE9"/>
    <w:rsid w:val="0020085D"/>
    <w:rsid w:val="0020106A"/>
    <w:rsid w:val="002011B4"/>
    <w:rsid w:val="00201BB2"/>
    <w:rsid w:val="0020229F"/>
    <w:rsid w:val="00202A77"/>
    <w:rsid w:val="00202B13"/>
    <w:rsid w:val="00202E5E"/>
    <w:rsid w:val="00204C1E"/>
    <w:rsid w:val="002050AA"/>
    <w:rsid w:val="00205D52"/>
    <w:rsid w:val="002062E7"/>
    <w:rsid w:val="0020638F"/>
    <w:rsid w:val="002075A0"/>
    <w:rsid w:val="00210A7B"/>
    <w:rsid w:val="002116A3"/>
    <w:rsid w:val="002116B2"/>
    <w:rsid w:val="002139E5"/>
    <w:rsid w:val="00213ADC"/>
    <w:rsid w:val="00213EDB"/>
    <w:rsid w:val="0021502D"/>
    <w:rsid w:val="002153E0"/>
    <w:rsid w:val="002159E4"/>
    <w:rsid w:val="00216D69"/>
    <w:rsid w:val="00216E24"/>
    <w:rsid w:val="00220529"/>
    <w:rsid w:val="00220673"/>
    <w:rsid w:val="002206C2"/>
    <w:rsid w:val="00221837"/>
    <w:rsid w:val="0022259A"/>
    <w:rsid w:val="00222F62"/>
    <w:rsid w:val="0022383D"/>
    <w:rsid w:val="00226B0F"/>
    <w:rsid w:val="00230326"/>
    <w:rsid w:val="0023068D"/>
    <w:rsid w:val="00230B73"/>
    <w:rsid w:val="002312EE"/>
    <w:rsid w:val="00231A45"/>
    <w:rsid w:val="00231DCE"/>
    <w:rsid w:val="00232B5B"/>
    <w:rsid w:val="00232F69"/>
    <w:rsid w:val="002334AA"/>
    <w:rsid w:val="00234EE3"/>
    <w:rsid w:val="0023503E"/>
    <w:rsid w:val="00235899"/>
    <w:rsid w:val="00236F23"/>
    <w:rsid w:val="002402A9"/>
    <w:rsid w:val="00240627"/>
    <w:rsid w:val="00240C97"/>
    <w:rsid w:val="00241BAF"/>
    <w:rsid w:val="00242C83"/>
    <w:rsid w:val="0024366F"/>
    <w:rsid w:val="002447B9"/>
    <w:rsid w:val="002459E3"/>
    <w:rsid w:val="00245E77"/>
    <w:rsid w:val="002462E9"/>
    <w:rsid w:val="00251641"/>
    <w:rsid w:val="00252DF1"/>
    <w:rsid w:val="002535CF"/>
    <w:rsid w:val="00253B53"/>
    <w:rsid w:val="00253D8E"/>
    <w:rsid w:val="00253FFE"/>
    <w:rsid w:val="00254862"/>
    <w:rsid w:val="002548D2"/>
    <w:rsid w:val="00254C3A"/>
    <w:rsid w:val="002551BA"/>
    <w:rsid w:val="00255240"/>
    <w:rsid w:val="00255B4A"/>
    <w:rsid w:val="00256F3C"/>
    <w:rsid w:val="002570B0"/>
    <w:rsid w:val="00257672"/>
    <w:rsid w:val="002578BC"/>
    <w:rsid w:val="00260200"/>
    <w:rsid w:val="0026105E"/>
    <w:rsid w:val="00262A57"/>
    <w:rsid w:val="00263ED0"/>
    <w:rsid w:val="00264601"/>
    <w:rsid w:val="00264E2B"/>
    <w:rsid w:val="0026550B"/>
    <w:rsid w:val="00267D57"/>
    <w:rsid w:val="00267D7E"/>
    <w:rsid w:val="002703B4"/>
    <w:rsid w:val="00271CE5"/>
    <w:rsid w:val="0027285A"/>
    <w:rsid w:val="00273DEE"/>
    <w:rsid w:val="0027695C"/>
    <w:rsid w:val="00277102"/>
    <w:rsid w:val="002774D5"/>
    <w:rsid w:val="00277803"/>
    <w:rsid w:val="00277AED"/>
    <w:rsid w:val="00277EA5"/>
    <w:rsid w:val="00277F6A"/>
    <w:rsid w:val="0028149D"/>
    <w:rsid w:val="0028175F"/>
    <w:rsid w:val="00282020"/>
    <w:rsid w:val="0028286C"/>
    <w:rsid w:val="00282FB4"/>
    <w:rsid w:val="0028486C"/>
    <w:rsid w:val="00284BAB"/>
    <w:rsid w:val="002852EA"/>
    <w:rsid w:val="00285BD5"/>
    <w:rsid w:val="00286944"/>
    <w:rsid w:val="00286A2C"/>
    <w:rsid w:val="00286C31"/>
    <w:rsid w:val="00290351"/>
    <w:rsid w:val="0029093A"/>
    <w:rsid w:val="00291C5F"/>
    <w:rsid w:val="002922EC"/>
    <w:rsid w:val="00293330"/>
    <w:rsid w:val="00293C68"/>
    <w:rsid w:val="00293ECB"/>
    <w:rsid w:val="00294BB7"/>
    <w:rsid w:val="00294C9B"/>
    <w:rsid w:val="00294EDE"/>
    <w:rsid w:val="00295391"/>
    <w:rsid w:val="00297A13"/>
    <w:rsid w:val="002A0282"/>
    <w:rsid w:val="002A1D1F"/>
    <w:rsid w:val="002A251D"/>
    <w:rsid w:val="002A2B69"/>
    <w:rsid w:val="002A4630"/>
    <w:rsid w:val="002A4C44"/>
    <w:rsid w:val="002A5B52"/>
    <w:rsid w:val="002A7161"/>
    <w:rsid w:val="002B168C"/>
    <w:rsid w:val="002B284C"/>
    <w:rsid w:val="002B2B47"/>
    <w:rsid w:val="002B413C"/>
    <w:rsid w:val="002B48AC"/>
    <w:rsid w:val="002B60E0"/>
    <w:rsid w:val="002B695B"/>
    <w:rsid w:val="002B75CD"/>
    <w:rsid w:val="002C026D"/>
    <w:rsid w:val="002C0C78"/>
    <w:rsid w:val="002C1FA5"/>
    <w:rsid w:val="002C2184"/>
    <w:rsid w:val="002C2A3D"/>
    <w:rsid w:val="002C3AA6"/>
    <w:rsid w:val="002C4D90"/>
    <w:rsid w:val="002C4DED"/>
    <w:rsid w:val="002C5F1A"/>
    <w:rsid w:val="002C61AC"/>
    <w:rsid w:val="002C71C1"/>
    <w:rsid w:val="002C7278"/>
    <w:rsid w:val="002C7784"/>
    <w:rsid w:val="002D2534"/>
    <w:rsid w:val="002D39D9"/>
    <w:rsid w:val="002D3DEC"/>
    <w:rsid w:val="002D4899"/>
    <w:rsid w:val="002D4F53"/>
    <w:rsid w:val="002D5EB8"/>
    <w:rsid w:val="002D6BC8"/>
    <w:rsid w:val="002D7457"/>
    <w:rsid w:val="002E1206"/>
    <w:rsid w:val="002E1487"/>
    <w:rsid w:val="002E2A1E"/>
    <w:rsid w:val="002E451C"/>
    <w:rsid w:val="002E5ADA"/>
    <w:rsid w:val="002E6356"/>
    <w:rsid w:val="002E646D"/>
    <w:rsid w:val="002E64C5"/>
    <w:rsid w:val="002E6F3B"/>
    <w:rsid w:val="002F1CDD"/>
    <w:rsid w:val="002F1FAA"/>
    <w:rsid w:val="002F21AF"/>
    <w:rsid w:val="002F2BA7"/>
    <w:rsid w:val="002F2FE4"/>
    <w:rsid w:val="002F3236"/>
    <w:rsid w:val="002F3504"/>
    <w:rsid w:val="002F369D"/>
    <w:rsid w:val="002F4093"/>
    <w:rsid w:val="002F4E0C"/>
    <w:rsid w:val="002F73DC"/>
    <w:rsid w:val="003002A9"/>
    <w:rsid w:val="00300FA7"/>
    <w:rsid w:val="003032B3"/>
    <w:rsid w:val="00305178"/>
    <w:rsid w:val="003053BE"/>
    <w:rsid w:val="00305474"/>
    <w:rsid w:val="00306809"/>
    <w:rsid w:val="00307862"/>
    <w:rsid w:val="00307B1A"/>
    <w:rsid w:val="00307C2D"/>
    <w:rsid w:val="003106D5"/>
    <w:rsid w:val="003109A8"/>
    <w:rsid w:val="00310FC4"/>
    <w:rsid w:val="00315424"/>
    <w:rsid w:val="00315909"/>
    <w:rsid w:val="00315F31"/>
    <w:rsid w:val="003165C0"/>
    <w:rsid w:val="00317C1D"/>
    <w:rsid w:val="00320EA3"/>
    <w:rsid w:val="00320F5C"/>
    <w:rsid w:val="00323BAF"/>
    <w:rsid w:val="003243CF"/>
    <w:rsid w:val="00325E8D"/>
    <w:rsid w:val="00326B37"/>
    <w:rsid w:val="00327063"/>
    <w:rsid w:val="00327CAD"/>
    <w:rsid w:val="00327F2D"/>
    <w:rsid w:val="00332532"/>
    <w:rsid w:val="003328A6"/>
    <w:rsid w:val="00333FBA"/>
    <w:rsid w:val="00334587"/>
    <w:rsid w:val="00336D58"/>
    <w:rsid w:val="003373F5"/>
    <w:rsid w:val="00340CAB"/>
    <w:rsid w:val="003411E5"/>
    <w:rsid w:val="00341806"/>
    <w:rsid w:val="00342105"/>
    <w:rsid w:val="003443EC"/>
    <w:rsid w:val="00345C8D"/>
    <w:rsid w:val="003462DB"/>
    <w:rsid w:val="00346988"/>
    <w:rsid w:val="00346C5F"/>
    <w:rsid w:val="00346DD7"/>
    <w:rsid w:val="0034708B"/>
    <w:rsid w:val="003472A6"/>
    <w:rsid w:val="0034764A"/>
    <w:rsid w:val="00347A50"/>
    <w:rsid w:val="003508BD"/>
    <w:rsid w:val="00350FA3"/>
    <w:rsid w:val="0035409E"/>
    <w:rsid w:val="00354B98"/>
    <w:rsid w:val="003557FE"/>
    <w:rsid w:val="0035666C"/>
    <w:rsid w:val="0035724E"/>
    <w:rsid w:val="00360AB0"/>
    <w:rsid w:val="00362947"/>
    <w:rsid w:val="00362D03"/>
    <w:rsid w:val="003631D4"/>
    <w:rsid w:val="003636BF"/>
    <w:rsid w:val="00363B05"/>
    <w:rsid w:val="00364960"/>
    <w:rsid w:val="003653CF"/>
    <w:rsid w:val="0037005F"/>
    <w:rsid w:val="003708B0"/>
    <w:rsid w:val="00370A05"/>
    <w:rsid w:val="00371442"/>
    <w:rsid w:val="00371905"/>
    <w:rsid w:val="00371E04"/>
    <w:rsid w:val="00372926"/>
    <w:rsid w:val="00372DCC"/>
    <w:rsid w:val="00372FAD"/>
    <w:rsid w:val="0037499C"/>
    <w:rsid w:val="0038082F"/>
    <w:rsid w:val="00380D62"/>
    <w:rsid w:val="00381475"/>
    <w:rsid w:val="00382210"/>
    <w:rsid w:val="003845B4"/>
    <w:rsid w:val="003846BA"/>
    <w:rsid w:val="003849A6"/>
    <w:rsid w:val="00384CBF"/>
    <w:rsid w:val="00384D4C"/>
    <w:rsid w:val="003851F9"/>
    <w:rsid w:val="0038527B"/>
    <w:rsid w:val="003867CF"/>
    <w:rsid w:val="003867D2"/>
    <w:rsid w:val="00387754"/>
    <w:rsid w:val="00387B1A"/>
    <w:rsid w:val="00387E98"/>
    <w:rsid w:val="003915E1"/>
    <w:rsid w:val="0039270C"/>
    <w:rsid w:val="00392ECE"/>
    <w:rsid w:val="003943B6"/>
    <w:rsid w:val="003945A5"/>
    <w:rsid w:val="00394D88"/>
    <w:rsid w:val="003950EF"/>
    <w:rsid w:val="00395EA2"/>
    <w:rsid w:val="00395EDF"/>
    <w:rsid w:val="003963E9"/>
    <w:rsid w:val="003A1B9B"/>
    <w:rsid w:val="003A1C4B"/>
    <w:rsid w:val="003A1D5D"/>
    <w:rsid w:val="003A20E1"/>
    <w:rsid w:val="003A3124"/>
    <w:rsid w:val="003A388B"/>
    <w:rsid w:val="003A471D"/>
    <w:rsid w:val="003A4BBA"/>
    <w:rsid w:val="003A4BEE"/>
    <w:rsid w:val="003A5DEA"/>
    <w:rsid w:val="003A66CC"/>
    <w:rsid w:val="003A6882"/>
    <w:rsid w:val="003A6FC8"/>
    <w:rsid w:val="003A7088"/>
    <w:rsid w:val="003B0774"/>
    <w:rsid w:val="003B0F6A"/>
    <w:rsid w:val="003B1233"/>
    <w:rsid w:val="003B15EA"/>
    <w:rsid w:val="003B16DB"/>
    <w:rsid w:val="003B20AE"/>
    <w:rsid w:val="003B31CA"/>
    <w:rsid w:val="003B32FA"/>
    <w:rsid w:val="003B3CBC"/>
    <w:rsid w:val="003B3E39"/>
    <w:rsid w:val="003B43F9"/>
    <w:rsid w:val="003B4D68"/>
    <w:rsid w:val="003C031A"/>
    <w:rsid w:val="003C07CB"/>
    <w:rsid w:val="003C0B94"/>
    <w:rsid w:val="003C17A0"/>
    <w:rsid w:val="003C4CB3"/>
    <w:rsid w:val="003C5370"/>
    <w:rsid w:val="003C5EE5"/>
    <w:rsid w:val="003C6942"/>
    <w:rsid w:val="003C70EF"/>
    <w:rsid w:val="003D0584"/>
    <w:rsid w:val="003D08CD"/>
    <w:rsid w:val="003D0E6B"/>
    <w:rsid w:val="003D1AA6"/>
    <w:rsid w:val="003D22C9"/>
    <w:rsid w:val="003D2F91"/>
    <w:rsid w:val="003D3AC3"/>
    <w:rsid w:val="003D3D2F"/>
    <w:rsid w:val="003D3D48"/>
    <w:rsid w:val="003D47DD"/>
    <w:rsid w:val="003D4D00"/>
    <w:rsid w:val="003D55AC"/>
    <w:rsid w:val="003D5FFD"/>
    <w:rsid w:val="003D6F48"/>
    <w:rsid w:val="003D72F1"/>
    <w:rsid w:val="003D7944"/>
    <w:rsid w:val="003D7DC4"/>
    <w:rsid w:val="003D7E1D"/>
    <w:rsid w:val="003E01E5"/>
    <w:rsid w:val="003E0872"/>
    <w:rsid w:val="003E1C74"/>
    <w:rsid w:val="003E1E97"/>
    <w:rsid w:val="003E248D"/>
    <w:rsid w:val="003E2641"/>
    <w:rsid w:val="003E2817"/>
    <w:rsid w:val="003E29ED"/>
    <w:rsid w:val="003E2CA1"/>
    <w:rsid w:val="003E32AB"/>
    <w:rsid w:val="003E42DA"/>
    <w:rsid w:val="003E583F"/>
    <w:rsid w:val="003E6609"/>
    <w:rsid w:val="003E6978"/>
    <w:rsid w:val="003E7F22"/>
    <w:rsid w:val="003F048E"/>
    <w:rsid w:val="003F0C23"/>
    <w:rsid w:val="003F0F88"/>
    <w:rsid w:val="003F173D"/>
    <w:rsid w:val="003F390C"/>
    <w:rsid w:val="003F482A"/>
    <w:rsid w:val="003F4D18"/>
    <w:rsid w:val="003F5716"/>
    <w:rsid w:val="003F79EB"/>
    <w:rsid w:val="004018DA"/>
    <w:rsid w:val="00401DD0"/>
    <w:rsid w:val="0040486E"/>
    <w:rsid w:val="00404C4C"/>
    <w:rsid w:val="00405B14"/>
    <w:rsid w:val="00406A6F"/>
    <w:rsid w:val="004070D9"/>
    <w:rsid w:val="0040738E"/>
    <w:rsid w:val="00410B38"/>
    <w:rsid w:val="00410EB4"/>
    <w:rsid w:val="00411AF8"/>
    <w:rsid w:val="004126A3"/>
    <w:rsid w:val="004139B2"/>
    <w:rsid w:val="00415844"/>
    <w:rsid w:val="00415A04"/>
    <w:rsid w:val="0041704C"/>
    <w:rsid w:val="004177D1"/>
    <w:rsid w:val="00417C79"/>
    <w:rsid w:val="004200D6"/>
    <w:rsid w:val="00423409"/>
    <w:rsid w:val="0042381B"/>
    <w:rsid w:val="00423DA5"/>
    <w:rsid w:val="0042437E"/>
    <w:rsid w:val="00424701"/>
    <w:rsid w:val="00426916"/>
    <w:rsid w:val="00430AC7"/>
    <w:rsid w:val="00431816"/>
    <w:rsid w:val="00432140"/>
    <w:rsid w:val="00432A5B"/>
    <w:rsid w:val="00432C91"/>
    <w:rsid w:val="00432C95"/>
    <w:rsid w:val="00434963"/>
    <w:rsid w:val="004350F7"/>
    <w:rsid w:val="00435BCE"/>
    <w:rsid w:val="004361B6"/>
    <w:rsid w:val="00436DBD"/>
    <w:rsid w:val="00437739"/>
    <w:rsid w:val="00441B9F"/>
    <w:rsid w:val="004424B9"/>
    <w:rsid w:val="00443F32"/>
    <w:rsid w:val="004440A1"/>
    <w:rsid w:val="00445CFC"/>
    <w:rsid w:val="0044692F"/>
    <w:rsid w:val="00447622"/>
    <w:rsid w:val="0044784B"/>
    <w:rsid w:val="0044794A"/>
    <w:rsid w:val="004502A5"/>
    <w:rsid w:val="00450919"/>
    <w:rsid w:val="00451425"/>
    <w:rsid w:val="0045280D"/>
    <w:rsid w:val="0045311B"/>
    <w:rsid w:val="004565AB"/>
    <w:rsid w:val="00456E15"/>
    <w:rsid w:val="00457847"/>
    <w:rsid w:val="00457A3C"/>
    <w:rsid w:val="00457A4F"/>
    <w:rsid w:val="0046006C"/>
    <w:rsid w:val="0046038A"/>
    <w:rsid w:val="00460804"/>
    <w:rsid w:val="0046122E"/>
    <w:rsid w:val="004652CC"/>
    <w:rsid w:val="004657EE"/>
    <w:rsid w:val="00466178"/>
    <w:rsid w:val="00467256"/>
    <w:rsid w:val="00467D35"/>
    <w:rsid w:val="00470CFF"/>
    <w:rsid w:val="004711E1"/>
    <w:rsid w:val="00471AD2"/>
    <w:rsid w:val="00471DD8"/>
    <w:rsid w:val="00472E3D"/>
    <w:rsid w:val="004740E2"/>
    <w:rsid w:val="0047518B"/>
    <w:rsid w:val="0047608F"/>
    <w:rsid w:val="00476E1F"/>
    <w:rsid w:val="00481500"/>
    <w:rsid w:val="00482E82"/>
    <w:rsid w:val="004830A1"/>
    <w:rsid w:val="0048311B"/>
    <w:rsid w:val="004831F3"/>
    <w:rsid w:val="00483F0A"/>
    <w:rsid w:val="00486B26"/>
    <w:rsid w:val="00487293"/>
    <w:rsid w:val="00487319"/>
    <w:rsid w:val="00491B2E"/>
    <w:rsid w:val="004925A3"/>
    <w:rsid w:val="0049268F"/>
    <w:rsid w:val="0049286C"/>
    <w:rsid w:val="00492AA3"/>
    <w:rsid w:val="004936F5"/>
    <w:rsid w:val="004946D3"/>
    <w:rsid w:val="0049479C"/>
    <w:rsid w:val="00497610"/>
    <w:rsid w:val="004A0EB4"/>
    <w:rsid w:val="004A194F"/>
    <w:rsid w:val="004A3638"/>
    <w:rsid w:val="004A3D6C"/>
    <w:rsid w:val="004A4661"/>
    <w:rsid w:val="004A4735"/>
    <w:rsid w:val="004A671C"/>
    <w:rsid w:val="004A67B0"/>
    <w:rsid w:val="004A72DF"/>
    <w:rsid w:val="004B0267"/>
    <w:rsid w:val="004B059D"/>
    <w:rsid w:val="004B144F"/>
    <w:rsid w:val="004B35C3"/>
    <w:rsid w:val="004B3AF8"/>
    <w:rsid w:val="004B5AF8"/>
    <w:rsid w:val="004B7404"/>
    <w:rsid w:val="004B78B6"/>
    <w:rsid w:val="004C0261"/>
    <w:rsid w:val="004C05A3"/>
    <w:rsid w:val="004C08EB"/>
    <w:rsid w:val="004C20C7"/>
    <w:rsid w:val="004C2114"/>
    <w:rsid w:val="004C2338"/>
    <w:rsid w:val="004C23A8"/>
    <w:rsid w:val="004C3CF6"/>
    <w:rsid w:val="004C76A7"/>
    <w:rsid w:val="004C7959"/>
    <w:rsid w:val="004C7B63"/>
    <w:rsid w:val="004D1DC9"/>
    <w:rsid w:val="004D2D69"/>
    <w:rsid w:val="004D3F2C"/>
    <w:rsid w:val="004D5889"/>
    <w:rsid w:val="004D6F36"/>
    <w:rsid w:val="004E0131"/>
    <w:rsid w:val="004E024A"/>
    <w:rsid w:val="004E0542"/>
    <w:rsid w:val="004E1C32"/>
    <w:rsid w:val="004E1E45"/>
    <w:rsid w:val="004E26AF"/>
    <w:rsid w:val="004E5AE3"/>
    <w:rsid w:val="004E662F"/>
    <w:rsid w:val="004E689E"/>
    <w:rsid w:val="004E74DA"/>
    <w:rsid w:val="004F05DF"/>
    <w:rsid w:val="004F0AC2"/>
    <w:rsid w:val="004F1B1C"/>
    <w:rsid w:val="004F1B78"/>
    <w:rsid w:val="004F4CD7"/>
    <w:rsid w:val="004F7009"/>
    <w:rsid w:val="0050008D"/>
    <w:rsid w:val="00500D13"/>
    <w:rsid w:val="0050209D"/>
    <w:rsid w:val="00502A35"/>
    <w:rsid w:val="00502C5B"/>
    <w:rsid w:val="00504BE9"/>
    <w:rsid w:val="00505188"/>
    <w:rsid w:val="00506DFA"/>
    <w:rsid w:val="00507333"/>
    <w:rsid w:val="00510382"/>
    <w:rsid w:val="00510C93"/>
    <w:rsid w:val="0051102D"/>
    <w:rsid w:val="00511147"/>
    <w:rsid w:val="0051164C"/>
    <w:rsid w:val="00511A87"/>
    <w:rsid w:val="00511AF6"/>
    <w:rsid w:val="00513288"/>
    <w:rsid w:val="0051419B"/>
    <w:rsid w:val="0051424A"/>
    <w:rsid w:val="00514755"/>
    <w:rsid w:val="00514A48"/>
    <w:rsid w:val="005200DE"/>
    <w:rsid w:val="0052020A"/>
    <w:rsid w:val="0052048B"/>
    <w:rsid w:val="00520505"/>
    <w:rsid w:val="00521B9D"/>
    <w:rsid w:val="00522C25"/>
    <w:rsid w:val="00523581"/>
    <w:rsid w:val="00523EA5"/>
    <w:rsid w:val="005252B9"/>
    <w:rsid w:val="00525459"/>
    <w:rsid w:val="005254D7"/>
    <w:rsid w:val="00525C7F"/>
    <w:rsid w:val="00525D82"/>
    <w:rsid w:val="00526246"/>
    <w:rsid w:val="00530031"/>
    <w:rsid w:val="00530A1F"/>
    <w:rsid w:val="0053212C"/>
    <w:rsid w:val="005335EE"/>
    <w:rsid w:val="0053381D"/>
    <w:rsid w:val="00533F73"/>
    <w:rsid w:val="00535282"/>
    <w:rsid w:val="00535792"/>
    <w:rsid w:val="0053676F"/>
    <w:rsid w:val="00536F21"/>
    <w:rsid w:val="005402BA"/>
    <w:rsid w:val="00540C05"/>
    <w:rsid w:val="005420B3"/>
    <w:rsid w:val="005427D8"/>
    <w:rsid w:val="00542824"/>
    <w:rsid w:val="00542882"/>
    <w:rsid w:val="00542975"/>
    <w:rsid w:val="005436AD"/>
    <w:rsid w:val="00545194"/>
    <w:rsid w:val="005459DE"/>
    <w:rsid w:val="00546E65"/>
    <w:rsid w:val="0055065D"/>
    <w:rsid w:val="00550AB3"/>
    <w:rsid w:val="005510FB"/>
    <w:rsid w:val="005515F8"/>
    <w:rsid w:val="0055222F"/>
    <w:rsid w:val="005525C8"/>
    <w:rsid w:val="00553FFF"/>
    <w:rsid w:val="00554E31"/>
    <w:rsid w:val="00554FA4"/>
    <w:rsid w:val="005551D9"/>
    <w:rsid w:val="005553CE"/>
    <w:rsid w:val="00555CF5"/>
    <w:rsid w:val="005562C0"/>
    <w:rsid w:val="005568EC"/>
    <w:rsid w:val="00557FD0"/>
    <w:rsid w:val="005607EC"/>
    <w:rsid w:val="00560848"/>
    <w:rsid w:val="00561CD3"/>
    <w:rsid w:val="00561DC3"/>
    <w:rsid w:val="00561F3A"/>
    <w:rsid w:val="00562787"/>
    <w:rsid w:val="00562DE3"/>
    <w:rsid w:val="00563DE9"/>
    <w:rsid w:val="005648F2"/>
    <w:rsid w:val="0056559A"/>
    <w:rsid w:val="00567106"/>
    <w:rsid w:val="00567797"/>
    <w:rsid w:val="00567A25"/>
    <w:rsid w:val="00567D00"/>
    <w:rsid w:val="00571058"/>
    <w:rsid w:val="00571538"/>
    <w:rsid w:val="005722D4"/>
    <w:rsid w:val="00572380"/>
    <w:rsid w:val="0057559A"/>
    <w:rsid w:val="00575E75"/>
    <w:rsid w:val="0057711A"/>
    <w:rsid w:val="00577490"/>
    <w:rsid w:val="00577A65"/>
    <w:rsid w:val="00577B8E"/>
    <w:rsid w:val="00577FD7"/>
    <w:rsid w:val="00580643"/>
    <w:rsid w:val="005812A6"/>
    <w:rsid w:val="005821BB"/>
    <w:rsid w:val="005824D5"/>
    <w:rsid w:val="00583C29"/>
    <w:rsid w:val="0058460B"/>
    <w:rsid w:val="00585839"/>
    <w:rsid w:val="00586110"/>
    <w:rsid w:val="0058643B"/>
    <w:rsid w:val="0058698B"/>
    <w:rsid w:val="00586E0D"/>
    <w:rsid w:val="00587655"/>
    <w:rsid w:val="00587DEB"/>
    <w:rsid w:val="00590969"/>
    <w:rsid w:val="0059097C"/>
    <w:rsid w:val="00590E25"/>
    <w:rsid w:val="00592500"/>
    <w:rsid w:val="00592747"/>
    <w:rsid w:val="005942AE"/>
    <w:rsid w:val="0059491E"/>
    <w:rsid w:val="00595DC3"/>
    <w:rsid w:val="0059627E"/>
    <w:rsid w:val="00597512"/>
    <w:rsid w:val="00597DB8"/>
    <w:rsid w:val="005A026C"/>
    <w:rsid w:val="005A174B"/>
    <w:rsid w:val="005A2342"/>
    <w:rsid w:val="005A2747"/>
    <w:rsid w:val="005A2DEC"/>
    <w:rsid w:val="005A481A"/>
    <w:rsid w:val="005A5239"/>
    <w:rsid w:val="005A54AD"/>
    <w:rsid w:val="005A57D7"/>
    <w:rsid w:val="005A7CD9"/>
    <w:rsid w:val="005A7F8F"/>
    <w:rsid w:val="005B0E81"/>
    <w:rsid w:val="005B3430"/>
    <w:rsid w:val="005B3D2F"/>
    <w:rsid w:val="005B3FD5"/>
    <w:rsid w:val="005B4BC9"/>
    <w:rsid w:val="005B52CC"/>
    <w:rsid w:val="005B5334"/>
    <w:rsid w:val="005B58C9"/>
    <w:rsid w:val="005B5D12"/>
    <w:rsid w:val="005B73B1"/>
    <w:rsid w:val="005C0899"/>
    <w:rsid w:val="005C2B76"/>
    <w:rsid w:val="005C2DC3"/>
    <w:rsid w:val="005C51FE"/>
    <w:rsid w:val="005C6D33"/>
    <w:rsid w:val="005D0CD6"/>
    <w:rsid w:val="005D0DFF"/>
    <w:rsid w:val="005D0FA4"/>
    <w:rsid w:val="005D343B"/>
    <w:rsid w:val="005D4533"/>
    <w:rsid w:val="005D4B00"/>
    <w:rsid w:val="005D53DD"/>
    <w:rsid w:val="005D66DC"/>
    <w:rsid w:val="005D7960"/>
    <w:rsid w:val="005E0AA8"/>
    <w:rsid w:val="005E0E91"/>
    <w:rsid w:val="005E1343"/>
    <w:rsid w:val="005E18AE"/>
    <w:rsid w:val="005E1D3C"/>
    <w:rsid w:val="005E1F2E"/>
    <w:rsid w:val="005E3AC2"/>
    <w:rsid w:val="005E3CE8"/>
    <w:rsid w:val="005E3EF6"/>
    <w:rsid w:val="005E485B"/>
    <w:rsid w:val="005E4968"/>
    <w:rsid w:val="005E55ED"/>
    <w:rsid w:val="005E579C"/>
    <w:rsid w:val="005E6BF5"/>
    <w:rsid w:val="005E6C02"/>
    <w:rsid w:val="005E7191"/>
    <w:rsid w:val="005E7513"/>
    <w:rsid w:val="005E7DDF"/>
    <w:rsid w:val="005F34D9"/>
    <w:rsid w:val="005F3A5F"/>
    <w:rsid w:val="005F456B"/>
    <w:rsid w:val="005F4ADA"/>
    <w:rsid w:val="005F4EDD"/>
    <w:rsid w:val="005F50E8"/>
    <w:rsid w:val="005F7B27"/>
    <w:rsid w:val="00600053"/>
    <w:rsid w:val="00601265"/>
    <w:rsid w:val="006020CA"/>
    <w:rsid w:val="00602B60"/>
    <w:rsid w:val="0060311D"/>
    <w:rsid w:val="00604141"/>
    <w:rsid w:val="00604948"/>
    <w:rsid w:val="0060511E"/>
    <w:rsid w:val="0060626F"/>
    <w:rsid w:val="00606AF1"/>
    <w:rsid w:val="00606F54"/>
    <w:rsid w:val="00610527"/>
    <w:rsid w:val="006114A9"/>
    <w:rsid w:val="00612C34"/>
    <w:rsid w:val="006139E4"/>
    <w:rsid w:val="00614387"/>
    <w:rsid w:val="00614E81"/>
    <w:rsid w:val="006154C1"/>
    <w:rsid w:val="00615765"/>
    <w:rsid w:val="00616078"/>
    <w:rsid w:val="00616352"/>
    <w:rsid w:val="00616ABA"/>
    <w:rsid w:val="00616ED1"/>
    <w:rsid w:val="00616EE1"/>
    <w:rsid w:val="0061724E"/>
    <w:rsid w:val="006210E5"/>
    <w:rsid w:val="006213B0"/>
    <w:rsid w:val="00621BA2"/>
    <w:rsid w:val="006225FC"/>
    <w:rsid w:val="0062276F"/>
    <w:rsid w:val="00623527"/>
    <w:rsid w:val="00623B65"/>
    <w:rsid w:val="00623FBB"/>
    <w:rsid w:val="00624441"/>
    <w:rsid w:val="00624E06"/>
    <w:rsid w:val="00624EC1"/>
    <w:rsid w:val="0062589F"/>
    <w:rsid w:val="00625AE6"/>
    <w:rsid w:val="00630636"/>
    <w:rsid w:val="00631D1D"/>
    <w:rsid w:val="00632253"/>
    <w:rsid w:val="00632B5E"/>
    <w:rsid w:val="00632D72"/>
    <w:rsid w:val="00633197"/>
    <w:rsid w:val="00635458"/>
    <w:rsid w:val="00636DD3"/>
    <w:rsid w:val="0063706C"/>
    <w:rsid w:val="00640718"/>
    <w:rsid w:val="0064082E"/>
    <w:rsid w:val="0064098D"/>
    <w:rsid w:val="00640A58"/>
    <w:rsid w:val="0064249A"/>
    <w:rsid w:val="00642714"/>
    <w:rsid w:val="006430E5"/>
    <w:rsid w:val="00643790"/>
    <w:rsid w:val="006437DA"/>
    <w:rsid w:val="00644BF1"/>
    <w:rsid w:val="00644EE1"/>
    <w:rsid w:val="0064523F"/>
    <w:rsid w:val="006455CE"/>
    <w:rsid w:val="006469AA"/>
    <w:rsid w:val="00646BAE"/>
    <w:rsid w:val="00647587"/>
    <w:rsid w:val="00651366"/>
    <w:rsid w:val="00652097"/>
    <w:rsid w:val="00652A7C"/>
    <w:rsid w:val="00653769"/>
    <w:rsid w:val="00653CED"/>
    <w:rsid w:val="00655841"/>
    <w:rsid w:val="00655C30"/>
    <w:rsid w:val="006561D9"/>
    <w:rsid w:val="00656350"/>
    <w:rsid w:val="00657864"/>
    <w:rsid w:val="00660094"/>
    <w:rsid w:val="006623D8"/>
    <w:rsid w:val="00662E0A"/>
    <w:rsid w:val="00662FD9"/>
    <w:rsid w:val="00663321"/>
    <w:rsid w:val="0066372E"/>
    <w:rsid w:val="00663957"/>
    <w:rsid w:val="0066446A"/>
    <w:rsid w:val="006658BC"/>
    <w:rsid w:val="00666476"/>
    <w:rsid w:val="006665FF"/>
    <w:rsid w:val="00666886"/>
    <w:rsid w:val="006678AA"/>
    <w:rsid w:val="00670057"/>
    <w:rsid w:val="006709D5"/>
    <w:rsid w:val="0067123F"/>
    <w:rsid w:val="00671C89"/>
    <w:rsid w:val="00671DDA"/>
    <w:rsid w:val="00671F20"/>
    <w:rsid w:val="006726E6"/>
    <w:rsid w:val="006746FA"/>
    <w:rsid w:val="00677D15"/>
    <w:rsid w:val="006802BF"/>
    <w:rsid w:val="006803F5"/>
    <w:rsid w:val="0068057E"/>
    <w:rsid w:val="00681DF6"/>
    <w:rsid w:val="006839EE"/>
    <w:rsid w:val="00684CEB"/>
    <w:rsid w:val="00686D38"/>
    <w:rsid w:val="00686E7B"/>
    <w:rsid w:val="00690228"/>
    <w:rsid w:val="00690C67"/>
    <w:rsid w:val="00690DC2"/>
    <w:rsid w:val="00691111"/>
    <w:rsid w:val="006912D4"/>
    <w:rsid w:val="00693201"/>
    <w:rsid w:val="006932E8"/>
    <w:rsid w:val="00693A15"/>
    <w:rsid w:val="006966B7"/>
    <w:rsid w:val="006976A8"/>
    <w:rsid w:val="00697942"/>
    <w:rsid w:val="00697FF5"/>
    <w:rsid w:val="006A29AE"/>
    <w:rsid w:val="006A2E28"/>
    <w:rsid w:val="006A2F37"/>
    <w:rsid w:val="006A3C22"/>
    <w:rsid w:val="006A41F6"/>
    <w:rsid w:val="006A5925"/>
    <w:rsid w:val="006A59F5"/>
    <w:rsid w:val="006A5BC0"/>
    <w:rsid w:val="006A5EEB"/>
    <w:rsid w:val="006A7292"/>
    <w:rsid w:val="006B115C"/>
    <w:rsid w:val="006B4BD2"/>
    <w:rsid w:val="006C0224"/>
    <w:rsid w:val="006C04BE"/>
    <w:rsid w:val="006C1F39"/>
    <w:rsid w:val="006C350B"/>
    <w:rsid w:val="006C571A"/>
    <w:rsid w:val="006C5823"/>
    <w:rsid w:val="006C598E"/>
    <w:rsid w:val="006D06BB"/>
    <w:rsid w:val="006D284C"/>
    <w:rsid w:val="006D3496"/>
    <w:rsid w:val="006D455C"/>
    <w:rsid w:val="006D5018"/>
    <w:rsid w:val="006D5D88"/>
    <w:rsid w:val="006D62A6"/>
    <w:rsid w:val="006E0301"/>
    <w:rsid w:val="006E206E"/>
    <w:rsid w:val="006E2590"/>
    <w:rsid w:val="006E36A6"/>
    <w:rsid w:val="006E3EBB"/>
    <w:rsid w:val="006E4D18"/>
    <w:rsid w:val="006E5538"/>
    <w:rsid w:val="006E5985"/>
    <w:rsid w:val="006E61CA"/>
    <w:rsid w:val="006F00B7"/>
    <w:rsid w:val="006F03D9"/>
    <w:rsid w:val="006F0EF7"/>
    <w:rsid w:val="006F245B"/>
    <w:rsid w:val="006F342F"/>
    <w:rsid w:val="006F3501"/>
    <w:rsid w:val="006F37A5"/>
    <w:rsid w:val="006F37A6"/>
    <w:rsid w:val="006F4A61"/>
    <w:rsid w:val="006F5BB3"/>
    <w:rsid w:val="006F5DC0"/>
    <w:rsid w:val="007001A0"/>
    <w:rsid w:val="0070070B"/>
    <w:rsid w:val="00700A31"/>
    <w:rsid w:val="00700A9B"/>
    <w:rsid w:val="0070166F"/>
    <w:rsid w:val="0070171D"/>
    <w:rsid w:val="00701E9B"/>
    <w:rsid w:val="007037C2"/>
    <w:rsid w:val="007040B1"/>
    <w:rsid w:val="00704A38"/>
    <w:rsid w:val="00705366"/>
    <w:rsid w:val="00705C12"/>
    <w:rsid w:val="00705CBA"/>
    <w:rsid w:val="00705EA6"/>
    <w:rsid w:val="00706494"/>
    <w:rsid w:val="007064DE"/>
    <w:rsid w:val="007079F0"/>
    <w:rsid w:val="00710A3E"/>
    <w:rsid w:val="00710D6D"/>
    <w:rsid w:val="00711881"/>
    <w:rsid w:val="0071360D"/>
    <w:rsid w:val="00713A55"/>
    <w:rsid w:val="00713D9B"/>
    <w:rsid w:val="00713DBD"/>
    <w:rsid w:val="0071594C"/>
    <w:rsid w:val="00716BCB"/>
    <w:rsid w:val="00716E33"/>
    <w:rsid w:val="007207CA"/>
    <w:rsid w:val="00721FCF"/>
    <w:rsid w:val="00724579"/>
    <w:rsid w:val="00724889"/>
    <w:rsid w:val="007268E5"/>
    <w:rsid w:val="00727009"/>
    <w:rsid w:val="00732DE5"/>
    <w:rsid w:val="00733017"/>
    <w:rsid w:val="00733F51"/>
    <w:rsid w:val="007353D2"/>
    <w:rsid w:val="00736296"/>
    <w:rsid w:val="0073665C"/>
    <w:rsid w:val="0073679F"/>
    <w:rsid w:val="00740DA8"/>
    <w:rsid w:val="00742222"/>
    <w:rsid w:val="00743171"/>
    <w:rsid w:val="00743341"/>
    <w:rsid w:val="007435B0"/>
    <w:rsid w:val="00743ABA"/>
    <w:rsid w:val="00744A25"/>
    <w:rsid w:val="00744B11"/>
    <w:rsid w:val="007455DF"/>
    <w:rsid w:val="007460A1"/>
    <w:rsid w:val="0074678B"/>
    <w:rsid w:val="0075235A"/>
    <w:rsid w:val="00753B11"/>
    <w:rsid w:val="00754F30"/>
    <w:rsid w:val="00756A6E"/>
    <w:rsid w:val="00756F44"/>
    <w:rsid w:val="00757994"/>
    <w:rsid w:val="00761B31"/>
    <w:rsid w:val="00761E9C"/>
    <w:rsid w:val="007644E5"/>
    <w:rsid w:val="0076458E"/>
    <w:rsid w:val="007659D3"/>
    <w:rsid w:val="007671FB"/>
    <w:rsid w:val="00772467"/>
    <w:rsid w:val="007724EF"/>
    <w:rsid w:val="00772A2C"/>
    <w:rsid w:val="007739A4"/>
    <w:rsid w:val="00773BB7"/>
    <w:rsid w:val="0077422A"/>
    <w:rsid w:val="00774802"/>
    <w:rsid w:val="00776003"/>
    <w:rsid w:val="0077626C"/>
    <w:rsid w:val="00776C80"/>
    <w:rsid w:val="00777238"/>
    <w:rsid w:val="0077730E"/>
    <w:rsid w:val="0078079F"/>
    <w:rsid w:val="00781F1E"/>
    <w:rsid w:val="00782EA1"/>
    <w:rsid w:val="00783310"/>
    <w:rsid w:val="007834FB"/>
    <w:rsid w:val="007835CF"/>
    <w:rsid w:val="007845C5"/>
    <w:rsid w:val="00784754"/>
    <w:rsid w:val="007920C9"/>
    <w:rsid w:val="0079516C"/>
    <w:rsid w:val="00797608"/>
    <w:rsid w:val="00797BA6"/>
    <w:rsid w:val="007A02C3"/>
    <w:rsid w:val="007A0E3F"/>
    <w:rsid w:val="007A137E"/>
    <w:rsid w:val="007A16DD"/>
    <w:rsid w:val="007A3429"/>
    <w:rsid w:val="007A4A6D"/>
    <w:rsid w:val="007A4C75"/>
    <w:rsid w:val="007A5090"/>
    <w:rsid w:val="007A525D"/>
    <w:rsid w:val="007A7882"/>
    <w:rsid w:val="007A78DB"/>
    <w:rsid w:val="007A7DA3"/>
    <w:rsid w:val="007A7E20"/>
    <w:rsid w:val="007B00E2"/>
    <w:rsid w:val="007B0AEB"/>
    <w:rsid w:val="007B1796"/>
    <w:rsid w:val="007B1E84"/>
    <w:rsid w:val="007B212D"/>
    <w:rsid w:val="007B2CCB"/>
    <w:rsid w:val="007B3E00"/>
    <w:rsid w:val="007B43F1"/>
    <w:rsid w:val="007B45F4"/>
    <w:rsid w:val="007B4729"/>
    <w:rsid w:val="007B561F"/>
    <w:rsid w:val="007B5EE2"/>
    <w:rsid w:val="007B6067"/>
    <w:rsid w:val="007B7E3A"/>
    <w:rsid w:val="007C0463"/>
    <w:rsid w:val="007C1694"/>
    <w:rsid w:val="007C3DB4"/>
    <w:rsid w:val="007C4035"/>
    <w:rsid w:val="007C40BB"/>
    <w:rsid w:val="007C5B5E"/>
    <w:rsid w:val="007C5DEF"/>
    <w:rsid w:val="007C6BC1"/>
    <w:rsid w:val="007C784D"/>
    <w:rsid w:val="007D0429"/>
    <w:rsid w:val="007D103E"/>
    <w:rsid w:val="007D1BCF"/>
    <w:rsid w:val="007D2664"/>
    <w:rsid w:val="007D3C6C"/>
    <w:rsid w:val="007D49EA"/>
    <w:rsid w:val="007D55B7"/>
    <w:rsid w:val="007D5700"/>
    <w:rsid w:val="007D6869"/>
    <w:rsid w:val="007D6F52"/>
    <w:rsid w:val="007D75CF"/>
    <w:rsid w:val="007D7FD0"/>
    <w:rsid w:val="007E0440"/>
    <w:rsid w:val="007E09FE"/>
    <w:rsid w:val="007E0E0B"/>
    <w:rsid w:val="007E2053"/>
    <w:rsid w:val="007E2B52"/>
    <w:rsid w:val="007E32F7"/>
    <w:rsid w:val="007E3762"/>
    <w:rsid w:val="007E4437"/>
    <w:rsid w:val="007E49FF"/>
    <w:rsid w:val="007E56F8"/>
    <w:rsid w:val="007E5AC5"/>
    <w:rsid w:val="007E610C"/>
    <w:rsid w:val="007E6DC5"/>
    <w:rsid w:val="007E7A4B"/>
    <w:rsid w:val="007F1B77"/>
    <w:rsid w:val="007F259B"/>
    <w:rsid w:val="007F30D8"/>
    <w:rsid w:val="007F3DE4"/>
    <w:rsid w:val="007F49FB"/>
    <w:rsid w:val="007F59E8"/>
    <w:rsid w:val="007F63A8"/>
    <w:rsid w:val="007F693C"/>
    <w:rsid w:val="007F70DB"/>
    <w:rsid w:val="007F7D15"/>
    <w:rsid w:val="0080019E"/>
    <w:rsid w:val="00801154"/>
    <w:rsid w:val="00801B32"/>
    <w:rsid w:val="00802FDA"/>
    <w:rsid w:val="00803142"/>
    <w:rsid w:val="00803972"/>
    <w:rsid w:val="00803C11"/>
    <w:rsid w:val="00805547"/>
    <w:rsid w:val="00806D2A"/>
    <w:rsid w:val="008075C3"/>
    <w:rsid w:val="00810BE5"/>
    <w:rsid w:val="0081305A"/>
    <w:rsid w:val="008130CF"/>
    <w:rsid w:val="0081372A"/>
    <w:rsid w:val="00813A07"/>
    <w:rsid w:val="00813AE1"/>
    <w:rsid w:val="00813CDA"/>
    <w:rsid w:val="00814FD0"/>
    <w:rsid w:val="008153A2"/>
    <w:rsid w:val="008157BA"/>
    <w:rsid w:val="00816667"/>
    <w:rsid w:val="0081748B"/>
    <w:rsid w:val="00821493"/>
    <w:rsid w:val="008215AE"/>
    <w:rsid w:val="00822DDC"/>
    <w:rsid w:val="00823260"/>
    <w:rsid w:val="0082362F"/>
    <w:rsid w:val="0082394B"/>
    <w:rsid w:val="0082491D"/>
    <w:rsid w:val="00827EBD"/>
    <w:rsid w:val="0083077B"/>
    <w:rsid w:val="00830D84"/>
    <w:rsid w:val="008322E9"/>
    <w:rsid w:val="00832A4A"/>
    <w:rsid w:val="00832A4E"/>
    <w:rsid w:val="00832B22"/>
    <w:rsid w:val="00834DC2"/>
    <w:rsid w:val="00835265"/>
    <w:rsid w:val="00836D50"/>
    <w:rsid w:val="00836DAB"/>
    <w:rsid w:val="00836EDA"/>
    <w:rsid w:val="00837735"/>
    <w:rsid w:val="00837B21"/>
    <w:rsid w:val="0084017F"/>
    <w:rsid w:val="0084148F"/>
    <w:rsid w:val="00842726"/>
    <w:rsid w:val="008455D5"/>
    <w:rsid w:val="0084646F"/>
    <w:rsid w:val="00847374"/>
    <w:rsid w:val="00850651"/>
    <w:rsid w:val="00850946"/>
    <w:rsid w:val="00850AA3"/>
    <w:rsid w:val="00851FAA"/>
    <w:rsid w:val="00853D3E"/>
    <w:rsid w:val="0085517D"/>
    <w:rsid w:val="00855748"/>
    <w:rsid w:val="00855F11"/>
    <w:rsid w:val="00856AC0"/>
    <w:rsid w:val="00860116"/>
    <w:rsid w:val="00861708"/>
    <w:rsid w:val="00861BC0"/>
    <w:rsid w:val="00862543"/>
    <w:rsid w:val="00865274"/>
    <w:rsid w:val="008654C8"/>
    <w:rsid w:val="00867B8B"/>
    <w:rsid w:val="0087182F"/>
    <w:rsid w:val="00873266"/>
    <w:rsid w:val="008736EC"/>
    <w:rsid w:val="008762A6"/>
    <w:rsid w:val="00876DA9"/>
    <w:rsid w:val="008775E4"/>
    <w:rsid w:val="0088009F"/>
    <w:rsid w:val="0088043C"/>
    <w:rsid w:val="008808D2"/>
    <w:rsid w:val="00881502"/>
    <w:rsid w:val="0088207E"/>
    <w:rsid w:val="008822F7"/>
    <w:rsid w:val="0088377B"/>
    <w:rsid w:val="008838BF"/>
    <w:rsid w:val="00884889"/>
    <w:rsid w:val="00885919"/>
    <w:rsid w:val="0088671A"/>
    <w:rsid w:val="00886FC9"/>
    <w:rsid w:val="0088763E"/>
    <w:rsid w:val="008906C9"/>
    <w:rsid w:val="00890A99"/>
    <w:rsid w:val="00894551"/>
    <w:rsid w:val="00894E54"/>
    <w:rsid w:val="008956D0"/>
    <w:rsid w:val="008968B7"/>
    <w:rsid w:val="00897A0C"/>
    <w:rsid w:val="008A0924"/>
    <w:rsid w:val="008A0C8A"/>
    <w:rsid w:val="008A0EF4"/>
    <w:rsid w:val="008A1107"/>
    <w:rsid w:val="008A2395"/>
    <w:rsid w:val="008A244D"/>
    <w:rsid w:val="008A29A8"/>
    <w:rsid w:val="008A48F1"/>
    <w:rsid w:val="008A4939"/>
    <w:rsid w:val="008A49CB"/>
    <w:rsid w:val="008A5611"/>
    <w:rsid w:val="008A5B87"/>
    <w:rsid w:val="008A5CC8"/>
    <w:rsid w:val="008A5E5C"/>
    <w:rsid w:val="008A6171"/>
    <w:rsid w:val="008A6185"/>
    <w:rsid w:val="008A6F9A"/>
    <w:rsid w:val="008A77F2"/>
    <w:rsid w:val="008A791A"/>
    <w:rsid w:val="008A7A92"/>
    <w:rsid w:val="008B042E"/>
    <w:rsid w:val="008B1125"/>
    <w:rsid w:val="008B21B3"/>
    <w:rsid w:val="008B491A"/>
    <w:rsid w:val="008B6071"/>
    <w:rsid w:val="008B6349"/>
    <w:rsid w:val="008B6F4C"/>
    <w:rsid w:val="008B739A"/>
    <w:rsid w:val="008B7F26"/>
    <w:rsid w:val="008C051A"/>
    <w:rsid w:val="008C2D50"/>
    <w:rsid w:val="008C38BE"/>
    <w:rsid w:val="008C56FA"/>
    <w:rsid w:val="008C5738"/>
    <w:rsid w:val="008C586C"/>
    <w:rsid w:val="008C731C"/>
    <w:rsid w:val="008C78FB"/>
    <w:rsid w:val="008C7998"/>
    <w:rsid w:val="008D0022"/>
    <w:rsid w:val="008D04F0"/>
    <w:rsid w:val="008D05AD"/>
    <w:rsid w:val="008D0A6A"/>
    <w:rsid w:val="008D0E6D"/>
    <w:rsid w:val="008D1763"/>
    <w:rsid w:val="008D1F50"/>
    <w:rsid w:val="008D249D"/>
    <w:rsid w:val="008D28A6"/>
    <w:rsid w:val="008D2CE5"/>
    <w:rsid w:val="008D2D6A"/>
    <w:rsid w:val="008D3C70"/>
    <w:rsid w:val="008D536E"/>
    <w:rsid w:val="008D5EDB"/>
    <w:rsid w:val="008D7111"/>
    <w:rsid w:val="008D7C77"/>
    <w:rsid w:val="008D7FC0"/>
    <w:rsid w:val="008E1D78"/>
    <w:rsid w:val="008E33D4"/>
    <w:rsid w:val="008E3908"/>
    <w:rsid w:val="008E3BE0"/>
    <w:rsid w:val="008E4356"/>
    <w:rsid w:val="008E43CE"/>
    <w:rsid w:val="008E4620"/>
    <w:rsid w:val="008E4D59"/>
    <w:rsid w:val="008E52D7"/>
    <w:rsid w:val="008E555D"/>
    <w:rsid w:val="008E5CFD"/>
    <w:rsid w:val="008F2D91"/>
    <w:rsid w:val="008F3360"/>
    <w:rsid w:val="008F3500"/>
    <w:rsid w:val="008F3B61"/>
    <w:rsid w:val="008F44DD"/>
    <w:rsid w:val="008F68E4"/>
    <w:rsid w:val="008F74FF"/>
    <w:rsid w:val="0090048B"/>
    <w:rsid w:val="00900846"/>
    <w:rsid w:val="00900DCA"/>
    <w:rsid w:val="00901123"/>
    <w:rsid w:val="009022C4"/>
    <w:rsid w:val="00902C06"/>
    <w:rsid w:val="009030B7"/>
    <w:rsid w:val="009044EB"/>
    <w:rsid w:val="00904551"/>
    <w:rsid w:val="0090621B"/>
    <w:rsid w:val="00907583"/>
    <w:rsid w:val="0090784E"/>
    <w:rsid w:val="00907D04"/>
    <w:rsid w:val="00910D33"/>
    <w:rsid w:val="009126A0"/>
    <w:rsid w:val="00912A52"/>
    <w:rsid w:val="0091394D"/>
    <w:rsid w:val="00913E1F"/>
    <w:rsid w:val="00916471"/>
    <w:rsid w:val="0091791A"/>
    <w:rsid w:val="00917B51"/>
    <w:rsid w:val="009206FC"/>
    <w:rsid w:val="00920C72"/>
    <w:rsid w:val="00921BD2"/>
    <w:rsid w:val="009234D9"/>
    <w:rsid w:val="009243A5"/>
    <w:rsid w:val="009247FE"/>
    <w:rsid w:val="00924E3C"/>
    <w:rsid w:val="00926AF8"/>
    <w:rsid w:val="00927648"/>
    <w:rsid w:val="00927D03"/>
    <w:rsid w:val="00930C4D"/>
    <w:rsid w:val="00931786"/>
    <w:rsid w:val="009318C6"/>
    <w:rsid w:val="00932B18"/>
    <w:rsid w:val="0093344C"/>
    <w:rsid w:val="009351FC"/>
    <w:rsid w:val="0093545C"/>
    <w:rsid w:val="009357BF"/>
    <w:rsid w:val="009368A8"/>
    <w:rsid w:val="00936B7C"/>
    <w:rsid w:val="00937145"/>
    <w:rsid w:val="00937206"/>
    <w:rsid w:val="009379A6"/>
    <w:rsid w:val="00941445"/>
    <w:rsid w:val="00942755"/>
    <w:rsid w:val="0094316C"/>
    <w:rsid w:val="00943F96"/>
    <w:rsid w:val="00945084"/>
    <w:rsid w:val="00946AAA"/>
    <w:rsid w:val="009472D5"/>
    <w:rsid w:val="00947A6D"/>
    <w:rsid w:val="009500AC"/>
    <w:rsid w:val="009503C4"/>
    <w:rsid w:val="00950601"/>
    <w:rsid w:val="00951E6A"/>
    <w:rsid w:val="009520B6"/>
    <w:rsid w:val="009524CB"/>
    <w:rsid w:val="00952B47"/>
    <w:rsid w:val="00953278"/>
    <w:rsid w:val="00953383"/>
    <w:rsid w:val="0095485F"/>
    <w:rsid w:val="00954886"/>
    <w:rsid w:val="00955471"/>
    <w:rsid w:val="00956A5A"/>
    <w:rsid w:val="00957C78"/>
    <w:rsid w:val="00957FA8"/>
    <w:rsid w:val="009611AC"/>
    <w:rsid w:val="009612BB"/>
    <w:rsid w:val="00962044"/>
    <w:rsid w:val="00962CA4"/>
    <w:rsid w:val="009639B7"/>
    <w:rsid w:val="0096428C"/>
    <w:rsid w:val="009642F3"/>
    <w:rsid w:val="00964B68"/>
    <w:rsid w:val="009651C0"/>
    <w:rsid w:val="00967D35"/>
    <w:rsid w:val="00970B5C"/>
    <w:rsid w:val="00970BB6"/>
    <w:rsid w:val="00970F96"/>
    <w:rsid w:val="00971F7D"/>
    <w:rsid w:val="0097207A"/>
    <w:rsid w:val="00972CD7"/>
    <w:rsid w:val="00972F24"/>
    <w:rsid w:val="009747A0"/>
    <w:rsid w:val="00974F63"/>
    <w:rsid w:val="00975498"/>
    <w:rsid w:val="009763E9"/>
    <w:rsid w:val="00976552"/>
    <w:rsid w:val="009800E5"/>
    <w:rsid w:val="00980107"/>
    <w:rsid w:val="009807D6"/>
    <w:rsid w:val="00982B19"/>
    <w:rsid w:val="00982F38"/>
    <w:rsid w:val="00983231"/>
    <w:rsid w:val="00983F83"/>
    <w:rsid w:val="0098403C"/>
    <w:rsid w:val="0098478B"/>
    <w:rsid w:val="00985F27"/>
    <w:rsid w:val="009865D4"/>
    <w:rsid w:val="009867AD"/>
    <w:rsid w:val="00986C6B"/>
    <w:rsid w:val="00986DEC"/>
    <w:rsid w:val="009870E1"/>
    <w:rsid w:val="00987AA6"/>
    <w:rsid w:val="00990477"/>
    <w:rsid w:val="0099158E"/>
    <w:rsid w:val="009916FF"/>
    <w:rsid w:val="00993FF7"/>
    <w:rsid w:val="00995B56"/>
    <w:rsid w:val="00995D19"/>
    <w:rsid w:val="00995EC7"/>
    <w:rsid w:val="009A1F3E"/>
    <w:rsid w:val="009A3035"/>
    <w:rsid w:val="009A3734"/>
    <w:rsid w:val="009A3B88"/>
    <w:rsid w:val="009A3F1A"/>
    <w:rsid w:val="009A4669"/>
    <w:rsid w:val="009A53F9"/>
    <w:rsid w:val="009A5796"/>
    <w:rsid w:val="009A6B2A"/>
    <w:rsid w:val="009A739E"/>
    <w:rsid w:val="009A7723"/>
    <w:rsid w:val="009A7E04"/>
    <w:rsid w:val="009B029F"/>
    <w:rsid w:val="009B122C"/>
    <w:rsid w:val="009B1340"/>
    <w:rsid w:val="009B1447"/>
    <w:rsid w:val="009B3326"/>
    <w:rsid w:val="009B33AD"/>
    <w:rsid w:val="009B3BFF"/>
    <w:rsid w:val="009B48CF"/>
    <w:rsid w:val="009B4E69"/>
    <w:rsid w:val="009B5234"/>
    <w:rsid w:val="009B7BE9"/>
    <w:rsid w:val="009C0E93"/>
    <w:rsid w:val="009C17FD"/>
    <w:rsid w:val="009C1F6F"/>
    <w:rsid w:val="009C32FA"/>
    <w:rsid w:val="009C50E9"/>
    <w:rsid w:val="009C5786"/>
    <w:rsid w:val="009C647C"/>
    <w:rsid w:val="009C740A"/>
    <w:rsid w:val="009C7DB6"/>
    <w:rsid w:val="009D07CE"/>
    <w:rsid w:val="009D0E8A"/>
    <w:rsid w:val="009D1593"/>
    <w:rsid w:val="009D3335"/>
    <w:rsid w:val="009D3C8A"/>
    <w:rsid w:val="009D40A4"/>
    <w:rsid w:val="009D4383"/>
    <w:rsid w:val="009D469E"/>
    <w:rsid w:val="009D4AE4"/>
    <w:rsid w:val="009D577D"/>
    <w:rsid w:val="009D5B6D"/>
    <w:rsid w:val="009D5FB1"/>
    <w:rsid w:val="009D7A23"/>
    <w:rsid w:val="009D7B1F"/>
    <w:rsid w:val="009E0097"/>
    <w:rsid w:val="009E0507"/>
    <w:rsid w:val="009E2E00"/>
    <w:rsid w:val="009E33B6"/>
    <w:rsid w:val="009E4499"/>
    <w:rsid w:val="009E4FC5"/>
    <w:rsid w:val="009E582B"/>
    <w:rsid w:val="009E6088"/>
    <w:rsid w:val="009E6844"/>
    <w:rsid w:val="009E6E75"/>
    <w:rsid w:val="009E73B0"/>
    <w:rsid w:val="009F057E"/>
    <w:rsid w:val="009F0ED7"/>
    <w:rsid w:val="009F1391"/>
    <w:rsid w:val="009F3335"/>
    <w:rsid w:val="009F342B"/>
    <w:rsid w:val="009F4098"/>
    <w:rsid w:val="009F4C18"/>
    <w:rsid w:val="009F7576"/>
    <w:rsid w:val="00A00A76"/>
    <w:rsid w:val="00A00AC2"/>
    <w:rsid w:val="00A00AF6"/>
    <w:rsid w:val="00A02A91"/>
    <w:rsid w:val="00A04460"/>
    <w:rsid w:val="00A0462C"/>
    <w:rsid w:val="00A05288"/>
    <w:rsid w:val="00A05492"/>
    <w:rsid w:val="00A062F7"/>
    <w:rsid w:val="00A066B9"/>
    <w:rsid w:val="00A109E4"/>
    <w:rsid w:val="00A125C5"/>
    <w:rsid w:val="00A12656"/>
    <w:rsid w:val="00A13182"/>
    <w:rsid w:val="00A140BC"/>
    <w:rsid w:val="00A15C41"/>
    <w:rsid w:val="00A15ED1"/>
    <w:rsid w:val="00A1615B"/>
    <w:rsid w:val="00A165CC"/>
    <w:rsid w:val="00A1738E"/>
    <w:rsid w:val="00A200D7"/>
    <w:rsid w:val="00A2042D"/>
    <w:rsid w:val="00A2047D"/>
    <w:rsid w:val="00A21EF4"/>
    <w:rsid w:val="00A23FAC"/>
    <w:rsid w:val="00A244D4"/>
    <w:rsid w:val="00A2451C"/>
    <w:rsid w:val="00A25AA6"/>
    <w:rsid w:val="00A25BAB"/>
    <w:rsid w:val="00A25C20"/>
    <w:rsid w:val="00A262D0"/>
    <w:rsid w:val="00A271B8"/>
    <w:rsid w:val="00A3059B"/>
    <w:rsid w:val="00A318AB"/>
    <w:rsid w:val="00A32B67"/>
    <w:rsid w:val="00A32C95"/>
    <w:rsid w:val="00A33215"/>
    <w:rsid w:val="00A3443A"/>
    <w:rsid w:val="00A34C99"/>
    <w:rsid w:val="00A352BA"/>
    <w:rsid w:val="00A35B7C"/>
    <w:rsid w:val="00A36D6A"/>
    <w:rsid w:val="00A374F3"/>
    <w:rsid w:val="00A37918"/>
    <w:rsid w:val="00A4068D"/>
    <w:rsid w:val="00A40F78"/>
    <w:rsid w:val="00A41507"/>
    <w:rsid w:val="00A42936"/>
    <w:rsid w:val="00A42C62"/>
    <w:rsid w:val="00A43EF7"/>
    <w:rsid w:val="00A443F9"/>
    <w:rsid w:val="00A44814"/>
    <w:rsid w:val="00A44A16"/>
    <w:rsid w:val="00A44D0A"/>
    <w:rsid w:val="00A45136"/>
    <w:rsid w:val="00A45212"/>
    <w:rsid w:val="00A45485"/>
    <w:rsid w:val="00A45B18"/>
    <w:rsid w:val="00A46262"/>
    <w:rsid w:val="00A46EA6"/>
    <w:rsid w:val="00A510BA"/>
    <w:rsid w:val="00A51885"/>
    <w:rsid w:val="00A529D0"/>
    <w:rsid w:val="00A52E73"/>
    <w:rsid w:val="00A532F5"/>
    <w:rsid w:val="00A53386"/>
    <w:rsid w:val="00A54378"/>
    <w:rsid w:val="00A54EB5"/>
    <w:rsid w:val="00A558D3"/>
    <w:rsid w:val="00A564CF"/>
    <w:rsid w:val="00A56524"/>
    <w:rsid w:val="00A60ADC"/>
    <w:rsid w:val="00A61FE6"/>
    <w:rsid w:val="00A62530"/>
    <w:rsid w:val="00A64B60"/>
    <w:rsid w:val="00A655A5"/>
    <w:rsid w:val="00A65702"/>
    <w:rsid w:val="00A6598B"/>
    <w:rsid w:val="00A65DAF"/>
    <w:rsid w:val="00A65EE7"/>
    <w:rsid w:val="00A666FB"/>
    <w:rsid w:val="00A670DD"/>
    <w:rsid w:val="00A678D9"/>
    <w:rsid w:val="00A70133"/>
    <w:rsid w:val="00A70C21"/>
    <w:rsid w:val="00A71428"/>
    <w:rsid w:val="00A71BFC"/>
    <w:rsid w:val="00A753A3"/>
    <w:rsid w:val="00A758AA"/>
    <w:rsid w:val="00A759B8"/>
    <w:rsid w:val="00A76CBB"/>
    <w:rsid w:val="00A770A6"/>
    <w:rsid w:val="00A77411"/>
    <w:rsid w:val="00A77887"/>
    <w:rsid w:val="00A80286"/>
    <w:rsid w:val="00A80FD4"/>
    <w:rsid w:val="00A813B1"/>
    <w:rsid w:val="00A82B81"/>
    <w:rsid w:val="00A82C06"/>
    <w:rsid w:val="00A83329"/>
    <w:rsid w:val="00A8524E"/>
    <w:rsid w:val="00A86544"/>
    <w:rsid w:val="00A868DB"/>
    <w:rsid w:val="00A874EB"/>
    <w:rsid w:val="00A874F1"/>
    <w:rsid w:val="00A90A15"/>
    <w:rsid w:val="00A91969"/>
    <w:rsid w:val="00A9208A"/>
    <w:rsid w:val="00A920D2"/>
    <w:rsid w:val="00A928AA"/>
    <w:rsid w:val="00A939D5"/>
    <w:rsid w:val="00A9486E"/>
    <w:rsid w:val="00A94A2E"/>
    <w:rsid w:val="00A955FD"/>
    <w:rsid w:val="00A96761"/>
    <w:rsid w:val="00A97183"/>
    <w:rsid w:val="00A972DD"/>
    <w:rsid w:val="00A97B16"/>
    <w:rsid w:val="00AA1874"/>
    <w:rsid w:val="00AA261D"/>
    <w:rsid w:val="00AA2867"/>
    <w:rsid w:val="00AA2B66"/>
    <w:rsid w:val="00AA2C06"/>
    <w:rsid w:val="00AA3218"/>
    <w:rsid w:val="00AA4210"/>
    <w:rsid w:val="00AA44E1"/>
    <w:rsid w:val="00AA665D"/>
    <w:rsid w:val="00AA6A40"/>
    <w:rsid w:val="00AA7983"/>
    <w:rsid w:val="00AB02CD"/>
    <w:rsid w:val="00AB13E2"/>
    <w:rsid w:val="00AB1F7B"/>
    <w:rsid w:val="00AB2C61"/>
    <w:rsid w:val="00AB2DA9"/>
    <w:rsid w:val="00AB36C4"/>
    <w:rsid w:val="00AB3983"/>
    <w:rsid w:val="00AB4F2C"/>
    <w:rsid w:val="00AB5A15"/>
    <w:rsid w:val="00AB5B86"/>
    <w:rsid w:val="00AB72ED"/>
    <w:rsid w:val="00AC112E"/>
    <w:rsid w:val="00AC1D8E"/>
    <w:rsid w:val="00AC1DFE"/>
    <w:rsid w:val="00AC32B2"/>
    <w:rsid w:val="00AC384C"/>
    <w:rsid w:val="00AC4280"/>
    <w:rsid w:val="00AC627F"/>
    <w:rsid w:val="00AC6C1D"/>
    <w:rsid w:val="00AC6D48"/>
    <w:rsid w:val="00AC7656"/>
    <w:rsid w:val="00AC7672"/>
    <w:rsid w:val="00AD004D"/>
    <w:rsid w:val="00AD088F"/>
    <w:rsid w:val="00AD0C74"/>
    <w:rsid w:val="00AD14CD"/>
    <w:rsid w:val="00AD1F70"/>
    <w:rsid w:val="00AD21A1"/>
    <w:rsid w:val="00AD23D3"/>
    <w:rsid w:val="00AD2914"/>
    <w:rsid w:val="00AD38A0"/>
    <w:rsid w:val="00AD39D9"/>
    <w:rsid w:val="00AD41E3"/>
    <w:rsid w:val="00AD4EB4"/>
    <w:rsid w:val="00AD51D8"/>
    <w:rsid w:val="00AD57CC"/>
    <w:rsid w:val="00AD6190"/>
    <w:rsid w:val="00AD64F3"/>
    <w:rsid w:val="00AD69F3"/>
    <w:rsid w:val="00AD72DC"/>
    <w:rsid w:val="00AE053A"/>
    <w:rsid w:val="00AE1F19"/>
    <w:rsid w:val="00AE1F47"/>
    <w:rsid w:val="00AE23E4"/>
    <w:rsid w:val="00AE2B02"/>
    <w:rsid w:val="00AE476E"/>
    <w:rsid w:val="00AE5A60"/>
    <w:rsid w:val="00AE6D12"/>
    <w:rsid w:val="00AF118C"/>
    <w:rsid w:val="00AF1FA4"/>
    <w:rsid w:val="00AF2713"/>
    <w:rsid w:val="00AF28A4"/>
    <w:rsid w:val="00AF2982"/>
    <w:rsid w:val="00AF3A50"/>
    <w:rsid w:val="00AF5184"/>
    <w:rsid w:val="00AF5A7A"/>
    <w:rsid w:val="00AF7E18"/>
    <w:rsid w:val="00B00786"/>
    <w:rsid w:val="00B0083C"/>
    <w:rsid w:val="00B00909"/>
    <w:rsid w:val="00B01660"/>
    <w:rsid w:val="00B01930"/>
    <w:rsid w:val="00B01A6D"/>
    <w:rsid w:val="00B02E62"/>
    <w:rsid w:val="00B06E8D"/>
    <w:rsid w:val="00B07411"/>
    <w:rsid w:val="00B1135E"/>
    <w:rsid w:val="00B1251B"/>
    <w:rsid w:val="00B1274C"/>
    <w:rsid w:val="00B12E9D"/>
    <w:rsid w:val="00B13AFB"/>
    <w:rsid w:val="00B13E11"/>
    <w:rsid w:val="00B14CD8"/>
    <w:rsid w:val="00B159A9"/>
    <w:rsid w:val="00B16724"/>
    <w:rsid w:val="00B17141"/>
    <w:rsid w:val="00B17F89"/>
    <w:rsid w:val="00B20367"/>
    <w:rsid w:val="00B20379"/>
    <w:rsid w:val="00B22E02"/>
    <w:rsid w:val="00B233F5"/>
    <w:rsid w:val="00B2434D"/>
    <w:rsid w:val="00B243CF"/>
    <w:rsid w:val="00B256CE"/>
    <w:rsid w:val="00B262FE"/>
    <w:rsid w:val="00B26B13"/>
    <w:rsid w:val="00B30B96"/>
    <w:rsid w:val="00B30C68"/>
    <w:rsid w:val="00B31192"/>
    <w:rsid w:val="00B311BA"/>
    <w:rsid w:val="00B31281"/>
    <w:rsid w:val="00B31575"/>
    <w:rsid w:val="00B315B8"/>
    <w:rsid w:val="00B32518"/>
    <w:rsid w:val="00B32823"/>
    <w:rsid w:val="00B337F2"/>
    <w:rsid w:val="00B345F6"/>
    <w:rsid w:val="00B373A4"/>
    <w:rsid w:val="00B37FF2"/>
    <w:rsid w:val="00B409C9"/>
    <w:rsid w:val="00B40DAC"/>
    <w:rsid w:val="00B421A2"/>
    <w:rsid w:val="00B42E6D"/>
    <w:rsid w:val="00B434C3"/>
    <w:rsid w:val="00B43B48"/>
    <w:rsid w:val="00B43E26"/>
    <w:rsid w:val="00B449AE"/>
    <w:rsid w:val="00B44D7C"/>
    <w:rsid w:val="00B476FE"/>
    <w:rsid w:val="00B47871"/>
    <w:rsid w:val="00B507AB"/>
    <w:rsid w:val="00B50B44"/>
    <w:rsid w:val="00B5132F"/>
    <w:rsid w:val="00B516B7"/>
    <w:rsid w:val="00B52717"/>
    <w:rsid w:val="00B53E88"/>
    <w:rsid w:val="00B54ABD"/>
    <w:rsid w:val="00B56F42"/>
    <w:rsid w:val="00B578DF"/>
    <w:rsid w:val="00B61458"/>
    <w:rsid w:val="00B61707"/>
    <w:rsid w:val="00B624D9"/>
    <w:rsid w:val="00B657D0"/>
    <w:rsid w:val="00B664C1"/>
    <w:rsid w:val="00B674A9"/>
    <w:rsid w:val="00B70E38"/>
    <w:rsid w:val="00B71199"/>
    <w:rsid w:val="00B72FDA"/>
    <w:rsid w:val="00B73F1F"/>
    <w:rsid w:val="00B74204"/>
    <w:rsid w:val="00B750A5"/>
    <w:rsid w:val="00B75B2A"/>
    <w:rsid w:val="00B801B3"/>
    <w:rsid w:val="00B809F7"/>
    <w:rsid w:val="00B80DB7"/>
    <w:rsid w:val="00B82745"/>
    <w:rsid w:val="00B84195"/>
    <w:rsid w:val="00B8547D"/>
    <w:rsid w:val="00B85770"/>
    <w:rsid w:val="00B85812"/>
    <w:rsid w:val="00B85C9B"/>
    <w:rsid w:val="00B86551"/>
    <w:rsid w:val="00B87D71"/>
    <w:rsid w:val="00B900F9"/>
    <w:rsid w:val="00B903B0"/>
    <w:rsid w:val="00B90841"/>
    <w:rsid w:val="00B909CD"/>
    <w:rsid w:val="00B90BC6"/>
    <w:rsid w:val="00B90CE6"/>
    <w:rsid w:val="00B922A9"/>
    <w:rsid w:val="00B92AA8"/>
    <w:rsid w:val="00B9338C"/>
    <w:rsid w:val="00B93A21"/>
    <w:rsid w:val="00B9454D"/>
    <w:rsid w:val="00B95326"/>
    <w:rsid w:val="00B95C8F"/>
    <w:rsid w:val="00B960F2"/>
    <w:rsid w:val="00B969C0"/>
    <w:rsid w:val="00B97C11"/>
    <w:rsid w:val="00B97DF0"/>
    <w:rsid w:val="00BA1F3B"/>
    <w:rsid w:val="00BA225B"/>
    <w:rsid w:val="00BA3676"/>
    <w:rsid w:val="00BA4BA4"/>
    <w:rsid w:val="00BA5740"/>
    <w:rsid w:val="00BA5967"/>
    <w:rsid w:val="00BA5B07"/>
    <w:rsid w:val="00BA6FBD"/>
    <w:rsid w:val="00BA712C"/>
    <w:rsid w:val="00BA794A"/>
    <w:rsid w:val="00BB0B18"/>
    <w:rsid w:val="00BB12E6"/>
    <w:rsid w:val="00BB1C4B"/>
    <w:rsid w:val="00BB2A32"/>
    <w:rsid w:val="00BB3D51"/>
    <w:rsid w:val="00BB406E"/>
    <w:rsid w:val="00BB49FB"/>
    <w:rsid w:val="00BB4CA0"/>
    <w:rsid w:val="00BB7450"/>
    <w:rsid w:val="00BC0121"/>
    <w:rsid w:val="00BC0397"/>
    <w:rsid w:val="00BC2147"/>
    <w:rsid w:val="00BC3126"/>
    <w:rsid w:val="00BC325A"/>
    <w:rsid w:val="00BC3608"/>
    <w:rsid w:val="00BC5991"/>
    <w:rsid w:val="00BC5A0B"/>
    <w:rsid w:val="00BC6739"/>
    <w:rsid w:val="00BC70D8"/>
    <w:rsid w:val="00BD0ED0"/>
    <w:rsid w:val="00BD2403"/>
    <w:rsid w:val="00BD2A6F"/>
    <w:rsid w:val="00BD3931"/>
    <w:rsid w:val="00BD415D"/>
    <w:rsid w:val="00BD41F4"/>
    <w:rsid w:val="00BD46E0"/>
    <w:rsid w:val="00BD55C4"/>
    <w:rsid w:val="00BD6936"/>
    <w:rsid w:val="00BD6D4D"/>
    <w:rsid w:val="00BD6DD3"/>
    <w:rsid w:val="00BD7D44"/>
    <w:rsid w:val="00BD7F51"/>
    <w:rsid w:val="00BE0A8E"/>
    <w:rsid w:val="00BE0F6D"/>
    <w:rsid w:val="00BE1610"/>
    <w:rsid w:val="00BE21E3"/>
    <w:rsid w:val="00BE24C4"/>
    <w:rsid w:val="00BE318E"/>
    <w:rsid w:val="00BE402C"/>
    <w:rsid w:val="00BE5694"/>
    <w:rsid w:val="00BE58F5"/>
    <w:rsid w:val="00BE681B"/>
    <w:rsid w:val="00BE793E"/>
    <w:rsid w:val="00BF05B8"/>
    <w:rsid w:val="00BF0CCD"/>
    <w:rsid w:val="00BF221D"/>
    <w:rsid w:val="00BF25C8"/>
    <w:rsid w:val="00BF2949"/>
    <w:rsid w:val="00BF2F5E"/>
    <w:rsid w:val="00BF3F93"/>
    <w:rsid w:val="00BF4FA9"/>
    <w:rsid w:val="00BF5297"/>
    <w:rsid w:val="00BF6102"/>
    <w:rsid w:val="00BF6D16"/>
    <w:rsid w:val="00BF794C"/>
    <w:rsid w:val="00C009AA"/>
    <w:rsid w:val="00C0103B"/>
    <w:rsid w:val="00C011A2"/>
    <w:rsid w:val="00C014FC"/>
    <w:rsid w:val="00C02772"/>
    <w:rsid w:val="00C03315"/>
    <w:rsid w:val="00C04078"/>
    <w:rsid w:val="00C04421"/>
    <w:rsid w:val="00C04C64"/>
    <w:rsid w:val="00C04FE2"/>
    <w:rsid w:val="00C0513A"/>
    <w:rsid w:val="00C06967"/>
    <w:rsid w:val="00C073F2"/>
    <w:rsid w:val="00C1005D"/>
    <w:rsid w:val="00C11092"/>
    <w:rsid w:val="00C118EC"/>
    <w:rsid w:val="00C11CCF"/>
    <w:rsid w:val="00C12D05"/>
    <w:rsid w:val="00C13D14"/>
    <w:rsid w:val="00C154AB"/>
    <w:rsid w:val="00C15C70"/>
    <w:rsid w:val="00C16953"/>
    <w:rsid w:val="00C16B21"/>
    <w:rsid w:val="00C179E0"/>
    <w:rsid w:val="00C20A44"/>
    <w:rsid w:val="00C20C5B"/>
    <w:rsid w:val="00C218AB"/>
    <w:rsid w:val="00C22F95"/>
    <w:rsid w:val="00C23423"/>
    <w:rsid w:val="00C23AD7"/>
    <w:rsid w:val="00C23FFB"/>
    <w:rsid w:val="00C24B9C"/>
    <w:rsid w:val="00C2509F"/>
    <w:rsid w:val="00C250D5"/>
    <w:rsid w:val="00C2527E"/>
    <w:rsid w:val="00C26929"/>
    <w:rsid w:val="00C27EB1"/>
    <w:rsid w:val="00C3007A"/>
    <w:rsid w:val="00C3018A"/>
    <w:rsid w:val="00C30875"/>
    <w:rsid w:val="00C31C0E"/>
    <w:rsid w:val="00C325EF"/>
    <w:rsid w:val="00C32B5A"/>
    <w:rsid w:val="00C33572"/>
    <w:rsid w:val="00C33DEA"/>
    <w:rsid w:val="00C35666"/>
    <w:rsid w:val="00C37074"/>
    <w:rsid w:val="00C3717E"/>
    <w:rsid w:val="00C37C3B"/>
    <w:rsid w:val="00C37F7C"/>
    <w:rsid w:val="00C40311"/>
    <w:rsid w:val="00C40722"/>
    <w:rsid w:val="00C40EAA"/>
    <w:rsid w:val="00C41F82"/>
    <w:rsid w:val="00C420E3"/>
    <w:rsid w:val="00C4377A"/>
    <w:rsid w:val="00C44E1E"/>
    <w:rsid w:val="00C45A91"/>
    <w:rsid w:val="00C51FE7"/>
    <w:rsid w:val="00C52002"/>
    <w:rsid w:val="00C52C33"/>
    <w:rsid w:val="00C52C34"/>
    <w:rsid w:val="00C55CA0"/>
    <w:rsid w:val="00C56E60"/>
    <w:rsid w:val="00C5742E"/>
    <w:rsid w:val="00C6059E"/>
    <w:rsid w:val="00C60656"/>
    <w:rsid w:val="00C62606"/>
    <w:rsid w:val="00C6346A"/>
    <w:rsid w:val="00C63B60"/>
    <w:rsid w:val="00C652F8"/>
    <w:rsid w:val="00C654AF"/>
    <w:rsid w:val="00C6556F"/>
    <w:rsid w:val="00C65ED7"/>
    <w:rsid w:val="00C665F0"/>
    <w:rsid w:val="00C705FA"/>
    <w:rsid w:val="00C717C7"/>
    <w:rsid w:val="00C71BCC"/>
    <w:rsid w:val="00C73360"/>
    <w:rsid w:val="00C734FB"/>
    <w:rsid w:val="00C73F54"/>
    <w:rsid w:val="00C74EB6"/>
    <w:rsid w:val="00C75027"/>
    <w:rsid w:val="00C7667F"/>
    <w:rsid w:val="00C76DDB"/>
    <w:rsid w:val="00C7702E"/>
    <w:rsid w:val="00C77526"/>
    <w:rsid w:val="00C77749"/>
    <w:rsid w:val="00C80310"/>
    <w:rsid w:val="00C804C7"/>
    <w:rsid w:val="00C80AE7"/>
    <w:rsid w:val="00C80D77"/>
    <w:rsid w:val="00C80DAB"/>
    <w:rsid w:val="00C80DF0"/>
    <w:rsid w:val="00C82625"/>
    <w:rsid w:val="00C82A83"/>
    <w:rsid w:val="00C833C9"/>
    <w:rsid w:val="00C837B3"/>
    <w:rsid w:val="00C8493C"/>
    <w:rsid w:val="00C86174"/>
    <w:rsid w:val="00C86E9B"/>
    <w:rsid w:val="00C877B2"/>
    <w:rsid w:val="00C90399"/>
    <w:rsid w:val="00C90773"/>
    <w:rsid w:val="00C90BD0"/>
    <w:rsid w:val="00C9101E"/>
    <w:rsid w:val="00C91980"/>
    <w:rsid w:val="00C92898"/>
    <w:rsid w:val="00C92D5C"/>
    <w:rsid w:val="00C93289"/>
    <w:rsid w:val="00C933B6"/>
    <w:rsid w:val="00C93A18"/>
    <w:rsid w:val="00C93AE0"/>
    <w:rsid w:val="00C94593"/>
    <w:rsid w:val="00C94B68"/>
    <w:rsid w:val="00C94CC4"/>
    <w:rsid w:val="00C961A6"/>
    <w:rsid w:val="00C97CDC"/>
    <w:rsid w:val="00C97E9A"/>
    <w:rsid w:val="00CA1958"/>
    <w:rsid w:val="00CA283C"/>
    <w:rsid w:val="00CA2F7F"/>
    <w:rsid w:val="00CA4340"/>
    <w:rsid w:val="00CA43CF"/>
    <w:rsid w:val="00CA48FC"/>
    <w:rsid w:val="00CA55A6"/>
    <w:rsid w:val="00CA6186"/>
    <w:rsid w:val="00CA62BE"/>
    <w:rsid w:val="00CA65AE"/>
    <w:rsid w:val="00CA6D79"/>
    <w:rsid w:val="00CA725E"/>
    <w:rsid w:val="00CA775D"/>
    <w:rsid w:val="00CA7B78"/>
    <w:rsid w:val="00CA7ECF"/>
    <w:rsid w:val="00CB009A"/>
    <w:rsid w:val="00CB040B"/>
    <w:rsid w:val="00CB0602"/>
    <w:rsid w:val="00CB19D5"/>
    <w:rsid w:val="00CB1D45"/>
    <w:rsid w:val="00CB262B"/>
    <w:rsid w:val="00CB2B47"/>
    <w:rsid w:val="00CB2FC3"/>
    <w:rsid w:val="00CB355F"/>
    <w:rsid w:val="00CB3DE0"/>
    <w:rsid w:val="00CB40CC"/>
    <w:rsid w:val="00CB575E"/>
    <w:rsid w:val="00CC0319"/>
    <w:rsid w:val="00CC162E"/>
    <w:rsid w:val="00CC2198"/>
    <w:rsid w:val="00CC2843"/>
    <w:rsid w:val="00CC32F1"/>
    <w:rsid w:val="00CC3A9E"/>
    <w:rsid w:val="00CC3F6C"/>
    <w:rsid w:val="00CC55DD"/>
    <w:rsid w:val="00CC5790"/>
    <w:rsid w:val="00CC5A36"/>
    <w:rsid w:val="00CC632B"/>
    <w:rsid w:val="00CD01AF"/>
    <w:rsid w:val="00CD0699"/>
    <w:rsid w:val="00CD1111"/>
    <w:rsid w:val="00CD11E6"/>
    <w:rsid w:val="00CD1A7E"/>
    <w:rsid w:val="00CD2710"/>
    <w:rsid w:val="00CD2A62"/>
    <w:rsid w:val="00CD41E6"/>
    <w:rsid w:val="00CD6631"/>
    <w:rsid w:val="00CD740D"/>
    <w:rsid w:val="00CE0530"/>
    <w:rsid w:val="00CE06FE"/>
    <w:rsid w:val="00CE3B28"/>
    <w:rsid w:val="00CE5238"/>
    <w:rsid w:val="00CE5AA8"/>
    <w:rsid w:val="00CE5B0A"/>
    <w:rsid w:val="00CE70FC"/>
    <w:rsid w:val="00CE736C"/>
    <w:rsid w:val="00CE7514"/>
    <w:rsid w:val="00CE7C67"/>
    <w:rsid w:val="00CF08ED"/>
    <w:rsid w:val="00CF0DB5"/>
    <w:rsid w:val="00CF2A0A"/>
    <w:rsid w:val="00CF3AED"/>
    <w:rsid w:val="00CF3CAE"/>
    <w:rsid w:val="00CF5327"/>
    <w:rsid w:val="00CF542A"/>
    <w:rsid w:val="00CF5B18"/>
    <w:rsid w:val="00CF7222"/>
    <w:rsid w:val="00CF72A1"/>
    <w:rsid w:val="00CF7646"/>
    <w:rsid w:val="00CF7664"/>
    <w:rsid w:val="00CF7979"/>
    <w:rsid w:val="00D0064B"/>
    <w:rsid w:val="00D00CFE"/>
    <w:rsid w:val="00D0126A"/>
    <w:rsid w:val="00D01538"/>
    <w:rsid w:val="00D02D54"/>
    <w:rsid w:val="00D04605"/>
    <w:rsid w:val="00D05370"/>
    <w:rsid w:val="00D0580B"/>
    <w:rsid w:val="00D068F5"/>
    <w:rsid w:val="00D06A8D"/>
    <w:rsid w:val="00D076D8"/>
    <w:rsid w:val="00D1075E"/>
    <w:rsid w:val="00D10B8B"/>
    <w:rsid w:val="00D10CE7"/>
    <w:rsid w:val="00D10DB4"/>
    <w:rsid w:val="00D1324D"/>
    <w:rsid w:val="00D15317"/>
    <w:rsid w:val="00D15AD9"/>
    <w:rsid w:val="00D16C0A"/>
    <w:rsid w:val="00D16F3E"/>
    <w:rsid w:val="00D2016A"/>
    <w:rsid w:val="00D20E53"/>
    <w:rsid w:val="00D216D6"/>
    <w:rsid w:val="00D2187E"/>
    <w:rsid w:val="00D21969"/>
    <w:rsid w:val="00D224DF"/>
    <w:rsid w:val="00D22B4E"/>
    <w:rsid w:val="00D2422D"/>
    <w:rsid w:val="00D248DE"/>
    <w:rsid w:val="00D2677D"/>
    <w:rsid w:val="00D3027D"/>
    <w:rsid w:val="00D30CF7"/>
    <w:rsid w:val="00D30E92"/>
    <w:rsid w:val="00D31AE3"/>
    <w:rsid w:val="00D33184"/>
    <w:rsid w:val="00D34899"/>
    <w:rsid w:val="00D349BA"/>
    <w:rsid w:val="00D36805"/>
    <w:rsid w:val="00D42B7A"/>
    <w:rsid w:val="00D42EAD"/>
    <w:rsid w:val="00D4505E"/>
    <w:rsid w:val="00D453BF"/>
    <w:rsid w:val="00D45440"/>
    <w:rsid w:val="00D464DE"/>
    <w:rsid w:val="00D46E7A"/>
    <w:rsid w:val="00D47758"/>
    <w:rsid w:val="00D50B7C"/>
    <w:rsid w:val="00D513B1"/>
    <w:rsid w:val="00D51701"/>
    <w:rsid w:val="00D52A7A"/>
    <w:rsid w:val="00D52D27"/>
    <w:rsid w:val="00D53217"/>
    <w:rsid w:val="00D53418"/>
    <w:rsid w:val="00D53829"/>
    <w:rsid w:val="00D5404D"/>
    <w:rsid w:val="00D54983"/>
    <w:rsid w:val="00D56088"/>
    <w:rsid w:val="00D56EC6"/>
    <w:rsid w:val="00D57060"/>
    <w:rsid w:val="00D57D3F"/>
    <w:rsid w:val="00D61781"/>
    <w:rsid w:val="00D61847"/>
    <w:rsid w:val="00D62E84"/>
    <w:rsid w:val="00D63110"/>
    <w:rsid w:val="00D6391A"/>
    <w:rsid w:val="00D64257"/>
    <w:rsid w:val="00D6592B"/>
    <w:rsid w:val="00D664B0"/>
    <w:rsid w:val="00D67B3C"/>
    <w:rsid w:val="00D70315"/>
    <w:rsid w:val="00D70D23"/>
    <w:rsid w:val="00D731F3"/>
    <w:rsid w:val="00D734DE"/>
    <w:rsid w:val="00D758A0"/>
    <w:rsid w:val="00D75FA5"/>
    <w:rsid w:val="00D761F5"/>
    <w:rsid w:val="00D800A4"/>
    <w:rsid w:val="00D80445"/>
    <w:rsid w:val="00D809DC"/>
    <w:rsid w:val="00D83203"/>
    <w:rsid w:val="00D84686"/>
    <w:rsid w:val="00D8542D"/>
    <w:rsid w:val="00D85977"/>
    <w:rsid w:val="00D87437"/>
    <w:rsid w:val="00D92C3D"/>
    <w:rsid w:val="00D9341F"/>
    <w:rsid w:val="00D934B5"/>
    <w:rsid w:val="00D939D2"/>
    <w:rsid w:val="00D94171"/>
    <w:rsid w:val="00D94F2E"/>
    <w:rsid w:val="00D9568D"/>
    <w:rsid w:val="00D965DC"/>
    <w:rsid w:val="00D96E3D"/>
    <w:rsid w:val="00D96EBB"/>
    <w:rsid w:val="00D97E30"/>
    <w:rsid w:val="00D97F78"/>
    <w:rsid w:val="00DA00AB"/>
    <w:rsid w:val="00DA053F"/>
    <w:rsid w:val="00DA07BE"/>
    <w:rsid w:val="00DA1E87"/>
    <w:rsid w:val="00DA20CF"/>
    <w:rsid w:val="00DA3423"/>
    <w:rsid w:val="00DA413C"/>
    <w:rsid w:val="00DA41F1"/>
    <w:rsid w:val="00DA4FE8"/>
    <w:rsid w:val="00DA6558"/>
    <w:rsid w:val="00DA66EA"/>
    <w:rsid w:val="00DA7C2C"/>
    <w:rsid w:val="00DB07C2"/>
    <w:rsid w:val="00DB15B5"/>
    <w:rsid w:val="00DB2A71"/>
    <w:rsid w:val="00DB31FB"/>
    <w:rsid w:val="00DB5DE1"/>
    <w:rsid w:val="00DB74FA"/>
    <w:rsid w:val="00DB7BFC"/>
    <w:rsid w:val="00DC0912"/>
    <w:rsid w:val="00DC0C24"/>
    <w:rsid w:val="00DC155D"/>
    <w:rsid w:val="00DC2445"/>
    <w:rsid w:val="00DC2BF7"/>
    <w:rsid w:val="00DC2C62"/>
    <w:rsid w:val="00DC3BC2"/>
    <w:rsid w:val="00DC3D7C"/>
    <w:rsid w:val="00DC4226"/>
    <w:rsid w:val="00DC6560"/>
    <w:rsid w:val="00DC6A71"/>
    <w:rsid w:val="00DC7303"/>
    <w:rsid w:val="00DD0D8E"/>
    <w:rsid w:val="00DD111D"/>
    <w:rsid w:val="00DD12FB"/>
    <w:rsid w:val="00DD3D44"/>
    <w:rsid w:val="00DD4186"/>
    <w:rsid w:val="00DD6084"/>
    <w:rsid w:val="00DD70C7"/>
    <w:rsid w:val="00DE0083"/>
    <w:rsid w:val="00DE13D3"/>
    <w:rsid w:val="00DE15E8"/>
    <w:rsid w:val="00DE2860"/>
    <w:rsid w:val="00DE39E3"/>
    <w:rsid w:val="00DE4E37"/>
    <w:rsid w:val="00DE4FBC"/>
    <w:rsid w:val="00DE5020"/>
    <w:rsid w:val="00DE5420"/>
    <w:rsid w:val="00DE5C81"/>
    <w:rsid w:val="00DE6A35"/>
    <w:rsid w:val="00DE751F"/>
    <w:rsid w:val="00DE7636"/>
    <w:rsid w:val="00DE7BA7"/>
    <w:rsid w:val="00DF03D0"/>
    <w:rsid w:val="00DF104F"/>
    <w:rsid w:val="00DF17B6"/>
    <w:rsid w:val="00DF1ED1"/>
    <w:rsid w:val="00DF4AB7"/>
    <w:rsid w:val="00DF4BE1"/>
    <w:rsid w:val="00DF555C"/>
    <w:rsid w:val="00DF58C3"/>
    <w:rsid w:val="00DF6031"/>
    <w:rsid w:val="00E00DB2"/>
    <w:rsid w:val="00E01330"/>
    <w:rsid w:val="00E01D80"/>
    <w:rsid w:val="00E02C6E"/>
    <w:rsid w:val="00E03194"/>
    <w:rsid w:val="00E0357D"/>
    <w:rsid w:val="00E04F25"/>
    <w:rsid w:val="00E050F3"/>
    <w:rsid w:val="00E05E1D"/>
    <w:rsid w:val="00E0648E"/>
    <w:rsid w:val="00E06F85"/>
    <w:rsid w:val="00E078C5"/>
    <w:rsid w:val="00E12558"/>
    <w:rsid w:val="00E12755"/>
    <w:rsid w:val="00E140DB"/>
    <w:rsid w:val="00E14177"/>
    <w:rsid w:val="00E147FC"/>
    <w:rsid w:val="00E154DA"/>
    <w:rsid w:val="00E15AE2"/>
    <w:rsid w:val="00E171DE"/>
    <w:rsid w:val="00E17236"/>
    <w:rsid w:val="00E217C4"/>
    <w:rsid w:val="00E21FF9"/>
    <w:rsid w:val="00E22228"/>
    <w:rsid w:val="00E23E1F"/>
    <w:rsid w:val="00E24CFF"/>
    <w:rsid w:val="00E25D7D"/>
    <w:rsid w:val="00E2622B"/>
    <w:rsid w:val="00E26CE1"/>
    <w:rsid w:val="00E275AB"/>
    <w:rsid w:val="00E30AEA"/>
    <w:rsid w:val="00E31CB3"/>
    <w:rsid w:val="00E32A53"/>
    <w:rsid w:val="00E336EB"/>
    <w:rsid w:val="00E33885"/>
    <w:rsid w:val="00E34ECA"/>
    <w:rsid w:val="00E35191"/>
    <w:rsid w:val="00E35D70"/>
    <w:rsid w:val="00E3655E"/>
    <w:rsid w:val="00E372F4"/>
    <w:rsid w:val="00E3739C"/>
    <w:rsid w:val="00E4008E"/>
    <w:rsid w:val="00E400EB"/>
    <w:rsid w:val="00E40A3E"/>
    <w:rsid w:val="00E40CCC"/>
    <w:rsid w:val="00E412A8"/>
    <w:rsid w:val="00E4155B"/>
    <w:rsid w:val="00E41844"/>
    <w:rsid w:val="00E43330"/>
    <w:rsid w:val="00E44C48"/>
    <w:rsid w:val="00E44F64"/>
    <w:rsid w:val="00E450A9"/>
    <w:rsid w:val="00E450B4"/>
    <w:rsid w:val="00E4525D"/>
    <w:rsid w:val="00E46133"/>
    <w:rsid w:val="00E464D7"/>
    <w:rsid w:val="00E46615"/>
    <w:rsid w:val="00E467A5"/>
    <w:rsid w:val="00E52A08"/>
    <w:rsid w:val="00E531CF"/>
    <w:rsid w:val="00E53F2D"/>
    <w:rsid w:val="00E54F64"/>
    <w:rsid w:val="00E5590D"/>
    <w:rsid w:val="00E564DA"/>
    <w:rsid w:val="00E5664E"/>
    <w:rsid w:val="00E5737D"/>
    <w:rsid w:val="00E57DEE"/>
    <w:rsid w:val="00E605D4"/>
    <w:rsid w:val="00E61F05"/>
    <w:rsid w:val="00E62062"/>
    <w:rsid w:val="00E6235A"/>
    <w:rsid w:val="00E6388E"/>
    <w:rsid w:val="00E6408D"/>
    <w:rsid w:val="00E64DAA"/>
    <w:rsid w:val="00E65206"/>
    <w:rsid w:val="00E65E65"/>
    <w:rsid w:val="00E65EC9"/>
    <w:rsid w:val="00E67216"/>
    <w:rsid w:val="00E70816"/>
    <w:rsid w:val="00E70C96"/>
    <w:rsid w:val="00E71D7B"/>
    <w:rsid w:val="00E7242F"/>
    <w:rsid w:val="00E72626"/>
    <w:rsid w:val="00E728CD"/>
    <w:rsid w:val="00E72F6F"/>
    <w:rsid w:val="00E73AAF"/>
    <w:rsid w:val="00E74F72"/>
    <w:rsid w:val="00E7509F"/>
    <w:rsid w:val="00E75AAF"/>
    <w:rsid w:val="00E77BB1"/>
    <w:rsid w:val="00E80D20"/>
    <w:rsid w:val="00E814E6"/>
    <w:rsid w:val="00E81711"/>
    <w:rsid w:val="00E83646"/>
    <w:rsid w:val="00E83827"/>
    <w:rsid w:val="00E85B84"/>
    <w:rsid w:val="00E85CA1"/>
    <w:rsid w:val="00E8691B"/>
    <w:rsid w:val="00E87524"/>
    <w:rsid w:val="00E87F1B"/>
    <w:rsid w:val="00E90704"/>
    <w:rsid w:val="00E908BF"/>
    <w:rsid w:val="00E92CB2"/>
    <w:rsid w:val="00E92F60"/>
    <w:rsid w:val="00E93185"/>
    <w:rsid w:val="00E9431D"/>
    <w:rsid w:val="00E96A0A"/>
    <w:rsid w:val="00E97557"/>
    <w:rsid w:val="00EA0C5D"/>
    <w:rsid w:val="00EA132F"/>
    <w:rsid w:val="00EA195B"/>
    <w:rsid w:val="00EA2780"/>
    <w:rsid w:val="00EA478E"/>
    <w:rsid w:val="00EA4AC0"/>
    <w:rsid w:val="00EA5270"/>
    <w:rsid w:val="00EA5724"/>
    <w:rsid w:val="00EA5E16"/>
    <w:rsid w:val="00EA5FD3"/>
    <w:rsid w:val="00EA642A"/>
    <w:rsid w:val="00EA71FE"/>
    <w:rsid w:val="00EA78D3"/>
    <w:rsid w:val="00EA7CB6"/>
    <w:rsid w:val="00EB0BB9"/>
    <w:rsid w:val="00EB1E2F"/>
    <w:rsid w:val="00EB21DE"/>
    <w:rsid w:val="00EB2A1C"/>
    <w:rsid w:val="00EB2D66"/>
    <w:rsid w:val="00EB2DB1"/>
    <w:rsid w:val="00EB430D"/>
    <w:rsid w:val="00EB535E"/>
    <w:rsid w:val="00EC0E16"/>
    <w:rsid w:val="00EC2F3F"/>
    <w:rsid w:val="00EC4C51"/>
    <w:rsid w:val="00EC57AD"/>
    <w:rsid w:val="00EC5D7B"/>
    <w:rsid w:val="00EC6351"/>
    <w:rsid w:val="00EC671B"/>
    <w:rsid w:val="00ED1997"/>
    <w:rsid w:val="00ED1C3E"/>
    <w:rsid w:val="00ED2BC5"/>
    <w:rsid w:val="00ED458A"/>
    <w:rsid w:val="00ED46B6"/>
    <w:rsid w:val="00ED5A1D"/>
    <w:rsid w:val="00ED6C2C"/>
    <w:rsid w:val="00ED6E8D"/>
    <w:rsid w:val="00ED7B96"/>
    <w:rsid w:val="00EE0275"/>
    <w:rsid w:val="00EE14C1"/>
    <w:rsid w:val="00EE2259"/>
    <w:rsid w:val="00EE323E"/>
    <w:rsid w:val="00EE37B0"/>
    <w:rsid w:val="00EE3B97"/>
    <w:rsid w:val="00EE49F3"/>
    <w:rsid w:val="00EE66B1"/>
    <w:rsid w:val="00EE70FA"/>
    <w:rsid w:val="00EE7400"/>
    <w:rsid w:val="00EF0C51"/>
    <w:rsid w:val="00EF0D8E"/>
    <w:rsid w:val="00EF2C7C"/>
    <w:rsid w:val="00EF31F8"/>
    <w:rsid w:val="00EF3D18"/>
    <w:rsid w:val="00EF7144"/>
    <w:rsid w:val="00F00372"/>
    <w:rsid w:val="00F0167E"/>
    <w:rsid w:val="00F01A9D"/>
    <w:rsid w:val="00F02D7A"/>
    <w:rsid w:val="00F03C70"/>
    <w:rsid w:val="00F0457C"/>
    <w:rsid w:val="00F0592C"/>
    <w:rsid w:val="00F0672D"/>
    <w:rsid w:val="00F06813"/>
    <w:rsid w:val="00F0681D"/>
    <w:rsid w:val="00F06D99"/>
    <w:rsid w:val="00F07A4E"/>
    <w:rsid w:val="00F10B26"/>
    <w:rsid w:val="00F114BE"/>
    <w:rsid w:val="00F12844"/>
    <w:rsid w:val="00F13CFF"/>
    <w:rsid w:val="00F142CA"/>
    <w:rsid w:val="00F144BC"/>
    <w:rsid w:val="00F14733"/>
    <w:rsid w:val="00F16130"/>
    <w:rsid w:val="00F1618B"/>
    <w:rsid w:val="00F161DC"/>
    <w:rsid w:val="00F200CA"/>
    <w:rsid w:val="00F2365A"/>
    <w:rsid w:val="00F23BEE"/>
    <w:rsid w:val="00F23F7B"/>
    <w:rsid w:val="00F240BB"/>
    <w:rsid w:val="00F24314"/>
    <w:rsid w:val="00F25BEF"/>
    <w:rsid w:val="00F26DF2"/>
    <w:rsid w:val="00F3018E"/>
    <w:rsid w:val="00F31E5E"/>
    <w:rsid w:val="00F31F48"/>
    <w:rsid w:val="00F3339F"/>
    <w:rsid w:val="00F3755C"/>
    <w:rsid w:val="00F401C8"/>
    <w:rsid w:val="00F40CC6"/>
    <w:rsid w:val="00F41092"/>
    <w:rsid w:val="00F41144"/>
    <w:rsid w:val="00F41AE3"/>
    <w:rsid w:val="00F4308E"/>
    <w:rsid w:val="00F43813"/>
    <w:rsid w:val="00F447F8"/>
    <w:rsid w:val="00F459E4"/>
    <w:rsid w:val="00F45BB5"/>
    <w:rsid w:val="00F470AC"/>
    <w:rsid w:val="00F471A5"/>
    <w:rsid w:val="00F5137E"/>
    <w:rsid w:val="00F51C71"/>
    <w:rsid w:val="00F5283D"/>
    <w:rsid w:val="00F5537F"/>
    <w:rsid w:val="00F56ED7"/>
    <w:rsid w:val="00F57FED"/>
    <w:rsid w:val="00F601E2"/>
    <w:rsid w:val="00F60BFF"/>
    <w:rsid w:val="00F60F73"/>
    <w:rsid w:val="00F614DB"/>
    <w:rsid w:val="00F61B50"/>
    <w:rsid w:val="00F62EC5"/>
    <w:rsid w:val="00F63952"/>
    <w:rsid w:val="00F63B59"/>
    <w:rsid w:val="00F6440E"/>
    <w:rsid w:val="00F6441A"/>
    <w:rsid w:val="00F64BE7"/>
    <w:rsid w:val="00F667E4"/>
    <w:rsid w:val="00F70548"/>
    <w:rsid w:val="00F7061D"/>
    <w:rsid w:val="00F71900"/>
    <w:rsid w:val="00F7298D"/>
    <w:rsid w:val="00F7339B"/>
    <w:rsid w:val="00F75CCF"/>
    <w:rsid w:val="00F76A6E"/>
    <w:rsid w:val="00F77242"/>
    <w:rsid w:val="00F813B2"/>
    <w:rsid w:val="00F821BE"/>
    <w:rsid w:val="00F8253F"/>
    <w:rsid w:val="00F8316B"/>
    <w:rsid w:val="00F8345B"/>
    <w:rsid w:val="00F83982"/>
    <w:rsid w:val="00F83B36"/>
    <w:rsid w:val="00F84540"/>
    <w:rsid w:val="00F84811"/>
    <w:rsid w:val="00F84E09"/>
    <w:rsid w:val="00F85D2A"/>
    <w:rsid w:val="00F8718C"/>
    <w:rsid w:val="00F87DEC"/>
    <w:rsid w:val="00F90228"/>
    <w:rsid w:val="00F9066B"/>
    <w:rsid w:val="00F9159E"/>
    <w:rsid w:val="00F927FA"/>
    <w:rsid w:val="00F93200"/>
    <w:rsid w:val="00F93596"/>
    <w:rsid w:val="00F93F34"/>
    <w:rsid w:val="00F96023"/>
    <w:rsid w:val="00F961D3"/>
    <w:rsid w:val="00F973EB"/>
    <w:rsid w:val="00FA01BC"/>
    <w:rsid w:val="00FA1957"/>
    <w:rsid w:val="00FA1A05"/>
    <w:rsid w:val="00FA1D3C"/>
    <w:rsid w:val="00FA254A"/>
    <w:rsid w:val="00FA2925"/>
    <w:rsid w:val="00FA30E5"/>
    <w:rsid w:val="00FA7B51"/>
    <w:rsid w:val="00FB0657"/>
    <w:rsid w:val="00FB0821"/>
    <w:rsid w:val="00FB0AA0"/>
    <w:rsid w:val="00FB17F2"/>
    <w:rsid w:val="00FB1E39"/>
    <w:rsid w:val="00FB2535"/>
    <w:rsid w:val="00FB3A08"/>
    <w:rsid w:val="00FB5509"/>
    <w:rsid w:val="00FB5C0D"/>
    <w:rsid w:val="00FC0F52"/>
    <w:rsid w:val="00FC2E2F"/>
    <w:rsid w:val="00FC3157"/>
    <w:rsid w:val="00FC4B33"/>
    <w:rsid w:val="00FC4FE7"/>
    <w:rsid w:val="00FC56F2"/>
    <w:rsid w:val="00FC5C90"/>
    <w:rsid w:val="00FC6F1C"/>
    <w:rsid w:val="00FC7253"/>
    <w:rsid w:val="00FC7529"/>
    <w:rsid w:val="00FC77CB"/>
    <w:rsid w:val="00FC7973"/>
    <w:rsid w:val="00FD0B32"/>
    <w:rsid w:val="00FD361B"/>
    <w:rsid w:val="00FD3B24"/>
    <w:rsid w:val="00FD4219"/>
    <w:rsid w:val="00FD5362"/>
    <w:rsid w:val="00FD5C89"/>
    <w:rsid w:val="00FD625C"/>
    <w:rsid w:val="00FD6851"/>
    <w:rsid w:val="00FD7403"/>
    <w:rsid w:val="00FE0438"/>
    <w:rsid w:val="00FE0BA2"/>
    <w:rsid w:val="00FE17F3"/>
    <w:rsid w:val="00FE1B5A"/>
    <w:rsid w:val="00FE33F2"/>
    <w:rsid w:val="00FE3A5E"/>
    <w:rsid w:val="00FE4404"/>
    <w:rsid w:val="00FE4881"/>
    <w:rsid w:val="00FE4D7B"/>
    <w:rsid w:val="00FE59C4"/>
    <w:rsid w:val="00FE7E55"/>
    <w:rsid w:val="00FF03FA"/>
    <w:rsid w:val="00FF0610"/>
    <w:rsid w:val="00FF11B6"/>
    <w:rsid w:val="00FF2613"/>
    <w:rsid w:val="00FF2648"/>
    <w:rsid w:val="00FF288C"/>
    <w:rsid w:val="00FF47A3"/>
    <w:rsid w:val="00FF5332"/>
    <w:rsid w:val="00FF68BC"/>
    <w:rsid w:val="00FF6A4C"/>
    <w:rsid w:val="00FF6A7C"/>
    <w:rsid w:val="00FF6CA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8E52D7"/>
    <w:pPr>
      <w:keepNext/>
      <w:spacing w:before="240" w:after="60"/>
      <w:outlineLvl w:val="0"/>
    </w:pPr>
    <w:rPr>
      <w:b/>
      <w:i/>
      <w:kern w:val="32"/>
      <w:sz w:val="28"/>
      <w:szCs w:val="32"/>
      <w:lang w:eastAsia="sl-SI"/>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8E52D7"/>
    <w:rPr>
      <w:rFonts w:ascii="Arial" w:hAnsi="Arial"/>
      <w:b/>
      <w:i/>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
    <w:name w:val="Tabela - mreža"/>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B909CD"/>
    <w:rPr>
      <w:rFonts w:ascii="Calibri" w:eastAsia="Calibri" w:hAnsi="Calibri"/>
      <w:lang w:val="x-none"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B909CD"/>
    <w:pPr>
      <w:spacing w:line="240" w:lineRule="auto"/>
    </w:pPr>
    <w:rPr>
      <w:rFonts w:ascii="Calibri" w:eastAsia="SimSun" w:hAnsi="Calibri"/>
      <w:sz w:val="24"/>
      <w:lang w:eastAsia="zh-CN"/>
    </w:rPr>
  </w:style>
  <w:style w:type="paragraph" w:styleId="Kazalovsebine2">
    <w:name w:val="toc 2"/>
    <w:basedOn w:val="Navaden"/>
    <w:next w:val="Navaden"/>
    <w:autoRedefine/>
    <w:uiPriority w:val="39"/>
    <w:qFormat/>
    <w:rsid w:val="00B909CD"/>
    <w:pPr>
      <w:spacing w:line="240" w:lineRule="auto"/>
      <w:ind w:left="220"/>
    </w:pPr>
    <w:rPr>
      <w:rFonts w:eastAsia="SimSun"/>
      <w:sz w:val="22"/>
      <w:lang w:eastAsia="zh-CN"/>
    </w:rPr>
  </w:style>
  <w:style w:type="paragraph" w:styleId="Kazalovsebine3">
    <w:name w:val="toc 3"/>
    <w:basedOn w:val="Navaden"/>
    <w:next w:val="Navaden"/>
    <w:autoRedefine/>
    <w:uiPriority w:val="39"/>
    <w:qFormat/>
    <w:rsid w:val="0044784B"/>
    <w:pPr>
      <w:tabs>
        <w:tab w:val="left" w:pos="426"/>
        <w:tab w:val="right" w:leader="dot" w:pos="8488"/>
      </w:tabs>
      <w:spacing w:line="240" w:lineRule="auto"/>
      <w:ind w:left="1440"/>
    </w:pPr>
    <w:rPr>
      <w:rFonts w:eastAsia="SimSun"/>
      <w:sz w:val="22"/>
      <w:lang w:eastAsia="zh-CN"/>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eastAsia="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
    <w:name w:val="Svetlo senčenje – poudarek 12"/>
    <w:basedOn w:val="Navadnatabela"/>
    <w:next w:val="Svetlosenenjepoudarek1"/>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1">
    <w:name w:val="Light List Accent 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amreapoudarek1">
    <w:name w:val="Light Grid Accent 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lang w:eastAsia="en-US"/>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8E52D7"/>
    <w:pPr>
      <w:keepNext/>
      <w:spacing w:before="240" w:after="60"/>
      <w:outlineLvl w:val="0"/>
    </w:pPr>
    <w:rPr>
      <w:b/>
      <w:i/>
      <w:kern w:val="32"/>
      <w:sz w:val="28"/>
      <w:szCs w:val="32"/>
      <w:lang w:eastAsia="sl-SI"/>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8E52D7"/>
    <w:rPr>
      <w:rFonts w:ascii="Arial" w:hAnsi="Arial"/>
      <w:b/>
      <w:i/>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
    <w:name w:val="Tabela - mreža"/>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B909CD"/>
    <w:rPr>
      <w:rFonts w:ascii="Calibri" w:eastAsia="Calibri" w:hAnsi="Calibri"/>
      <w:lang w:val="x-none"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B909CD"/>
    <w:pPr>
      <w:spacing w:line="240" w:lineRule="auto"/>
    </w:pPr>
    <w:rPr>
      <w:rFonts w:ascii="Calibri" w:eastAsia="SimSun" w:hAnsi="Calibri"/>
      <w:sz w:val="24"/>
      <w:lang w:eastAsia="zh-CN"/>
    </w:rPr>
  </w:style>
  <w:style w:type="paragraph" w:styleId="Kazalovsebine2">
    <w:name w:val="toc 2"/>
    <w:basedOn w:val="Navaden"/>
    <w:next w:val="Navaden"/>
    <w:autoRedefine/>
    <w:uiPriority w:val="39"/>
    <w:qFormat/>
    <w:rsid w:val="00B909CD"/>
    <w:pPr>
      <w:spacing w:line="240" w:lineRule="auto"/>
      <w:ind w:left="220"/>
    </w:pPr>
    <w:rPr>
      <w:rFonts w:eastAsia="SimSun"/>
      <w:sz w:val="22"/>
      <w:lang w:eastAsia="zh-CN"/>
    </w:rPr>
  </w:style>
  <w:style w:type="paragraph" w:styleId="Kazalovsebine3">
    <w:name w:val="toc 3"/>
    <w:basedOn w:val="Navaden"/>
    <w:next w:val="Navaden"/>
    <w:autoRedefine/>
    <w:uiPriority w:val="39"/>
    <w:qFormat/>
    <w:rsid w:val="0044784B"/>
    <w:pPr>
      <w:tabs>
        <w:tab w:val="left" w:pos="426"/>
        <w:tab w:val="right" w:leader="dot" w:pos="8488"/>
      </w:tabs>
      <w:spacing w:line="240" w:lineRule="auto"/>
      <w:ind w:left="1440"/>
    </w:pPr>
    <w:rPr>
      <w:rFonts w:eastAsia="SimSun"/>
      <w:sz w:val="22"/>
      <w:lang w:eastAsia="zh-CN"/>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eastAsia="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
    <w:name w:val="Svetlo senčenje – poudarek 12"/>
    <w:basedOn w:val="Navadnatabela"/>
    <w:next w:val="Svetlosenenjepoudarek1"/>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1">
    <w:name w:val="Light List Accent 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amreapoudarek1">
    <w:name w:val="Light Grid Accent 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lang w:eastAsia="en-US"/>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656">
      <w:bodyDiv w:val="1"/>
      <w:marLeft w:val="0"/>
      <w:marRight w:val="0"/>
      <w:marTop w:val="0"/>
      <w:marBottom w:val="0"/>
      <w:divBdr>
        <w:top w:val="none" w:sz="0" w:space="0" w:color="auto"/>
        <w:left w:val="none" w:sz="0" w:space="0" w:color="auto"/>
        <w:bottom w:val="none" w:sz="0" w:space="0" w:color="auto"/>
        <w:right w:val="none" w:sz="0" w:space="0" w:color="auto"/>
      </w:divBdr>
    </w:div>
    <w:div w:id="65999861">
      <w:bodyDiv w:val="1"/>
      <w:marLeft w:val="0"/>
      <w:marRight w:val="0"/>
      <w:marTop w:val="0"/>
      <w:marBottom w:val="0"/>
      <w:divBdr>
        <w:top w:val="none" w:sz="0" w:space="0" w:color="auto"/>
        <w:left w:val="none" w:sz="0" w:space="0" w:color="auto"/>
        <w:bottom w:val="none" w:sz="0" w:space="0" w:color="auto"/>
        <w:right w:val="none" w:sz="0" w:space="0" w:color="auto"/>
      </w:divBdr>
    </w:div>
    <w:div w:id="77289578">
      <w:bodyDiv w:val="1"/>
      <w:marLeft w:val="0"/>
      <w:marRight w:val="0"/>
      <w:marTop w:val="0"/>
      <w:marBottom w:val="0"/>
      <w:divBdr>
        <w:top w:val="none" w:sz="0" w:space="0" w:color="auto"/>
        <w:left w:val="none" w:sz="0" w:space="0" w:color="auto"/>
        <w:bottom w:val="none" w:sz="0" w:space="0" w:color="auto"/>
        <w:right w:val="none" w:sz="0" w:space="0" w:color="auto"/>
      </w:divBdr>
    </w:div>
    <w:div w:id="82068405">
      <w:bodyDiv w:val="1"/>
      <w:marLeft w:val="0"/>
      <w:marRight w:val="0"/>
      <w:marTop w:val="0"/>
      <w:marBottom w:val="0"/>
      <w:divBdr>
        <w:top w:val="none" w:sz="0" w:space="0" w:color="auto"/>
        <w:left w:val="none" w:sz="0" w:space="0" w:color="auto"/>
        <w:bottom w:val="none" w:sz="0" w:space="0" w:color="auto"/>
        <w:right w:val="none" w:sz="0" w:space="0" w:color="auto"/>
      </w:divBdr>
    </w:div>
    <w:div w:id="118451801">
      <w:bodyDiv w:val="1"/>
      <w:marLeft w:val="0"/>
      <w:marRight w:val="0"/>
      <w:marTop w:val="0"/>
      <w:marBottom w:val="0"/>
      <w:divBdr>
        <w:top w:val="none" w:sz="0" w:space="0" w:color="auto"/>
        <w:left w:val="none" w:sz="0" w:space="0" w:color="auto"/>
        <w:bottom w:val="none" w:sz="0" w:space="0" w:color="auto"/>
        <w:right w:val="none" w:sz="0" w:space="0" w:color="auto"/>
      </w:divBdr>
    </w:div>
    <w:div w:id="128400589">
      <w:bodyDiv w:val="1"/>
      <w:marLeft w:val="0"/>
      <w:marRight w:val="0"/>
      <w:marTop w:val="0"/>
      <w:marBottom w:val="0"/>
      <w:divBdr>
        <w:top w:val="none" w:sz="0" w:space="0" w:color="auto"/>
        <w:left w:val="none" w:sz="0" w:space="0" w:color="auto"/>
        <w:bottom w:val="none" w:sz="0" w:space="0" w:color="auto"/>
        <w:right w:val="none" w:sz="0" w:space="0" w:color="auto"/>
      </w:divBdr>
    </w:div>
    <w:div w:id="129709825">
      <w:bodyDiv w:val="1"/>
      <w:marLeft w:val="0"/>
      <w:marRight w:val="0"/>
      <w:marTop w:val="0"/>
      <w:marBottom w:val="0"/>
      <w:divBdr>
        <w:top w:val="none" w:sz="0" w:space="0" w:color="auto"/>
        <w:left w:val="none" w:sz="0" w:space="0" w:color="auto"/>
        <w:bottom w:val="none" w:sz="0" w:space="0" w:color="auto"/>
        <w:right w:val="none" w:sz="0" w:space="0" w:color="auto"/>
      </w:divBdr>
    </w:div>
    <w:div w:id="149489128">
      <w:bodyDiv w:val="1"/>
      <w:marLeft w:val="0"/>
      <w:marRight w:val="0"/>
      <w:marTop w:val="0"/>
      <w:marBottom w:val="0"/>
      <w:divBdr>
        <w:top w:val="none" w:sz="0" w:space="0" w:color="auto"/>
        <w:left w:val="none" w:sz="0" w:space="0" w:color="auto"/>
        <w:bottom w:val="none" w:sz="0" w:space="0" w:color="auto"/>
        <w:right w:val="none" w:sz="0" w:space="0" w:color="auto"/>
      </w:divBdr>
    </w:div>
    <w:div w:id="151796558">
      <w:bodyDiv w:val="1"/>
      <w:marLeft w:val="0"/>
      <w:marRight w:val="0"/>
      <w:marTop w:val="0"/>
      <w:marBottom w:val="0"/>
      <w:divBdr>
        <w:top w:val="none" w:sz="0" w:space="0" w:color="auto"/>
        <w:left w:val="none" w:sz="0" w:space="0" w:color="auto"/>
        <w:bottom w:val="none" w:sz="0" w:space="0" w:color="auto"/>
        <w:right w:val="none" w:sz="0" w:space="0" w:color="auto"/>
      </w:divBdr>
      <w:divsChild>
        <w:div w:id="1180972796">
          <w:marLeft w:val="0"/>
          <w:marRight w:val="0"/>
          <w:marTop w:val="0"/>
          <w:marBottom w:val="0"/>
          <w:divBdr>
            <w:top w:val="none" w:sz="0" w:space="0" w:color="auto"/>
            <w:left w:val="none" w:sz="0" w:space="0" w:color="auto"/>
            <w:bottom w:val="none" w:sz="0" w:space="0" w:color="auto"/>
            <w:right w:val="none" w:sz="0" w:space="0" w:color="auto"/>
          </w:divBdr>
          <w:divsChild>
            <w:div w:id="640230231">
              <w:marLeft w:val="0"/>
              <w:marRight w:val="0"/>
              <w:marTop w:val="0"/>
              <w:marBottom w:val="0"/>
              <w:divBdr>
                <w:top w:val="none" w:sz="0" w:space="0" w:color="auto"/>
                <w:left w:val="none" w:sz="0" w:space="0" w:color="auto"/>
                <w:bottom w:val="none" w:sz="0" w:space="0" w:color="auto"/>
                <w:right w:val="none" w:sz="0" w:space="0" w:color="auto"/>
              </w:divBdr>
              <w:divsChild>
                <w:div w:id="1696885675">
                  <w:marLeft w:val="0"/>
                  <w:marRight w:val="0"/>
                  <w:marTop w:val="0"/>
                  <w:marBottom w:val="0"/>
                  <w:divBdr>
                    <w:top w:val="none" w:sz="0" w:space="0" w:color="auto"/>
                    <w:left w:val="none" w:sz="0" w:space="0" w:color="auto"/>
                    <w:bottom w:val="none" w:sz="0" w:space="0" w:color="auto"/>
                    <w:right w:val="none" w:sz="0" w:space="0" w:color="auto"/>
                  </w:divBdr>
                  <w:divsChild>
                    <w:div w:id="55593098">
                      <w:marLeft w:val="0"/>
                      <w:marRight w:val="0"/>
                      <w:marTop w:val="0"/>
                      <w:marBottom w:val="0"/>
                      <w:divBdr>
                        <w:top w:val="none" w:sz="0" w:space="0" w:color="auto"/>
                        <w:left w:val="none" w:sz="0" w:space="0" w:color="auto"/>
                        <w:bottom w:val="none" w:sz="0" w:space="0" w:color="auto"/>
                        <w:right w:val="none" w:sz="0" w:space="0" w:color="auto"/>
                      </w:divBdr>
                      <w:divsChild>
                        <w:div w:id="1253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6334">
      <w:bodyDiv w:val="1"/>
      <w:marLeft w:val="0"/>
      <w:marRight w:val="0"/>
      <w:marTop w:val="0"/>
      <w:marBottom w:val="0"/>
      <w:divBdr>
        <w:top w:val="none" w:sz="0" w:space="0" w:color="auto"/>
        <w:left w:val="none" w:sz="0" w:space="0" w:color="auto"/>
        <w:bottom w:val="none" w:sz="0" w:space="0" w:color="auto"/>
        <w:right w:val="none" w:sz="0" w:space="0" w:color="auto"/>
      </w:divBdr>
    </w:div>
    <w:div w:id="155345364">
      <w:bodyDiv w:val="1"/>
      <w:marLeft w:val="0"/>
      <w:marRight w:val="0"/>
      <w:marTop w:val="0"/>
      <w:marBottom w:val="0"/>
      <w:divBdr>
        <w:top w:val="none" w:sz="0" w:space="0" w:color="auto"/>
        <w:left w:val="none" w:sz="0" w:space="0" w:color="auto"/>
        <w:bottom w:val="none" w:sz="0" w:space="0" w:color="auto"/>
        <w:right w:val="none" w:sz="0" w:space="0" w:color="auto"/>
      </w:divBdr>
    </w:div>
    <w:div w:id="188615670">
      <w:bodyDiv w:val="1"/>
      <w:marLeft w:val="0"/>
      <w:marRight w:val="0"/>
      <w:marTop w:val="0"/>
      <w:marBottom w:val="0"/>
      <w:divBdr>
        <w:top w:val="none" w:sz="0" w:space="0" w:color="auto"/>
        <w:left w:val="none" w:sz="0" w:space="0" w:color="auto"/>
        <w:bottom w:val="none" w:sz="0" w:space="0" w:color="auto"/>
        <w:right w:val="none" w:sz="0" w:space="0" w:color="auto"/>
      </w:divBdr>
    </w:div>
    <w:div w:id="204831702">
      <w:bodyDiv w:val="1"/>
      <w:marLeft w:val="0"/>
      <w:marRight w:val="0"/>
      <w:marTop w:val="0"/>
      <w:marBottom w:val="0"/>
      <w:divBdr>
        <w:top w:val="none" w:sz="0" w:space="0" w:color="auto"/>
        <w:left w:val="none" w:sz="0" w:space="0" w:color="auto"/>
        <w:bottom w:val="none" w:sz="0" w:space="0" w:color="auto"/>
        <w:right w:val="none" w:sz="0" w:space="0" w:color="auto"/>
      </w:divBdr>
    </w:div>
    <w:div w:id="209267839">
      <w:bodyDiv w:val="1"/>
      <w:marLeft w:val="0"/>
      <w:marRight w:val="0"/>
      <w:marTop w:val="0"/>
      <w:marBottom w:val="0"/>
      <w:divBdr>
        <w:top w:val="none" w:sz="0" w:space="0" w:color="auto"/>
        <w:left w:val="none" w:sz="0" w:space="0" w:color="auto"/>
        <w:bottom w:val="none" w:sz="0" w:space="0" w:color="auto"/>
        <w:right w:val="none" w:sz="0" w:space="0" w:color="auto"/>
      </w:divBdr>
    </w:div>
    <w:div w:id="245307033">
      <w:bodyDiv w:val="1"/>
      <w:marLeft w:val="0"/>
      <w:marRight w:val="0"/>
      <w:marTop w:val="0"/>
      <w:marBottom w:val="0"/>
      <w:divBdr>
        <w:top w:val="none" w:sz="0" w:space="0" w:color="auto"/>
        <w:left w:val="none" w:sz="0" w:space="0" w:color="auto"/>
        <w:bottom w:val="none" w:sz="0" w:space="0" w:color="auto"/>
        <w:right w:val="none" w:sz="0" w:space="0" w:color="auto"/>
      </w:divBdr>
    </w:div>
    <w:div w:id="245772488">
      <w:bodyDiv w:val="1"/>
      <w:marLeft w:val="0"/>
      <w:marRight w:val="0"/>
      <w:marTop w:val="0"/>
      <w:marBottom w:val="0"/>
      <w:divBdr>
        <w:top w:val="none" w:sz="0" w:space="0" w:color="auto"/>
        <w:left w:val="none" w:sz="0" w:space="0" w:color="auto"/>
        <w:bottom w:val="none" w:sz="0" w:space="0" w:color="auto"/>
        <w:right w:val="none" w:sz="0" w:space="0" w:color="auto"/>
      </w:divBdr>
    </w:div>
    <w:div w:id="254557254">
      <w:bodyDiv w:val="1"/>
      <w:marLeft w:val="0"/>
      <w:marRight w:val="0"/>
      <w:marTop w:val="0"/>
      <w:marBottom w:val="0"/>
      <w:divBdr>
        <w:top w:val="none" w:sz="0" w:space="0" w:color="auto"/>
        <w:left w:val="none" w:sz="0" w:space="0" w:color="auto"/>
        <w:bottom w:val="none" w:sz="0" w:space="0" w:color="auto"/>
        <w:right w:val="none" w:sz="0" w:space="0" w:color="auto"/>
      </w:divBdr>
    </w:div>
    <w:div w:id="287779720">
      <w:bodyDiv w:val="1"/>
      <w:marLeft w:val="0"/>
      <w:marRight w:val="0"/>
      <w:marTop w:val="0"/>
      <w:marBottom w:val="0"/>
      <w:divBdr>
        <w:top w:val="none" w:sz="0" w:space="0" w:color="auto"/>
        <w:left w:val="none" w:sz="0" w:space="0" w:color="auto"/>
        <w:bottom w:val="none" w:sz="0" w:space="0" w:color="auto"/>
        <w:right w:val="none" w:sz="0" w:space="0" w:color="auto"/>
      </w:divBdr>
    </w:div>
    <w:div w:id="299305885">
      <w:bodyDiv w:val="1"/>
      <w:marLeft w:val="0"/>
      <w:marRight w:val="0"/>
      <w:marTop w:val="0"/>
      <w:marBottom w:val="0"/>
      <w:divBdr>
        <w:top w:val="none" w:sz="0" w:space="0" w:color="auto"/>
        <w:left w:val="none" w:sz="0" w:space="0" w:color="auto"/>
        <w:bottom w:val="none" w:sz="0" w:space="0" w:color="auto"/>
        <w:right w:val="none" w:sz="0" w:space="0" w:color="auto"/>
      </w:divBdr>
    </w:div>
    <w:div w:id="306785282">
      <w:bodyDiv w:val="1"/>
      <w:marLeft w:val="0"/>
      <w:marRight w:val="0"/>
      <w:marTop w:val="0"/>
      <w:marBottom w:val="0"/>
      <w:divBdr>
        <w:top w:val="none" w:sz="0" w:space="0" w:color="auto"/>
        <w:left w:val="none" w:sz="0" w:space="0" w:color="auto"/>
        <w:bottom w:val="none" w:sz="0" w:space="0" w:color="auto"/>
        <w:right w:val="none" w:sz="0" w:space="0" w:color="auto"/>
      </w:divBdr>
    </w:div>
    <w:div w:id="309939743">
      <w:bodyDiv w:val="1"/>
      <w:marLeft w:val="0"/>
      <w:marRight w:val="0"/>
      <w:marTop w:val="0"/>
      <w:marBottom w:val="0"/>
      <w:divBdr>
        <w:top w:val="none" w:sz="0" w:space="0" w:color="auto"/>
        <w:left w:val="none" w:sz="0" w:space="0" w:color="auto"/>
        <w:bottom w:val="none" w:sz="0" w:space="0" w:color="auto"/>
        <w:right w:val="none" w:sz="0" w:space="0" w:color="auto"/>
      </w:divBdr>
    </w:div>
    <w:div w:id="337538497">
      <w:bodyDiv w:val="1"/>
      <w:marLeft w:val="0"/>
      <w:marRight w:val="0"/>
      <w:marTop w:val="0"/>
      <w:marBottom w:val="0"/>
      <w:divBdr>
        <w:top w:val="none" w:sz="0" w:space="0" w:color="auto"/>
        <w:left w:val="none" w:sz="0" w:space="0" w:color="auto"/>
        <w:bottom w:val="none" w:sz="0" w:space="0" w:color="auto"/>
        <w:right w:val="none" w:sz="0" w:space="0" w:color="auto"/>
      </w:divBdr>
    </w:div>
    <w:div w:id="339508547">
      <w:bodyDiv w:val="1"/>
      <w:marLeft w:val="0"/>
      <w:marRight w:val="0"/>
      <w:marTop w:val="0"/>
      <w:marBottom w:val="0"/>
      <w:divBdr>
        <w:top w:val="none" w:sz="0" w:space="0" w:color="auto"/>
        <w:left w:val="none" w:sz="0" w:space="0" w:color="auto"/>
        <w:bottom w:val="none" w:sz="0" w:space="0" w:color="auto"/>
        <w:right w:val="none" w:sz="0" w:space="0" w:color="auto"/>
      </w:divBdr>
    </w:div>
    <w:div w:id="349067491">
      <w:bodyDiv w:val="1"/>
      <w:marLeft w:val="0"/>
      <w:marRight w:val="0"/>
      <w:marTop w:val="0"/>
      <w:marBottom w:val="0"/>
      <w:divBdr>
        <w:top w:val="none" w:sz="0" w:space="0" w:color="auto"/>
        <w:left w:val="none" w:sz="0" w:space="0" w:color="auto"/>
        <w:bottom w:val="none" w:sz="0" w:space="0" w:color="auto"/>
        <w:right w:val="none" w:sz="0" w:space="0" w:color="auto"/>
      </w:divBdr>
    </w:div>
    <w:div w:id="359205722">
      <w:bodyDiv w:val="1"/>
      <w:marLeft w:val="0"/>
      <w:marRight w:val="0"/>
      <w:marTop w:val="0"/>
      <w:marBottom w:val="0"/>
      <w:divBdr>
        <w:top w:val="none" w:sz="0" w:space="0" w:color="auto"/>
        <w:left w:val="none" w:sz="0" w:space="0" w:color="auto"/>
        <w:bottom w:val="none" w:sz="0" w:space="0" w:color="auto"/>
        <w:right w:val="none" w:sz="0" w:space="0" w:color="auto"/>
      </w:divBdr>
    </w:div>
    <w:div w:id="373894913">
      <w:bodyDiv w:val="1"/>
      <w:marLeft w:val="0"/>
      <w:marRight w:val="0"/>
      <w:marTop w:val="0"/>
      <w:marBottom w:val="0"/>
      <w:divBdr>
        <w:top w:val="none" w:sz="0" w:space="0" w:color="auto"/>
        <w:left w:val="none" w:sz="0" w:space="0" w:color="auto"/>
        <w:bottom w:val="none" w:sz="0" w:space="0" w:color="auto"/>
        <w:right w:val="none" w:sz="0" w:space="0" w:color="auto"/>
      </w:divBdr>
    </w:div>
    <w:div w:id="390352906">
      <w:bodyDiv w:val="1"/>
      <w:marLeft w:val="0"/>
      <w:marRight w:val="0"/>
      <w:marTop w:val="0"/>
      <w:marBottom w:val="0"/>
      <w:divBdr>
        <w:top w:val="none" w:sz="0" w:space="0" w:color="auto"/>
        <w:left w:val="none" w:sz="0" w:space="0" w:color="auto"/>
        <w:bottom w:val="none" w:sz="0" w:space="0" w:color="auto"/>
        <w:right w:val="none" w:sz="0" w:space="0" w:color="auto"/>
      </w:divBdr>
      <w:divsChild>
        <w:div w:id="111290945">
          <w:marLeft w:val="0"/>
          <w:marRight w:val="0"/>
          <w:marTop w:val="0"/>
          <w:marBottom w:val="0"/>
          <w:divBdr>
            <w:top w:val="none" w:sz="0" w:space="0" w:color="auto"/>
            <w:left w:val="none" w:sz="0" w:space="0" w:color="auto"/>
            <w:bottom w:val="none" w:sz="0" w:space="0" w:color="auto"/>
            <w:right w:val="none" w:sz="0" w:space="0" w:color="auto"/>
          </w:divBdr>
          <w:divsChild>
            <w:div w:id="1729185684">
              <w:marLeft w:val="0"/>
              <w:marRight w:val="0"/>
              <w:marTop w:val="0"/>
              <w:marBottom w:val="0"/>
              <w:divBdr>
                <w:top w:val="none" w:sz="0" w:space="0" w:color="auto"/>
                <w:left w:val="none" w:sz="0" w:space="0" w:color="auto"/>
                <w:bottom w:val="none" w:sz="0" w:space="0" w:color="auto"/>
                <w:right w:val="none" w:sz="0" w:space="0" w:color="auto"/>
              </w:divBdr>
              <w:divsChild>
                <w:div w:id="139805613">
                  <w:marLeft w:val="0"/>
                  <w:marRight w:val="0"/>
                  <w:marTop w:val="0"/>
                  <w:marBottom w:val="0"/>
                  <w:divBdr>
                    <w:top w:val="none" w:sz="0" w:space="0" w:color="auto"/>
                    <w:left w:val="none" w:sz="0" w:space="0" w:color="auto"/>
                    <w:bottom w:val="none" w:sz="0" w:space="0" w:color="auto"/>
                    <w:right w:val="none" w:sz="0" w:space="0" w:color="auto"/>
                  </w:divBdr>
                  <w:divsChild>
                    <w:div w:id="1805463385">
                      <w:marLeft w:val="0"/>
                      <w:marRight w:val="0"/>
                      <w:marTop w:val="0"/>
                      <w:marBottom w:val="0"/>
                      <w:divBdr>
                        <w:top w:val="none" w:sz="0" w:space="0" w:color="auto"/>
                        <w:left w:val="none" w:sz="0" w:space="0" w:color="auto"/>
                        <w:bottom w:val="none" w:sz="0" w:space="0" w:color="auto"/>
                        <w:right w:val="none" w:sz="0" w:space="0" w:color="auto"/>
                      </w:divBdr>
                      <w:divsChild>
                        <w:div w:id="1498500197">
                          <w:marLeft w:val="0"/>
                          <w:marRight w:val="0"/>
                          <w:marTop w:val="0"/>
                          <w:marBottom w:val="0"/>
                          <w:divBdr>
                            <w:top w:val="none" w:sz="0" w:space="0" w:color="auto"/>
                            <w:left w:val="none" w:sz="0" w:space="0" w:color="auto"/>
                            <w:bottom w:val="none" w:sz="0" w:space="0" w:color="auto"/>
                            <w:right w:val="none" w:sz="0" w:space="0" w:color="auto"/>
                          </w:divBdr>
                          <w:divsChild>
                            <w:div w:id="521936671">
                              <w:marLeft w:val="0"/>
                              <w:marRight w:val="0"/>
                              <w:marTop w:val="0"/>
                              <w:marBottom w:val="0"/>
                              <w:divBdr>
                                <w:top w:val="none" w:sz="0" w:space="0" w:color="auto"/>
                                <w:left w:val="none" w:sz="0" w:space="0" w:color="auto"/>
                                <w:bottom w:val="none" w:sz="0" w:space="0" w:color="auto"/>
                                <w:right w:val="none" w:sz="0" w:space="0" w:color="auto"/>
                              </w:divBdr>
                            </w:div>
                            <w:div w:id="2143226446">
                              <w:marLeft w:val="0"/>
                              <w:marRight w:val="0"/>
                              <w:marTop w:val="0"/>
                              <w:marBottom w:val="0"/>
                              <w:divBdr>
                                <w:top w:val="none" w:sz="0" w:space="0" w:color="auto"/>
                                <w:left w:val="none" w:sz="0" w:space="0" w:color="auto"/>
                                <w:bottom w:val="none" w:sz="0" w:space="0" w:color="auto"/>
                                <w:right w:val="none" w:sz="0" w:space="0" w:color="auto"/>
                              </w:divBdr>
                              <w:divsChild>
                                <w:div w:id="829716338">
                                  <w:marLeft w:val="0"/>
                                  <w:marRight w:val="0"/>
                                  <w:marTop w:val="0"/>
                                  <w:marBottom w:val="0"/>
                                  <w:divBdr>
                                    <w:top w:val="none" w:sz="0" w:space="0" w:color="auto"/>
                                    <w:left w:val="none" w:sz="0" w:space="0" w:color="auto"/>
                                    <w:bottom w:val="none" w:sz="0" w:space="0" w:color="auto"/>
                                    <w:right w:val="none" w:sz="0" w:space="0" w:color="auto"/>
                                  </w:divBdr>
                                  <w:divsChild>
                                    <w:div w:id="554318049">
                                      <w:marLeft w:val="0"/>
                                      <w:marRight w:val="0"/>
                                      <w:marTop w:val="0"/>
                                      <w:marBottom w:val="0"/>
                                      <w:divBdr>
                                        <w:top w:val="none" w:sz="0" w:space="0" w:color="auto"/>
                                        <w:left w:val="none" w:sz="0" w:space="0" w:color="auto"/>
                                        <w:bottom w:val="none" w:sz="0" w:space="0" w:color="auto"/>
                                        <w:right w:val="none" w:sz="0" w:space="0" w:color="auto"/>
                                      </w:divBdr>
                                    </w:div>
                                    <w:div w:id="1784381429">
                                      <w:marLeft w:val="0"/>
                                      <w:marRight w:val="0"/>
                                      <w:marTop w:val="0"/>
                                      <w:marBottom w:val="0"/>
                                      <w:divBdr>
                                        <w:top w:val="none" w:sz="0" w:space="0" w:color="auto"/>
                                        <w:left w:val="none" w:sz="0" w:space="0" w:color="auto"/>
                                        <w:bottom w:val="none" w:sz="0" w:space="0" w:color="auto"/>
                                        <w:right w:val="none" w:sz="0" w:space="0" w:color="auto"/>
                                      </w:divBdr>
                                    </w:div>
                                    <w:div w:id="2043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2765">
      <w:bodyDiv w:val="1"/>
      <w:marLeft w:val="0"/>
      <w:marRight w:val="0"/>
      <w:marTop w:val="0"/>
      <w:marBottom w:val="0"/>
      <w:divBdr>
        <w:top w:val="none" w:sz="0" w:space="0" w:color="auto"/>
        <w:left w:val="none" w:sz="0" w:space="0" w:color="auto"/>
        <w:bottom w:val="none" w:sz="0" w:space="0" w:color="auto"/>
        <w:right w:val="none" w:sz="0" w:space="0" w:color="auto"/>
      </w:divBdr>
    </w:div>
    <w:div w:id="403919897">
      <w:bodyDiv w:val="1"/>
      <w:marLeft w:val="0"/>
      <w:marRight w:val="0"/>
      <w:marTop w:val="0"/>
      <w:marBottom w:val="0"/>
      <w:divBdr>
        <w:top w:val="none" w:sz="0" w:space="0" w:color="auto"/>
        <w:left w:val="none" w:sz="0" w:space="0" w:color="auto"/>
        <w:bottom w:val="none" w:sz="0" w:space="0" w:color="auto"/>
        <w:right w:val="none" w:sz="0" w:space="0" w:color="auto"/>
      </w:divBdr>
    </w:div>
    <w:div w:id="406272208">
      <w:bodyDiv w:val="1"/>
      <w:marLeft w:val="0"/>
      <w:marRight w:val="0"/>
      <w:marTop w:val="0"/>
      <w:marBottom w:val="0"/>
      <w:divBdr>
        <w:top w:val="none" w:sz="0" w:space="0" w:color="auto"/>
        <w:left w:val="none" w:sz="0" w:space="0" w:color="auto"/>
        <w:bottom w:val="none" w:sz="0" w:space="0" w:color="auto"/>
        <w:right w:val="none" w:sz="0" w:space="0" w:color="auto"/>
      </w:divBdr>
    </w:div>
    <w:div w:id="407969988">
      <w:bodyDiv w:val="1"/>
      <w:marLeft w:val="0"/>
      <w:marRight w:val="0"/>
      <w:marTop w:val="0"/>
      <w:marBottom w:val="0"/>
      <w:divBdr>
        <w:top w:val="none" w:sz="0" w:space="0" w:color="auto"/>
        <w:left w:val="none" w:sz="0" w:space="0" w:color="auto"/>
        <w:bottom w:val="none" w:sz="0" w:space="0" w:color="auto"/>
        <w:right w:val="none" w:sz="0" w:space="0" w:color="auto"/>
      </w:divBdr>
    </w:div>
    <w:div w:id="411901285">
      <w:bodyDiv w:val="1"/>
      <w:marLeft w:val="0"/>
      <w:marRight w:val="0"/>
      <w:marTop w:val="0"/>
      <w:marBottom w:val="0"/>
      <w:divBdr>
        <w:top w:val="none" w:sz="0" w:space="0" w:color="auto"/>
        <w:left w:val="none" w:sz="0" w:space="0" w:color="auto"/>
        <w:bottom w:val="none" w:sz="0" w:space="0" w:color="auto"/>
        <w:right w:val="none" w:sz="0" w:space="0" w:color="auto"/>
      </w:divBdr>
    </w:div>
    <w:div w:id="417217849">
      <w:bodyDiv w:val="1"/>
      <w:marLeft w:val="0"/>
      <w:marRight w:val="0"/>
      <w:marTop w:val="0"/>
      <w:marBottom w:val="0"/>
      <w:divBdr>
        <w:top w:val="none" w:sz="0" w:space="0" w:color="auto"/>
        <w:left w:val="none" w:sz="0" w:space="0" w:color="auto"/>
        <w:bottom w:val="none" w:sz="0" w:space="0" w:color="auto"/>
        <w:right w:val="none" w:sz="0" w:space="0" w:color="auto"/>
      </w:divBdr>
    </w:div>
    <w:div w:id="436489268">
      <w:bodyDiv w:val="1"/>
      <w:marLeft w:val="0"/>
      <w:marRight w:val="0"/>
      <w:marTop w:val="0"/>
      <w:marBottom w:val="0"/>
      <w:divBdr>
        <w:top w:val="none" w:sz="0" w:space="0" w:color="auto"/>
        <w:left w:val="none" w:sz="0" w:space="0" w:color="auto"/>
        <w:bottom w:val="none" w:sz="0" w:space="0" w:color="auto"/>
        <w:right w:val="none" w:sz="0" w:space="0" w:color="auto"/>
      </w:divBdr>
    </w:div>
    <w:div w:id="438792346">
      <w:bodyDiv w:val="1"/>
      <w:marLeft w:val="0"/>
      <w:marRight w:val="0"/>
      <w:marTop w:val="0"/>
      <w:marBottom w:val="0"/>
      <w:divBdr>
        <w:top w:val="none" w:sz="0" w:space="0" w:color="auto"/>
        <w:left w:val="none" w:sz="0" w:space="0" w:color="auto"/>
        <w:bottom w:val="none" w:sz="0" w:space="0" w:color="auto"/>
        <w:right w:val="none" w:sz="0" w:space="0" w:color="auto"/>
      </w:divBdr>
    </w:div>
    <w:div w:id="456684417">
      <w:bodyDiv w:val="1"/>
      <w:marLeft w:val="0"/>
      <w:marRight w:val="0"/>
      <w:marTop w:val="0"/>
      <w:marBottom w:val="0"/>
      <w:divBdr>
        <w:top w:val="none" w:sz="0" w:space="0" w:color="auto"/>
        <w:left w:val="none" w:sz="0" w:space="0" w:color="auto"/>
        <w:bottom w:val="none" w:sz="0" w:space="0" w:color="auto"/>
        <w:right w:val="none" w:sz="0" w:space="0" w:color="auto"/>
      </w:divBdr>
    </w:div>
    <w:div w:id="459962859">
      <w:bodyDiv w:val="1"/>
      <w:marLeft w:val="0"/>
      <w:marRight w:val="0"/>
      <w:marTop w:val="0"/>
      <w:marBottom w:val="0"/>
      <w:divBdr>
        <w:top w:val="none" w:sz="0" w:space="0" w:color="auto"/>
        <w:left w:val="none" w:sz="0" w:space="0" w:color="auto"/>
        <w:bottom w:val="none" w:sz="0" w:space="0" w:color="auto"/>
        <w:right w:val="none" w:sz="0" w:space="0" w:color="auto"/>
      </w:divBdr>
    </w:div>
    <w:div w:id="467210423">
      <w:bodyDiv w:val="1"/>
      <w:marLeft w:val="0"/>
      <w:marRight w:val="0"/>
      <w:marTop w:val="0"/>
      <w:marBottom w:val="0"/>
      <w:divBdr>
        <w:top w:val="none" w:sz="0" w:space="0" w:color="auto"/>
        <w:left w:val="none" w:sz="0" w:space="0" w:color="auto"/>
        <w:bottom w:val="none" w:sz="0" w:space="0" w:color="auto"/>
        <w:right w:val="none" w:sz="0" w:space="0" w:color="auto"/>
      </w:divBdr>
    </w:div>
    <w:div w:id="521550898">
      <w:bodyDiv w:val="1"/>
      <w:marLeft w:val="0"/>
      <w:marRight w:val="0"/>
      <w:marTop w:val="0"/>
      <w:marBottom w:val="0"/>
      <w:divBdr>
        <w:top w:val="none" w:sz="0" w:space="0" w:color="auto"/>
        <w:left w:val="none" w:sz="0" w:space="0" w:color="auto"/>
        <w:bottom w:val="none" w:sz="0" w:space="0" w:color="auto"/>
        <w:right w:val="none" w:sz="0" w:space="0" w:color="auto"/>
      </w:divBdr>
    </w:div>
    <w:div w:id="563294882">
      <w:bodyDiv w:val="1"/>
      <w:marLeft w:val="0"/>
      <w:marRight w:val="0"/>
      <w:marTop w:val="0"/>
      <w:marBottom w:val="0"/>
      <w:divBdr>
        <w:top w:val="none" w:sz="0" w:space="0" w:color="auto"/>
        <w:left w:val="none" w:sz="0" w:space="0" w:color="auto"/>
        <w:bottom w:val="none" w:sz="0" w:space="0" w:color="auto"/>
        <w:right w:val="none" w:sz="0" w:space="0" w:color="auto"/>
      </w:divBdr>
    </w:div>
    <w:div w:id="574243933">
      <w:bodyDiv w:val="1"/>
      <w:marLeft w:val="0"/>
      <w:marRight w:val="0"/>
      <w:marTop w:val="0"/>
      <w:marBottom w:val="0"/>
      <w:divBdr>
        <w:top w:val="none" w:sz="0" w:space="0" w:color="auto"/>
        <w:left w:val="none" w:sz="0" w:space="0" w:color="auto"/>
        <w:bottom w:val="none" w:sz="0" w:space="0" w:color="auto"/>
        <w:right w:val="none" w:sz="0" w:space="0" w:color="auto"/>
      </w:divBdr>
    </w:div>
    <w:div w:id="600600477">
      <w:bodyDiv w:val="1"/>
      <w:marLeft w:val="0"/>
      <w:marRight w:val="0"/>
      <w:marTop w:val="0"/>
      <w:marBottom w:val="0"/>
      <w:divBdr>
        <w:top w:val="none" w:sz="0" w:space="0" w:color="auto"/>
        <w:left w:val="none" w:sz="0" w:space="0" w:color="auto"/>
        <w:bottom w:val="none" w:sz="0" w:space="0" w:color="auto"/>
        <w:right w:val="none" w:sz="0" w:space="0" w:color="auto"/>
      </w:divBdr>
    </w:div>
    <w:div w:id="605891557">
      <w:bodyDiv w:val="1"/>
      <w:marLeft w:val="0"/>
      <w:marRight w:val="0"/>
      <w:marTop w:val="0"/>
      <w:marBottom w:val="0"/>
      <w:divBdr>
        <w:top w:val="none" w:sz="0" w:space="0" w:color="auto"/>
        <w:left w:val="none" w:sz="0" w:space="0" w:color="auto"/>
        <w:bottom w:val="none" w:sz="0" w:space="0" w:color="auto"/>
        <w:right w:val="none" w:sz="0" w:space="0" w:color="auto"/>
      </w:divBdr>
    </w:div>
    <w:div w:id="622345568">
      <w:bodyDiv w:val="1"/>
      <w:marLeft w:val="0"/>
      <w:marRight w:val="0"/>
      <w:marTop w:val="0"/>
      <w:marBottom w:val="0"/>
      <w:divBdr>
        <w:top w:val="none" w:sz="0" w:space="0" w:color="auto"/>
        <w:left w:val="none" w:sz="0" w:space="0" w:color="auto"/>
        <w:bottom w:val="none" w:sz="0" w:space="0" w:color="auto"/>
        <w:right w:val="none" w:sz="0" w:space="0" w:color="auto"/>
      </w:divBdr>
    </w:div>
    <w:div w:id="624314847">
      <w:bodyDiv w:val="1"/>
      <w:marLeft w:val="0"/>
      <w:marRight w:val="0"/>
      <w:marTop w:val="0"/>
      <w:marBottom w:val="0"/>
      <w:divBdr>
        <w:top w:val="none" w:sz="0" w:space="0" w:color="auto"/>
        <w:left w:val="none" w:sz="0" w:space="0" w:color="auto"/>
        <w:bottom w:val="none" w:sz="0" w:space="0" w:color="auto"/>
        <w:right w:val="none" w:sz="0" w:space="0" w:color="auto"/>
      </w:divBdr>
    </w:div>
    <w:div w:id="636183314">
      <w:bodyDiv w:val="1"/>
      <w:marLeft w:val="0"/>
      <w:marRight w:val="0"/>
      <w:marTop w:val="0"/>
      <w:marBottom w:val="0"/>
      <w:divBdr>
        <w:top w:val="none" w:sz="0" w:space="0" w:color="auto"/>
        <w:left w:val="none" w:sz="0" w:space="0" w:color="auto"/>
        <w:bottom w:val="none" w:sz="0" w:space="0" w:color="auto"/>
        <w:right w:val="none" w:sz="0" w:space="0" w:color="auto"/>
      </w:divBdr>
    </w:div>
    <w:div w:id="655956408">
      <w:bodyDiv w:val="1"/>
      <w:marLeft w:val="0"/>
      <w:marRight w:val="0"/>
      <w:marTop w:val="0"/>
      <w:marBottom w:val="0"/>
      <w:divBdr>
        <w:top w:val="none" w:sz="0" w:space="0" w:color="auto"/>
        <w:left w:val="none" w:sz="0" w:space="0" w:color="auto"/>
        <w:bottom w:val="none" w:sz="0" w:space="0" w:color="auto"/>
        <w:right w:val="none" w:sz="0" w:space="0" w:color="auto"/>
      </w:divBdr>
    </w:div>
    <w:div w:id="692807352">
      <w:bodyDiv w:val="1"/>
      <w:marLeft w:val="0"/>
      <w:marRight w:val="0"/>
      <w:marTop w:val="0"/>
      <w:marBottom w:val="0"/>
      <w:divBdr>
        <w:top w:val="none" w:sz="0" w:space="0" w:color="auto"/>
        <w:left w:val="none" w:sz="0" w:space="0" w:color="auto"/>
        <w:bottom w:val="none" w:sz="0" w:space="0" w:color="auto"/>
        <w:right w:val="none" w:sz="0" w:space="0" w:color="auto"/>
      </w:divBdr>
    </w:div>
    <w:div w:id="765810684">
      <w:bodyDiv w:val="1"/>
      <w:marLeft w:val="0"/>
      <w:marRight w:val="0"/>
      <w:marTop w:val="0"/>
      <w:marBottom w:val="0"/>
      <w:divBdr>
        <w:top w:val="none" w:sz="0" w:space="0" w:color="auto"/>
        <w:left w:val="none" w:sz="0" w:space="0" w:color="auto"/>
        <w:bottom w:val="none" w:sz="0" w:space="0" w:color="auto"/>
        <w:right w:val="none" w:sz="0" w:space="0" w:color="auto"/>
      </w:divBdr>
    </w:div>
    <w:div w:id="770204631">
      <w:bodyDiv w:val="1"/>
      <w:marLeft w:val="0"/>
      <w:marRight w:val="0"/>
      <w:marTop w:val="0"/>
      <w:marBottom w:val="0"/>
      <w:divBdr>
        <w:top w:val="none" w:sz="0" w:space="0" w:color="auto"/>
        <w:left w:val="none" w:sz="0" w:space="0" w:color="auto"/>
        <w:bottom w:val="none" w:sz="0" w:space="0" w:color="auto"/>
        <w:right w:val="none" w:sz="0" w:space="0" w:color="auto"/>
      </w:divBdr>
    </w:div>
    <w:div w:id="795416785">
      <w:bodyDiv w:val="1"/>
      <w:marLeft w:val="0"/>
      <w:marRight w:val="0"/>
      <w:marTop w:val="0"/>
      <w:marBottom w:val="0"/>
      <w:divBdr>
        <w:top w:val="none" w:sz="0" w:space="0" w:color="auto"/>
        <w:left w:val="none" w:sz="0" w:space="0" w:color="auto"/>
        <w:bottom w:val="none" w:sz="0" w:space="0" w:color="auto"/>
        <w:right w:val="none" w:sz="0" w:space="0" w:color="auto"/>
      </w:divBdr>
    </w:div>
    <w:div w:id="816414422">
      <w:bodyDiv w:val="1"/>
      <w:marLeft w:val="0"/>
      <w:marRight w:val="0"/>
      <w:marTop w:val="0"/>
      <w:marBottom w:val="0"/>
      <w:divBdr>
        <w:top w:val="none" w:sz="0" w:space="0" w:color="auto"/>
        <w:left w:val="none" w:sz="0" w:space="0" w:color="auto"/>
        <w:bottom w:val="none" w:sz="0" w:space="0" w:color="auto"/>
        <w:right w:val="none" w:sz="0" w:space="0" w:color="auto"/>
      </w:divBdr>
    </w:div>
    <w:div w:id="819422847">
      <w:bodyDiv w:val="1"/>
      <w:marLeft w:val="0"/>
      <w:marRight w:val="0"/>
      <w:marTop w:val="0"/>
      <w:marBottom w:val="0"/>
      <w:divBdr>
        <w:top w:val="none" w:sz="0" w:space="0" w:color="auto"/>
        <w:left w:val="none" w:sz="0" w:space="0" w:color="auto"/>
        <w:bottom w:val="none" w:sz="0" w:space="0" w:color="auto"/>
        <w:right w:val="none" w:sz="0" w:space="0" w:color="auto"/>
      </w:divBdr>
    </w:div>
    <w:div w:id="859273998">
      <w:bodyDiv w:val="1"/>
      <w:marLeft w:val="0"/>
      <w:marRight w:val="0"/>
      <w:marTop w:val="0"/>
      <w:marBottom w:val="0"/>
      <w:divBdr>
        <w:top w:val="none" w:sz="0" w:space="0" w:color="auto"/>
        <w:left w:val="none" w:sz="0" w:space="0" w:color="auto"/>
        <w:bottom w:val="none" w:sz="0" w:space="0" w:color="auto"/>
        <w:right w:val="none" w:sz="0" w:space="0" w:color="auto"/>
      </w:divBdr>
    </w:div>
    <w:div w:id="909459672">
      <w:bodyDiv w:val="1"/>
      <w:marLeft w:val="0"/>
      <w:marRight w:val="0"/>
      <w:marTop w:val="0"/>
      <w:marBottom w:val="0"/>
      <w:divBdr>
        <w:top w:val="none" w:sz="0" w:space="0" w:color="auto"/>
        <w:left w:val="none" w:sz="0" w:space="0" w:color="auto"/>
        <w:bottom w:val="none" w:sz="0" w:space="0" w:color="auto"/>
        <w:right w:val="none" w:sz="0" w:space="0" w:color="auto"/>
      </w:divBdr>
    </w:div>
    <w:div w:id="909655114">
      <w:bodyDiv w:val="1"/>
      <w:marLeft w:val="0"/>
      <w:marRight w:val="0"/>
      <w:marTop w:val="0"/>
      <w:marBottom w:val="0"/>
      <w:divBdr>
        <w:top w:val="none" w:sz="0" w:space="0" w:color="auto"/>
        <w:left w:val="none" w:sz="0" w:space="0" w:color="auto"/>
        <w:bottom w:val="none" w:sz="0" w:space="0" w:color="auto"/>
        <w:right w:val="none" w:sz="0" w:space="0" w:color="auto"/>
      </w:divBdr>
    </w:div>
    <w:div w:id="913705184">
      <w:bodyDiv w:val="1"/>
      <w:marLeft w:val="0"/>
      <w:marRight w:val="0"/>
      <w:marTop w:val="0"/>
      <w:marBottom w:val="0"/>
      <w:divBdr>
        <w:top w:val="none" w:sz="0" w:space="0" w:color="auto"/>
        <w:left w:val="none" w:sz="0" w:space="0" w:color="auto"/>
        <w:bottom w:val="none" w:sz="0" w:space="0" w:color="auto"/>
        <w:right w:val="none" w:sz="0" w:space="0" w:color="auto"/>
      </w:divBdr>
    </w:div>
    <w:div w:id="927228640">
      <w:bodyDiv w:val="1"/>
      <w:marLeft w:val="0"/>
      <w:marRight w:val="0"/>
      <w:marTop w:val="0"/>
      <w:marBottom w:val="0"/>
      <w:divBdr>
        <w:top w:val="none" w:sz="0" w:space="0" w:color="auto"/>
        <w:left w:val="none" w:sz="0" w:space="0" w:color="auto"/>
        <w:bottom w:val="none" w:sz="0" w:space="0" w:color="auto"/>
        <w:right w:val="none" w:sz="0" w:space="0" w:color="auto"/>
      </w:divBdr>
    </w:div>
    <w:div w:id="936869660">
      <w:bodyDiv w:val="1"/>
      <w:marLeft w:val="0"/>
      <w:marRight w:val="0"/>
      <w:marTop w:val="0"/>
      <w:marBottom w:val="0"/>
      <w:divBdr>
        <w:top w:val="none" w:sz="0" w:space="0" w:color="auto"/>
        <w:left w:val="none" w:sz="0" w:space="0" w:color="auto"/>
        <w:bottom w:val="none" w:sz="0" w:space="0" w:color="auto"/>
        <w:right w:val="none" w:sz="0" w:space="0" w:color="auto"/>
      </w:divBdr>
    </w:div>
    <w:div w:id="948780461">
      <w:bodyDiv w:val="1"/>
      <w:marLeft w:val="0"/>
      <w:marRight w:val="0"/>
      <w:marTop w:val="0"/>
      <w:marBottom w:val="0"/>
      <w:divBdr>
        <w:top w:val="none" w:sz="0" w:space="0" w:color="auto"/>
        <w:left w:val="none" w:sz="0" w:space="0" w:color="auto"/>
        <w:bottom w:val="none" w:sz="0" w:space="0" w:color="auto"/>
        <w:right w:val="none" w:sz="0" w:space="0" w:color="auto"/>
      </w:divBdr>
    </w:div>
    <w:div w:id="964505286">
      <w:bodyDiv w:val="1"/>
      <w:marLeft w:val="0"/>
      <w:marRight w:val="0"/>
      <w:marTop w:val="0"/>
      <w:marBottom w:val="0"/>
      <w:divBdr>
        <w:top w:val="none" w:sz="0" w:space="0" w:color="auto"/>
        <w:left w:val="none" w:sz="0" w:space="0" w:color="auto"/>
        <w:bottom w:val="none" w:sz="0" w:space="0" w:color="auto"/>
        <w:right w:val="none" w:sz="0" w:space="0" w:color="auto"/>
      </w:divBdr>
    </w:div>
    <w:div w:id="968785632">
      <w:bodyDiv w:val="1"/>
      <w:marLeft w:val="0"/>
      <w:marRight w:val="0"/>
      <w:marTop w:val="0"/>
      <w:marBottom w:val="0"/>
      <w:divBdr>
        <w:top w:val="none" w:sz="0" w:space="0" w:color="auto"/>
        <w:left w:val="none" w:sz="0" w:space="0" w:color="auto"/>
        <w:bottom w:val="none" w:sz="0" w:space="0" w:color="auto"/>
        <w:right w:val="none" w:sz="0" w:space="0" w:color="auto"/>
      </w:divBdr>
    </w:div>
    <w:div w:id="981933595">
      <w:bodyDiv w:val="1"/>
      <w:marLeft w:val="0"/>
      <w:marRight w:val="0"/>
      <w:marTop w:val="0"/>
      <w:marBottom w:val="0"/>
      <w:divBdr>
        <w:top w:val="none" w:sz="0" w:space="0" w:color="auto"/>
        <w:left w:val="none" w:sz="0" w:space="0" w:color="auto"/>
        <w:bottom w:val="none" w:sz="0" w:space="0" w:color="auto"/>
        <w:right w:val="none" w:sz="0" w:space="0" w:color="auto"/>
      </w:divBdr>
    </w:div>
    <w:div w:id="1042559938">
      <w:bodyDiv w:val="1"/>
      <w:marLeft w:val="0"/>
      <w:marRight w:val="0"/>
      <w:marTop w:val="0"/>
      <w:marBottom w:val="0"/>
      <w:divBdr>
        <w:top w:val="none" w:sz="0" w:space="0" w:color="auto"/>
        <w:left w:val="none" w:sz="0" w:space="0" w:color="auto"/>
        <w:bottom w:val="none" w:sz="0" w:space="0" w:color="auto"/>
        <w:right w:val="none" w:sz="0" w:space="0" w:color="auto"/>
      </w:divBdr>
    </w:div>
    <w:div w:id="1051925583">
      <w:bodyDiv w:val="1"/>
      <w:marLeft w:val="0"/>
      <w:marRight w:val="0"/>
      <w:marTop w:val="0"/>
      <w:marBottom w:val="0"/>
      <w:divBdr>
        <w:top w:val="none" w:sz="0" w:space="0" w:color="auto"/>
        <w:left w:val="none" w:sz="0" w:space="0" w:color="auto"/>
        <w:bottom w:val="none" w:sz="0" w:space="0" w:color="auto"/>
        <w:right w:val="none" w:sz="0" w:space="0" w:color="auto"/>
      </w:divBdr>
    </w:div>
    <w:div w:id="1064839767">
      <w:bodyDiv w:val="1"/>
      <w:marLeft w:val="0"/>
      <w:marRight w:val="0"/>
      <w:marTop w:val="0"/>
      <w:marBottom w:val="0"/>
      <w:divBdr>
        <w:top w:val="none" w:sz="0" w:space="0" w:color="auto"/>
        <w:left w:val="none" w:sz="0" w:space="0" w:color="auto"/>
        <w:bottom w:val="none" w:sz="0" w:space="0" w:color="auto"/>
        <w:right w:val="none" w:sz="0" w:space="0" w:color="auto"/>
      </w:divBdr>
    </w:div>
    <w:div w:id="1127626749">
      <w:bodyDiv w:val="1"/>
      <w:marLeft w:val="0"/>
      <w:marRight w:val="0"/>
      <w:marTop w:val="0"/>
      <w:marBottom w:val="0"/>
      <w:divBdr>
        <w:top w:val="none" w:sz="0" w:space="0" w:color="auto"/>
        <w:left w:val="none" w:sz="0" w:space="0" w:color="auto"/>
        <w:bottom w:val="none" w:sz="0" w:space="0" w:color="auto"/>
        <w:right w:val="none" w:sz="0" w:space="0" w:color="auto"/>
      </w:divBdr>
    </w:div>
    <w:div w:id="1160927431">
      <w:bodyDiv w:val="1"/>
      <w:marLeft w:val="0"/>
      <w:marRight w:val="0"/>
      <w:marTop w:val="0"/>
      <w:marBottom w:val="0"/>
      <w:divBdr>
        <w:top w:val="none" w:sz="0" w:space="0" w:color="auto"/>
        <w:left w:val="none" w:sz="0" w:space="0" w:color="auto"/>
        <w:bottom w:val="none" w:sz="0" w:space="0" w:color="auto"/>
        <w:right w:val="none" w:sz="0" w:space="0" w:color="auto"/>
      </w:divBdr>
    </w:div>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 w:id="1188906511">
      <w:bodyDiv w:val="1"/>
      <w:marLeft w:val="0"/>
      <w:marRight w:val="0"/>
      <w:marTop w:val="0"/>
      <w:marBottom w:val="0"/>
      <w:divBdr>
        <w:top w:val="none" w:sz="0" w:space="0" w:color="auto"/>
        <w:left w:val="none" w:sz="0" w:space="0" w:color="auto"/>
        <w:bottom w:val="none" w:sz="0" w:space="0" w:color="auto"/>
        <w:right w:val="none" w:sz="0" w:space="0" w:color="auto"/>
      </w:divBdr>
    </w:div>
    <w:div w:id="1191918538">
      <w:bodyDiv w:val="1"/>
      <w:marLeft w:val="0"/>
      <w:marRight w:val="0"/>
      <w:marTop w:val="0"/>
      <w:marBottom w:val="0"/>
      <w:divBdr>
        <w:top w:val="none" w:sz="0" w:space="0" w:color="auto"/>
        <w:left w:val="none" w:sz="0" w:space="0" w:color="auto"/>
        <w:bottom w:val="none" w:sz="0" w:space="0" w:color="auto"/>
        <w:right w:val="none" w:sz="0" w:space="0" w:color="auto"/>
      </w:divBdr>
    </w:div>
    <w:div w:id="1204830149">
      <w:bodyDiv w:val="1"/>
      <w:marLeft w:val="0"/>
      <w:marRight w:val="0"/>
      <w:marTop w:val="0"/>
      <w:marBottom w:val="0"/>
      <w:divBdr>
        <w:top w:val="none" w:sz="0" w:space="0" w:color="auto"/>
        <w:left w:val="none" w:sz="0" w:space="0" w:color="auto"/>
        <w:bottom w:val="none" w:sz="0" w:space="0" w:color="auto"/>
        <w:right w:val="none" w:sz="0" w:space="0" w:color="auto"/>
      </w:divBdr>
    </w:div>
    <w:div w:id="1217933445">
      <w:bodyDiv w:val="1"/>
      <w:marLeft w:val="0"/>
      <w:marRight w:val="0"/>
      <w:marTop w:val="0"/>
      <w:marBottom w:val="0"/>
      <w:divBdr>
        <w:top w:val="none" w:sz="0" w:space="0" w:color="auto"/>
        <w:left w:val="none" w:sz="0" w:space="0" w:color="auto"/>
        <w:bottom w:val="none" w:sz="0" w:space="0" w:color="auto"/>
        <w:right w:val="none" w:sz="0" w:space="0" w:color="auto"/>
      </w:divBdr>
    </w:div>
    <w:div w:id="1221332905">
      <w:bodyDiv w:val="1"/>
      <w:marLeft w:val="0"/>
      <w:marRight w:val="0"/>
      <w:marTop w:val="0"/>
      <w:marBottom w:val="0"/>
      <w:divBdr>
        <w:top w:val="none" w:sz="0" w:space="0" w:color="auto"/>
        <w:left w:val="none" w:sz="0" w:space="0" w:color="auto"/>
        <w:bottom w:val="none" w:sz="0" w:space="0" w:color="auto"/>
        <w:right w:val="none" w:sz="0" w:space="0" w:color="auto"/>
      </w:divBdr>
    </w:div>
    <w:div w:id="1228763406">
      <w:bodyDiv w:val="1"/>
      <w:marLeft w:val="0"/>
      <w:marRight w:val="0"/>
      <w:marTop w:val="0"/>
      <w:marBottom w:val="0"/>
      <w:divBdr>
        <w:top w:val="none" w:sz="0" w:space="0" w:color="auto"/>
        <w:left w:val="none" w:sz="0" w:space="0" w:color="auto"/>
        <w:bottom w:val="none" w:sz="0" w:space="0" w:color="auto"/>
        <w:right w:val="none" w:sz="0" w:space="0" w:color="auto"/>
      </w:divBdr>
    </w:div>
    <w:div w:id="1240285547">
      <w:bodyDiv w:val="1"/>
      <w:marLeft w:val="0"/>
      <w:marRight w:val="0"/>
      <w:marTop w:val="0"/>
      <w:marBottom w:val="0"/>
      <w:divBdr>
        <w:top w:val="none" w:sz="0" w:space="0" w:color="auto"/>
        <w:left w:val="none" w:sz="0" w:space="0" w:color="auto"/>
        <w:bottom w:val="none" w:sz="0" w:space="0" w:color="auto"/>
        <w:right w:val="none" w:sz="0" w:space="0" w:color="auto"/>
      </w:divBdr>
    </w:div>
    <w:div w:id="1240602359">
      <w:bodyDiv w:val="1"/>
      <w:marLeft w:val="0"/>
      <w:marRight w:val="0"/>
      <w:marTop w:val="0"/>
      <w:marBottom w:val="0"/>
      <w:divBdr>
        <w:top w:val="none" w:sz="0" w:space="0" w:color="auto"/>
        <w:left w:val="none" w:sz="0" w:space="0" w:color="auto"/>
        <w:bottom w:val="none" w:sz="0" w:space="0" w:color="auto"/>
        <w:right w:val="none" w:sz="0" w:space="0" w:color="auto"/>
      </w:divBdr>
    </w:div>
    <w:div w:id="1255287914">
      <w:bodyDiv w:val="1"/>
      <w:marLeft w:val="0"/>
      <w:marRight w:val="0"/>
      <w:marTop w:val="0"/>
      <w:marBottom w:val="0"/>
      <w:divBdr>
        <w:top w:val="none" w:sz="0" w:space="0" w:color="auto"/>
        <w:left w:val="none" w:sz="0" w:space="0" w:color="auto"/>
        <w:bottom w:val="none" w:sz="0" w:space="0" w:color="auto"/>
        <w:right w:val="none" w:sz="0" w:space="0" w:color="auto"/>
      </w:divBdr>
    </w:div>
    <w:div w:id="1275793462">
      <w:bodyDiv w:val="1"/>
      <w:marLeft w:val="0"/>
      <w:marRight w:val="0"/>
      <w:marTop w:val="0"/>
      <w:marBottom w:val="0"/>
      <w:divBdr>
        <w:top w:val="none" w:sz="0" w:space="0" w:color="auto"/>
        <w:left w:val="none" w:sz="0" w:space="0" w:color="auto"/>
        <w:bottom w:val="none" w:sz="0" w:space="0" w:color="auto"/>
        <w:right w:val="none" w:sz="0" w:space="0" w:color="auto"/>
      </w:divBdr>
    </w:div>
    <w:div w:id="1281642340">
      <w:bodyDiv w:val="1"/>
      <w:marLeft w:val="0"/>
      <w:marRight w:val="0"/>
      <w:marTop w:val="0"/>
      <w:marBottom w:val="0"/>
      <w:divBdr>
        <w:top w:val="none" w:sz="0" w:space="0" w:color="auto"/>
        <w:left w:val="none" w:sz="0" w:space="0" w:color="auto"/>
        <w:bottom w:val="none" w:sz="0" w:space="0" w:color="auto"/>
        <w:right w:val="none" w:sz="0" w:space="0" w:color="auto"/>
      </w:divBdr>
    </w:div>
    <w:div w:id="1310944458">
      <w:bodyDiv w:val="1"/>
      <w:marLeft w:val="0"/>
      <w:marRight w:val="0"/>
      <w:marTop w:val="0"/>
      <w:marBottom w:val="0"/>
      <w:divBdr>
        <w:top w:val="none" w:sz="0" w:space="0" w:color="auto"/>
        <w:left w:val="none" w:sz="0" w:space="0" w:color="auto"/>
        <w:bottom w:val="none" w:sz="0" w:space="0" w:color="auto"/>
        <w:right w:val="none" w:sz="0" w:space="0" w:color="auto"/>
      </w:divBdr>
    </w:div>
    <w:div w:id="1326130264">
      <w:bodyDiv w:val="1"/>
      <w:marLeft w:val="0"/>
      <w:marRight w:val="0"/>
      <w:marTop w:val="0"/>
      <w:marBottom w:val="0"/>
      <w:divBdr>
        <w:top w:val="none" w:sz="0" w:space="0" w:color="auto"/>
        <w:left w:val="none" w:sz="0" w:space="0" w:color="auto"/>
        <w:bottom w:val="none" w:sz="0" w:space="0" w:color="auto"/>
        <w:right w:val="none" w:sz="0" w:space="0" w:color="auto"/>
      </w:divBdr>
    </w:div>
    <w:div w:id="1326280631">
      <w:bodyDiv w:val="1"/>
      <w:marLeft w:val="0"/>
      <w:marRight w:val="0"/>
      <w:marTop w:val="0"/>
      <w:marBottom w:val="0"/>
      <w:divBdr>
        <w:top w:val="none" w:sz="0" w:space="0" w:color="auto"/>
        <w:left w:val="none" w:sz="0" w:space="0" w:color="auto"/>
        <w:bottom w:val="none" w:sz="0" w:space="0" w:color="auto"/>
        <w:right w:val="none" w:sz="0" w:space="0" w:color="auto"/>
      </w:divBdr>
    </w:div>
    <w:div w:id="1354959453">
      <w:bodyDiv w:val="1"/>
      <w:marLeft w:val="0"/>
      <w:marRight w:val="0"/>
      <w:marTop w:val="0"/>
      <w:marBottom w:val="0"/>
      <w:divBdr>
        <w:top w:val="none" w:sz="0" w:space="0" w:color="auto"/>
        <w:left w:val="none" w:sz="0" w:space="0" w:color="auto"/>
        <w:bottom w:val="none" w:sz="0" w:space="0" w:color="auto"/>
        <w:right w:val="none" w:sz="0" w:space="0" w:color="auto"/>
      </w:divBdr>
    </w:div>
    <w:div w:id="1386948299">
      <w:bodyDiv w:val="1"/>
      <w:marLeft w:val="0"/>
      <w:marRight w:val="0"/>
      <w:marTop w:val="0"/>
      <w:marBottom w:val="0"/>
      <w:divBdr>
        <w:top w:val="none" w:sz="0" w:space="0" w:color="auto"/>
        <w:left w:val="none" w:sz="0" w:space="0" w:color="auto"/>
        <w:bottom w:val="none" w:sz="0" w:space="0" w:color="auto"/>
        <w:right w:val="none" w:sz="0" w:space="0" w:color="auto"/>
      </w:divBdr>
    </w:div>
    <w:div w:id="1394039039">
      <w:bodyDiv w:val="1"/>
      <w:marLeft w:val="0"/>
      <w:marRight w:val="0"/>
      <w:marTop w:val="0"/>
      <w:marBottom w:val="0"/>
      <w:divBdr>
        <w:top w:val="none" w:sz="0" w:space="0" w:color="auto"/>
        <w:left w:val="none" w:sz="0" w:space="0" w:color="auto"/>
        <w:bottom w:val="none" w:sz="0" w:space="0" w:color="auto"/>
        <w:right w:val="none" w:sz="0" w:space="0" w:color="auto"/>
      </w:divBdr>
    </w:div>
    <w:div w:id="1398481780">
      <w:bodyDiv w:val="1"/>
      <w:marLeft w:val="0"/>
      <w:marRight w:val="0"/>
      <w:marTop w:val="0"/>
      <w:marBottom w:val="0"/>
      <w:divBdr>
        <w:top w:val="none" w:sz="0" w:space="0" w:color="auto"/>
        <w:left w:val="none" w:sz="0" w:space="0" w:color="auto"/>
        <w:bottom w:val="none" w:sz="0" w:space="0" w:color="auto"/>
        <w:right w:val="none" w:sz="0" w:space="0" w:color="auto"/>
      </w:divBdr>
    </w:div>
    <w:div w:id="1408720730">
      <w:bodyDiv w:val="1"/>
      <w:marLeft w:val="0"/>
      <w:marRight w:val="0"/>
      <w:marTop w:val="0"/>
      <w:marBottom w:val="0"/>
      <w:divBdr>
        <w:top w:val="none" w:sz="0" w:space="0" w:color="auto"/>
        <w:left w:val="none" w:sz="0" w:space="0" w:color="auto"/>
        <w:bottom w:val="none" w:sz="0" w:space="0" w:color="auto"/>
        <w:right w:val="none" w:sz="0" w:space="0" w:color="auto"/>
      </w:divBdr>
    </w:div>
    <w:div w:id="1415936345">
      <w:bodyDiv w:val="1"/>
      <w:marLeft w:val="0"/>
      <w:marRight w:val="0"/>
      <w:marTop w:val="0"/>
      <w:marBottom w:val="0"/>
      <w:divBdr>
        <w:top w:val="none" w:sz="0" w:space="0" w:color="auto"/>
        <w:left w:val="none" w:sz="0" w:space="0" w:color="auto"/>
        <w:bottom w:val="none" w:sz="0" w:space="0" w:color="auto"/>
        <w:right w:val="none" w:sz="0" w:space="0" w:color="auto"/>
      </w:divBdr>
    </w:div>
    <w:div w:id="1423454628">
      <w:bodyDiv w:val="1"/>
      <w:marLeft w:val="0"/>
      <w:marRight w:val="0"/>
      <w:marTop w:val="0"/>
      <w:marBottom w:val="0"/>
      <w:divBdr>
        <w:top w:val="none" w:sz="0" w:space="0" w:color="auto"/>
        <w:left w:val="none" w:sz="0" w:space="0" w:color="auto"/>
        <w:bottom w:val="none" w:sz="0" w:space="0" w:color="auto"/>
        <w:right w:val="none" w:sz="0" w:space="0" w:color="auto"/>
      </w:divBdr>
    </w:div>
    <w:div w:id="1438334853">
      <w:bodyDiv w:val="1"/>
      <w:marLeft w:val="0"/>
      <w:marRight w:val="0"/>
      <w:marTop w:val="0"/>
      <w:marBottom w:val="0"/>
      <w:divBdr>
        <w:top w:val="none" w:sz="0" w:space="0" w:color="auto"/>
        <w:left w:val="none" w:sz="0" w:space="0" w:color="auto"/>
        <w:bottom w:val="none" w:sz="0" w:space="0" w:color="auto"/>
        <w:right w:val="none" w:sz="0" w:space="0" w:color="auto"/>
      </w:divBdr>
    </w:div>
    <w:div w:id="1441142628">
      <w:bodyDiv w:val="1"/>
      <w:marLeft w:val="0"/>
      <w:marRight w:val="0"/>
      <w:marTop w:val="0"/>
      <w:marBottom w:val="0"/>
      <w:divBdr>
        <w:top w:val="none" w:sz="0" w:space="0" w:color="auto"/>
        <w:left w:val="none" w:sz="0" w:space="0" w:color="auto"/>
        <w:bottom w:val="none" w:sz="0" w:space="0" w:color="auto"/>
        <w:right w:val="none" w:sz="0" w:space="0" w:color="auto"/>
      </w:divBdr>
    </w:div>
    <w:div w:id="1464732998">
      <w:bodyDiv w:val="1"/>
      <w:marLeft w:val="0"/>
      <w:marRight w:val="0"/>
      <w:marTop w:val="0"/>
      <w:marBottom w:val="0"/>
      <w:divBdr>
        <w:top w:val="none" w:sz="0" w:space="0" w:color="auto"/>
        <w:left w:val="none" w:sz="0" w:space="0" w:color="auto"/>
        <w:bottom w:val="none" w:sz="0" w:space="0" w:color="auto"/>
        <w:right w:val="none" w:sz="0" w:space="0" w:color="auto"/>
      </w:divBdr>
    </w:div>
    <w:div w:id="1502890914">
      <w:bodyDiv w:val="1"/>
      <w:marLeft w:val="0"/>
      <w:marRight w:val="0"/>
      <w:marTop w:val="0"/>
      <w:marBottom w:val="0"/>
      <w:divBdr>
        <w:top w:val="none" w:sz="0" w:space="0" w:color="auto"/>
        <w:left w:val="none" w:sz="0" w:space="0" w:color="auto"/>
        <w:bottom w:val="none" w:sz="0" w:space="0" w:color="auto"/>
        <w:right w:val="none" w:sz="0" w:space="0" w:color="auto"/>
      </w:divBdr>
    </w:div>
    <w:div w:id="1544362098">
      <w:bodyDiv w:val="1"/>
      <w:marLeft w:val="0"/>
      <w:marRight w:val="0"/>
      <w:marTop w:val="0"/>
      <w:marBottom w:val="0"/>
      <w:divBdr>
        <w:top w:val="none" w:sz="0" w:space="0" w:color="auto"/>
        <w:left w:val="none" w:sz="0" w:space="0" w:color="auto"/>
        <w:bottom w:val="none" w:sz="0" w:space="0" w:color="auto"/>
        <w:right w:val="none" w:sz="0" w:space="0" w:color="auto"/>
      </w:divBdr>
      <w:divsChild>
        <w:div w:id="917910027">
          <w:marLeft w:val="0"/>
          <w:marRight w:val="0"/>
          <w:marTop w:val="0"/>
          <w:marBottom w:val="0"/>
          <w:divBdr>
            <w:top w:val="none" w:sz="0" w:space="0" w:color="auto"/>
            <w:left w:val="none" w:sz="0" w:space="0" w:color="auto"/>
            <w:bottom w:val="none" w:sz="0" w:space="0" w:color="auto"/>
            <w:right w:val="none" w:sz="0" w:space="0" w:color="auto"/>
          </w:divBdr>
          <w:divsChild>
            <w:div w:id="1172645712">
              <w:marLeft w:val="0"/>
              <w:marRight w:val="0"/>
              <w:marTop w:val="0"/>
              <w:marBottom w:val="0"/>
              <w:divBdr>
                <w:top w:val="none" w:sz="0" w:space="0" w:color="auto"/>
                <w:left w:val="none" w:sz="0" w:space="0" w:color="auto"/>
                <w:bottom w:val="none" w:sz="0" w:space="0" w:color="auto"/>
                <w:right w:val="none" w:sz="0" w:space="0" w:color="auto"/>
              </w:divBdr>
              <w:divsChild>
                <w:div w:id="844637305">
                  <w:marLeft w:val="0"/>
                  <w:marRight w:val="0"/>
                  <w:marTop w:val="0"/>
                  <w:marBottom w:val="0"/>
                  <w:divBdr>
                    <w:top w:val="none" w:sz="0" w:space="0" w:color="auto"/>
                    <w:left w:val="none" w:sz="0" w:space="0" w:color="auto"/>
                    <w:bottom w:val="none" w:sz="0" w:space="0" w:color="auto"/>
                    <w:right w:val="none" w:sz="0" w:space="0" w:color="auto"/>
                  </w:divBdr>
                  <w:divsChild>
                    <w:div w:id="1155148431">
                      <w:marLeft w:val="0"/>
                      <w:marRight w:val="0"/>
                      <w:marTop w:val="0"/>
                      <w:marBottom w:val="0"/>
                      <w:divBdr>
                        <w:top w:val="none" w:sz="0" w:space="0" w:color="auto"/>
                        <w:left w:val="none" w:sz="0" w:space="0" w:color="auto"/>
                        <w:bottom w:val="none" w:sz="0" w:space="0" w:color="auto"/>
                        <w:right w:val="none" w:sz="0" w:space="0" w:color="auto"/>
                      </w:divBdr>
                      <w:divsChild>
                        <w:div w:id="732655495">
                          <w:marLeft w:val="0"/>
                          <w:marRight w:val="0"/>
                          <w:marTop w:val="0"/>
                          <w:marBottom w:val="0"/>
                          <w:divBdr>
                            <w:top w:val="none" w:sz="0" w:space="0" w:color="auto"/>
                            <w:left w:val="none" w:sz="0" w:space="0" w:color="auto"/>
                            <w:bottom w:val="none" w:sz="0" w:space="0" w:color="auto"/>
                            <w:right w:val="none" w:sz="0" w:space="0" w:color="auto"/>
                          </w:divBdr>
                        </w:div>
                        <w:div w:id="2020042878">
                          <w:marLeft w:val="0"/>
                          <w:marRight w:val="0"/>
                          <w:marTop w:val="0"/>
                          <w:marBottom w:val="0"/>
                          <w:divBdr>
                            <w:top w:val="none" w:sz="0" w:space="0" w:color="auto"/>
                            <w:left w:val="none" w:sz="0" w:space="0" w:color="auto"/>
                            <w:bottom w:val="none" w:sz="0" w:space="0" w:color="auto"/>
                            <w:right w:val="none" w:sz="0" w:space="0" w:color="auto"/>
                          </w:divBdr>
                          <w:divsChild>
                            <w:div w:id="711348572">
                              <w:marLeft w:val="0"/>
                              <w:marRight w:val="0"/>
                              <w:marTop w:val="0"/>
                              <w:marBottom w:val="0"/>
                              <w:divBdr>
                                <w:top w:val="none" w:sz="0" w:space="0" w:color="auto"/>
                                <w:left w:val="none" w:sz="0" w:space="0" w:color="auto"/>
                                <w:bottom w:val="none" w:sz="0" w:space="0" w:color="auto"/>
                                <w:right w:val="none" w:sz="0" w:space="0" w:color="auto"/>
                              </w:divBdr>
                            </w:div>
                            <w:div w:id="934871560">
                              <w:marLeft w:val="0"/>
                              <w:marRight w:val="0"/>
                              <w:marTop w:val="0"/>
                              <w:marBottom w:val="0"/>
                              <w:divBdr>
                                <w:top w:val="none" w:sz="0" w:space="0" w:color="auto"/>
                                <w:left w:val="none" w:sz="0" w:space="0" w:color="auto"/>
                                <w:bottom w:val="none" w:sz="0" w:space="0" w:color="auto"/>
                                <w:right w:val="none" w:sz="0" w:space="0" w:color="auto"/>
                              </w:divBdr>
                              <w:divsChild>
                                <w:div w:id="1753358740">
                                  <w:marLeft w:val="0"/>
                                  <w:marRight w:val="0"/>
                                  <w:marTop w:val="0"/>
                                  <w:marBottom w:val="0"/>
                                  <w:divBdr>
                                    <w:top w:val="none" w:sz="0" w:space="0" w:color="auto"/>
                                    <w:left w:val="none" w:sz="0" w:space="0" w:color="auto"/>
                                    <w:bottom w:val="none" w:sz="0" w:space="0" w:color="auto"/>
                                    <w:right w:val="none" w:sz="0" w:space="0" w:color="auto"/>
                                  </w:divBdr>
                                  <w:divsChild>
                                    <w:div w:id="1020205103">
                                      <w:marLeft w:val="0"/>
                                      <w:marRight w:val="0"/>
                                      <w:marTop w:val="0"/>
                                      <w:marBottom w:val="0"/>
                                      <w:divBdr>
                                        <w:top w:val="none" w:sz="0" w:space="0" w:color="auto"/>
                                        <w:left w:val="none" w:sz="0" w:space="0" w:color="auto"/>
                                        <w:bottom w:val="none" w:sz="0" w:space="0" w:color="auto"/>
                                        <w:right w:val="none" w:sz="0" w:space="0" w:color="auto"/>
                                      </w:divBdr>
                                    </w:div>
                                    <w:div w:id="1324817478">
                                      <w:marLeft w:val="0"/>
                                      <w:marRight w:val="0"/>
                                      <w:marTop w:val="0"/>
                                      <w:marBottom w:val="0"/>
                                      <w:divBdr>
                                        <w:top w:val="none" w:sz="0" w:space="0" w:color="auto"/>
                                        <w:left w:val="none" w:sz="0" w:space="0" w:color="auto"/>
                                        <w:bottom w:val="none" w:sz="0" w:space="0" w:color="auto"/>
                                        <w:right w:val="none" w:sz="0" w:space="0" w:color="auto"/>
                                      </w:divBdr>
                                    </w:div>
                                    <w:div w:id="16538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50820">
      <w:bodyDiv w:val="1"/>
      <w:marLeft w:val="0"/>
      <w:marRight w:val="0"/>
      <w:marTop w:val="0"/>
      <w:marBottom w:val="0"/>
      <w:divBdr>
        <w:top w:val="none" w:sz="0" w:space="0" w:color="auto"/>
        <w:left w:val="none" w:sz="0" w:space="0" w:color="auto"/>
        <w:bottom w:val="none" w:sz="0" w:space="0" w:color="auto"/>
        <w:right w:val="none" w:sz="0" w:space="0" w:color="auto"/>
      </w:divBdr>
    </w:div>
    <w:div w:id="1566601733">
      <w:bodyDiv w:val="1"/>
      <w:marLeft w:val="0"/>
      <w:marRight w:val="0"/>
      <w:marTop w:val="0"/>
      <w:marBottom w:val="0"/>
      <w:divBdr>
        <w:top w:val="none" w:sz="0" w:space="0" w:color="auto"/>
        <w:left w:val="none" w:sz="0" w:space="0" w:color="auto"/>
        <w:bottom w:val="none" w:sz="0" w:space="0" w:color="auto"/>
        <w:right w:val="none" w:sz="0" w:space="0" w:color="auto"/>
      </w:divBdr>
    </w:div>
    <w:div w:id="1580794346">
      <w:bodyDiv w:val="1"/>
      <w:marLeft w:val="0"/>
      <w:marRight w:val="0"/>
      <w:marTop w:val="0"/>
      <w:marBottom w:val="0"/>
      <w:divBdr>
        <w:top w:val="none" w:sz="0" w:space="0" w:color="auto"/>
        <w:left w:val="none" w:sz="0" w:space="0" w:color="auto"/>
        <w:bottom w:val="none" w:sz="0" w:space="0" w:color="auto"/>
        <w:right w:val="none" w:sz="0" w:space="0" w:color="auto"/>
      </w:divBdr>
    </w:div>
    <w:div w:id="1583366415">
      <w:bodyDiv w:val="1"/>
      <w:marLeft w:val="0"/>
      <w:marRight w:val="0"/>
      <w:marTop w:val="0"/>
      <w:marBottom w:val="0"/>
      <w:divBdr>
        <w:top w:val="none" w:sz="0" w:space="0" w:color="auto"/>
        <w:left w:val="none" w:sz="0" w:space="0" w:color="auto"/>
        <w:bottom w:val="none" w:sz="0" w:space="0" w:color="auto"/>
        <w:right w:val="none" w:sz="0" w:space="0" w:color="auto"/>
      </w:divBdr>
    </w:div>
    <w:div w:id="1654749227">
      <w:bodyDiv w:val="1"/>
      <w:marLeft w:val="0"/>
      <w:marRight w:val="0"/>
      <w:marTop w:val="0"/>
      <w:marBottom w:val="0"/>
      <w:divBdr>
        <w:top w:val="none" w:sz="0" w:space="0" w:color="auto"/>
        <w:left w:val="none" w:sz="0" w:space="0" w:color="auto"/>
        <w:bottom w:val="none" w:sz="0" w:space="0" w:color="auto"/>
        <w:right w:val="none" w:sz="0" w:space="0" w:color="auto"/>
      </w:divBdr>
    </w:div>
    <w:div w:id="1682659118">
      <w:bodyDiv w:val="1"/>
      <w:marLeft w:val="0"/>
      <w:marRight w:val="0"/>
      <w:marTop w:val="0"/>
      <w:marBottom w:val="0"/>
      <w:divBdr>
        <w:top w:val="none" w:sz="0" w:space="0" w:color="auto"/>
        <w:left w:val="none" w:sz="0" w:space="0" w:color="auto"/>
        <w:bottom w:val="none" w:sz="0" w:space="0" w:color="auto"/>
        <w:right w:val="none" w:sz="0" w:space="0" w:color="auto"/>
      </w:divBdr>
    </w:div>
    <w:div w:id="1708674139">
      <w:bodyDiv w:val="1"/>
      <w:marLeft w:val="0"/>
      <w:marRight w:val="0"/>
      <w:marTop w:val="0"/>
      <w:marBottom w:val="0"/>
      <w:divBdr>
        <w:top w:val="none" w:sz="0" w:space="0" w:color="auto"/>
        <w:left w:val="none" w:sz="0" w:space="0" w:color="auto"/>
        <w:bottom w:val="none" w:sz="0" w:space="0" w:color="auto"/>
        <w:right w:val="none" w:sz="0" w:space="0" w:color="auto"/>
      </w:divBdr>
    </w:div>
    <w:div w:id="1746994122">
      <w:bodyDiv w:val="1"/>
      <w:marLeft w:val="0"/>
      <w:marRight w:val="0"/>
      <w:marTop w:val="0"/>
      <w:marBottom w:val="0"/>
      <w:divBdr>
        <w:top w:val="none" w:sz="0" w:space="0" w:color="auto"/>
        <w:left w:val="none" w:sz="0" w:space="0" w:color="auto"/>
        <w:bottom w:val="none" w:sz="0" w:space="0" w:color="auto"/>
        <w:right w:val="none" w:sz="0" w:space="0" w:color="auto"/>
      </w:divBdr>
    </w:div>
    <w:div w:id="1775132955">
      <w:bodyDiv w:val="1"/>
      <w:marLeft w:val="0"/>
      <w:marRight w:val="0"/>
      <w:marTop w:val="0"/>
      <w:marBottom w:val="0"/>
      <w:divBdr>
        <w:top w:val="none" w:sz="0" w:space="0" w:color="auto"/>
        <w:left w:val="none" w:sz="0" w:space="0" w:color="auto"/>
        <w:bottom w:val="none" w:sz="0" w:space="0" w:color="auto"/>
        <w:right w:val="none" w:sz="0" w:space="0" w:color="auto"/>
      </w:divBdr>
    </w:div>
    <w:div w:id="1778669332">
      <w:bodyDiv w:val="1"/>
      <w:marLeft w:val="0"/>
      <w:marRight w:val="0"/>
      <w:marTop w:val="0"/>
      <w:marBottom w:val="0"/>
      <w:divBdr>
        <w:top w:val="none" w:sz="0" w:space="0" w:color="auto"/>
        <w:left w:val="none" w:sz="0" w:space="0" w:color="auto"/>
        <w:bottom w:val="none" w:sz="0" w:space="0" w:color="auto"/>
        <w:right w:val="none" w:sz="0" w:space="0" w:color="auto"/>
      </w:divBdr>
    </w:div>
    <w:div w:id="1818108803">
      <w:bodyDiv w:val="1"/>
      <w:marLeft w:val="0"/>
      <w:marRight w:val="0"/>
      <w:marTop w:val="0"/>
      <w:marBottom w:val="0"/>
      <w:divBdr>
        <w:top w:val="none" w:sz="0" w:space="0" w:color="auto"/>
        <w:left w:val="none" w:sz="0" w:space="0" w:color="auto"/>
        <w:bottom w:val="none" w:sz="0" w:space="0" w:color="auto"/>
        <w:right w:val="none" w:sz="0" w:space="0" w:color="auto"/>
      </w:divBdr>
    </w:div>
    <w:div w:id="1892418624">
      <w:bodyDiv w:val="1"/>
      <w:marLeft w:val="0"/>
      <w:marRight w:val="0"/>
      <w:marTop w:val="0"/>
      <w:marBottom w:val="0"/>
      <w:divBdr>
        <w:top w:val="none" w:sz="0" w:space="0" w:color="auto"/>
        <w:left w:val="none" w:sz="0" w:space="0" w:color="auto"/>
        <w:bottom w:val="none" w:sz="0" w:space="0" w:color="auto"/>
        <w:right w:val="none" w:sz="0" w:space="0" w:color="auto"/>
      </w:divBdr>
    </w:div>
    <w:div w:id="1926918143">
      <w:bodyDiv w:val="1"/>
      <w:marLeft w:val="0"/>
      <w:marRight w:val="0"/>
      <w:marTop w:val="0"/>
      <w:marBottom w:val="0"/>
      <w:divBdr>
        <w:top w:val="none" w:sz="0" w:space="0" w:color="auto"/>
        <w:left w:val="none" w:sz="0" w:space="0" w:color="auto"/>
        <w:bottom w:val="none" w:sz="0" w:space="0" w:color="auto"/>
        <w:right w:val="none" w:sz="0" w:space="0" w:color="auto"/>
      </w:divBdr>
    </w:div>
    <w:div w:id="1969696476">
      <w:bodyDiv w:val="1"/>
      <w:marLeft w:val="0"/>
      <w:marRight w:val="0"/>
      <w:marTop w:val="0"/>
      <w:marBottom w:val="0"/>
      <w:divBdr>
        <w:top w:val="none" w:sz="0" w:space="0" w:color="auto"/>
        <w:left w:val="none" w:sz="0" w:space="0" w:color="auto"/>
        <w:bottom w:val="none" w:sz="0" w:space="0" w:color="auto"/>
        <w:right w:val="none" w:sz="0" w:space="0" w:color="auto"/>
      </w:divBdr>
    </w:div>
    <w:div w:id="2036424651">
      <w:bodyDiv w:val="1"/>
      <w:marLeft w:val="0"/>
      <w:marRight w:val="0"/>
      <w:marTop w:val="0"/>
      <w:marBottom w:val="0"/>
      <w:divBdr>
        <w:top w:val="none" w:sz="0" w:space="0" w:color="auto"/>
        <w:left w:val="none" w:sz="0" w:space="0" w:color="auto"/>
        <w:bottom w:val="none" w:sz="0" w:space="0" w:color="auto"/>
        <w:right w:val="none" w:sz="0" w:space="0" w:color="auto"/>
      </w:divBdr>
    </w:div>
    <w:div w:id="20639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t@svrk.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sklad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vrk@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skladi.si/portal/sl/ekp/izvajanje/porocila-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0BDF-6D18-4E4D-B4BF-CD8201FE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10776</Words>
  <Characters>67117</Characters>
  <Application>Microsoft Office Word</Application>
  <DocSecurity>0</DocSecurity>
  <Lines>559</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MGRT</Company>
  <LinksUpToDate>false</LinksUpToDate>
  <CharactersWithSpaces>77738</CharactersWithSpaces>
  <SharedDoc>false</SharedDoc>
  <HLinks>
    <vt:vector size="18" baseType="variant">
      <vt:variant>
        <vt:i4>4259903</vt:i4>
      </vt:variant>
      <vt:variant>
        <vt:i4>9</vt:i4>
      </vt:variant>
      <vt:variant>
        <vt:i4>0</vt:i4>
      </vt:variant>
      <vt:variant>
        <vt:i4>5</vt:i4>
      </vt:variant>
      <vt:variant>
        <vt:lpwstr>http://www.svrk.gov.si/si/kako_koristimo_eu_sredstva/porocila_programsko_obdobje_2014_2020/</vt:lpwstr>
      </vt:variant>
      <vt:variant>
        <vt:lpwstr/>
      </vt:variant>
      <vt:variant>
        <vt:i4>3801180</vt:i4>
      </vt:variant>
      <vt:variant>
        <vt:i4>6</vt:i4>
      </vt:variant>
      <vt:variant>
        <vt:i4>0</vt:i4>
      </vt:variant>
      <vt:variant>
        <vt:i4>5</vt:i4>
      </vt:variant>
      <vt:variant>
        <vt:lpwstr>mailto:gp.gs@gov.si</vt:lpwstr>
      </vt:variant>
      <vt:variant>
        <vt:lpwstr/>
      </vt:variant>
      <vt:variant>
        <vt:i4>5505082</vt:i4>
      </vt:variant>
      <vt:variant>
        <vt:i4>3</vt:i4>
      </vt:variant>
      <vt:variant>
        <vt:i4>0</vt:i4>
      </vt:variant>
      <vt:variant>
        <vt:i4>5</vt:i4>
      </vt:variant>
      <vt:variant>
        <vt:lpwstr>mailto:gp.svrk@gov.si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Tanja Kurnik</cp:lastModifiedBy>
  <cp:revision>3</cp:revision>
  <cp:lastPrinted>2019-05-21T11:13:00Z</cp:lastPrinted>
  <dcterms:created xsi:type="dcterms:W3CDTF">2019-05-20T10:51:00Z</dcterms:created>
  <dcterms:modified xsi:type="dcterms:W3CDTF">2019-05-21T11:19:00Z</dcterms:modified>
</cp:coreProperties>
</file>