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4238D3" w:rsidRDefault="0095652B" w:rsidP="00987D26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87D26" w:rsidRPr="004238D3" w:rsidTr="001802F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87D26" w:rsidRPr="004238D3" w:rsidRDefault="00987D26" w:rsidP="00143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B7E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IPP </w:t>
            </w:r>
            <w:r w:rsidR="006E43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007-736</w:t>
            </w:r>
            <w:r w:rsidR="00C12C9F" w:rsidRPr="00C12C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/2018</w:t>
            </w:r>
            <w:r w:rsidR="00C12C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987D26" w:rsidRPr="004238D3" w:rsidTr="001802F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87D26" w:rsidRPr="004238D3" w:rsidRDefault="00987D26" w:rsidP="00F0504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D6F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E128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F05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DD6F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F05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Pr="00DD6F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CC6F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AE40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87D26" w:rsidRPr="004238D3" w:rsidTr="001802F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6E430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2018-1611-0080</w:t>
            </w:r>
          </w:p>
        </w:tc>
      </w:tr>
      <w:tr w:rsidR="00987D26" w:rsidRPr="004238D3" w:rsidTr="001802F0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987D26" w:rsidRPr="004238D3" w:rsidRDefault="00E1281D" w:rsidP="001802F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987D26" w:rsidRPr="004238D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BC329B" w:rsidRDefault="00987D26" w:rsidP="004A3DA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143758"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Uredba o izvajanju Uredbe (EU) o </w:t>
            </w:r>
            <w:r w:rsidR="004E654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skladih denarnega trga </w:t>
            </w:r>
            <w:r w:rsidR="004A3DA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</w:t>
            </w:r>
            <w:r w:rsidR="00143758"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 obravnavno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D26" w:rsidRPr="00BC329B" w:rsidRDefault="00987D26" w:rsidP="001802F0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8D3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407692" w:rsidRPr="004238D3">
              <w:rPr>
                <w:rFonts w:ascii="Arial" w:hAnsi="Arial" w:cs="Arial"/>
                <w:sz w:val="20"/>
                <w:szCs w:val="20"/>
              </w:rPr>
              <w:t xml:space="preserve">sedmega odstavka </w:t>
            </w:r>
            <w:r w:rsidRPr="004238D3">
              <w:rPr>
                <w:rFonts w:ascii="Arial" w:hAnsi="Arial" w:cs="Arial"/>
                <w:sz w:val="20"/>
                <w:szCs w:val="20"/>
              </w:rPr>
              <w:t>2</w:t>
            </w:r>
            <w:r w:rsidR="00407692" w:rsidRPr="004238D3">
              <w:rPr>
                <w:rFonts w:ascii="Arial" w:hAnsi="Arial" w:cs="Arial"/>
                <w:sz w:val="20"/>
                <w:szCs w:val="20"/>
              </w:rPr>
              <w:t>1</w:t>
            </w:r>
            <w:r w:rsidRPr="004238D3">
              <w:rPr>
                <w:rFonts w:ascii="Arial" w:hAnsi="Arial" w:cs="Arial"/>
                <w:sz w:val="20"/>
                <w:szCs w:val="20"/>
              </w:rPr>
              <w:t xml:space="preserve">. člena Zakona o Vladi Republike Slovenije (Uradni list RS, št. 24/05 – uradno prečiščeno besedilo, 109/08, 38/10 – ZUKN, 8/12, 21/13, 47/13 – ZDU-1G, 65/14 in 55/17) je </w:t>
            </w:r>
            <w:r w:rsidRPr="00BC329B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na .. seji dne …sprejela </w:t>
            </w:r>
            <w:r w:rsidR="00F05045">
              <w:rPr>
                <w:rFonts w:ascii="Arial" w:hAnsi="Arial" w:cs="Arial"/>
                <w:color w:val="000000"/>
                <w:sz w:val="20"/>
                <w:szCs w:val="20"/>
              </w:rPr>
              <w:t>naslednji</w:t>
            </w:r>
          </w:p>
          <w:p w:rsidR="00987D26" w:rsidRPr="000B392B" w:rsidRDefault="00987D26" w:rsidP="001802F0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D26" w:rsidRPr="00B612B6" w:rsidRDefault="00987D26" w:rsidP="001802F0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2B6"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987D26" w:rsidRPr="004238D3" w:rsidRDefault="00407692" w:rsidP="001802F0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E64">
              <w:rPr>
                <w:rFonts w:ascii="Arial" w:hAnsi="Arial" w:cs="Arial"/>
                <w:bCs/>
                <w:sz w:val="20"/>
                <w:szCs w:val="20"/>
              </w:rPr>
              <w:t>Vlada Republike Slovenije je izdala Uredb</w:t>
            </w:r>
            <w:r w:rsidRPr="00C50FF4">
              <w:rPr>
                <w:rFonts w:ascii="Arial" w:hAnsi="Arial" w:cs="Arial"/>
                <w:bCs/>
                <w:sz w:val="20"/>
                <w:szCs w:val="20"/>
              </w:rPr>
              <w:t xml:space="preserve">o o izvajanju Uredbe (EU) </w:t>
            </w:r>
            <w:r w:rsidR="004E654E" w:rsidRPr="004E654E">
              <w:rPr>
                <w:rFonts w:ascii="Arial" w:hAnsi="Arial" w:cs="Arial"/>
                <w:bCs/>
                <w:sz w:val="20"/>
                <w:szCs w:val="20"/>
              </w:rPr>
              <w:t xml:space="preserve">o skladih denarnega trga </w:t>
            </w:r>
            <w:r w:rsidR="004A3DA3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4A3DA3" w:rsidRPr="004238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38D3">
              <w:rPr>
                <w:rFonts w:ascii="Arial" w:hAnsi="Arial" w:cs="Arial"/>
                <w:bCs/>
                <w:sz w:val="20"/>
                <w:szCs w:val="20"/>
              </w:rPr>
              <w:t>jo objavi v Uradnem listu Republike Slovenije</w:t>
            </w:r>
            <w:r w:rsidR="00987D26" w:rsidRPr="004238D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87D26" w:rsidRPr="004238D3" w:rsidRDefault="00987D26" w:rsidP="001802F0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D26" w:rsidRPr="004238D3" w:rsidRDefault="00987D26" w:rsidP="001802F0">
            <w:pPr>
              <w:tabs>
                <w:tab w:val="num" w:pos="900"/>
                <w:tab w:val="left" w:pos="9720"/>
                <w:tab w:val="left" w:pos="10204"/>
              </w:tabs>
              <w:spacing w:after="0"/>
              <w:ind w:left="5592" w:righ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8D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7692" w:rsidRPr="004238D3">
              <w:rPr>
                <w:rFonts w:ascii="Arial" w:hAnsi="Arial" w:cs="Arial"/>
                <w:sz w:val="20"/>
                <w:szCs w:val="20"/>
              </w:rPr>
              <w:t>Stojan Tramte</w:t>
            </w:r>
          </w:p>
          <w:p w:rsidR="00987D26" w:rsidRPr="004238D3" w:rsidRDefault="00987D26" w:rsidP="001802F0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8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715D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38D3">
              <w:rPr>
                <w:rFonts w:ascii="Arial" w:hAnsi="Arial" w:cs="Arial"/>
                <w:sz w:val="20"/>
                <w:szCs w:val="20"/>
              </w:rPr>
              <w:t>generaln</w:t>
            </w:r>
            <w:r w:rsidR="00F86D5F">
              <w:rPr>
                <w:rFonts w:ascii="Arial" w:hAnsi="Arial" w:cs="Arial"/>
                <w:sz w:val="20"/>
                <w:szCs w:val="20"/>
              </w:rPr>
              <w:t>i</w:t>
            </w:r>
            <w:r w:rsidRPr="004238D3">
              <w:rPr>
                <w:rFonts w:ascii="Arial" w:hAnsi="Arial" w:cs="Arial"/>
                <w:sz w:val="20"/>
                <w:szCs w:val="20"/>
              </w:rPr>
              <w:t xml:space="preserve"> sekreta</w:t>
            </w:r>
            <w:r w:rsidR="00F86D5F"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4238D3" w:rsidRPr="004238D3" w:rsidRDefault="004238D3" w:rsidP="004238D3">
            <w:pPr>
              <w:spacing w:after="0"/>
              <w:ind w:left="1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Prilog</w:t>
            </w:r>
            <w:r w:rsidR="004A3DA3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sklepa:</w:t>
            </w:r>
          </w:p>
          <w:p w:rsidR="004238D3" w:rsidRPr="004238D3" w:rsidRDefault="004238D3" w:rsidP="004238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Uredba </w:t>
            </w:r>
            <w:r w:rsidR="004E654E" w:rsidRPr="00C50FF4">
              <w:rPr>
                <w:rFonts w:ascii="Arial" w:hAnsi="Arial" w:cs="Arial"/>
                <w:bCs/>
                <w:sz w:val="20"/>
                <w:szCs w:val="20"/>
              </w:rPr>
              <w:t xml:space="preserve">o izvajanju Uredbe (EU) </w:t>
            </w:r>
            <w:r w:rsidR="006E4302">
              <w:rPr>
                <w:rFonts w:ascii="Arial" w:hAnsi="Arial" w:cs="Arial"/>
                <w:bCs/>
                <w:sz w:val="20"/>
                <w:szCs w:val="20"/>
              </w:rPr>
              <w:t>o skladih denarnega trga</w:t>
            </w: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  <w:p w:rsidR="004238D3" w:rsidRPr="004238D3" w:rsidRDefault="004238D3" w:rsidP="004238D3">
            <w:pPr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obrazložitev.</w:t>
            </w:r>
          </w:p>
          <w:p w:rsidR="004238D3" w:rsidRPr="004238D3" w:rsidRDefault="004238D3" w:rsidP="004238D3">
            <w:pPr>
              <w:spacing w:after="0"/>
              <w:ind w:left="1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238D3" w:rsidRPr="004238D3" w:rsidRDefault="0020347F" w:rsidP="004238D3">
            <w:pPr>
              <w:spacing w:after="0"/>
              <w:ind w:left="1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Sklep p</w:t>
            </w:r>
            <w:r w:rsidR="004238D3"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rejmejo:</w:t>
            </w:r>
          </w:p>
          <w:p w:rsidR="004238D3" w:rsidRPr="004238D3" w:rsidRDefault="004238D3" w:rsidP="004238D3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Ministrstvo za finance,</w:t>
            </w:r>
          </w:p>
          <w:p w:rsidR="004238D3" w:rsidRPr="004238D3" w:rsidRDefault="004238D3" w:rsidP="004238D3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Služba Vlade Republike Slovenije za zakonodajo,</w:t>
            </w:r>
          </w:p>
          <w:p w:rsidR="004238D3" w:rsidRPr="006E4302" w:rsidRDefault="004238D3" w:rsidP="006E4302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38D3">
              <w:rPr>
                <w:rFonts w:ascii="Arial" w:hAnsi="Arial" w:cs="Arial"/>
                <w:bCs/>
                <w:iCs/>
                <w:sz w:val="20"/>
                <w:szCs w:val="20"/>
              </w:rPr>
              <w:t>Agenc</w:t>
            </w:r>
            <w:r w:rsidR="006E4302">
              <w:rPr>
                <w:rFonts w:ascii="Arial" w:hAnsi="Arial" w:cs="Arial"/>
                <w:bCs/>
                <w:iCs/>
                <w:sz w:val="20"/>
                <w:szCs w:val="20"/>
              </w:rPr>
              <w:t>ija za trg vrednostnih papirjev</w:t>
            </w:r>
            <w:r w:rsidRPr="006E4302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806C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C41C9B" w:rsidRPr="004238D3" w:rsidRDefault="00987D26" w:rsidP="00C41C9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987D26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238D3">
              <w:rPr>
                <w:rFonts w:cs="Arial"/>
                <w:iCs/>
                <w:szCs w:val="20"/>
                <w:lang w:eastAsia="sl-SI"/>
              </w:rPr>
              <w:t>Urška Cvelbar, generalna direktorica Direktorata za finančni sistem</w:t>
            </w:r>
            <w:r w:rsidR="004A3DA3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987D26" w:rsidRPr="004238D3" w:rsidRDefault="00987D26" w:rsidP="00987D26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238D3">
              <w:rPr>
                <w:rFonts w:cs="Arial"/>
                <w:iCs/>
                <w:szCs w:val="20"/>
                <w:lang w:eastAsia="sl-SI"/>
              </w:rPr>
              <w:t>Janja Jereb, vodja Sektorja za finančni sistem</w:t>
            </w:r>
            <w:r w:rsidR="004A3DA3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987D26" w:rsidRPr="00BC329B" w:rsidRDefault="00987D26" w:rsidP="00987D26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C329B">
              <w:rPr>
                <w:rFonts w:cs="Arial"/>
                <w:iCs/>
                <w:szCs w:val="20"/>
                <w:lang w:eastAsia="sl-SI"/>
              </w:rPr>
              <w:t xml:space="preserve">Polona </w:t>
            </w:r>
            <w:r w:rsidR="004D15FF">
              <w:rPr>
                <w:rFonts w:cs="Arial"/>
                <w:iCs/>
                <w:szCs w:val="20"/>
                <w:lang w:eastAsia="sl-SI"/>
              </w:rPr>
              <w:t>P</w:t>
            </w:r>
            <w:r w:rsidR="009F5428">
              <w:rPr>
                <w:rFonts w:cs="Arial"/>
                <w:iCs/>
                <w:szCs w:val="20"/>
                <w:lang w:eastAsia="sl-SI"/>
              </w:rPr>
              <w:t>estotnik</w:t>
            </w:r>
            <w:r w:rsidRPr="00BC329B">
              <w:rPr>
                <w:rFonts w:cs="Arial"/>
                <w:iCs/>
                <w:szCs w:val="20"/>
                <w:lang w:eastAsia="sl-SI"/>
              </w:rPr>
              <w:t>, vodja Oddelka za trg kapitala in igre na srečo</w:t>
            </w:r>
            <w:r w:rsidR="004A3DA3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987D26" w:rsidRPr="000B392B" w:rsidRDefault="004E654E" w:rsidP="004E654E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Primož Komatar</w:t>
            </w:r>
            <w:r w:rsidR="00987D26" w:rsidRPr="000B392B">
              <w:rPr>
                <w:rFonts w:cs="Arial"/>
                <w:iCs/>
                <w:szCs w:val="20"/>
                <w:lang w:eastAsia="sl-SI"/>
              </w:rPr>
              <w:t xml:space="preserve">, </w:t>
            </w:r>
            <w:r>
              <w:rPr>
                <w:rFonts w:cs="Arial"/>
                <w:iCs/>
                <w:szCs w:val="20"/>
                <w:lang w:eastAsia="sl-SI"/>
              </w:rPr>
              <w:t>sekretar</w:t>
            </w:r>
            <w:r w:rsidR="004A3DA3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4238D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D42EB" w:rsidRDefault="00407692" w:rsidP="00407692">
            <w:pPr>
              <w:rPr>
                <w:rFonts w:ascii="Arial" w:hAnsi="Arial" w:cs="Arial"/>
                <w:b/>
                <w:lang w:eastAsia="sl-SI"/>
              </w:rPr>
            </w:pPr>
            <w:r w:rsidRPr="004D42EB">
              <w:rPr>
                <w:rFonts w:ascii="Arial" w:hAnsi="Arial" w:cs="Arial"/>
              </w:rPr>
              <w:t>/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6D660C" w:rsidRDefault="006D660C" w:rsidP="00FC7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Cilj Uredbe (EU) 2017/1131 </w:t>
            </w: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Evropskega parlamenta in Sveta z dne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14. junija 2017</w:t>
            </w: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 skladih denarnega trga (</w:t>
            </w:r>
            <w:r w:rsidR="00355F9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UL L št. 169 z dne 30. 6</w:t>
            </w:r>
            <w:r w:rsidR="00355F90"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20</w:t>
            </w:r>
            <w:r w:rsidR="00355F9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17, str. 8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  <w:r w:rsidR="00355F9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nadaljnjem besedilu: Uredba 2017/1131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/EU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</w:t>
            </w:r>
            <w:r w:rsidRPr="006D66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zagotoviti enotna pravila skrbnega in varnega poslovanja, upravljanja in preglednosti, ki se uporabljajo za sklade denarnega trga </w:t>
            </w:r>
            <w:r w:rsidR="004A3DA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6D66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vsej Uniji, ob polnem upoštevanju potrebe po doseganju ravnovesja med varnostjo in zanesljivostjo skladov denarnega trga ter učinkovitim upravljanjem denarnih trgov in stroškov za različne </w:t>
            </w:r>
            <w:r w:rsidR="00B40B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vpletene</w:t>
            </w:r>
            <w:r w:rsidR="00B40BD8" w:rsidRPr="006D66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6D66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strani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6D660C" w:rsidRDefault="006D660C" w:rsidP="00FC7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C7758" w:rsidRPr="004238D3" w:rsidRDefault="00FC7758" w:rsidP="00FC7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</w:t>
            </w:r>
            <w:r w:rsidR="00B831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 polno uveljavitev Uredbe </w:t>
            </w:r>
            <w:r w:rsidR="008810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2017/1131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/EU</w:t>
            </w:r>
            <w:r w:rsidR="00B831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Republiki Sloveniji se z</w:t>
            </w: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Uredbo o izvajanju Uredbe (EU) </w:t>
            </w:r>
            <w:r w:rsidR="0061016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 skladih denarnega trga</w:t>
            </w:r>
            <w:r w:rsid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določajo:</w:t>
            </w:r>
            <w:r w:rsidR="006D660C" w:rsidRPr="006D66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C430B7" w:rsidRP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pristojni organ za izvajanje Uredbe 2017/1131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/EU</w:t>
            </w:r>
            <w:r w:rsidR="00C430B7" w:rsidRP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te uredbe, pooblastila pristojnega organa in njegova dolžnost sodelovanja, </w:t>
            </w:r>
            <w:r w:rsidR="009639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nadzor in </w:t>
            </w:r>
            <w:r w:rsidR="00C430B7" w:rsidRP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način opravljanja nadzora nad spoštovanjem Uredbe 2017/1131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/EU</w:t>
            </w:r>
            <w:r w:rsidR="00C430B7" w:rsidRP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te uredbe, ter nadzorni ukrepi in kazenske določbe v zvezi z izvajanjem Uredbe 2017/1131</w:t>
            </w:r>
            <w:r w:rsid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/EU</w:t>
            </w:r>
            <w:r w:rsidR="00C430B7" w:rsidRPr="00C430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te uredbe.</w:t>
            </w:r>
            <w:r w:rsidR="00715D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FC7758" w:rsidRPr="004238D3" w:rsidRDefault="00FC7758" w:rsidP="00FC7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C7758" w:rsidRPr="00BC329B" w:rsidRDefault="00FC7758" w:rsidP="00FC775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c>
          <w:tcPr>
            <w:tcW w:w="9163" w:type="dxa"/>
            <w:gridSpan w:val="4"/>
          </w:tcPr>
          <w:p w:rsidR="00987D26" w:rsidRPr="004238D3" w:rsidRDefault="00987D26" w:rsidP="001802F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987D26" w:rsidRPr="00BC329B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987D26" w:rsidRPr="000B392B" w:rsidRDefault="009F5428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987D26" w:rsidRPr="00BC329B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987D26" w:rsidRPr="00BC329B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1448" w:type="dxa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987D26" w:rsidRPr="00BC329B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1448" w:type="dxa"/>
            <w:tcBorders>
              <w:bottom w:val="single" w:sz="4" w:space="0" w:color="auto"/>
            </w:tcBorders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987D26" w:rsidRPr="004238D3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987D26" w:rsidRPr="004238D3" w:rsidRDefault="00987D26" w:rsidP="00987D2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987D26" w:rsidRPr="00BC329B" w:rsidRDefault="00987D26" w:rsidP="00987D2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C32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987D26" w:rsidRPr="00B612B6" w:rsidRDefault="00987D26" w:rsidP="00987D2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B392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</w:t>
            </w:r>
            <w:r w:rsidRPr="00B612B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987D26" w:rsidRPr="00C50FF4" w:rsidRDefault="00987D26" w:rsidP="001802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50E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(Samo če izberete DA pod točko 6. a.)</w:t>
            </w:r>
          </w:p>
        </w:tc>
      </w:tr>
    </w:tbl>
    <w:p w:rsidR="00987D26" w:rsidRPr="004238D3" w:rsidRDefault="00987D26" w:rsidP="00987D26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23"/>
        <w:gridCol w:w="1091"/>
        <w:gridCol w:w="465"/>
        <w:gridCol w:w="892"/>
        <w:gridCol w:w="626"/>
        <w:gridCol w:w="358"/>
        <w:gridCol w:w="300"/>
        <w:gridCol w:w="1410"/>
      </w:tblGrid>
      <w:tr w:rsidR="00987D26" w:rsidRPr="004238D3" w:rsidTr="001802F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D26" w:rsidRPr="004238D3" w:rsidRDefault="00987D26" w:rsidP="001802F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987D26" w:rsidRPr="004238D3" w:rsidTr="001802F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9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92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987D26" w:rsidRPr="004238D3" w:rsidTr="001802F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BC32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A50E64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C50FF4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26" w:rsidRPr="004238D3" w:rsidTr="001802F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7D26" w:rsidRPr="004238D3" w:rsidTr="001802F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4238D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987D26" w:rsidRPr="004238D3" w:rsidTr="001802F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987D26" w:rsidRPr="004238D3" w:rsidTr="001802F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9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92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612B6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12B6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87D26" w:rsidRPr="004238D3" w:rsidTr="001802F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987D26" w:rsidRPr="004238D3" w:rsidTr="001802F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29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92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87D26" w:rsidRPr="004238D3" w:rsidTr="001802F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BC329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0B392B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987D26" w:rsidRPr="004238D3" w:rsidTr="001802F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87D26" w:rsidRPr="004238D3" w:rsidTr="001802F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26" w:rsidRPr="004238D3" w:rsidRDefault="00987D26" w:rsidP="001802F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87D26" w:rsidRPr="004238D3" w:rsidRDefault="00987D26" w:rsidP="001802F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987D26" w:rsidRPr="004238D3" w:rsidRDefault="00987D26" w:rsidP="001802F0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987D26" w:rsidRPr="00BC329B" w:rsidRDefault="00987D26" w:rsidP="001802F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C32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987D26" w:rsidRPr="00A50E64" w:rsidRDefault="00987D26" w:rsidP="00987D2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B39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</w:t>
            </w:r>
            <w:r w:rsidRPr="00B61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skih proračunov,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0F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Prikazane morajo biti finančne posledice za državni proračun, ki so na proračunskih postavkah </w:t>
            </w: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načrtovane v dinamiki projektov oziroma ukrepov:</w:t>
            </w:r>
          </w:p>
          <w:p w:rsidR="00987D26" w:rsidRPr="004238D3" w:rsidRDefault="00987D26" w:rsidP="001802F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987D26" w:rsidRPr="004238D3" w:rsidRDefault="00987D26" w:rsidP="001802F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987D26" w:rsidRPr="004238D3" w:rsidRDefault="00987D26" w:rsidP="001802F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987D26" w:rsidRPr="004238D3" w:rsidRDefault="00987D26" w:rsidP="001802F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</w:rPr>
              <w:t>Predlagano gradivo nima finančnih posledic za državni proračun.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6" w:rsidRPr="004238D3" w:rsidRDefault="00987D26" w:rsidP="001802F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987D26" w:rsidRPr="004238D3" w:rsidRDefault="00987D26" w:rsidP="00987D2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987D26" w:rsidRPr="00BC329B" w:rsidRDefault="00987D26" w:rsidP="00987D2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C32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987D26" w:rsidRPr="000B392B" w:rsidRDefault="00987D26" w:rsidP="00987D26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B392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987D26" w:rsidRPr="00B612B6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987D26" w:rsidRPr="00A50E64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0E6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987D26" w:rsidRPr="00BC329B" w:rsidRDefault="00987D26" w:rsidP="00987D2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C32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987D26" w:rsidRPr="000B392B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87D26" w:rsidRPr="00B612B6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612B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987D26" w:rsidRPr="00A50E64" w:rsidRDefault="00987D26" w:rsidP="00987D2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50E6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987D26" w:rsidRPr="00C50FF4" w:rsidRDefault="00987D26" w:rsidP="00987D2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50F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987D26" w:rsidRPr="004238D3" w:rsidRDefault="00987D26" w:rsidP="00987D2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987D26" w:rsidRPr="00BC329B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93CBE" w:rsidRPr="00893CBE" w:rsidRDefault="00893CBE" w:rsidP="00893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P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redlog uredbe je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bil od 10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decembra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2018 do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10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januarja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 javno objavljen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na:</w:t>
            </w:r>
          </w:p>
          <w:p w:rsidR="00893CBE" w:rsidRPr="00893CBE" w:rsidRDefault="00893CBE" w:rsidP="00893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93CBE" w:rsidRPr="00893CBE" w:rsidRDefault="00893CBE" w:rsidP="00893CBE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spletni strani Ministrstva za finance:</w:t>
            </w:r>
          </w:p>
          <w:p w:rsidR="00893CBE" w:rsidRPr="00893CBE" w:rsidRDefault="0033678D" w:rsidP="00893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367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http://www.mf.gov.si/si/o_ministrstvu/direktorati/direktorat_za_financni_sistem/sektor_za_financni_sistem/predpisi_v_pripravi/</w:t>
            </w:r>
            <w:r w:rsidR="00893CBE"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/; in</w:t>
            </w:r>
          </w:p>
          <w:p w:rsidR="00893CBE" w:rsidRPr="00893CBE" w:rsidRDefault="00893CBE" w:rsidP="00893CBE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spletnem portalu e-demokracija: </w:t>
            </w:r>
          </w:p>
          <w:p w:rsidR="00893CBE" w:rsidRPr="0033678D" w:rsidRDefault="0033678D" w:rsidP="00484E5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33678D">
              <w:t>https://e-uprava.gov.si/drzava-in-druzba/e-demokracija/predlogi-predpisov/predlog-predpisa.html?id=9912</w:t>
            </w:r>
            <w:hyperlink r:id="rId10" w:history="1"/>
            <w:r w:rsidR="00893CBE" w:rsidRPr="0033678D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893CBE" w:rsidRPr="00893CBE" w:rsidRDefault="00893CBE" w:rsidP="00893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893CBE" w:rsidRPr="00893CBE" w:rsidRDefault="00893CBE" w:rsidP="00893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roku s</w:t>
            </w:r>
            <w:r w:rsidR="00B40B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komentarje podal</w:t>
            </w:r>
            <w:r w:rsidR="00B40BD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:rsidR="00893CBE" w:rsidRPr="00893CBE" w:rsidRDefault="00893CBE" w:rsidP="00893CBE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Agencija za trg vrednostnih papirjev, </w:t>
            </w:r>
          </w:p>
          <w:p w:rsidR="00893CBE" w:rsidRDefault="0033678D" w:rsidP="00893CBE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Združenje družb za upravljanje investicijskih skladov</w:t>
            </w:r>
            <w:r w:rsidR="00893CBE" w:rsidRPr="00893CB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B40BD8" w:rsidRDefault="00B40BD8" w:rsidP="00C66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40BD8" w:rsidRDefault="00B40BD8" w:rsidP="00C66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66499">
              <w:rPr>
                <w:rFonts w:ascii="Arial" w:eastAsia="Times New Roman" w:hAnsi="Arial" w:cs="Arial"/>
                <w:iCs/>
                <w:sz w:val="20"/>
                <w:szCs w:val="20"/>
                <w:u w:val="single"/>
                <w:lang w:eastAsia="sl-SI"/>
              </w:rPr>
              <w:t>Agencija za trg vrednostnih papirjev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(dopis št. 00701-6/2018-4 z dne 18. 12. 2018)</w:t>
            </w:r>
          </w:p>
          <w:p w:rsidR="00B40BD8" w:rsidRDefault="00B40BD8" w:rsidP="00C66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40BD8" w:rsidRPr="00893CBE" w:rsidRDefault="00B40BD8" w:rsidP="00C664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Agencija za trg vrednostnih papirjev je predlagala spremembo 4. člena  ter prilagoditev 5. člena spremembi 4. člena. Prav tako je predlagala še m</w:t>
            </w:r>
            <w:r w:rsidR="00F0504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žnost izrekanja drugih ukrepov (odvzem dovoljenja) ter preverbo predpisanih višin glob. Predlogi so bili upoštevani.</w:t>
            </w:r>
          </w:p>
          <w:p w:rsidR="004C2BEB" w:rsidRDefault="004C2BEB" w:rsidP="00B40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40BD8" w:rsidRDefault="00B40BD8" w:rsidP="00B40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66499">
              <w:rPr>
                <w:rFonts w:ascii="Arial" w:eastAsia="Times New Roman" w:hAnsi="Arial" w:cs="Arial"/>
                <w:iCs/>
                <w:sz w:val="20"/>
                <w:szCs w:val="20"/>
                <w:u w:val="single"/>
                <w:lang w:eastAsia="sl-SI"/>
              </w:rPr>
              <w:t>Združenje družb za upravljanje investicijskih skladov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(dopis z dne 10. 1. 2019)</w:t>
            </w:r>
          </w:p>
          <w:p w:rsidR="00B40BD8" w:rsidRDefault="00B40BD8" w:rsidP="00B40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40BD8" w:rsidRDefault="00B40BD8" w:rsidP="00B40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Združenje družb za upravljanje investicijskih skladov je opozorilo na napačen sklic v 6. členu predloga uredbe</w:t>
            </w:r>
            <w:r w:rsidR="0053085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(namesto sklica na 17. člen Uredbe 2017/1131/EU bi bil potreben sklic na 37. člen Uredbe 2017/1131/EU). Opozorilo je bilo upoštevano.</w:t>
            </w:r>
          </w:p>
          <w:p w:rsidR="00530857" w:rsidRPr="004238D3" w:rsidRDefault="00530857" w:rsidP="00B40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987D26" w:rsidRPr="00BC329B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  <w:r w:rsidRPr="004238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987D26" w:rsidRPr="004238D3" w:rsidRDefault="00987D26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23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987D26" w:rsidRPr="004238D3" w:rsidRDefault="008D0FE9" w:rsidP="00180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7D26" w:rsidRPr="004238D3" w:rsidTr="001802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Style w:val="TableGrid"/>
              <w:tblW w:w="0" w:type="auto"/>
              <w:tblInd w:w="39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987D26" w:rsidRPr="004238D3" w:rsidTr="001802F0">
              <w:tc>
                <w:tcPr>
                  <w:tcW w:w="3969" w:type="dxa"/>
                </w:tcPr>
                <w:p w:rsidR="00987D26" w:rsidRPr="00B612B6" w:rsidRDefault="00407692" w:rsidP="001802F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outlineLvl w:val="3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BC32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Dr. Andrej Bertoncelj </w:t>
                  </w:r>
                </w:p>
                <w:p w:rsidR="00987D26" w:rsidRPr="009A7CD0" w:rsidRDefault="00987D26" w:rsidP="001802F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outlineLvl w:val="3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A50E64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minist</w:t>
                  </w:r>
                  <w:r w:rsidR="00407692" w:rsidRPr="00C50FF4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e</w:t>
                  </w:r>
                  <w:r w:rsidRPr="00C50FF4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r</w:t>
                  </w:r>
                </w:p>
                <w:p w:rsidR="00987D26" w:rsidRPr="004238D3" w:rsidRDefault="00987D26" w:rsidP="001802F0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outlineLvl w:val="3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87D26" w:rsidRPr="004238D3" w:rsidRDefault="00987D26" w:rsidP="001802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br w:type="page"/>
      </w:r>
    </w:p>
    <w:p w:rsidR="00987D26" w:rsidRPr="004238D3" w:rsidRDefault="00987D26" w:rsidP="00987D26">
      <w:pPr>
        <w:pStyle w:val="BodyTextIndent"/>
        <w:spacing w:after="0" w:line="240" w:lineRule="auto"/>
        <w:ind w:left="0"/>
        <w:rPr>
          <w:rFonts w:cs="Arial"/>
          <w:noProof/>
          <w:szCs w:val="20"/>
          <w:lang w:val="sl-SI"/>
        </w:rPr>
      </w:pPr>
      <w:r w:rsidRPr="004238D3">
        <w:rPr>
          <w:rFonts w:cs="Arial"/>
          <w:noProof/>
          <w:szCs w:val="20"/>
          <w:lang w:val="sl-SI"/>
        </w:rPr>
        <w:lastRenderedPageBreak/>
        <w:t xml:space="preserve">VLADA REPUBLIKE SLOVENIJE                            </w:t>
      </w:r>
      <w:r w:rsidRPr="004238D3">
        <w:rPr>
          <w:rFonts w:cs="Arial"/>
          <w:szCs w:val="20"/>
          <w:lang w:val="sl-SI"/>
        </w:rPr>
        <w:t xml:space="preserve">                                                PREDLOG SKLEPA</w:t>
      </w:r>
    </w:p>
    <w:p w:rsidR="00987D26" w:rsidRPr="000B392B" w:rsidRDefault="00987D26" w:rsidP="00987D26">
      <w:pPr>
        <w:suppressAutoHyphens/>
        <w:rPr>
          <w:rFonts w:ascii="Arial" w:hAnsi="Arial" w:cs="Arial"/>
          <w:sz w:val="20"/>
          <w:szCs w:val="20"/>
        </w:rPr>
      </w:pPr>
    </w:p>
    <w:p w:rsidR="00987D26" w:rsidRPr="00A50E64" w:rsidRDefault="00987D26" w:rsidP="00987D26">
      <w:pPr>
        <w:suppressAutoHyphens/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suppressAutoHyphens/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t xml:space="preserve">Na podlagi </w:t>
      </w:r>
      <w:r w:rsidR="001F205D" w:rsidRPr="004238D3">
        <w:rPr>
          <w:rFonts w:ascii="Arial" w:hAnsi="Arial" w:cs="Arial"/>
          <w:sz w:val="20"/>
          <w:szCs w:val="20"/>
        </w:rPr>
        <w:t xml:space="preserve">sedmega odstavka </w:t>
      </w:r>
      <w:r w:rsidRPr="004238D3">
        <w:rPr>
          <w:rFonts w:ascii="Arial" w:hAnsi="Arial" w:cs="Arial"/>
          <w:sz w:val="20"/>
          <w:szCs w:val="20"/>
        </w:rPr>
        <w:t>2</w:t>
      </w:r>
      <w:r w:rsidR="001F205D" w:rsidRPr="004238D3">
        <w:rPr>
          <w:rFonts w:ascii="Arial" w:hAnsi="Arial" w:cs="Arial"/>
          <w:sz w:val="20"/>
          <w:szCs w:val="20"/>
        </w:rPr>
        <w:t>1</w:t>
      </w:r>
      <w:r w:rsidRPr="004238D3">
        <w:rPr>
          <w:rFonts w:ascii="Arial" w:hAnsi="Arial" w:cs="Arial"/>
          <w:sz w:val="20"/>
          <w:szCs w:val="20"/>
        </w:rPr>
        <w:t xml:space="preserve">. člena Zakona o Vladi Republike Slovenije (Uradni list RS, št. 24/05 – uradno prečiščeno besedilo, 109/08, 38/10 – ZUKN, 8/12, 21/13, 47/13 – ZDU-1G, 65/14 in 55/17) je </w:t>
      </w:r>
      <w:r w:rsidRPr="004238D3">
        <w:rPr>
          <w:rFonts w:ascii="Arial" w:hAnsi="Arial" w:cs="Arial"/>
          <w:color w:val="000000"/>
          <w:sz w:val="20"/>
          <w:szCs w:val="20"/>
        </w:rPr>
        <w:t xml:space="preserve">Vlada Republike Slovenije na .. seji dne …sprejela </w:t>
      </w:r>
      <w:r w:rsidR="00F05045">
        <w:rPr>
          <w:rFonts w:ascii="Arial" w:hAnsi="Arial" w:cs="Arial"/>
          <w:color w:val="000000"/>
          <w:sz w:val="20"/>
          <w:szCs w:val="20"/>
        </w:rPr>
        <w:t>naslednji</w:t>
      </w:r>
    </w:p>
    <w:p w:rsidR="00987D26" w:rsidRPr="004238D3" w:rsidRDefault="00987D26" w:rsidP="00987D26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spacing w:line="220" w:lineRule="atLeast"/>
        <w:jc w:val="center"/>
        <w:rPr>
          <w:rFonts w:ascii="Arial" w:hAnsi="Arial" w:cs="Arial"/>
          <w:b/>
          <w:sz w:val="20"/>
          <w:szCs w:val="20"/>
        </w:rPr>
      </w:pPr>
      <w:r w:rsidRPr="004238D3">
        <w:rPr>
          <w:rFonts w:ascii="Arial" w:hAnsi="Arial" w:cs="Arial"/>
          <w:b/>
          <w:sz w:val="20"/>
          <w:szCs w:val="20"/>
        </w:rPr>
        <w:t>SKLEP</w:t>
      </w:r>
    </w:p>
    <w:p w:rsidR="00987D26" w:rsidRPr="004238D3" w:rsidRDefault="00987D26" w:rsidP="00987D26">
      <w:pPr>
        <w:spacing w:line="22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87D26" w:rsidRPr="004238D3" w:rsidRDefault="001F205D" w:rsidP="00987D26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bCs/>
          <w:sz w:val="20"/>
          <w:szCs w:val="20"/>
        </w:rPr>
        <w:t xml:space="preserve">Vlada Republike Slovenije je izdala </w:t>
      </w:r>
      <w:r w:rsidR="004E654E" w:rsidRPr="004E654E">
        <w:rPr>
          <w:rFonts w:ascii="Arial" w:hAnsi="Arial" w:cs="Arial"/>
          <w:bCs/>
          <w:sz w:val="20"/>
          <w:szCs w:val="20"/>
        </w:rPr>
        <w:t>Uredbo o izvajanju Uredbe (EU) o skladih denarnega trga</w:t>
      </w:r>
      <w:r w:rsidRPr="004238D3">
        <w:rPr>
          <w:rFonts w:ascii="Arial" w:hAnsi="Arial" w:cs="Arial"/>
          <w:bCs/>
          <w:sz w:val="20"/>
          <w:szCs w:val="20"/>
        </w:rPr>
        <w:t xml:space="preserve"> </w:t>
      </w:r>
      <w:r w:rsidR="0020347F">
        <w:rPr>
          <w:rFonts w:ascii="Arial" w:hAnsi="Arial" w:cs="Arial"/>
          <w:bCs/>
          <w:sz w:val="20"/>
          <w:szCs w:val="20"/>
        </w:rPr>
        <w:t>in</w:t>
      </w:r>
      <w:r w:rsidR="0020347F" w:rsidRPr="004238D3">
        <w:rPr>
          <w:rFonts w:ascii="Arial" w:hAnsi="Arial" w:cs="Arial"/>
          <w:bCs/>
          <w:sz w:val="20"/>
          <w:szCs w:val="20"/>
        </w:rPr>
        <w:t xml:space="preserve"> </w:t>
      </w:r>
      <w:r w:rsidRPr="004238D3">
        <w:rPr>
          <w:rFonts w:ascii="Arial" w:hAnsi="Arial" w:cs="Arial"/>
          <w:bCs/>
          <w:sz w:val="20"/>
          <w:szCs w:val="20"/>
        </w:rPr>
        <w:t>jo objavi v Uradnem listu Republike Slovenije</w:t>
      </w:r>
      <w:r w:rsidR="00987D26" w:rsidRPr="004238D3">
        <w:rPr>
          <w:rFonts w:ascii="Arial" w:hAnsi="Arial" w:cs="Arial"/>
          <w:bCs/>
          <w:sz w:val="20"/>
          <w:szCs w:val="20"/>
        </w:rPr>
        <w:t xml:space="preserve">. </w:t>
      </w:r>
      <w:r w:rsidR="00987D26" w:rsidRPr="004238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7D26" w:rsidRPr="004238D3" w:rsidRDefault="00987D26" w:rsidP="00987D26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tabs>
          <w:tab w:val="num" w:pos="900"/>
          <w:tab w:val="left" w:pos="9720"/>
          <w:tab w:val="left" w:pos="10204"/>
        </w:tabs>
        <w:spacing w:after="0"/>
        <w:ind w:left="5592" w:right="304"/>
        <w:jc w:val="both"/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t xml:space="preserve">   </w:t>
      </w:r>
      <w:r w:rsidR="001F205D" w:rsidRPr="004238D3">
        <w:rPr>
          <w:rFonts w:ascii="Arial" w:hAnsi="Arial" w:cs="Arial"/>
          <w:sz w:val="20"/>
          <w:szCs w:val="20"/>
        </w:rPr>
        <w:t>Stojan Tramte</w:t>
      </w:r>
    </w:p>
    <w:p w:rsidR="00987D26" w:rsidRPr="004238D3" w:rsidRDefault="00987D26" w:rsidP="00987D26">
      <w:pPr>
        <w:tabs>
          <w:tab w:val="num" w:pos="900"/>
          <w:tab w:val="left" w:pos="9720"/>
          <w:tab w:val="left" w:pos="10204"/>
        </w:tabs>
        <w:ind w:left="1260" w:right="304"/>
        <w:jc w:val="both"/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t xml:space="preserve">                                                                            generaln</w:t>
      </w:r>
      <w:r w:rsidR="00F86D5F">
        <w:rPr>
          <w:rFonts w:ascii="Arial" w:hAnsi="Arial" w:cs="Arial"/>
          <w:sz w:val="20"/>
          <w:szCs w:val="20"/>
        </w:rPr>
        <w:t>i</w:t>
      </w:r>
      <w:r w:rsidRPr="004238D3">
        <w:rPr>
          <w:rFonts w:ascii="Arial" w:hAnsi="Arial" w:cs="Arial"/>
          <w:sz w:val="20"/>
          <w:szCs w:val="20"/>
        </w:rPr>
        <w:t xml:space="preserve"> sekretar</w:t>
      </w: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t>Številka:</w:t>
      </w:r>
    </w:p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t xml:space="preserve">Ljubljana, …    </w:t>
      </w:r>
    </w:p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4238D3" w:rsidRPr="004238D3" w:rsidRDefault="004238D3" w:rsidP="004D42EB">
      <w:p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4238D3">
        <w:rPr>
          <w:rFonts w:ascii="Arial" w:hAnsi="Arial" w:cs="Arial"/>
          <w:bCs/>
          <w:iCs/>
          <w:sz w:val="20"/>
          <w:szCs w:val="20"/>
        </w:rPr>
        <w:t>Prilog</w:t>
      </w:r>
      <w:r w:rsidR="0020347F">
        <w:rPr>
          <w:rFonts w:ascii="Arial" w:hAnsi="Arial" w:cs="Arial"/>
          <w:bCs/>
          <w:iCs/>
          <w:sz w:val="20"/>
          <w:szCs w:val="20"/>
        </w:rPr>
        <w:t>i</w:t>
      </w:r>
      <w:r w:rsidRPr="004238D3">
        <w:rPr>
          <w:rFonts w:ascii="Arial" w:hAnsi="Arial" w:cs="Arial"/>
          <w:bCs/>
          <w:iCs/>
          <w:sz w:val="20"/>
          <w:szCs w:val="20"/>
        </w:rPr>
        <w:t xml:space="preserve"> sklepa:</w:t>
      </w:r>
    </w:p>
    <w:p w:rsidR="004238D3" w:rsidRPr="004238D3" w:rsidRDefault="004238D3" w:rsidP="004D42EB">
      <w:pPr>
        <w:numPr>
          <w:ilvl w:val="0"/>
          <w:numId w:val="16"/>
        </w:num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4238D3">
        <w:rPr>
          <w:rFonts w:ascii="Arial" w:hAnsi="Arial" w:cs="Arial"/>
          <w:bCs/>
          <w:iCs/>
          <w:sz w:val="20"/>
          <w:szCs w:val="20"/>
        </w:rPr>
        <w:t xml:space="preserve">Uredba </w:t>
      </w:r>
      <w:r w:rsidR="004E654E" w:rsidRPr="00C50FF4">
        <w:rPr>
          <w:rFonts w:ascii="Arial" w:hAnsi="Arial" w:cs="Arial"/>
          <w:bCs/>
          <w:sz w:val="20"/>
          <w:szCs w:val="20"/>
        </w:rPr>
        <w:t xml:space="preserve">o izvajanju Uredbe (EU) </w:t>
      </w:r>
      <w:r w:rsidR="004E654E" w:rsidRPr="004E654E">
        <w:rPr>
          <w:rFonts w:ascii="Arial" w:hAnsi="Arial" w:cs="Arial"/>
          <w:bCs/>
          <w:sz w:val="20"/>
          <w:szCs w:val="20"/>
        </w:rPr>
        <w:t>o skladih denarnega trga</w:t>
      </w:r>
      <w:r w:rsidRPr="004238D3">
        <w:rPr>
          <w:rFonts w:ascii="Arial" w:hAnsi="Arial" w:cs="Arial"/>
          <w:bCs/>
          <w:iCs/>
          <w:sz w:val="20"/>
          <w:szCs w:val="20"/>
        </w:rPr>
        <w:t>,</w:t>
      </w:r>
    </w:p>
    <w:p w:rsidR="004238D3" w:rsidRPr="004238D3" w:rsidRDefault="004238D3" w:rsidP="004D42EB">
      <w:pPr>
        <w:numPr>
          <w:ilvl w:val="0"/>
          <w:numId w:val="16"/>
        </w:num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4238D3">
        <w:rPr>
          <w:rFonts w:ascii="Arial" w:hAnsi="Arial" w:cs="Arial"/>
          <w:bCs/>
          <w:iCs/>
          <w:sz w:val="20"/>
          <w:szCs w:val="20"/>
        </w:rPr>
        <w:t>obrazložitev.</w:t>
      </w:r>
    </w:p>
    <w:p w:rsidR="004238D3" w:rsidRPr="004238D3" w:rsidRDefault="004238D3" w:rsidP="004D42EB">
      <w:p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</w:p>
    <w:p w:rsidR="004238D3" w:rsidRPr="004238D3" w:rsidRDefault="0020347F" w:rsidP="004D42EB">
      <w:p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Sklep p</w:t>
      </w:r>
      <w:r w:rsidR="004238D3" w:rsidRPr="004238D3">
        <w:rPr>
          <w:rFonts w:ascii="Arial" w:hAnsi="Arial" w:cs="Arial"/>
          <w:bCs/>
          <w:iCs/>
          <w:sz w:val="20"/>
          <w:szCs w:val="20"/>
        </w:rPr>
        <w:t>rejmejo:</w:t>
      </w:r>
    </w:p>
    <w:p w:rsidR="004238D3" w:rsidRPr="004238D3" w:rsidRDefault="004238D3" w:rsidP="004D42EB">
      <w:pPr>
        <w:numPr>
          <w:ilvl w:val="0"/>
          <w:numId w:val="17"/>
        </w:num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4238D3">
        <w:rPr>
          <w:rFonts w:ascii="Arial" w:hAnsi="Arial" w:cs="Arial"/>
          <w:bCs/>
          <w:iCs/>
          <w:sz w:val="20"/>
          <w:szCs w:val="20"/>
        </w:rPr>
        <w:t>Ministrstvo za finance,</w:t>
      </w:r>
    </w:p>
    <w:p w:rsidR="004238D3" w:rsidRPr="004238D3" w:rsidRDefault="004238D3" w:rsidP="004D42EB">
      <w:pPr>
        <w:numPr>
          <w:ilvl w:val="0"/>
          <w:numId w:val="17"/>
        </w:num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4238D3">
        <w:rPr>
          <w:rFonts w:ascii="Arial" w:hAnsi="Arial" w:cs="Arial"/>
          <w:bCs/>
          <w:iCs/>
          <w:sz w:val="20"/>
          <w:szCs w:val="20"/>
        </w:rPr>
        <w:t>Služba Vlade Republike Slovenije za zakonodajo,</w:t>
      </w:r>
    </w:p>
    <w:p w:rsidR="004238D3" w:rsidRPr="006E4302" w:rsidRDefault="004238D3" w:rsidP="004D42EB">
      <w:pPr>
        <w:numPr>
          <w:ilvl w:val="0"/>
          <w:numId w:val="17"/>
        </w:numPr>
        <w:tabs>
          <w:tab w:val="left" w:pos="540"/>
        </w:tabs>
        <w:spacing w:after="0"/>
        <w:rPr>
          <w:rFonts w:ascii="Arial" w:hAnsi="Arial" w:cs="Arial"/>
          <w:bCs/>
          <w:iCs/>
          <w:sz w:val="20"/>
          <w:szCs w:val="20"/>
        </w:rPr>
      </w:pPr>
      <w:r w:rsidRPr="006E4302">
        <w:rPr>
          <w:rFonts w:ascii="Arial" w:hAnsi="Arial" w:cs="Arial"/>
          <w:bCs/>
          <w:iCs/>
          <w:sz w:val="20"/>
          <w:szCs w:val="20"/>
        </w:rPr>
        <w:t>Agencija za trg vrednostnih papirjev.</w:t>
      </w:r>
    </w:p>
    <w:p w:rsidR="00987D26" w:rsidRPr="004238D3" w:rsidRDefault="00987D26" w:rsidP="00987D26">
      <w:pPr>
        <w:tabs>
          <w:tab w:val="left" w:pos="540"/>
        </w:tabs>
        <w:rPr>
          <w:rFonts w:ascii="Arial" w:hAnsi="Arial" w:cs="Arial"/>
          <w:bCs/>
          <w:iCs/>
          <w:sz w:val="20"/>
          <w:szCs w:val="20"/>
        </w:rPr>
      </w:pPr>
    </w:p>
    <w:p w:rsidR="00987D26" w:rsidRPr="004238D3" w:rsidRDefault="00987D26" w:rsidP="00987D26">
      <w:pPr>
        <w:rPr>
          <w:rFonts w:ascii="Arial" w:hAnsi="Arial" w:cs="Arial"/>
          <w:sz w:val="20"/>
          <w:szCs w:val="20"/>
        </w:rPr>
      </w:pPr>
      <w:r w:rsidRPr="004238D3">
        <w:rPr>
          <w:rFonts w:ascii="Arial" w:hAnsi="Arial" w:cs="Arial"/>
          <w:sz w:val="20"/>
          <w:szCs w:val="20"/>
        </w:rPr>
        <w:br w:type="page"/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E430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PREDLOG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E430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(EVA </w:t>
      </w:r>
      <w:r w:rsidRPr="006E430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2018-1611-0080</w:t>
      </w:r>
      <w:r w:rsidRPr="006E4302">
        <w:rPr>
          <w:rFonts w:ascii="Arial" w:eastAsia="Times New Roman" w:hAnsi="Arial" w:cs="Arial"/>
          <w:b/>
          <w:sz w:val="20"/>
          <w:szCs w:val="20"/>
          <w:lang w:eastAsia="sl-SI"/>
        </w:rPr>
        <w:t>)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48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Na podlagi sedmega odstavka 21. člena Zakona o Vladi Republike Slovenije (Uradni list RS, št. 24/05 – uradno prečiščeno besedilo, 109/08, 38/10 – ZUKN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8/12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, 21/13, 47/13 – ZDU-1G, 65/14 in 55/17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) Vlada Republike Slovenije</w:t>
      </w:r>
      <w:r w:rsidR="0020347F" w:rsidRPr="0020347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20347F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izdaja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40"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bCs/>
          <w:spacing w:val="40"/>
          <w:sz w:val="20"/>
          <w:szCs w:val="20"/>
          <w:lang w:val="x-none" w:eastAsia="x-none"/>
        </w:rPr>
        <w:t>UREDBO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o izvajanju Uredbe (EU) o </w:t>
      </w: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t>skladih denarnega trga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(vsebina)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S to uredbo se določa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jo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pristojni organ za izvajanje Uredbe (EU) 2017/1131 Evropskega parlamenta in Sveta z dne 14. junija 2017 o skladih denarnega trga (UL L št. 169 z dne 30. 6. 2017, str. 8</w:t>
      </w:r>
      <w:r w:rsidR="0033678D">
        <w:rPr>
          <w:rFonts w:ascii="Arial" w:eastAsia="Times New Roman" w:hAnsi="Arial" w:cs="Arial"/>
          <w:sz w:val="20"/>
          <w:szCs w:val="20"/>
          <w:lang w:eastAsia="x-none"/>
        </w:rPr>
        <w:t>;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 nadaljnjem besedilu: Uredba 2017/1131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), način opravljanja nadzora nad 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>izvaja</w:t>
      </w:r>
      <w:r w:rsidR="00A8062A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njem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Uredbe 2017/1131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nadzorni ukrepi </w:t>
      </w:r>
      <w:r w:rsidR="0033678D">
        <w:rPr>
          <w:rFonts w:ascii="Arial" w:eastAsia="Times New Roman" w:hAnsi="Arial" w:cs="Arial"/>
          <w:sz w:val="20"/>
          <w:szCs w:val="20"/>
          <w:lang w:eastAsia="x-none"/>
        </w:rPr>
        <w:t>in</w:t>
      </w:r>
      <w:r w:rsidR="0033678D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kazenske določbe v zvezi z izvajanjem Uredbe  2017/1131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(opredelit</w:t>
      </w:r>
      <w:r w:rsidR="00690FDA">
        <w:rPr>
          <w:rFonts w:ascii="Arial" w:eastAsia="Times New Roman" w:hAnsi="Arial" w:cs="Arial"/>
          <w:b/>
          <w:sz w:val="20"/>
          <w:szCs w:val="20"/>
          <w:lang w:eastAsia="x-none"/>
        </w:rPr>
        <w:t>e</w:t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 </w:t>
      </w:r>
      <w:r w:rsidR="00690FDA">
        <w:rPr>
          <w:rFonts w:ascii="Arial" w:eastAsia="Times New Roman" w:hAnsi="Arial" w:cs="Arial"/>
          <w:b/>
          <w:sz w:val="20"/>
          <w:szCs w:val="20"/>
          <w:lang w:eastAsia="x-none"/>
        </w:rPr>
        <w:t>izrazov</w:t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)</w:t>
      </w:r>
    </w:p>
    <w:p w:rsidR="006E4302" w:rsidRPr="006E4302" w:rsidRDefault="00A8062A" w:rsidP="006E4302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Izrazi</w:t>
      </w:r>
      <w:r w:rsidR="006E4302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, uporabljeni v tej uredbi, pomen</w:t>
      </w:r>
      <w:r>
        <w:rPr>
          <w:rFonts w:ascii="Arial" w:eastAsia="Times New Roman" w:hAnsi="Arial" w:cs="Arial"/>
          <w:sz w:val="20"/>
          <w:szCs w:val="20"/>
          <w:lang w:eastAsia="x-none"/>
        </w:rPr>
        <w:t>ijo enako</w:t>
      </w:r>
      <w:r w:rsidR="006E4302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kot </w:t>
      </w:r>
      <w:r>
        <w:rPr>
          <w:rFonts w:ascii="Arial" w:eastAsia="Times New Roman" w:hAnsi="Arial" w:cs="Arial"/>
          <w:sz w:val="20"/>
          <w:szCs w:val="20"/>
          <w:lang w:eastAsia="x-none"/>
        </w:rPr>
        <w:t>izrazi</w:t>
      </w:r>
      <w:r w:rsidR="006E4302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opredeljeni v </w:t>
      </w:r>
      <w:r w:rsidR="006E4302" w:rsidRPr="006E4302">
        <w:rPr>
          <w:rFonts w:ascii="Arial" w:eastAsia="Times New Roman" w:hAnsi="Arial" w:cs="Arial"/>
          <w:sz w:val="20"/>
          <w:szCs w:val="20"/>
          <w:lang w:eastAsia="x-none"/>
        </w:rPr>
        <w:t>Uredbi  2017/1131</w:t>
      </w:r>
      <w:r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6E4302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(pristojni organ)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Organ, pristoj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en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za </w:t>
      </w:r>
      <w:r w:rsidR="004F56F1">
        <w:rPr>
          <w:rFonts w:ascii="Arial" w:eastAsia="Times New Roman" w:hAnsi="Arial" w:cs="Arial"/>
          <w:sz w:val="20"/>
          <w:szCs w:val="20"/>
          <w:lang w:eastAsia="x-none"/>
        </w:rPr>
        <w:t xml:space="preserve">opravljanje nadzora nad 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izvajanje</w:t>
      </w:r>
      <w:r w:rsidR="004F56F1">
        <w:rPr>
          <w:rFonts w:ascii="Arial" w:eastAsia="Times New Roman" w:hAnsi="Arial" w:cs="Arial"/>
          <w:sz w:val="20"/>
          <w:szCs w:val="20"/>
          <w:lang w:eastAsia="x-none"/>
        </w:rPr>
        <w:t>m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Uredbe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 xml:space="preserve"> 2017/1131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 xml:space="preserve"> in te uredbe,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je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Agencija za trg vrednostnih papirjev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(v nadaljnjem besedilu: 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Agencija</w:t>
      </w: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).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br/>
        <w:t>(</w:t>
      </w:r>
      <w:r w:rsidR="00DD6FD0">
        <w:rPr>
          <w:rFonts w:ascii="Arial" w:eastAsia="Times New Roman" w:hAnsi="Arial" w:cs="Arial"/>
          <w:b/>
          <w:sz w:val="20"/>
          <w:szCs w:val="20"/>
          <w:lang w:eastAsia="x-none"/>
        </w:rPr>
        <w:t>opravljanje nadzora</w:t>
      </w: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t>)</w:t>
      </w:r>
    </w:p>
    <w:p w:rsidR="006E4302" w:rsidRDefault="00DD6FD0" w:rsidP="006E4302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Za opravljanje nadzora in odločanje Agencije v posamičnih zadevah se </w:t>
      </w:r>
      <w:r w:rsidR="0020347F">
        <w:rPr>
          <w:rFonts w:ascii="Arial" w:eastAsia="Times New Roman" w:hAnsi="Arial" w:cs="Arial"/>
          <w:sz w:val="20"/>
          <w:szCs w:val="20"/>
          <w:lang w:eastAsia="x-none"/>
        </w:rPr>
        <w:t>za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sklad denarnega trga, ki je </w:t>
      </w:r>
      <w:r w:rsidR="00907E64" w:rsidRPr="00907E64">
        <w:rPr>
          <w:rFonts w:ascii="Arial" w:eastAsia="Times New Roman" w:hAnsi="Arial" w:cs="Arial"/>
          <w:sz w:val="20"/>
          <w:szCs w:val="20"/>
          <w:lang w:eastAsia="x-none"/>
        </w:rPr>
        <w:t>kolektivni naložbeni podjem za vlaganja v prenosljive vrednostne papirje (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>KNPVP</w:t>
      </w:r>
      <w:r w:rsidR="00907E64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 xml:space="preserve"> ali </w:t>
      </w:r>
      <w:r w:rsidR="00907E64" w:rsidRPr="00907E64">
        <w:rPr>
          <w:rFonts w:ascii="Arial" w:eastAsia="Times New Roman" w:hAnsi="Arial" w:cs="Arial"/>
          <w:sz w:val="20"/>
          <w:szCs w:val="20"/>
          <w:lang w:eastAsia="x-none"/>
        </w:rPr>
        <w:t>alternativni investicijski sklad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 xml:space="preserve"> ki javno zbira premoženje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CC6FD9" w:rsidRPr="00907E64">
        <w:rPr>
          <w:rFonts w:ascii="Arial" w:eastAsia="Times New Roman" w:hAnsi="Arial" w:cs="Arial"/>
          <w:sz w:val="20"/>
          <w:szCs w:val="20"/>
          <w:lang w:eastAsia="x-none"/>
        </w:rPr>
        <w:t>(</w:t>
      </w:r>
      <w:r w:rsidR="00CC6FD9">
        <w:rPr>
          <w:rFonts w:ascii="Arial" w:eastAsia="Times New Roman" w:hAnsi="Arial" w:cs="Arial"/>
          <w:sz w:val="20"/>
          <w:szCs w:val="20"/>
          <w:lang w:eastAsia="x-none"/>
        </w:rPr>
        <w:t>AJIS)</w:t>
      </w:r>
      <w:r w:rsidR="001C3736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CC6FD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in </w:t>
      </w:r>
      <w:r w:rsidR="0020347F">
        <w:rPr>
          <w:rFonts w:ascii="Arial" w:eastAsia="Times New Roman" w:hAnsi="Arial" w:cs="Arial"/>
          <w:sz w:val="20"/>
          <w:szCs w:val="20"/>
          <w:lang w:eastAsia="x-none"/>
        </w:rPr>
        <w:t xml:space="preserve">za 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>družb</w:t>
      </w:r>
      <w:r w:rsidR="0020347F">
        <w:rPr>
          <w:rFonts w:ascii="Arial" w:eastAsia="Times New Roman" w:hAnsi="Arial" w:cs="Arial"/>
          <w:sz w:val="20"/>
          <w:szCs w:val="20"/>
          <w:lang w:eastAsia="x-none"/>
        </w:rPr>
        <w:t>o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za upravljanje uporabljajo določbe zakona, ki ureja investicijske sklade in družbe za upravljanje, ter </w:t>
      </w:r>
      <w:r w:rsidR="0020347F">
        <w:rPr>
          <w:rFonts w:ascii="Arial" w:eastAsia="Times New Roman" w:hAnsi="Arial" w:cs="Arial"/>
          <w:sz w:val="20"/>
          <w:szCs w:val="20"/>
          <w:lang w:eastAsia="x-none"/>
        </w:rPr>
        <w:t>za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sklad denarnega trga, ki je </w:t>
      </w:r>
      <w:r w:rsidR="006B624E">
        <w:rPr>
          <w:rFonts w:ascii="Arial" w:eastAsia="Times New Roman" w:hAnsi="Arial" w:cs="Arial"/>
          <w:sz w:val="20"/>
          <w:szCs w:val="20"/>
          <w:lang w:eastAsia="x-none"/>
        </w:rPr>
        <w:t>alternativni investicijski sklad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A8062A">
        <w:rPr>
          <w:rFonts w:ascii="Arial" w:eastAsia="Times New Roman" w:hAnsi="Arial" w:cs="Arial"/>
          <w:sz w:val="20"/>
          <w:szCs w:val="20"/>
          <w:lang w:eastAsia="x-none"/>
        </w:rPr>
        <w:t xml:space="preserve"> ki premoženje zbira nejavno</w:t>
      </w:r>
      <w:r w:rsidR="006B624E">
        <w:rPr>
          <w:rFonts w:ascii="Arial" w:eastAsia="Times New Roman" w:hAnsi="Arial" w:cs="Arial"/>
          <w:sz w:val="20"/>
          <w:szCs w:val="20"/>
          <w:lang w:eastAsia="x-none"/>
        </w:rPr>
        <w:t xml:space="preserve"> (v nadaljnjem besedilu: AIS)</w:t>
      </w:r>
      <w:r w:rsidR="001C3736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20347F">
        <w:rPr>
          <w:rFonts w:ascii="Arial" w:eastAsia="Times New Roman" w:hAnsi="Arial" w:cs="Arial"/>
          <w:sz w:val="20"/>
          <w:szCs w:val="20"/>
          <w:lang w:eastAsia="x-none"/>
        </w:rPr>
        <w:t xml:space="preserve">za 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upravljavca </w:t>
      </w:r>
      <w:r w:rsidR="00907E64">
        <w:rPr>
          <w:rFonts w:ascii="Arial" w:eastAsia="Times New Roman" w:hAnsi="Arial" w:cs="Arial"/>
          <w:sz w:val="20"/>
          <w:szCs w:val="20"/>
          <w:lang w:eastAsia="x-none"/>
        </w:rPr>
        <w:t>AIS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določbe zakona, ki ureja upravljavce alternativnih investicijskih skladov</w:t>
      </w:r>
      <w:r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6E4302" w:rsidRPr="006E4302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:rsidR="00CD39F3" w:rsidRPr="006E4302" w:rsidRDefault="00CD39F3" w:rsidP="00CD39F3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t>člen</w:t>
      </w:r>
    </w:p>
    <w:p w:rsidR="00CD39F3" w:rsidRPr="006E4302" w:rsidRDefault="00CD39F3" w:rsidP="00CD39F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ukrepi pristojnega organa</w:t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)</w:t>
      </w:r>
    </w:p>
    <w:p w:rsidR="00CD39F3" w:rsidRPr="00484E54" w:rsidRDefault="00CD39F3" w:rsidP="00484E54">
      <w:pPr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ind w:firstLine="1021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84E54">
        <w:rPr>
          <w:rFonts w:ascii="Arial" w:eastAsia="Times New Roman" w:hAnsi="Arial" w:cs="Arial"/>
          <w:sz w:val="20"/>
          <w:szCs w:val="20"/>
          <w:lang w:eastAsia="x-none"/>
        </w:rPr>
        <w:t>(1</w:t>
      </w:r>
      <w:r w:rsidRPr="00484E54">
        <w:rPr>
          <w:rFonts w:ascii="Arial" w:hAnsi="Arial" w:cs="Arial"/>
          <w:sz w:val="20"/>
          <w:szCs w:val="20"/>
          <w:lang w:eastAsia="x-none"/>
        </w:rPr>
        <w:t xml:space="preserve">) Če </w:t>
      </w:r>
      <w:r w:rsidR="00E1281D">
        <w:rPr>
          <w:rFonts w:ascii="Arial" w:hAnsi="Arial" w:cs="Arial"/>
          <w:sz w:val="20"/>
          <w:szCs w:val="20"/>
          <w:lang w:eastAsia="x-none"/>
        </w:rPr>
        <w:t>Agencija</w:t>
      </w:r>
      <w:r w:rsidRPr="00484E54">
        <w:rPr>
          <w:rFonts w:ascii="Arial" w:hAnsi="Arial" w:cs="Arial"/>
          <w:sz w:val="20"/>
          <w:szCs w:val="20"/>
          <w:lang w:eastAsia="x-none"/>
        </w:rPr>
        <w:t xml:space="preserve"> pri nadzoru ugotovi kršitev Uredbe 2017/1131/EU ali te uredbe, lahko izreče naslednje ukrepe:</w:t>
      </w:r>
    </w:p>
    <w:p w:rsidR="00CD39F3" w:rsidRDefault="00CD39F3" w:rsidP="00484E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odredi ukrepe, potrebne za odpravo ugotovljene kršitve,</w:t>
      </w:r>
    </w:p>
    <w:p w:rsidR="00CD39F3" w:rsidRDefault="00CD39F3" w:rsidP="00484E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odvzame dovoljene, pridobljeno v skladu s 4. ali 5. členom Uredbe 2017/1131/EU,</w:t>
      </w:r>
    </w:p>
    <w:p w:rsidR="00CD39F3" w:rsidRDefault="00CD39F3" w:rsidP="00484E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izreče globo v </w:t>
      </w:r>
      <w:r w:rsidRPr="00A5424C">
        <w:rPr>
          <w:rFonts w:ascii="Arial" w:hAnsi="Arial" w:cs="Arial"/>
          <w:sz w:val="20"/>
          <w:szCs w:val="20"/>
        </w:rPr>
        <w:t xml:space="preserve">skladu </w:t>
      </w:r>
      <w:r w:rsidR="00A5424C" w:rsidRPr="00A5424C">
        <w:rPr>
          <w:rFonts w:ascii="Arial" w:hAnsi="Arial" w:cs="Arial"/>
          <w:sz w:val="20"/>
          <w:szCs w:val="20"/>
        </w:rPr>
        <w:t>s 6</w:t>
      </w:r>
      <w:r w:rsidRPr="00A5424C">
        <w:rPr>
          <w:rFonts w:ascii="Arial" w:hAnsi="Arial" w:cs="Arial"/>
          <w:sz w:val="20"/>
          <w:szCs w:val="20"/>
        </w:rPr>
        <w:t>. členom te uredbe</w:t>
      </w:r>
      <w:r>
        <w:rPr>
          <w:rFonts w:ascii="Arial" w:hAnsi="Arial" w:cs="Arial"/>
          <w:sz w:val="20"/>
          <w:szCs w:val="20"/>
        </w:rPr>
        <w:t>.</w:t>
      </w:r>
    </w:p>
    <w:p w:rsidR="00CD39F3" w:rsidRDefault="00CD39F3" w:rsidP="00484E54">
      <w:pPr>
        <w:spacing w:after="0"/>
        <w:rPr>
          <w:rFonts w:ascii="Arial" w:hAnsi="Arial" w:cs="Arial"/>
          <w:sz w:val="20"/>
          <w:szCs w:val="20"/>
        </w:rPr>
      </w:pPr>
    </w:p>
    <w:p w:rsidR="00CD39F3" w:rsidRPr="00484E54" w:rsidRDefault="00CD39F3" w:rsidP="00484E54">
      <w:pPr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lastRenderedPageBreak/>
        <w:t xml:space="preserve">(2) Za izrekanje ukrepov Agencije v posamičnih zadevah in za sodno varstvo se smiselno uporabljajo določbe zakona, ki ureja </w:t>
      </w:r>
      <w:r w:rsidR="00065B39" w:rsidRPr="00DD6FD0">
        <w:rPr>
          <w:rFonts w:ascii="Arial" w:eastAsia="Times New Roman" w:hAnsi="Arial" w:cs="Arial"/>
          <w:sz w:val="20"/>
          <w:szCs w:val="20"/>
          <w:lang w:eastAsia="x-none"/>
        </w:rPr>
        <w:t>investicijske sklade in družbe za upravljanje</w:t>
      </w:r>
      <w:r w:rsidR="00065B39">
        <w:rPr>
          <w:rFonts w:ascii="Arial" w:eastAsia="Times New Roman" w:hAnsi="Arial" w:cs="Arial"/>
          <w:sz w:val="20"/>
          <w:szCs w:val="20"/>
          <w:lang w:eastAsia="x-none"/>
        </w:rPr>
        <w:t xml:space="preserve">, ter zakona, ki </w:t>
      </w:r>
      <w:r w:rsidR="00065B39" w:rsidRPr="00DD6FD0">
        <w:rPr>
          <w:rFonts w:ascii="Arial" w:eastAsia="Times New Roman" w:hAnsi="Arial" w:cs="Arial"/>
          <w:sz w:val="20"/>
          <w:szCs w:val="20"/>
          <w:lang w:eastAsia="x-none"/>
        </w:rPr>
        <w:t>ureja upravljavce alternativnih investicijskih skladov</w:t>
      </w:r>
      <w:r>
        <w:rPr>
          <w:rFonts w:ascii="Arial" w:hAnsi="Arial" w:cs="Arial"/>
          <w:sz w:val="20"/>
          <w:szCs w:val="20"/>
          <w:lang w:eastAsia="x-none"/>
        </w:rPr>
        <w:t>.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bookmarkStart w:id="0" w:name="_Ref511995300"/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  <w:bookmarkEnd w:id="0"/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</w:t>
      </w: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t>kršitve upravljavca sklada denarnega trga</w:t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)</w:t>
      </w:r>
    </w:p>
    <w:p w:rsidR="00DD6FD0" w:rsidRPr="00DD6FD0" w:rsidRDefault="006E4302" w:rsidP="00C66499">
      <w:pPr>
        <w:spacing w:before="240"/>
        <w:ind w:firstLine="102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(1) 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Z globo od </w:t>
      </w:r>
      <w:r w:rsidR="00D55E07">
        <w:rPr>
          <w:rFonts w:ascii="Arial" w:eastAsia="Times New Roman" w:hAnsi="Arial" w:cs="Arial"/>
          <w:sz w:val="20"/>
          <w:szCs w:val="20"/>
          <w:lang w:eastAsia="x-none"/>
        </w:rPr>
        <w:t>5.0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00 do 125.000 </w:t>
      </w:r>
      <w:proofErr w:type="spellStart"/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eurov</w:t>
      </w:r>
      <w:proofErr w:type="spellEnd"/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se za prekršek kaznuje upravljavec sklada denarnega trga, </w:t>
      </w:r>
      <w:r w:rsidR="004F56F1">
        <w:rPr>
          <w:rFonts w:ascii="Arial" w:eastAsia="Times New Roman" w:hAnsi="Arial" w:cs="Arial"/>
          <w:sz w:val="20"/>
          <w:szCs w:val="20"/>
          <w:lang w:eastAsia="x-none"/>
        </w:rPr>
        <w:t xml:space="preserve">ki je pravna oseba,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če:</w:t>
      </w:r>
    </w:p>
    <w:p w:rsidR="00DD6FD0" w:rsidRPr="00DD6FD0" w:rsidRDefault="00DD6FD0" w:rsidP="00DD6FD0">
      <w:pPr>
        <w:tabs>
          <w:tab w:val="left" w:pos="425"/>
          <w:tab w:val="left" w:pos="540"/>
          <w:tab w:val="left" w:pos="900"/>
        </w:tabs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1. 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je </w:t>
      </w:r>
      <w:r w:rsidR="00AF786B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pridobil dovoljenje iz 4. ali 5. člena Uredbe 2017/1311/EU z navajanjem neresničnih podatkov </w:t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ali na</w:t>
      </w:r>
      <w:r w:rsidR="00AF786B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kakršenkoli</w:t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drug </w:t>
      </w:r>
      <w:r w:rsidR="00AF786B" w:rsidRPr="00DD6FD0">
        <w:rPr>
          <w:rFonts w:ascii="Arial" w:eastAsia="Times New Roman" w:hAnsi="Arial" w:cs="Arial"/>
          <w:sz w:val="20"/>
          <w:szCs w:val="20"/>
          <w:lang w:eastAsia="x-none"/>
        </w:rPr>
        <w:t>nezakonit način</w:t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; </w:t>
      </w:r>
    </w:p>
    <w:p w:rsidR="00DD6FD0" w:rsidRDefault="00DD6FD0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DD6FD0">
        <w:rPr>
          <w:rFonts w:ascii="Arial" w:eastAsia="Times New Roman" w:hAnsi="Arial" w:cs="Arial"/>
          <w:sz w:val="20"/>
          <w:szCs w:val="20"/>
          <w:lang w:eastAsia="x-none"/>
        </w:rPr>
        <w:t>2.</w:t>
      </w:r>
      <w:r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AF786B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uporablja poimenovanje »sklad denarnega trga« v nasprotju s 6. členom </w:t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AF786B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AF786B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AF786B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  <w:r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065B39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x-none"/>
        </w:rPr>
        <w:tab/>
        <w:t>sredstva sklada</w:t>
      </w:r>
      <w:r w:rsidR="00EB166D">
        <w:rPr>
          <w:rFonts w:ascii="Arial" w:eastAsia="Times New Roman" w:hAnsi="Arial" w:cs="Arial"/>
          <w:sz w:val="20"/>
          <w:szCs w:val="20"/>
          <w:lang w:eastAsia="x-none"/>
        </w:rPr>
        <w:t xml:space="preserve"> vlaga v nasprotju z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9. člen</w:t>
      </w:r>
      <w:r w:rsidR="00EB166D">
        <w:rPr>
          <w:rFonts w:ascii="Arial" w:eastAsia="Times New Roman" w:hAnsi="Arial" w:cs="Arial"/>
          <w:sz w:val="20"/>
          <w:szCs w:val="20"/>
          <w:lang w:eastAsia="x-none"/>
        </w:rPr>
        <w:t>om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Uredbe 2017/1131/EU;</w:t>
      </w:r>
    </w:p>
    <w:p w:rsidR="00065B39" w:rsidRPr="00065B39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AA07F7">
        <w:rPr>
          <w:rFonts w:ascii="Arial" w:eastAsia="Times New Roman" w:hAnsi="Arial" w:cs="Arial"/>
          <w:sz w:val="20"/>
          <w:szCs w:val="20"/>
          <w:lang w:eastAsia="x-none"/>
        </w:rPr>
        <w:t xml:space="preserve">glede sestave portfelja </w:t>
      </w:r>
      <w:r>
        <w:rPr>
          <w:rFonts w:ascii="Arial" w:eastAsia="Times New Roman" w:hAnsi="Arial" w:cs="Arial"/>
          <w:sz w:val="20"/>
          <w:szCs w:val="20"/>
          <w:lang w:eastAsia="x-none"/>
        </w:rPr>
        <w:t>ne izpolnjuje 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AA07F7">
        <w:rPr>
          <w:rFonts w:ascii="Arial" w:eastAsia="Times New Roman" w:hAnsi="Arial" w:cs="Arial"/>
          <w:sz w:val="20"/>
          <w:szCs w:val="20"/>
          <w:lang w:eastAsia="x-none"/>
        </w:rPr>
        <w:t>kot jih določa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17., 18., 24. ali 25. člen Uredbe 2017/1131/EU;</w:t>
      </w:r>
    </w:p>
    <w:p w:rsidR="00DD6FD0" w:rsidRPr="00DD6FD0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v zvezi z notranjim ocenjevanjem kreditne kakovosti </w:t>
      </w:r>
      <w:r w:rsidR="00AA07F7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ne izpolnjuje </w:t>
      </w:r>
      <w:r w:rsidR="00AA07F7">
        <w:rPr>
          <w:rFonts w:ascii="Arial" w:eastAsia="Times New Roman" w:hAnsi="Arial" w:cs="Arial"/>
          <w:sz w:val="20"/>
          <w:szCs w:val="20"/>
          <w:lang w:eastAsia="x-none"/>
        </w:rPr>
        <w:t>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AA07F7">
        <w:rPr>
          <w:rFonts w:ascii="Arial" w:eastAsia="Times New Roman" w:hAnsi="Arial" w:cs="Arial"/>
          <w:sz w:val="20"/>
          <w:szCs w:val="20"/>
          <w:lang w:eastAsia="x-none"/>
        </w:rPr>
        <w:t xml:space="preserve"> kot jih določa</w:t>
      </w:r>
      <w:r w:rsidR="00AA07F7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19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AA07F7">
        <w:rPr>
          <w:rFonts w:ascii="Arial" w:eastAsia="Times New Roman" w:hAnsi="Arial" w:cs="Arial"/>
          <w:sz w:val="20"/>
          <w:szCs w:val="20"/>
          <w:lang w:eastAsia="x-none"/>
        </w:rPr>
        <w:t>ali</w:t>
      </w:r>
      <w:r w:rsidR="00AA07F7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20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člen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DD6FD0" w:rsidRPr="00DD6FD0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6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glede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dokumentacije in upravljanja ocenjevanja kreditne sposobnosti </w:t>
      </w:r>
      <w:r w:rsidR="00C92D14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ne izpolnjuje 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 kot jih določa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21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 ali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23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člen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DD6FD0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7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glede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javne objave naročnika oziroma financerja zunanje bonitetne ocene, poznavanja lastnih strank ali testiranja izjemnih situacij </w:t>
      </w:r>
      <w:r w:rsidR="00C92D14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ne izpolnjuje 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 kot jih določa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2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6., 27. ali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2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8.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člen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D74B45" w:rsidRPr="00DD6FD0" w:rsidRDefault="00065B39" w:rsidP="00D74B45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8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glede vrednotenja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sredstev sklada denarnega trga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C92D14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ne izpolnjuje 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 kot jih določa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29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, 30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.,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31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, 32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 ali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33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člen Uredbe 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D74B45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D74B45" w:rsidRPr="00DD6FD0" w:rsidRDefault="00065B39" w:rsidP="00D74B45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9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ab/>
        <w:t>vzpostavi, izvaja in dosledno uporablja preudarn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in strog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postopk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e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za upravljanje likvidnosti sklada denarnega trga s konstantno </w:t>
      </w:r>
      <w:r w:rsidR="00650A72" w:rsidRPr="00650A72">
        <w:rPr>
          <w:rFonts w:ascii="Arial" w:eastAsia="Times New Roman" w:hAnsi="Arial" w:cs="Arial"/>
          <w:sz w:val="20"/>
          <w:szCs w:val="20"/>
          <w:lang w:eastAsia="x-none"/>
        </w:rPr>
        <w:t>neto vrednostjo sredstev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v nasprotju s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34. člen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om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D74B45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D74B45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74B45" w:rsidRPr="00DD6FD0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DD6FD0" w:rsidRPr="00DD6FD0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10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glede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preglednosti </w:t>
      </w:r>
      <w:r w:rsidR="00C92D14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ne izpolnjuje zahtev</w:t>
      </w:r>
      <w:r w:rsidR="00C92D14">
        <w:rPr>
          <w:rFonts w:ascii="Arial" w:eastAsia="Times New Roman" w:hAnsi="Arial" w:cs="Arial"/>
          <w:sz w:val="20"/>
          <w:szCs w:val="20"/>
          <w:lang w:eastAsia="x-none"/>
        </w:rPr>
        <w:t>, kot jih določa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36.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člen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DD6FD0" w:rsidRPr="00DD6FD0" w:rsidRDefault="00065B39" w:rsidP="00DD6FD0">
      <w:pPr>
        <w:tabs>
          <w:tab w:val="left" w:pos="425"/>
          <w:tab w:val="left" w:pos="540"/>
          <w:tab w:val="left" w:pos="900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11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ab/>
        <w:t xml:space="preserve">ne poroča Agenciji v skladu s 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7. členom </w:t>
      </w:r>
      <w:r w:rsidR="00DD6FD0" w:rsidRPr="00DD6FD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Uredbe 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EF4B5A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="00DD6FD0"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</w:p>
    <w:p w:rsidR="006E4302" w:rsidRDefault="00DD6FD0" w:rsidP="00DD6FD0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  <w:r w:rsidRPr="00DD6FD0">
        <w:rPr>
          <w:rFonts w:ascii="Arial" w:eastAsia="Times New Roman" w:hAnsi="Arial" w:cs="Arial"/>
          <w:sz w:val="20"/>
          <w:szCs w:val="20"/>
          <w:lang w:eastAsia="x-none"/>
        </w:rPr>
        <w:t>(</w:t>
      </w:r>
      <w:r w:rsidR="00D55E07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) Z globo od 800 do 4.100 </w:t>
      </w:r>
      <w:proofErr w:type="spellStart"/>
      <w:r w:rsidRPr="00DD6FD0">
        <w:rPr>
          <w:rFonts w:ascii="Arial" w:eastAsia="Times New Roman" w:hAnsi="Arial" w:cs="Arial"/>
          <w:sz w:val="20"/>
          <w:szCs w:val="20"/>
          <w:lang w:eastAsia="x-none"/>
        </w:rPr>
        <w:t>eurov</w:t>
      </w:r>
      <w:proofErr w:type="spellEnd"/>
      <w:r w:rsidRPr="00DD6FD0">
        <w:rPr>
          <w:rFonts w:ascii="Arial" w:eastAsia="Times New Roman" w:hAnsi="Arial" w:cs="Arial"/>
          <w:sz w:val="20"/>
          <w:szCs w:val="20"/>
          <w:lang w:eastAsia="x-none"/>
        </w:rPr>
        <w:t xml:space="preserve"> se za prekršek kaznuje odgovorna oseba pravne osebe, ki stori prekršek iz prejšnjega odstavka.</w:t>
      </w:r>
    </w:p>
    <w:p w:rsidR="00D55E07" w:rsidRPr="006E4302" w:rsidRDefault="00D55E07" w:rsidP="00D55E07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člen</w:t>
      </w:r>
    </w:p>
    <w:p w:rsidR="00D55E07" w:rsidRPr="006E4302" w:rsidRDefault="00D55E07" w:rsidP="00D55E0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višina globe v hitrem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x-none"/>
        </w:rPr>
        <w:t>prekrškovnem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postopku</w:t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)</w:t>
      </w:r>
    </w:p>
    <w:p w:rsidR="00D55E07" w:rsidRPr="006E4302" w:rsidRDefault="00D55E07" w:rsidP="00F05045">
      <w:pPr>
        <w:spacing w:before="240"/>
        <w:ind w:firstLine="1021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F05045">
        <w:rPr>
          <w:rFonts w:ascii="Arial" w:eastAsia="Times New Roman" w:hAnsi="Arial" w:cs="Arial"/>
          <w:sz w:val="20"/>
          <w:szCs w:val="20"/>
          <w:lang w:eastAsia="x-none"/>
        </w:rPr>
        <w:t>Za prekrške iz te uredbe se sme v hitrem postopku izreči globa tudi v znesku, ki je višji od najnižje predpisane globe, določene s to uredbo</w:t>
      </w:r>
      <w:r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:rsidR="006E4302" w:rsidRPr="006E4302" w:rsidRDefault="006E4302" w:rsidP="006E4302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E4302">
        <w:rPr>
          <w:rFonts w:ascii="Arial" w:eastAsia="Times New Roman" w:hAnsi="Arial" w:cs="Arial"/>
          <w:sz w:val="20"/>
          <w:szCs w:val="20"/>
          <w:lang w:eastAsia="sl-SI"/>
        </w:rPr>
        <w:t xml:space="preserve">KONČNA DOLOČBA </w:t>
      </w:r>
    </w:p>
    <w:p w:rsidR="006E4302" w:rsidRPr="006E4302" w:rsidRDefault="006E4302" w:rsidP="006E4302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člen </w:t>
      </w:r>
      <w:r w:rsidRPr="006E4302">
        <w:rPr>
          <w:rFonts w:ascii="Arial" w:eastAsia="Times New Roman" w:hAnsi="Arial" w:cs="Arial"/>
          <w:b/>
          <w:sz w:val="20"/>
          <w:szCs w:val="20"/>
          <w:lang w:eastAsia="x-none"/>
        </w:rPr>
        <w:br/>
      </w:r>
      <w:r w:rsidRPr="006E4302">
        <w:rPr>
          <w:rFonts w:ascii="Arial" w:eastAsia="Times New Roman" w:hAnsi="Arial" w:cs="Arial"/>
          <w:b/>
          <w:sz w:val="20"/>
          <w:szCs w:val="20"/>
          <w:lang w:val="x-none" w:eastAsia="x-none"/>
        </w:rPr>
        <w:t>(začetek veljavnosti)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240" w:after="0" w:line="240" w:lineRule="auto"/>
        <w:ind w:firstLine="1021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Ta uredba začne veljati petnajsti dan po objavi v Uradnem listu Republike Slovenije.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480"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Št. </w:t>
      </w:r>
      <w:r w:rsidRPr="006E430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...............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 xml:space="preserve">Ljubljana, </w:t>
      </w:r>
      <w:r w:rsidRPr="006E4302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>...........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EVA 2018-1611-</w:t>
      </w:r>
      <w:r w:rsidRPr="006E4302">
        <w:rPr>
          <w:rFonts w:ascii="Arial" w:eastAsia="Times New Roman" w:hAnsi="Arial" w:cs="Arial"/>
          <w:sz w:val="20"/>
          <w:szCs w:val="20"/>
          <w:lang w:eastAsia="x-none"/>
        </w:rPr>
        <w:t>0080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before="480" w:after="0" w:line="240" w:lineRule="auto"/>
        <w:ind w:left="5670"/>
        <w:jc w:val="center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Vlada Republike Slovenije</w:t>
      </w:r>
    </w:p>
    <w:p w:rsidR="006E4302" w:rsidRPr="006E4302" w:rsidRDefault="006E4302" w:rsidP="006E4302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Arial" w:eastAsia="Times New Roman" w:hAnsi="Arial" w:cs="Arial"/>
          <w:sz w:val="20"/>
          <w:szCs w:val="20"/>
          <w:lang w:val="x-none" w:eastAsia="sl-SI"/>
        </w:rPr>
      </w:pPr>
      <w:r w:rsidRPr="006E4302">
        <w:rPr>
          <w:rFonts w:ascii="Arial" w:eastAsia="Times New Roman" w:hAnsi="Arial" w:cs="Arial"/>
          <w:sz w:val="20"/>
          <w:szCs w:val="20"/>
          <w:lang w:val="x-none" w:eastAsia="sl-SI"/>
        </w:rPr>
        <w:t>Marjan Šarec</w:t>
      </w:r>
    </w:p>
    <w:p w:rsidR="006E4302" w:rsidRPr="006E4302" w:rsidRDefault="0020347F" w:rsidP="00C6649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p</w:t>
      </w:r>
      <w:proofErr w:type="spellStart"/>
      <w:r w:rsidR="006E4302" w:rsidRPr="006E4302">
        <w:rPr>
          <w:rFonts w:ascii="Arial" w:eastAsia="Times New Roman" w:hAnsi="Arial" w:cs="Arial"/>
          <w:sz w:val="20"/>
          <w:szCs w:val="20"/>
          <w:lang w:val="x-none" w:eastAsia="x-none"/>
        </w:rPr>
        <w:t>redsednik</w:t>
      </w:r>
      <w:proofErr w:type="spellEnd"/>
      <w:r w:rsidR="006E4302" w:rsidRPr="006E4302">
        <w:rPr>
          <w:rFonts w:ascii="Arial" w:eastAsia="Times New Roman" w:hAnsi="Arial" w:cs="Arial"/>
          <w:sz w:val="20"/>
          <w:szCs w:val="20"/>
          <w:lang w:eastAsia="sl-SI"/>
        </w:rPr>
        <w:br w:type="page"/>
      </w:r>
    </w:p>
    <w:p w:rsidR="006E4302" w:rsidRPr="006E4302" w:rsidRDefault="006E4302" w:rsidP="006E4302">
      <w:pPr>
        <w:tabs>
          <w:tab w:val="left" w:pos="708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6E4302">
        <w:rPr>
          <w:rFonts w:ascii="Arial" w:eastAsia="Calibri" w:hAnsi="Arial" w:cs="Arial"/>
          <w:b/>
          <w:sz w:val="20"/>
          <w:szCs w:val="20"/>
        </w:rPr>
        <w:lastRenderedPageBreak/>
        <w:t>OBRAZLOŽITEV</w:t>
      </w:r>
    </w:p>
    <w:p w:rsidR="006E4302" w:rsidRPr="006E4302" w:rsidRDefault="006E4302" w:rsidP="006E4302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6E4302" w:rsidRPr="006E4302" w:rsidRDefault="006E4302" w:rsidP="006E4302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I. UVOD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1.</w:t>
      </w:r>
      <w:r w:rsidRPr="008D0FE9">
        <w:rPr>
          <w:rFonts w:ascii="Arial" w:eastAsia="Calibri" w:hAnsi="Arial" w:cs="Arial"/>
          <w:sz w:val="20"/>
          <w:szCs w:val="20"/>
        </w:rPr>
        <w:tab/>
        <w:t>Pravna podlaga (besedilo, vsebina zakonske določbe, ki je podlaga za izdajo uredbe)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 xml:space="preserve">Pravna podlaga za izdajo uredbe je sedmi odstavek 21. člena Zakona o Vladi Republike Slovenije (Uradni list RS, št. 24/05 – uradno prečiščeno besedilo, 109/08, 38/10 – ZUKN, 8/12, 21/13, 47/13 – ZDU-1G, 65/14 in 55/17), ki določa, da Vlada RS za </w:t>
      </w:r>
      <w:r w:rsidR="0020347F">
        <w:rPr>
          <w:rFonts w:ascii="Arial" w:eastAsia="Calibri" w:hAnsi="Arial" w:cs="Arial"/>
          <w:sz w:val="20"/>
          <w:szCs w:val="20"/>
        </w:rPr>
        <w:t>izvajanje</w:t>
      </w:r>
      <w:r w:rsidR="0020347F" w:rsidRPr="008D0FE9">
        <w:rPr>
          <w:rFonts w:ascii="Arial" w:eastAsia="Calibri" w:hAnsi="Arial" w:cs="Arial"/>
          <w:sz w:val="20"/>
          <w:szCs w:val="20"/>
        </w:rPr>
        <w:t xml:space="preserve"> </w:t>
      </w:r>
      <w:r w:rsidRPr="008D0FE9">
        <w:rPr>
          <w:rFonts w:ascii="Arial" w:eastAsia="Calibri" w:hAnsi="Arial" w:cs="Arial"/>
          <w:sz w:val="20"/>
          <w:szCs w:val="20"/>
        </w:rPr>
        <w:t>predpisov Evropske unije izdaja uredbe in druge akte iz svoje pristojnosti.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2.</w:t>
      </w:r>
      <w:r w:rsidRPr="008D0FE9">
        <w:rPr>
          <w:rFonts w:ascii="Arial" w:eastAsia="Calibri" w:hAnsi="Arial" w:cs="Arial"/>
          <w:sz w:val="20"/>
          <w:szCs w:val="20"/>
        </w:rPr>
        <w:tab/>
        <w:t>Rok za izdajo uredbe, določen z zakonom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/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3.</w:t>
      </w:r>
      <w:r w:rsidRPr="008D0FE9">
        <w:rPr>
          <w:rFonts w:ascii="Arial" w:eastAsia="Calibri" w:hAnsi="Arial" w:cs="Arial"/>
          <w:sz w:val="20"/>
          <w:szCs w:val="20"/>
        </w:rPr>
        <w:tab/>
        <w:t>Splošna obrazložitev predloga uredbe, če je potrebna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 w:rsidRPr="008D0FE9">
        <w:rPr>
          <w:rFonts w:ascii="Arial" w:eastAsia="Calibri" w:hAnsi="Arial" w:cs="Arial"/>
          <w:iCs/>
          <w:sz w:val="20"/>
          <w:szCs w:val="20"/>
        </w:rPr>
        <w:t>Cilj Uredbe (EU) 2017/1131 Evropskega parlamenta in Sveta z dne 14. junija 2017 o skladih denarnega trga (UL L št. 169 z dne 30. 6. 2017, str. 8</w:t>
      </w:r>
      <w:r w:rsidR="00786309">
        <w:rPr>
          <w:rFonts w:ascii="Arial" w:eastAsia="Calibri" w:hAnsi="Arial" w:cs="Arial"/>
          <w:iCs/>
          <w:sz w:val="20"/>
          <w:szCs w:val="20"/>
        </w:rPr>
        <w:t>;</w:t>
      </w:r>
      <w:r w:rsidRPr="008D0FE9">
        <w:rPr>
          <w:rFonts w:ascii="Arial" w:eastAsia="Calibri" w:hAnsi="Arial" w:cs="Arial"/>
          <w:iCs/>
          <w:sz w:val="20"/>
          <w:szCs w:val="20"/>
        </w:rPr>
        <w:t xml:space="preserve"> v nadaljnjem besedilu: Uredba 2017/1131</w:t>
      </w:r>
      <w:r w:rsidR="00786309">
        <w:rPr>
          <w:rFonts w:ascii="Arial" w:eastAsia="Calibri" w:hAnsi="Arial" w:cs="Arial"/>
          <w:iCs/>
          <w:sz w:val="20"/>
          <w:szCs w:val="20"/>
        </w:rPr>
        <w:t>/EU</w:t>
      </w:r>
      <w:r w:rsidRPr="008D0FE9">
        <w:rPr>
          <w:rFonts w:ascii="Arial" w:eastAsia="Calibri" w:hAnsi="Arial" w:cs="Arial"/>
          <w:iCs/>
          <w:sz w:val="20"/>
          <w:szCs w:val="20"/>
        </w:rPr>
        <w:t xml:space="preserve">) je zagotoviti enotna pravila skrbnega in varnega poslovanja, upravljanja in preglednosti, ki se uporabljajo za sklade denarnega trga </w:t>
      </w:r>
      <w:r w:rsidR="0020347F">
        <w:rPr>
          <w:rFonts w:ascii="Arial" w:eastAsia="Calibri" w:hAnsi="Arial" w:cs="Arial"/>
          <w:iCs/>
          <w:sz w:val="20"/>
          <w:szCs w:val="20"/>
        </w:rPr>
        <w:t>v</w:t>
      </w:r>
      <w:r w:rsidRPr="008D0FE9">
        <w:rPr>
          <w:rFonts w:ascii="Arial" w:eastAsia="Calibri" w:hAnsi="Arial" w:cs="Arial"/>
          <w:iCs/>
          <w:sz w:val="20"/>
          <w:szCs w:val="20"/>
        </w:rPr>
        <w:t xml:space="preserve"> vsej Uniji, ob polnem upoštevanju potrebe po doseganju ravnovesja med varnostjo in zanesljivostjo skladov denarnega trga ter učinkovitim upravljanjem denarnih trgov in stroškov za različne </w:t>
      </w:r>
      <w:r w:rsidR="0020347F">
        <w:rPr>
          <w:rFonts w:ascii="Arial" w:eastAsia="Calibri" w:hAnsi="Arial" w:cs="Arial"/>
          <w:iCs/>
          <w:sz w:val="20"/>
          <w:szCs w:val="20"/>
        </w:rPr>
        <w:t>vpletene</w:t>
      </w:r>
      <w:r w:rsidR="0020347F" w:rsidRPr="008D0FE9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8D0FE9">
        <w:rPr>
          <w:rFonts w:ascii="Arial" w:eastAsia="Calibri" w:hAnsi="Arial" w:cs="Arial"/>
          <w:iCs/>
          <w:sz w:val="20"/>
          <w:szCs w:val="20"/>
        </w:rPr>
        <w:t>strani.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iCs/>
          <w:sz w:val="10"/>
          <w:szCs w:val="1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 w:rsidRPr="008D0FE9">
        <w:rPr>
          <w:rFonts w:ascii="Arial" w:eastAsia="Calibri" w:hAnsi="Arial" w:cs="Arial"/>
          <w:iCs/>
          <w:sz w:val="20"/>
          <w:szCs w:val="20"/>
        </w:rPr>
        <w:t>Za polno uveljavitev Uredbe 2017/1131</w:t>
      </w:r>
      <w:r w:rsidR="00786309">
        <w:rPr>
          <w:rFonts w:ascii="Arial" w:eastAsia="Calibri" w:hAnsi="Arial" w:cs="Arial"/>
          <w:iCs/>
          <w:sz w:val="20"/>
          <w:szCs w:val="20"/>
        </w:rPr>
        <w:t>/EU</w:t>
      </w:r>
      <w:r w:rsidRPr="008D0FE9">
        <w:rPr>
          <w:rFonts w:ascii="Arial" w:eastAsia="Calibri" w:hAnsi="Arial" w:cs="Arial"/>
          <w:iCs/>
          <w:sz w:val="20"/>
          <w:szCs w:val="20"/>
        </w:rPr>
        <w:t xml:space="preserve"> v Republiki Sloveniji se z Uredbo o izvajanju Uredbe (EU) o skladih denarnega trga določajo pristojni organ za izvajanje Uredbe 2017/1131</w:t>
      </w:r>
      <w:r w:rsidR="00786309">
        <w:rPr>
          <w:rFonts w:ascii="Arial" w:eastAsia="Calibri" w:hAnsi="Arial" w:cs="Arial"/>
          <w:iCs/>
          <w:sz w:val="20"/>
          <w:szCs w:val="20"/>
        </w:rPr>
        <w:t>/EU</w:t>
      </w:r>
      <w:r w:rsidRPr="008D0FE9">
        <w:rPr>
          <w:rFonts w:ascii="Arial" w:eastAsia="Calibri" w:hAnsi="Arial" w:cs="Arial"/>
          <w:iCs/>
          <w:sz w:val="20"/>
          <w:szCs w:val="20"/>
        </w:rPr>
        <w:t xml:space="preserve">, način opravljanja nadzora nad </w:t>
      </w:r>
      <w:r w:rsidR="00786309">
        <w:rPr>
          <w:rFonts w:ascii="Arial" w:eastAsia="Calibri" w:hAnsi="Arial" w:cs="Arial"/>
          <w:iCs/>
          <w:sz w:val="20"/>
          <w:szCs w:val="20"/>
        </w:rPr>
        <w:t>izvaja</w:t>
      </w:r>
      <w:r w:rsidRPr="008D0FE9">
        <w:rPr>
          <w:rFonts w:ascii="Arial" w:eastAsia="Calibri" w:hAnsi="Arial" w:cs="Arial"/>
          <w:iCs/>
          <w:sz w:val="20"/>
          <w:szCs w:val="20"/>
        </w:rPr>
        <w:t>njem Uredbe 2017/1131</w:t>
      </w:r>
      <w:r w:rsidR="00786309">
        <w:rPr>
          <w:rFonts w:ascii="Arial" w:eastAsia="Calibri" w:hAnsi="Arial" w:cs="Arial"/>
          <w:iCs/>
          <w:sz w:val="20"/>
          <w:szCs w:val="20"/>
        </w:rPr>
        <w:t>/EU</w:t>
      </w:r>
      <w:r w:rsidRPr="008D0FE9">
        <w:rPr>
          <w:rFonts w:ascii="Arial" w:eastAsia="Calibri" w:hAnsi="Arial" w:cs="Arial"/>
          <w:iCs/>
          <w:sz w:val="20"/>
          <w:szCs w:val="20"/>
        </w:rPr>
        <w:t>, nadzorni ukrepi in kazenske določbe v zvezi z izvajanjem Uredbe 2017/1131</w:t>
      </w:r>
      <w:r w:rsidR="00786309">
        <w:rPr>
          <w:rFonts w:ascii="Arial" w:eastAsia="Calibri" w:hAnsi="Arial" w:cs="Arial"/>
          <w:iCs/>
          <w:sz w:val="20"/>
          <w:szCs w:val="20"/>
        </w:rPr>
        <w:t>/EU</w:t>
      </w:r>
      <w:r w:rsidRPr="008D0FE9">
        <w:rPr>
          <w:rFonts w:ascii="Arial" w:eastAsia="Calibri" w:hAnsi="Arial" w:cs="Arial"/>
          <w:iCs/>
          <w:sz w:val="20"/>
          <w:szCs w:val="20"/>
        </w:rPr>
        <w:t>.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4.</w:t>
      </w:r>
      <w:r w:rsidRPr="008D0FE9">
        <w:rPr>
          <w:rFonts w:ascii="Arial" w:eastAsia="Calibri" w:hAnsi="Arial" w:cs="Arial"/>
          <w:sz w:val="20"/>
          <w:szCs w:val="20"/>
        </w:rPr>
        <w:tab/>
        <w:t>Predstavitev presoje posledic za posamezna področja, če te niso mogle biti celovito predstavljene v predlogu zakona</w:t>
      </w: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Cs w:val="20"/>
        </w:rPr>
      </w:pPr>
      <w:r w:rsidRPr="008D0FE9">
        <w:rPr>
          <w:rFonts w:ascii="Arial" w:eastAsia="Calibri" w:hAnsi="Arial" w:cs="Arial"/>
          <w:szCs w:val="20"/>
        </w:rPr>
        <w:t>/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Cs w:val="20"/>
        </w:rPr>
      </w:pPr>
    </w:p>
    <w:p w:rsidR="008D0FE9" w:rsidRPr="008D0FE9" w:rsidRDefault="008D0FE9" w:rsidP="008D0FE9">
      <w:pPr>
        <w:tabs>
          <w:tab w:val="left" w:pos="708"/>
        </w:tabs>
        <w:spacing w:after="0"/>
        <w:jc w:val="both"/>
        <w:rPr>
          <w:rFonts w:ascii="Arial" w:eastAsia="Calibri" w:hAnsi="Arial" w:cs="Arial"/>
          <w:szCs w:val="20"/>
        </w:rPr>
      </w:pPr>
      <w:r w:rsidRPr="008D0FE9">
        <w:rPr>
          <w:rFonts w:ascii="Arial" w:eastAsia="Calibri" w:hAnsi="Arial" w:cs="Arial"/>
          <w:szCs w:val="20"/>
        </w:rPr>
        <w:t>II. VSEBINSKA OBRAZLOŽITEV PREDLAGANIH REŠITEV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1.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S členom se opredeljuje vsebina te uredbe.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2.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S predlaganim členom se določa, da </w:t>
      </w:r>
      <w:r w:rsidR="00786309">
        <w:rPr>
          <w:rFonts w:ascii="Arial" w:eastAsia="Times New Roman" w:hAnsi="Arial" w:cs="Arial"/>
          <w:sz w:val="20"/>
          <w:szCs w:val="20"/>
          <w:lang w:eastAsia="sl-SI"/>
        </w:rPr>
        <w:t>izrazi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>, uporabljeni v tej uredbi</w:t>
      </w:r>
      <w:r w:rsidR="00786309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 pomen</w:t>
      </w:r>
      <w:r w:rsidR="0020347F">
        <w:rPr>
          <w:rFonts w:ascii="Arial" w:eastAsia="Times New Roman" w:hAnsi="Arial" w:cs="Arial"/>
          <w:sz w:val="20"/>
          <w:szCs w:val="20"/>
          <w:lang w:eastAsia="sl-SI"/>
        </w:rPr>
        <w:t>ijo enako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 k</w:t>
      </w:r>
      <w:r w:rsidR="0020347F">
        <w:rPr>
          <w:rFonts w:ascii="Arial" w:eastAsia="Times New Roman" w:hAnsi="Arial" w:cs="Arial"/>
          <w:sz w:val="20"/>
          <w:szCs w:val="20"/>
          <w:lang w:eastAsia="sl-SI"/>
        </w:rPr>
        <w:t>akor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 v</w:t>
      </w:r>
      <w:r w:rsidRPr="008D0FE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8D0FE9">
        <w:rPr>
          <w:rFonts w:ascii="Arial" w:eastAsia="Times New Roman" w:hAnsi="Arial" w:cs="Arial"/>
          <w:sz w:val="20"/>
          <w:szCs w:val="20"/>
          <w:lang w:eastAsia="x-none"/>
        </w:rPr>
        <w:t>Uredbi 2017/1131</w:t>
      </w:r>
      <w:r w:rsidR="00786309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Pr="008D0FE9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3.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V skladu s 17. točko 2. člena Uredbe </w:t>
      </w:r>
      <w:r w:rsidRPr="008D0FE9">
        <w:rPr>
          <w:rFonts w:ascii="Arial" w:eastAsia="Times New Roman" w:hAnsi="Arial" w:cs="Arial"/>
          <w:sz w:val="20"/>
          <w:szCs w:val="20"/>
          <w:lang w:eastAsia="x-none"/>
        </w:rPr>
        <w:t>2017/1131</w:t>
      </w:r>
      <w:r w:rsidR="00786309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 so pristojni organi: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(a) za KNPVP pristojni organ matične države članice KNPVP, določen v skladu s 97. členom Direktive 2009/65/ES;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(b) za EU AIS pristojni organ matične države članice AIS, kakor je opredeljen v točki p prvega odstavka 4. člena Direktive 2011/61/EU;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(c) za ne-EU AIS eno od naslednjega: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(i) pristojni organ države članice, v kateri je ne-EU AIS tržen v Uniji brez dovoljenja za čezmejno opravljanje storitev;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spellStart"/>
      <w:r w:rsidRPr="008D0FE9">
        <w:rPr>
          <w:rFonts w:ascii="Arial" w:eastAsia="Times New Roman" w:hAnsi="Arial" w:cs="Arial"/>
          <w:sz w:val="20"/>
          <w:szCs w:val="20"/>
          <w:lang w:eastAsia="sl-SI"/>
        </w:rPr>
        <w:t>ii</w:t>
      </w:r>
      <w:proofErr w:type="spellEnd"/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) pristojni organ EU UAIS, ki upravlja ne-EU AIS, kadar je ne-EU AIS tržen v Uniji z dovoljenjem za čezmejno opravljanje storitev ali ni tržen v Uniji;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spellStart"/>
      <w:r w:rsidRPr="008D0FE9">
        <w:rPr>
          <w:rFonts w:ascii="Arial" w:eastAsia="Times New Roman" w:hAnsi="Arial" w:cs="Arial"/>
          <w:sz w:val="20"/>
          <w:szCs w:val="20"/>
          <w:lang w:eastAsia="sl-SI"/>
        </w:rPr>
        <w:t>iii</w:t>
      </w:r>
      <w:proofErr w:type="spellEnd"/>
      <w:r w:rsidRPr="008D0FE9">
        <w:rPr>
          <w:rFonts w:ascii="Arial" w:eastAsia="Times New Roman" w:hAnsi="Arial" w:cs="Arial"/>
          <w:sz w:val="20"/>
          <w:szCs w:val="20"/>
          <w:lang w:eastAsia="sl-SI"/>
        </w:rPr>
        <w:t>) pristojni organ referenčne države članice, če ne-EU AIS ne upravlja EU UAIS in je tržen v Uniji z dovoljenjem za čezmejno opravljanje storitev.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sl-SI"/>
        </w:rPr>
      </w:pPr>
    </w:p>
    <w:p w:rsidR="008D0FE9" w:rsidRPr="008D0FE9" w:rsidRDefault="008D0FE9" w:rsidP="008D0FE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S predlaganim členom se kot pristojni organ za nadzor nad subjekti nadzora v skladu z Uredbo 2017/113</w:t>
      </w:r>
      <w:r w:rsidR="00EC018F">
        <w:rPr>
          <w:rFonts w:ascii="Arial" w:eastAsia="Calibri" w:hAnsi="Arial" w:cs="Arial"/>
          <w:sz w:val="20"/>
          <w:szCs w:val="20"/>
        </w:rPr>
        <w:t>1</w:t>
      </w:r>
      <w:r w:rsidR="00786309">
        <w:rPr>
          <w:rFonts w:ascii="Arial" w:eastAsia="Calibri" w:hAnsi="Arial" w:cs="Arial"/>
          <w:sz w:val="20"/>
          <w:szCs w:val="20"/>
        </w:rPr>
        <w:t>/EU</w:t>
      </w:r>
      <w:r w:rsidRPr="008D0FE9">
        <w:rPr>
          <w:rFonts w:ascii="Arial" w:eastAsia="Calibri" w:hAnsi="Arial" w:cs="Arial"/>
          <w:sz w:val="20"/>
          <w:szCs w:val="20"/>
        </w:rPr>
        <w:t xml:space="preserve"> in to uredbo na ozemlju Republike Slovenije določa Agencija za trg vrednostnih papirjev (v nadaljnjem besedilu: Agencija).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4.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FE9" w:rsidRPr="008D0FE9" w:rsidRDefault="008D0FE9" w:rsidP="008D0FE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 xml:space="preserve">S predlaganim členom se določa, da se za opravljanje nadzora in odločanje Agencije v posamičnih zadevah </w:t>
      </w:r>
      <w:r w:rsidR="00AF786B">
        <w:rPr>
          <w:rFonts w:ascii="Arial" w:eastAsia="Calibri" w:hAnsi="Arial" w:cs="Arial"/>
          <w:sz w:val="20"/>
          <w:szCs w:val="20"/>
        </w:rPr>
        <w:t>za</w:t>
      </w:r>
      <w:r w:rsidRPr="008D0FE9">
        <w:rPr>
          <w:rFonts w:ascii="Arial" w:eastAsia="Calibri" w:hAnsi="Arial" w:cs="Arial"/>
          <w:sz w:val="20"/>
          <w:szCs w:val="20"/>
        </w:rPr>
        <w:t xml:space="preserve"> sklad denarnega trga, ki je KNPVP</w:t>
      </w:r>
      <w:r w:rsidR="00786309" w:rsidRPr="00786309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86309">
        <w:rPr>
          <w:rFonts w:ascii="Arial" w:eastAsia="Times New Roman" w:hAnsi="Arial" w:cs="Arial"/>
          <w:sz w:val="20"/>
          <w:szCs w:val="20"/>
          <w:lang w:eastAsia="x-none"/>
        </w:rPr>
        <w:t>ali</w:t>
      </w:r>
      <w:r w:rsidR="00786309" w:rsidRPr="00907E6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786309">
        <w:rPr>
          <w:rFonts w:ascii="Arial" w:eastAsia="Times New Roman" w:hAnsi="Arial" w:cs="Arial"/>
          <w:sz w:val="20"/>
          <w:szCs w:val="20"/>
          <w:lang w:eastAsia="x-none"/>
        </w:rPr>
        <w:t>AIS</w:t>
      </w:r>
      <w:r w:rsidR="00786309" w:rsidRPr="00DD6FD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786309">
        <w:rPr>
          <w:rFonts w:ascii="Arial" w:eastAsia="Times New Roman" w:hAnsi="Arial" w:cs="Arial"/>
          <w:sz w:val="20"/>
          <w:szCs w:val="20"/>
          <w:lang w:eastAsia="x-none"/>
        </w:rPr>
        <w:t xml:space="preserve"> ki javno zbira premoženje</w:t>
      </w:r>
      <w:r w:rsidRPr="008D0FE9">
        <w:rPr>
          <w:rFonts w:ascii="Arial" w:eastAsia="Calibri" w:hAnsi="Arial" w:cs="Arial"/>
          <w:sz w:val="20"/>
          <w:szCs w:val="20"/>
        </w:rPr>
        <w:t xml:space="preserve">, in </w:t>
      </w:r>
      <w:r w:rsidR="00AF786B">
        <w:rPr>
          <w:rFonts w:ascii="Arial" w:eastAsia="Calibri" w:hAnsi="Arial" w:cs="Arial"/>
          <w:sz w:val="20"/>
          <w:szCs w:val="20"/>
        </w:rPr>
        <w:t xml:space="preserve">za </w:t>
      </w:r>
      <w:r w:rsidRPr="008D0FE9">
        <w:rPr>
          <w:rFonts w:ascii="Arial" w:eastAsia="Calibri" w:hAnsi="Arial" w:cs="Arial"/>
          <w:sz w:val="20"/>
          <w:szCs w:val="20"/>
        </w:rPr>
        <w:t>družb</w:t>
      </w:r>
      <w:r w:rsidR="00AF786B">
        <w:rPr>
          <w:rFonts w:ascii="Arial" w:eastAsia="Calibri" w:hAnsi="Arial" w:cs="Arial"/>
          <w:sz w:val="20"/>
          <w:szCs w:val="20"/>
        </w:rPr>
        <w:t>o</w:t>
      </w:r>
      <w:r w:rsidRPr="008D0FE9">
        <w:rPr>
          <w:rFonts w:ascii="Arial" w:eastAsia="Calibri" w:hAnsi="Arial" w:cs="Arial"/>
          <w:sz w:val="20"/>
          <w:szCs w:val="20"/>
        </w:rPr>
        <w:t xml:space="preserve"> za upravljanje uporabljajo določbe </w:t>
      </w:r>
      <w:r w:rsidR="008E7604" w:rsidRPr="008E7604">
        <w:rPr>
          <w:rFonts w:ascii="Arial" w:eastAsia="Calibri" w:hAnsi="Arial" w:cs="Arial"/>
          <w:sz w:val="20"/>
          <w:szCs w:val="20"/>
        </w:rPr>
        <w:t>Zakon</w:t>
      </w:r>
      <w:r w:rsidR="008E7604">
        <w:rPr>
          <w:rFonts w:ascii="Arial" w:eastAsia="Calibri" w:hAnsi="Arial" w:cs="Arial"/>
          <w:sz w:val="20"/>
          <w:szCs w:val="20"/>
        </w:rPr>
        <w:t>a</w:t>
      </w:r>
      <w:r w:rsidR="008E7604" w:rsidRPr="008E7604">
        <w:rPr>
          <w:rFonts w:ascii="Arial" w:eastAsia="Calibri" w:hAnsi="Arial" w:cs="Arial"/>
          <w:sz w:val="20"/>
          <w:szCs w:val="20"/>
        </w:rPr>
        <w:t xml:space="preserve"> o investicijskih skladih in družbah za upravljanje (Uradni list RS, št. 31/15, 81/15, 77/16 in 77/18</w:t>
      </w:r>
      <w:r w:rsidR="008E7604">
        <w:rPr>
          <w:rFonts w:ascii="Arial" w:eastAsia="Calibri" w:hAnsi="Arial" w:cs="Arial"/>
          <w:sz w:val="20"/>
          <w:szCs w:val="20"/>
        </w:rPr>
        <w:t>; v nadaljnjem besedilu: ZISDU-3</w:t>
      </w:r>
      <w:r w:rsidR="008E7604" w:rsidRPr="008E7604">
        <w:rPr>
          <w:rFonts w:ascii="Arial" w:eastAsia="Calibri" w:hAnsi="Arial" w:cs="Arial"/>
          <w:sz w:val="20"/>
          <w:szCs w:val="20"/>
        </w:rPr>
        <w:t>)</w:t>
      </w:r>
      <w:r w:rsidRPr="008D0FE9">
        <w:rPr>
          <w:rFonts w:ascii="Arial" w:eastAsia="Calibri" w:hAnsi="Arial" w:cs="Arial"/>
          <w:sz w:val="20"/>
          <w:szCs w:val="20"/>
        </w:rPr>
        <w:t xml:space="preserve">, ter </w:t>
      </w:r>
      <w:r w:rsidR="00AF786B">
        <w:rPr>
          <w:rFonts w:ascii="Arial" w:eastAsia="Calibri" w:hAnsi="Arial" w:cs="Arial"/>
          <w:sz w:val="20"/>
          <w:szCs w:val="20"/>
        </w:rPr>
        <w:t>za</w:t>
      </w:r>
      <w:r w:rsidRPr="008D0FE9">
        <w:rPr>
          <w:rFonts w:ascii="Arial" w:eastAsia="Calibri" w:hAnsi="Arial" w:cs="Arial"/>
          <w:sz w:val="20"/>
          <w:szCs w:val="20"/>
        </w:rPr>
        <w:t xml:space="preserve"> sklad denarnega trga, ki je AIS</w:t>
      </w:r>
      <w:r w:rsidR="008E7604">
        <w:rPr>
          <w:rFonts w:ascii="Arial" w:eastAsia="Calibri" w:hAnsi="Arial" w:cs="Arial"/>
          <w:sz w:val="20"/>
          <w:szCs w:val="20"/>
        </w:rPr>
        <w:t>,</w:t>
      </w:r>
      <w:r w:rsidR="008E7604" w:rsidRPr="008E760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8E7604">
        <w:rPr>
          <w:rFonts w:ascii="Arial" w:eastAsia="Times New Roman" w:hAnsi="Arial" w:cs="Arial"/>
          <w:sz w:val="20"/>
          <w:szCs w:val="20"/>
          <w:lang w:eastAsia="x-none"/>
        </w:rPr>
        <w:t>ki premoženje zbira nejavno</w:t>
      </w:r>
      <w:r w:rsidRPr="008D0FE9">
        <w:rPr>
          <w:rFonts w:ascii="Arial" w:eastAsia="Calibri" w:hAnsi="Arial" w:cs="Arial"/>
          <w:sz w:val="20"/>
          <w:szCs w:val="20"/>
        </w:rPr>
        <w:t xml:space="preserve">, in </w:t>
      </w:r>
      <w:r w:rsidR="00AF786B">
        <w:rPr>
          <w:rFonts w:ascii="Arial" w:eastAsia="Calibri" w:hAnsi="Arial" w:cs="Arial"/>
          <w:sz w:val="20"/>
          <w:szCs w:val="20"/>
        </w:rPr>
        <w:t xml:space="preserve">za </w:t>
      </w:r>
      <w:r w:rsidRPr="008D0FE9">
        <w:rPr>
          <w:rFonts w:ascii="Arial" w:eastAsia="Calibri" w:hAnsi="Arial" w:cs="Arial"/>
          <w:sz w:val="20"/>
          <w:szCs w:val="20"/>
        </w:rPr>
        <w:t xml:space="preserve">upravljavca alternativnega investicijskega sklada določbe </w:t>
      </w:r>
      <w:r w:rsidR="008E7604" w:rsidRPr="008E7604">
        <w:rPr>
          <w:rFonts w:ascii="Arial" w:eastAsia="Calibri" w:hAnsi="Arial" w:cs="Arial"/>
          <w:sz w:val="20"/>
          <w:szCs w:val="20"/>
        </w:rPr>
        <w:t>Zakon</w:t>
      </w:r>
      <w:r w:rsidR="008E7604">
        <w:rPr>
          <w:rFonts w:ascii="Arial" w:eastAsia="Calibri" w:hAnsi="Arial" w:cs="Arial"/>
          <w:sz w:val="20"/>
          <w:szCs w:val="20"/>
        </w:rPr>
        <w:t>a</w:t>
      </w:r>
      <w:r w:rsidR="008E7604" w:rsidRPr="008E7604">
        <w:rPr>
          <w:rFonts w:ascii="Arial" w:eastAsia="Calibri" w:hAnsi="Arial" w:cs="Arial"/>
          <w:sz w:val="20"/>
          <w:szCs w:val="20"/>
        </w:rPr>
        <w:t xml:space="preserve"> o upravljavcih alternativnih investicijskih skladov (Uradni list RS, št. 32/15 in 77/18)</w:t>
      </w:r>
      <w:r w:rsidRPr="008D0FE9">
        <w:rPr>
          <w:rFonts w:ascii="Arial" w:eastAsia="Calibri" w:hAnsi="Arial" w:cs="Arial"/>
          <w:sz w:val="20"/>
          <w:szCs w:val="20"/>
        </w:rPr>
        <w:t>.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x-none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5.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A5424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>S predlaganim členom se določa</w:t>
      </w:r>
      <w:r w:rsidR="00A5424C">
        <w:rPr>
          <w:rFonts w:ascii="Arial" w:eastAsia="Calibri" w:hAnsi="Arial" w:cs="Arial"/>
          <w:sz w:val="20"/>
          <w:szCs w:val="20"/>
        </w:rPr>
        <w:t>jo ukrepi Agencije in ureja njihovo izrekanje. Agencija lahko zaradi kršitve Uredbe 2017/1131/EU ali te uredbe odredi ukrepe, potrebne za odpravo ugotovljene kršitve, odvzame dovoljenje, pridobljeno v skladu s 4. oziroma 5. členom Uredbe 2017/1131/EU, ali izreče globo v skladu s 6. členom te uredbe.</w:t>
      </w:r>
      <w:r w:rsidRPr="008D0FE9">
        <w:rPr>
          <w:rFonts w:ascii="Arial" w:eastAsia="Calibri" w:hAnsi="Arial" w:cs="Arial"/>
          <w:sz w:val="20"/>
          <w:szCs w:val="20"/>
        </w:rPr>
        <w:t xml:space="preserve">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6. členu: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0FE9" w:rsidRPr="008D0FE9" w:rsidRDefault="008D0FE9" w:rsidP="008D0FE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D0FE9">
        <w:rPr>
          <w:rFonts w:ascii="Arial" w:eastAsia="Calibri" w:hAnsi="Arial" w:cs="Arial"/>
          <w:sz w:val="20"/>
          <w:szCs w:val="20"/>
        </w:rPr>
        <w:t xml:space="preserve">S predlaganim členom se določajo globe za kršitve določb Uredbe </w:t>
      </w:r>
      <w:r w:rsidRPr="008D0FE9">
        <w:rPr>
          <w:rFonts w:ascii="Arial" w:eastAsia="Times New Roman" w:hAnsi="Arial" w:cs="Arial"/>
          <w:sz w:val="20"/>
          <w:szCs w:val="20"/>
          <w:lang w:eastAsia="x-none"/>
        </w:rPr>
        <w:t>2017/113</w:t>
      </w:r>
      <w:r w:rsidR="00A5424C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6E5265">
        <w:rPr>
          <w:rFonts w:ascii="Arial" w:eastAsia="Times New Roman" w:hAnsi="Arial" w:cs="Arial"/>
          <w:sz w:val="20"/>
          <w:szCs w:val="20"/>
          <w:lang w:eastAsia="x-none"/>
        </w:rPr>
        <w:t>/EU</w:t>
      </w:r>
      <w:r w:rsidRPr="008D0FE9">
        <w:rPr>
          <w:rFonts w:ascii="Arial" w:eastAsia="Calibri" w:hAnsi="Arial" w:cs="Arial"/>
          <w:sz w:val="20"/>
          <w:szCs w:val="20"/>
        </w:rPr>
        <w:t xml:space="preserve">. </w:t>
      </w:r>
      <w:r w:rsidR="00AF786B">
        <w:rPr>
          <w:rFonts w:ascii="Arial" w:eastAsia="Calibri" w:hAnsi="Arial" w:cs="Arial"/>
          <w:sz w:val="20"/>
          <w:szCs w:val="20"/>
        </w:rPr>
        <w:t>Višina g</w:t>
      </w:r>
      <w:r w:rsidRPr="008D0FE9">
        <w:rPr>
          <w:rFonts w:ascii="Arial" w:eastAsia="Calibri" w:hAnsi="Arial" w:cs="Arial"/>
          <w:sz w:val="20"/>
          <w:szCs w:val="20"/>
        </w:rPr>
        <w:t>lob</w:t>
      </w:r>
      <w:r w:rsidR="00AF786B">
        <w:rPr>
          <w:rFonts w:ascii="Arial" w:eastAsia="Calibri" w:hAnsi="Arial" w:cs="Arial"/>
          <w:sz w:val="20"/>
          <w:szCs w:val="20"/>
        </w:rPr>
        <w:t xml:space="preserve"> je</w:t>
      </w:r>
      <w:r w:rsidRPr="008D0FE9">
        <w:rPr>
          <w:rFonts w:ascii="Arial" w:eastAsia="Calibri" w:hAnsi="Arial" w:cs="Arial"/>
          <w:sz w:val="20"/>
          <w:szCs w:val="20"/>
        </w:rPr>
        <w:t xml:space="preserve"> </w:t>
      </w:r>
      <w:r w:rsidR="006E5265">
        <w:rPr>
          <w:rFonts w:ascii="Arial" w:eastAsia="Calibri" w:hAnsi="Arial" w:cs="Arial"/>
          <w:sz w:val="20"/>
          <w:szCs w:val="20"/>
        </w:rPr>
        <w:t>poenoten</w:t>
      </w:r>
      <w:r w:rsidR="00AF786B">
        <w:rPr>
          <w:rFonts w:ascii="Arial" w:eastAsia="Calibri" w:hAnsi="Arial" w:cs="Arial"/>
          <w:sz w:val="20"/>
          <w:szCs w:val="20"/>
        </w:rPr>
        <w:t>a</w:t>
      </w:r>
      <w:r w:rsidR="006E5265">
        <w:rPr>
          <w:rFonts w:ascii="Arial" w:eastAsia="Calibri" w:hAnsi="Arial" w:cs="Arial"/>
          <w:sz w:val="20"/>
          <w:szCs w:val="20"/>
        </w:rPr>
        <w:t xml:space="preserve"> z globami, ki jih določa ZISDU-3 za podobne kršitve. </w:t>
      </w: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K 7. členu:</w:t>
      </w:r>
    </w:p>
    <w:p w:rsidR="008D0FE9" w:rsidRDefault="008D0FE9" w:rsidP="008D0FE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55E07" w:rsidRDefault="0087462D" w:rsidP="00F0504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05045">
        <w:rPr>
          <w:rFonts w:ascii="Arial" w:eastAsia="Calibri" w:hAnsi="Arial" w:cs="Arial"/>
          <w:sz w:val="20"/>
          <w:szCs w:val="20"/>
        </w:rPr>
        <w:t>Glede na to, da so v 6. členu globe predpisane v razponu, se</w:t>
      </w:r>
      <w:r>
        <w:rPr>
          <w:rFonts w:ascii="Arial" w:eastAsia="Calibri" w:hAnsi="Arial" w:cs="Arial"/>
          <w:sz w:val="20"/>
          <w:szCs w:val="20"/>
        </w:rPr>
        <w:t xml:space="preserve"> s tem členom</w:t>
      </w:r>
      <w:r w:rsidRPr="00F05045">
        <w:rPr>
          <w:rFonts w:ascii="Arial" w:eastAsia="Calibri" w:hAnsi="Arial" w:cs="Arial"/>
          <w:sz w:val="20"/>
          <w:szCs w:val="20"/>
        </w:rPr>
        <w:t xml:space="preserve"> na podlagi tretjega odstavka 52. člena v zvezi s tretjim odstavkom 3. člena Zakona o prekrških (Uradni list RS, št. </w:t>
      </w:r>
      <w:hyperlink r:id="rId11" w:tgtFrame="_blank" w:tooltip="Zakon o prekrških (uradno prečiščeno besedilo)" w:history="1">
        <w:r w:rsidRPr="00E1281D">
          <w:rPr>
            <w:rFonts w:ascii="Arial" w:eastAsia="Calibri" w:hAnsi="Arial" w:cs="Arial"/>
            <w:sz w:val="20"/>
            <w:szCs w:val="20"/>
          </w:rPr>
          <w:t>29/11</w:t>
        </w:r>
      </w:hyperlink>
      <w:r w:rsidRPr="00F05045">
        <w:rPr>
          <w:rFonts w:ascii="Arial" w:eastAsia="Calibri" w:hAnsi="Arial" w:cs="Arial"/>
          <w:sz w:val="20"/>
          <w:szCs w:val="20"/>
        </w:rPr>
        <w:t> – uradno prečiščeno besedilo, </w:t>
      </w:r>
      <w:hyperlink r:id="rId12" w:tgtFrame="_blank" w:tooltip="Zakon o spremembah in dopolnitvah Zakona o prekrških" w:history="1">
        <w:r w:rsidRPr="00E1281D">
          <w:rPr>
            <w:rFonts w:ascii="Arial" w:eastAsia="Calibri" w:hAnsi="Arial" w:cs="Arial"/>
            <w:sz w:val="20"/>
            <w:szCs w:val="20"/>
          </w:rPr>
          <w:t>21/13</w:t>
        </w:r>
      </w:hyperlink>
      <w:r w:rsidRPr="00F05045">
        <w:rPr>
          <w:rFonts w:ascii="Arial" w:eastAsia="Calibri" w:hAnsi="Arial" w:cs="Arial"/>
          <w:sz w:val="20"/>
          <w:szCs w:val="20"/>
        </w:rPr>
        <w:t>, </w:t>
      </w:r>
      <w:hyperlink r:id="rId13" w:tgtFrame="_blank" w:tooltip="Zakon o spremembah in dopolnitvah Zakona o prekrških" w:history="1">
        <w:r w:rsidRPr="00E1281D">
          <w:rPr>
            <w:rFonts w:ascii="Arial" w:eastAsia="Calibri" w:hAnsi="Arial" w:cs="Arial"/>
            <w:sz w:val="20"/>
            <w:szCs w:val="20"/>
          </w:rPr>
          <w:t>111/13</w:t>
        </w:r>
      </w:hyperlink>
      <w:r w:rsidRPr="00F05045">
        <w:rPr>
          <w:rFonts w:ascii="Arial" w:eastAsia="Calibri" w:hAnsi="Arial" w:cs="Arial"/>
          <w:sz w:val="20"/>
          <w:szCs w:val="20"/>
        </w:rPr>
        <w:t>, </w:t>
      </w:r>
      <w:hyperlink r:id="rId14" w:tgtFrame="_blank" w:tooltip="Odločba o ugotovitvi, da je prvi stavek prvega odstavka 193. člena Zakona o prekrških v neskladju z Ustavo" w:history="1">
        <w:r w:rsidRPr="00E1281D">
          <w:rPr>
            <w:rFonts w:ascii="Arial" w:eastAsia="Calibri" w:hAnsi="Arial" w:cs="Arial"/>
            <w:sz w:val="20"/>
            <w:szCs w:val="20"/>
          </w:rPr>
          <w:t>74/14</w:t>
        </w:r>
      </w:hyperlink>
      <w:r w:rsidRPr="00F05045">
        <w:rPr>
          <w:rFonts w:ascii="Arial" w:eastAsia="Calibri" w:hAnsi="Arial" w:cs="Arial"/>
          <w:sz w:val="20"/>
          <w:szCs w:val="20"/>
        </w:rPr>
        <w:t xml:space="preserve"> – </w:t>
      </w:r>
      <w:proofErr w:type="spellStart"/>
      <w:r w:rsidRPr="00F05045">
        <w:rPr>
          <w:rFonts w:ascii="Arial" w:eastAsia="Calibri" w:hAnsi="Arial" w:cs="Arial"/>
          <w:sz w:val="20"/>
          <w:szCs w:val="20"/>
        </w:rPr>
        <w:t>odl</w:t>
      </w:r>
      <w:proofErr w:type="spellEnd"/>
      <w:r w:rsidRPr="00F05045">
        <w:rPr>
          <w:rFonts w:ascii="Arial" w:eastAsia="Calibri" w:hAnsi="Arial" w:cs="Arial"/>
          <w:sz w:val="20"/>
          <w:szCs w:val="20"/>
        </w:rPr>
        <w:t>.</w:t>
      </w:r>
      <w:bookmarkStart w:id="1" w:name="_GoBack"/>
      <w:bookmarkEnd w:id="1"/>
      <w:r w:rsidRPr="00F05045">
        <w:rPr>
          <w:rFonts w:ascii="Arial" w:eastAsia="Calibri" w:hAnsi="Arial" w:cs="Arial"/>
          <w:sz w:val="20"/>
          <w:szCs w:val="20"/>
        </w:rPr>
        <w:t xml:space="preserve"> US, </w:t>
      </w:r>
      <w:hyperlink r:id="rId15" w:tgtFrame="_blank" w:tooltip="Odločba o razveljavitvi prvega, drugega, tretjega in četrtega odstavka 19. člena, sedmega odstavka 19. člena, kolikor se nanaša na izvršitev uklonilnega zapora, ter 202.b člena Zakona o prekrških" w:history="1">
        <w:r w:rsidRPr="00E1281D">
          <w:rPr>
            <w:rFonts w:ascii="Arial" w:eastAsia="Calibri" w:hAnsi="Arial" w:cs="Arial"/>
            <w:sz w:val="20"/>
            <w:szCs w:val="20"/>
          </w:rPr>
          <w:t>92/14</w:t>
        </w:r>
      </w:hyperlink>
      <w:r w:rsidRPr="00F05045">
        <w:rPr>
          <w:rFonts w:ascii="Arial" w:eastAsia="Calibri" w:hAnsi="Arial" w:cs="Arial"/>
          <w:sz w:val="20"/>
          <w:szCs w:val="20"/>
        </w:rPr>
        <w:t xml:space="preserve"> – </w:t>
      </w:r>
      <w:proofErr w:type="spellStart"/>
      <w:r w:rsidRPr="00F05045">
        <w:rPr>
          <w:rFonts w:ascii="Arial" w:eastAsia="Calibri" w:hAnsi="Arial" w:cs="Arial"/>
          <w:sz w:val="20"/>
          <w:szCs w:val="20"/>
        </w:rPr>
        <w:t>odl</w:t>
      </w:r>
      <w:proofErr w:type="spellEnd"/>
      <w:r w:rsidRPr="00F05045">
        <w:rPr>
          <w:rFonts w:ascii="Arial" w:eastAsia="Calibri" w:hAnsi="Arial" w:cs="Arial"/>
          <w:sz w:val="20"/>
          <w:szCs w:val="20"/>
        </w:rPr>
        <w:t>. US, </w:t>
      </w:r>
      <w:hyperlink r:id="rId16" w:tgtFrame="_blank" w:tooltip="Zakon o spremembah in dopolnitvah Zakona o prekrških" w:history="1">
        <w:r w:rsidRPr="00E1281D">
          <w:rPr>
            <w:rFonts w:ascii="Arial" w:eastAsia="Calibri" w:hAnsi="Arial" w:cs="Arial"/>
            <w:sz w:val="20"/>
            <w:szCs w:val="20"/>
          </w:rPr>
          <w:t>32/16</w:t>
        </w:r>
      </w:hyperlink>
      <w:r w:rsidRPr="00F05045">
        <w:rPr>
          <w:rFonts w:ascii="Arial" w:eastAsia="Calibri" w:hAnsi="Arial" w:cs="Arial"/>
          <w:sz w:val="20"/>
          <w:szCs w:val="20"/>
        </w:rPr>
        <w:t> in </w:t>
      </w:r>
      <w:hyperlink r:id="rId17" w:tgtFrame="_blank" w:tooltip="Odločba o razveljavitvi tretjega odstavka 61. člena Zakona o prekrških" w:history="1">
        <w:r w:rsidRPr="00E1281D">
          <w:rPr>
            <w:rFonts w:ascii="Arial" w:eastAsia="Calibri" w:hAnsi="Arial" w:cs="Arial"/>
            <w:sz w:val="20"/>
            <w:szCs w:val="20"/>
          </w:rPr>
          <w:t>15/17</w:t>
        </w:r>
      </w:hyperlink>
      <w:r w:rsidRPr="00F05045">
        <w:rPr>
          <w:rFonts w:ascii="Arial" w:eastAsia="Calibri" w:hAnsi="Arial" w:cs="Arial"/>
          <w:sz w:val="20"/>
          <w:szCs w:val="20"/>
        </w:rPr>
        <w:t xml:space="preserve"> – </w:t>
      </w:r>
      <w:proofErr w:type="spellStart"/>
      <w:r w:rsidRPr="00F05045">
        <w:rPr>
          <w:rFonts w:ascii="Arial" w:eastAsia="Calibri" w:hAnsi="Arial" w:cs="Arial"/>
          <w:sz w:val="20"/>
          <w:szCs w:val="20"/>
        </w:rPr>
        <w:t>odl</w:t>
      </w:r>
      <w:proofErr w:type="spellEnd"/>
      <w:r w:rsidRPr="00F05045">
        <w:rPr>
          <w:rFonts w:ascii="Arial" w:eastAsia="Calibri" w:hAnsi="Arial" w:cs="Arial"/>
          <w:sz w:val="20"/>
          <w:szCs w:val="20"/>
        </w:rPr>
        <w:t>. US) določa</w:t>
      </w:r>
      <w:r>
        <w:rPr>
          <w:rFonts w:ascii="Arial" w:eastAsia="Calibri" w:hAnsi="Arial" w:cs="Arial"/>
          <w:sz w:val="20"/>
          <w:szCs w:val="20"/>
        </w:rPr>
        <w:t>, da</w:t>
      </w:r>
      <w:r w:rsidRPr="00F05045">
        <w:rPr>
          <w:rFonts w:ascii="Arial" w:eastAsia="Calibri" w:hAnsi="Arial" w:cs="Arial"/>
          <w:sz w:val="20"/>
          <w:szCs w:val="20"/>
        </w:rPr>
        <w:t xml:space="preserve"> bo v hitrem </w:t>
      </w:r>
      <w:proofErr w:type="spellStart"/>
      <w:r w:rsidRPr="00F05045">
        <w:rPr>
          <w:rFonts w:ascii="Arial" w:eastAsia="Calibri" w:hAnsi="Arial" w:cs="Arial"/>
          <w:sz w:val="20"/>
          <w:szCs w:val="20"/>
        </w:rPr>
        <w:t>prekrškovnem</w:t>
      </w:r>
      <w:proofErr w:type="spellEnd"/>
      <w:r w:rsidRPr="00F05045">
        <w:rPr>
          <w:rFonts w:ascii="Arial" w:eastAsia="Calibri" w:hAnsi="Arial" w:cs="Arial"/>
          <w:sz w:val="20"/>
          <w:szCs w:val="20"/>
        </w:rPr>
        <w:t xml:space="preserve"> postopku </w:t>
      </w:r>
      <w:r>
        <w:rPr>
          <w:rFonts w:ascii="Arial" w:eastAsia="Calibri" w:hAnsi="Arial" w:cs="Arial"/>
          <w:sz w:val="20"/>
          <w:szCs w:val="20"/>
        </w:rPr>
        <w:t>mogoč</w:t>
      </w:r>
      <w:r w:rsidRPr="00F05045">
        <w:rPr>
          <w:rFonts w:ascii="Arial" w:eastAsia="Calibri" w:hAnsi="Arial" w:cs="Arial"/>
          <w:sz w:val="20"/>
          <w:szCs w:val="20"/>
        </w:rPr>
        <w:t xml:space="preserve"> izrek globe, ki je višja od najnižje predpisane</w:t>
      </w:r>
      <w:r>
        <w:rPr>
          <w:rFonts w:ascii="Arial" w:eastAsia="Calibri" w:hAnsi="Arial" w:cs="Arial"/>
          <w:sz w:val="20"/>
          <w:szCs w:val="20"/>
        </w:rPr>
        <w:t>.</w:t>
      </w:r>
    </w:p>
    <w:p w:rsidR="00D55E07" w:rsidRDefault="00D55E07" w:rsidP="00D55E0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55E07" w:rsidRPr="008D0FE9" w:rsidRDefault="00D55E07" w:rsidP="00D55E0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K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8</w:t>
      </w:r>
      <w:r w:rsidRPr="008D0FE9">
        <w:rPr>
          <w:rFonts w:ascii="Arial" w:eastAsia="Times New Roman" w:hAnsi="Arial" w:cs="Arial"/>
          <w:b/>
          <w:sz w:val="20"/>
          <w:szCs w:val="20"/>
          <w:lang w:eastAsia="sl-SI"/>
        </w:rPr>
        <w:t>. členu:</w:t>
      </w:r>
    </w:p>
    <w:p w:rsidR="00D55E07" w:rsidRPr="008D0FE9" w:rsidRDefault="00D55E07" w:rsidP="008D0FE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D0FE9" w:rsidRPr="008D0FE9" w:rsidRDefault="008D0FE9" w:rsidP="008D0FE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Določen je splošni </w:t>
      </w:r>
      <w:r w:rsidR="006E5265" w:rsidRPr="008D0FE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E5265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-dnevi rok </w:t>
      </w:r>
      <w:r w:rsidR="00AF786B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>uveljavite</w:t>
      </w:r>
      <w:r w:rsidR="00AF786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8D0FE9">
        <w:rPr>
          <w:rFonts w:ascii="Arial" w:eastAsia="Times New Roman" w:hAnsi="Arial" w:cs="Arial"/>
          <w:sz w:val="20"/>
          <w:szCs w:val="20"/>
          <w:lang w:eastAsia="sl-SI"/>
        </w:rPr>
        <w:t xml:space="preserve"> te uredbe.</w:t>
      </w:r>
    </w:p>
    <w:p w:rsidR="008D0FE9" w:rsidRPr="008D0FE9" w:rsidRDefault="008D0FE9" w:rsidP="008D0F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lang w:eastAsia="x-none"/>
        </w:rPr>
      </w:pPr>
    </w:p>
    <w:p w:rsidR="0020258D" w:rsidRPr="004238D3" w:rsidRDefault="0020258D" w:rsidP="008D0FE9">
      <w:pPr>
        <w:tabs>
          <w:tab w:val="left" w:pos="708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20258D" w:rsidRPr="004238D3" w:rsidSect="001802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92" w:rsidRDefault="00407692" w:rsidP="00987D26">
      <w:pPr>
        <w:spacing w:after="0" w:line="240" w:lineRule="auto"/>
      </w:pPr>
      <w:r>
        <w:separator/>
      </w:r>
    </w:p>
  </w:endnote>
  <w:endnote w:type="continuationSeparator" w:id="0">
    <w:p w:rsidR="00407692" w:rsidRDefault="00407692" w:rsidP="009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F" w:rsidRDefault="00B85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94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7692" w:rsidRDefault="00407692">
            <w:pPr>
              <w:pStyle w:val="Footer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81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81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7692" w:rsidRDefault="00407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F" w:rsidRDefault="00B85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92" w:rsidRDefault="00407692" w:rsidP="00987D26">
      <w:pPr>
        <w:spacing w:after="0" w:line="240" w:lineRule="auto"/>
      </w:pPr>
      <w:r>
        <w:separator/>
      </w:r>
    </w:p>
  </w:footnote>
  <w:footnote w:type="continuationSeparator" w:id="0">
    <w:p w:rsidR="00407692" w:rsidRDefault="00407692" w:rsidP="009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F" w:rsidRDefault="00B85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F" w:rsidRDefault="00B85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2" w:rsidRDefault="00407692" w:rsidP="001802F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C84499" wp14:editId="0CFC69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68932" cy="1123950"/>
          <wp:effectExtent l="0" t="0" r="8255" b="0"/>
          <wp:wrapSquare wrapText="bothSides"/>
          <wp:docPr id="1" name="Picture 1" descr="Description: 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370" cy="113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</w:p>
  <w:p w:rsidR="00407692" w:rsidRPr="008668A8" w:rsidRDefault="00407692" w:rsidP="001802F0">
    <w:pPr>
      <w:pStyle w:val="Header"/>
      <w:tabs>
        <w:tab w:val="left" w:pos="5112"/>
      </w:tabs>
      <w:rPr>
        <w:sz w:val="16"/>
        <w:szCs w:val="16"/>
      </w:rPr>
    </w:pPr>
    <w:r w:rsidRPr="008668A8">
      <w:rPr>
        <w:sz w:val="16"/>
        <w:szCs w:val="16"/>
      </w:rPr>
      <w:t>Župančičeva 3, p. p. 644 a, 1001 Ljubljana</w:t>
    </w:r>
  </w:p>
  <w:p w:rsidR="00407692" w:rsidRPr="008668A8" w:rsidRDefault="00407692" w:rsidP="001802F0">
    <w:pPr>
      <w:pStyle w:val="Header"/>
      <w:tabs>
        <w:tab w:val="left" w:pos="5112"/>
      </w:tabs>
      <w:rPr>
        <w:sz w:val="16"/>
        <w:szCs w:val="16"/>
      </w:rPr>
    </w:pPr>
    <w:r w:rsidRPr="008668A8">
      <w:rPr>
        <w:sz w:val="16"/>
        <w:szCs w:val="16"/>
      </w:rPr>
      <w:tab/>
    </w:r>
    <w:r w:rsidRPr="008668A8">
      <w:rPr>
        <w:sz w:val="16"/>
        <w:szCs w:val="16"/>
      </w:rPr>
      <w:tab/>
      <w:t>T: 01 369 6600</w:t>
    </w:r>
  </w:p>
  <w:p w:rsidR="00407692" w:rsidRPr="008668A8" w:rsidRDefault="00407692" w:rsidP="001802F0">
    <w:pPr>
      <w:pStyle w:val="Header"/>
      <w:tabs>
        <w:tab w:val="left" w:pos="5112"/>
      </w:tabs>
      <w:rPr>
        <w:sz w:val="16"/>
        <w:szCs w:val="16"/>
      </w:rPr>
    </w:pPr>
    <w:r w:rsidRPr="008668A8">
      <w:rPr>
        <w:sz w:val="16"/>
        <w:szCs w:val="16"/>
      </w:rPr>
      <w:tab/>
    </w:r>
    <w:r w:rsidRPr="008668A8">
      <w:rPr>
        <w:sz w:val="16"/>
        <w:szCs w:val="16"/>
      </w:rPr>
      <w:tab/>
      <w:t>E: gp.mf@gov.si</w:t>
    </w:r>
  </w:p>
  <w:p w:rsidR="00407692" w:rsidRDefault="00407692" w:rsidP="001802F0">
    <w:pPr>
      <w:pStyle w:val="Header"/>
      <w:tabs>
        <w:tab w:val="left" w:pos="5112"/>
      </w:tabs>
      <w:rPr>
        <w:sz w:val="16"/>
        <w:szCs w:val="16"/>
      </w:rPr>
    </w:pPr>
    <w:r w:rsidRPr="008668A8">
      <w:rPr>
        <w:sz w:val="16"/>
        <w:szCs w:val="16"/>
      </w:rPr>
      <w:tab/>
    </w:r>
    <w:r w:rsidRPr="008668A8">
      <w:rPr>
        <w:sz w:val="16"/>
        <w:szCs w:val="16"/>
      </w:rPr>
      <w:tab/>
    </w:r>
    <w:proofErr w:type="spellStart"/>
    <w:r w:rsidRPr="003819AB">
      <w:rPr>
        <w:sz w:val="16"/>
        <w:szCs w:val="16"/>
      </w:rPr>
      <w:t>www.mf.gov.si</w:t>
    </w:r>
    <w:proofErr w:type="spellEnd"/>
  </w:p>
  <w:p w:rsidR="00407692" w:rsidRPr="003819AB" w:rsidRDefault="00407692" w:rsidP="001802F0">
    <w:pPr>
      <w:pStyle w:val="Header"/>
      <w:tabs>
        <w:tab w:val="left" w:pos="511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290"/>
    <w:multiLevelType w:val="hybridMultilevel"/>
    <w:tmpl w:val="AB820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B51"/>
    <w:multiLevelType w:val="hybridMultilevel"/>
    <w:tmpl w:val="9DC409D0"/>
    <w:lvl w:ilvl="0" w:tplc="BC7452E4">
      <w:numFmt w:val="bullet"/>
      <w:lvlText w:val="-"/>
      <w:lvlJc w:val="center"/>
      <w:pPr>
        <w:ind w:left="73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pStyle w:val="Alineazaodstavkom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279"/>
    <w:multiLevelType w:val="hybridMultilevel"/>
    <w:tmpl w:val="3508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457A"/>
    <w:multiLevelType w:val="hybridMultilevel"/>
    <w:tmpl w:val="41D86D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F61694"/>
    <w:multiLevelType w:val="hybridMultilevel"/>
    <w:tmpl w:val="3F668F94"/>
    <w:lvl w:ilvl="0" w:tplc="8256B362">
      <w:start w:val="1"/>
      <w:numFmt w:val="decimal"/>
      <w:lvlText w:val="(%1)"/>
      <w:lvlJc w:val="left"/>
      <w:pPr>
        <w:ind w:left="2341" w:hanging="13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>
    <w:nsid w:val="279403E0"/>
    <w:multiLevelType w:val="hybridMultilevel"/>
    <w:tmpl w:val="B090F2A0"/>
    <w:lvl w:ilvl="0" w:tplc="CB88BF0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6151"/>
    <w:multiLevelType w:val="hybridMultilevel"/>
    <w:tmpl w:val="02D2ABEA"/>
    <w:lvl w:ilvl="0" w:tplc="8832642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B69A5"/>
    <w:multiLevelType w:val="hybridMultilevel"/>
    <w:tmpl w:val="3C4221A6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A42FF"/>
    <w:multiLevelType w:val="hybridMultilevel"/>
    <w:tmpl w:val="E74A7DB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B047E"/>
    <w:multiLevelType w:val="hybridMultilevel"/>
    <w:tmpl w:val="E9BA34C4"/>
    <w:lvl w:ilvl="0" w:tplc="BC7452E4">
      <w:numFmt w:val="bullet"/>
      <w:lvlText w:val="-"/>
      <w:lvlJc w:val="center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67592"/>
    <w:multiLevelType w:val="hybridMultilevel"/>
    <w:tmpl w:val="82F8E998"/>
    <w:lvl w:ilvl="0" w:tplc="BC7452E4">
      <w:numFmt w:val="bullet"/>
      <w:lvlText w:val="-"/>
      <w:lvlJc w:val="center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E43BD4"/>
    <w:multiLevelType w:val="hybridMultilevel"/>
    <w:tmpl w:val="384E5FA8"/>
    <w:lvl w:ilvl="0" w:tplc="2DCAF6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pStyle w:val="Oddelek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36A91"/>
    <w:multiLevelType w:val="hybridMultilevel"/>
    <w:tmpl w:val="E2E04DAA"/>
    <w:lvl w:ilvl="0" w:tplc="888A8B14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>
    <w:nsid w:val="5F657442"/>
    <w:multiLevelType w:val="hybridMultilevel"/>
    <w:tmpl w:val="ADF640CA"/>
    <w:lvl w:ilvl="0" w:tplc="CB88BF04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0D9"/>
    <w:multiLevelType w:val="hybridMultilevel"/>
    <w:tmpl w:val="5308F050"/>
    <w:lvl w:ilvl="0" w:tplc="76AC1A70">
      <w:start w:val="49"/>
      <w:numFmt w:val="bullet"/>
      <w:pStyle w:val="rkovnatok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97A45"/>
    <w:multiLevelType w:val="hybridMultilevel"/>
    <w:tmpl w:val="E046768C"/>
    <w:lvl w:ilvl="0" w:tplc="BC7452E4">
      <w:numFmt w:val="bullet"/>
      <w:lvlText w:val="-"/>
      <w:lvlJc w:val="center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90DA8"/>
    <w:multiLevelType w:val="hybridMultilevel"/>
    <w:tmpl w:val="13A622EE"/>
    <w:lvl w:ilvl="0" w:tplc="76AC1A70">
      <w:start w:val="49"/>
      <w:numFmt w:val="bullet"/>
      <w:pStyle w:val="tevilnatoka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3"/>
  </w:num>
  <w:num w:numId="19">
    <w:abstractNumId w:val="19"/>
  </w:num>
  <w:num w:numId="20">
    <w:abstractNumId w:val="6"/>
  </w:num>
  <w:num w:numId="21">
    <w:abstractNumId w:val="1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26"/>
    <w:rsid w:val="00004A4B"/>
    <w:rsid w:val="0004484C"/>
    <w:rsid w:val="00062938"/>
    <w:rsid w:val="00065B39"/>
    <w:rsid w:val="00085D58"/>
    <w:rsid w:val="000A3631"/>
    <w:rsid w:val="000B2850"/>
    <w:rsid w:val="000B392B"/>
    <w:rsid w:val="000C324C"/>
    <w:rsid w:val="000C365B"/>
    <w:rsid w:val="000E3A1F"/>
    <w:rsid w:val="000E477B"/>
    <w:rsid w:val="000E648D"/>
    <w:rsid w:val="000F1B29"/>
    <w:rsid w:val="000F57A2"/>
    <w:rsid w:val="00101098"/>
    <w:rsid w:val="001113C5"/>
    <w:rsid w:val="00112C7D"/>
    <w:rsid w:val="00113F23"/>
    <w:rsid w:val="00114080"/>
    <w:rsid w:val="00136561"/>
    <w:rsid w:val="00143758"/>
    <w:rsid w:val="00152EA8"/>
    <w:rsid w:val="001712F1"/>
    <w:rsid w:val="001802F0"/>
    <w:rsid w:val="00182538"/>
    <w:rsid w:val="0018599C"/>
    <w:rsid w:val="00187DF7"/>
    <w:rsid w:val="00187F5A"/>
    <w:rsid w:val="00190949"/>
    <w:rsid w:val="001950CB"/>
    <w:rsid w:val="001A1ED4"/>
    <w:rsid w:val="001B7E95"/>
    <w:rsid w:val="001C3736"/>
    <w:rsid w:val="001F205D"/>
    <w:rsid w:val="0020258D"/>
    <w:rsid w:val="0020347F"/>
    <w:rsid w:val="00234682"/>
    <w:rsid w:val="00235DAA"/>
    <w:rsid w:val="00257844"/>
    <w:rsid w:val="00264E59"/>
    <w:rsid w:val="00285AD6"/>
    <w:rsid w:val="002A7FE7"/>
    <w:rsid w:val="002B1E08"/>
    <w:rsid w:val="002B3248"/>
    <w:rsid w:val="002B5D41"/>
    <w:rsid w:val="002E795C"/>
    <w:rsid w:val="002F1F37"/>
    <w:rsid w:val="003046A8"/>
    <w:rsid w:val="00305E2B"/>
    <w:rsid w:val="003145CD"/>
    <w:rsid w:val="00325876"/>
    <w:rsid w:val="0033678D"/>
    <w:rsid w:val="00340A0A"/>
    <w:rsid w:val="00355F90"/>
    <w:rsid w:val="003613F0"/>
    <w:rsid w:val="00384263"/>
    <w:rsid w:val="00392082"/>
    <w:rsid w:val="0039296F"/>
    <w:rsid w:val="003C0200"/>
    <w:rsid w:val="003C668F"/>
    <w:rsid w:val="003E3D91"/>
    <w:rsid w:val="003E51B1"/>
    <w:rsid w:val="004041FE"/>
    <w:rsid w:val="00405B48"/>
    <w:rsid w:val="0040603B"/>
    <w:rsid w:val="00407692"/>
    <w:rsid w:val="00416AAF"/>
    <w:rsid w:val="004238D3"/>
    <w:rsid w:val="00447853"/>
    <w:rsid w:val="00450FB5"/>
    <w:rsid w:val="0046018C"/>
    <w:rsid w:val="004614AA"/>
    <w:rsid w:val="00484E54"/>
    <w:rsid w:val="0048652A"/>
    <w:rsid w:val="004870E4"/>
    <w:rsid w:val="0049603C"/>
    <w:rsid w:val="004A052E"/>
    <w:rsid w:val="004A3DA3"/>
    <w:rsid w:val="004A4AF1"/>
    <w:rsid w:val="004C2BEB"/>
    <w:rsid w:val="004C311A"/>
    <w:rsid w:val="004D15FF"/>
    <w:rsid w:val="004D42EB"/>
    <w:rsid w:val="004E654E"/>
    <w:rsid w:val="004F56F1"/>
    <w:rsid w:val="00500A32"/>
    <w:rsid w:val="00507960"/>
    <w:rsid w:val="005153F5"/>
    <w:rsid w:val="00523399"/>
    <w:rsid w:val="00530857"/>
    <w:rsid w:val="00536F45"/>
    <w:rsid w:val="00546A16"/>
    <w:rsid w:val="00566A87"/>
    <w:rsid w:val="0059425E"/>
    <w:rsid w:val="00594A18"/>
    <w:rsid w:val="005A4881"/>
    <w:rsid w:val="005B45C0"/>
    <w:rsid w:val="005C1071"/>
    <w:rsid w:val="005E4F5D"/>
    <w:rsid w:val="005F1C4F"/>
    <w:rsid w:val="00602EAE"/>
    <w:rsid w:val="00610163"/>
    <w:rsid w:val="00616281"/>
    <w:rsid w:val="0062365E"/>
    <w:rsid w:val="00624716"/>
    <w:rsid w:val="00650A72"/>
    <w:rsid w:val="0066174E"/>
    <w:rsid w:val="006772C3"/>
    <w:rsid w:val="00690FDA"/>
    <w:rsid w:val="006A2569"/>
    <w:rsid w:val="006B624E"/>
    <w:rsid w:val="006D5D68"/>
    <w:rsid w:val="006D660C"/>
    <w:rsid w:val="006D7DCC"/>
    <w:rsid w:val="006E4302"/>
    <w:rsid w:val="006E5265"/>
    <w:rsid w:val="006E664A"/>
    <w:rsid w:val="006E7FE5"/>
    <w:rsid w:val="00715D30"/>
    <w:rsid w:val="00730155"/>
    <w:rsid w:val="00733021"/>
    <w:rsid w:val="007406E8"/>
    <w:rsid w:val="007442FB"/>
    <w:rsid w:val="00786309"/>
    <w:rsid w:val="00793B61"/>
    <w:rsid w:val="0079467D"/>
    <w:rsid w:val="007A72E2"/>
    <w:rsid w:val="007B2EFD"/>
    <w:rsid w:val="007D524B"/>
    <w:rsid w:val="007E58D8"/>
    <w:rsid w:val="00806C6E"/>
    <w:rsid w:val="008076F8"/>
    <w:rsid w:val="0081047C"/>
    <w:rsid w:val="0081639F"/>
    <w:rsid w:val="008235CB"/>
    <w:rsid w:val="00836A9C"/>
    <w:rsid w:val="008516AE"/>
    <w:rsid w:val="0085298F"/>
    <w:rsid w:val="00854536"/>
    <w:rsid w:val="0087462D"/>
    <w:rsid w:val="008810F1"/>
    <w:rsid w:val="0089200B"/>
    <w:rsid w:val="00893CBE"/>
    <w:rsid w:val="008949FE"/>
    <w:rsid w:val="00895D15"/>
    <w:rsid w:val="008C5C4E"/>
    <w:rsid w:val="008D0FE9"/>
    <w:rsid w:val="008E7604"/>
    <w:rsid w:val="008F3561"/>
    <w:rsid w:val="008F473C"/>
    <w:rsid w:val="0090185C"/>
    <w:rsid w:val="009076BF"/>
    <w:rsid w:val="00907E64"/>
    <w:rsid w:val="0095652B"/>
    <w:rsid w:val="009567FF"/>
    <w:rsid w:val="00963956"/>
    <w:rsid w:val="00965D96"/>
    <w:rsid w:val="00987D26"/>
    <w:rsid w:val="009A7CD0"/>
    <w:rsid w:val="009B2356"/>
    <w:rsid w:val="009B4EC0"/>
    <w:rsid w:val="009C5127"/>
    <w:rsid w:val="009E320A"/>
    <w:rsid w:val="009F5428"/>
    <w:rsid w:val="009F716E"/>
    <w:rsid w:val="00A06072"/>
    <w:rsid w:val="00A075CD"/>
    <w:rsid w:val="00A16730"/>
    <w:rsid w:val="00A2100A"/>
    <w:rsid w:val="00A275A8"/>
    <w:rsid w:val="00A44A94"/>
    <w:rsid w:val="00A4547B"/>
    <w:rsid w:val="00A47E62"/>
    <w:rsid w:val="00A50E64"/>
    <w:rsid w:val="00A5424C"/>
    <w:rsid w:val="00A65BC6"/>
    <w:rsid w:val="00A72F99"/>
    <w:rsid w:val="00A8062A"/>
    <w:rsid w:val="00A8205C"/>
    <w:rsid w:val="00A86E56"/>
    <w:rsid w:val="00A93AEF"/>
    <w:rsid w:val="00AA07F7"/>
    <w:rsid w:val="00AA7343"/>
    <w:rsid w:val="00AB579B"/>
    <w:rsid w:val="00AC115C"/>
    <w:rsid w:val="00AC26F7"/>
    <w:rsid w:val="00AC54DA"/>
    <w:rsid w:val="00AD5557"/>
    <w:rsid w:val="00AE409A"/>
    <w:rsid w:val="00AE7F27"/>
    <w:rsid w:val="00AF786B"/>
    <w:rsid w:val="00B23F68"/>
    <w:rsid w:val="00B25EDE"/>
    <w:rsid w:val="00B34A9A"/>
    <w:rsid w:val="00B40BD8"/>
    <w:rsid w:val="00B44FC6"/>
    <w:rsid w:val="00B46643"/>
    <w:rsid w:val="00B534C7"/>
    <w:rsid w:val="00B612B6"/>
    <w:rsid w:val="00B64A3C"/>
    <w:rsid w:val="00B8312C"/>
    <w:rsid w:val="00B85D3F"/>
    <w:rsid w:val="00B919CC"/>
    <w:rsid w:val="00B9423E"/>
    <w:rsid w:val="00B95383"/>
    <w:rsid w:val="00BC1AAD"/>
    <w:rsid w:val="00BC329B"/>
    <w:rsid w:val="00BD4EE5"/>
    <w:rsid w:val="00BF0654"/>
    <w:rsid w:val="00BF7009"/>
    <w:rsid w:val="00C12C9F"/>
    <w:rsid w:val="00C16939"/>
    <w:rsid w:val="00C4074D"/>
    <w:rsid w:val="00C41C9B"/>
    <w:rsid w:val="00C429D2"/>
    <w:rsid w:val="00C430B7"/>
    <w:rsid w:val="00C47233"/>
    <w:rsid w:val="00C50FF4"/>
    <w:rsid w:val="00C66499"/>
    <w:rsid w:val="00C7282D"/>
    <w:rsid w:val="00C869B7"/>
    <w:rsid w:val="00C92D14"/>
    <w:rsid w:val="00CC2A0A"/>
    <w:rsid w:val="00CC6FD9"/>
    <w:rsid w:val="00CD39F3"/>
    <w:rsid w:val="00CE0656"/>
    <w:rsid w:val="00D01F78"/>
    <w:rsid w:val="00D04981"/>
    <w:rsid w:val="00D07E5F"/>
    <w:rsid w:val="00D3425E"/>
    <w:rsid w:val="00D55E07"/>
    <w:rsid w:val="00D7232C"/>
    <w:rsid w:val="00D74B45"/>
    <w:rsid w:val="00D87F70"/>
    <w:rsid w:val="00D920D3"/>
    <w:rsid w:val="00DA3075"/>
    <w:rsid w:val="00DA7909"/>
    <w:rsid w:val="00DB024E"/>
    <w:rsid w:val="00DD6FD0"/>
    <w:rsid w:val="00E1281D"/>
    <w:rsid w:val="00E1479A"/>
    <w:rsid w:val="00E17B43"/>
    <w:rsid w:val="00E37F1F"/>
    <w:rsid w:val="00E71EDC"/>
    <w:rsid w:val="00EB166D"/>
    <w:rsid w:val="00EB74A6"/>
    <w:rsid w:val="00EC018F"/>
    <w:rsid w:val="00EF4B5A"/>
    <w:rsid w:val="00F05045"/>
    <w:rsid w:val="00F21327"/>
    <w:rsid w:val="00F41D38"/>
    <w:rsid w:val="00F45EED"/>
    <w:rsid w:val="00F55488"/>
    <w:rsid w:val="00F72C39"/>
    <w:rsid w:val="00F77F0A"/>
    <w:rsid w:val="00F86D5F"/>
    <w:rsid w:val="00FA292A"/>
    <w:rsid w:val="00FA7328"/>
    <w:rsid w:val="00FC3545"/>
    <w:rsid w:val="00FC5DC6"/>
    <w:rsid w:val="00FC7758"/>
    <w:rsid w:val="00FE1B60"/>
    <w:rsid w:val="00FE39F5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7D26"/>
  </w:style>
  <w:style w:type="paragraph" w:styleId="Footer">
    <w:name w:val="footer"/>
    <w:basedOn w:val="Normal"/>
    <w:link w:val="FooterChar"/>
    <w:uiPriority w:val="99"/>
    <w:unhideWhenUsed/>
    <w:rsid w:val="009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26"/>
  </w:style>
  <w:style w:type="paragraph" w:styleId="ListParagraph">
    <w:name w:val="List Paragraph"/>
    <w:basedOn w:val="Normal"/>
    <w:link w:val="ListParagraphChar"/>
    <w:uiPriority w:val="34"/>
    <w:qFormat/>
    <w:rsid w:val="00987D26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87D26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98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87D26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7D26"/>
    <w:rPr>
      <w:rFonts w:ascii="Arial" w:eastAsia="Times New Roman" w:hAnsi="Arial" w:cs="Times New Roman"/>
      <w:sz w:val="20"/>
      <w:szCs w:val="24"/>
      <w:lang w:val="en-US"/>
    </w:rPr>
  </w:style>
  <w:style w:type="paragraph" w:styleId="FootnoteText">
    <w:name w:val="footnote text"/>
    <w:aliases w:val="Footnote,Fußnote,Footnote Text Char Char,FSR footnote,lábléc"/>
    <w:basedOn w:val="Normal"/>
    <w:link w:val="FootnoteTextChar1"/>
    <w:uiPriority w:val="99"/>
    <w:rsid w:val="00987D2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uiPriority w:val="99"/>
    <w:semiHidden/>
    <w:rsid w:val="00987D26"/>
    <w:rPr>
      <w:sz w:val="20"/>
      <w:szCs w:val="20"/>
    </w:rPr>
  </w:style>
  <w:style w:type="character" w:customStyle="1" w:styleId="FootnoteTextChar1">
    <w:name w:val="Footnote Text Char1"/>
    <w:aliases w:val="Footnote Char,Fußnote Char,Footnote Text Char Char Char,FSR footnote Char,lábléc Char"/>
    <w:link w:val="FootnoteText"/>
    <w:uiPriority w:val="99"/>
    <w:rsid w:val="00987D26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Oddelek">
    <w:name w:val="Oddelek"/>
    <w:basedOn w:val="Normal"/>
    <w:qFormat/>
    <w:rsid w:val="00987D26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ormal"/>
    <w:qFormat/>
    <w:rsid w:val="00987D26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"/>
    <w:uiPriority w:val="99"/>
    <w:rsid w:val="00987D26"/>
    <w:rPr>
      <w:vertAlign w:val="superscript"/>
    </w:rPr>
  </w:style>
  <w:style w:type="paragraph" w:customStyle="1" w:styleId="rkovnatokazaodstavkom">
    <w:name w:val="Črkovna točka_za odstavkom"/>
    <w:basedOn w:val="Normal"/>
    <w:qFormat/>
    <w:rsid w:val="00987D26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lang w:val="x-none" w:eastAsia="x-none"/>
    </w:rPr>
  </w:style>
  <w:style w:type="paragraph" w:customStyle="1" w:styleId="tevilnatoka">
    <w:name w:val="Številčna točka"/>
    <w:basedOn w:val="Normal"/>
    <w:link w:val="tevilnatokaZnak"/>
    <w:qFormat/>
    <w:rsid w:val="00987D26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odstavek1">
    <w:name w:val="odstavek1"/>
    <w:basedOn w:val="Normal"/>
    <w:rsid w:val="00987D2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ormal"/>
    <w:rsid w:val="00987D26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ormal"/>
    <w:rsid w:val="00987D26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ormal"/>
    <w:rsid w:val="00987D26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DF7"/>
    <w:pPr>
      <w:spacing w:after="240" w:line="240" w:lineRule="auto"/>
    </w:pPr>
    <w:rPr>
      <w:rFonts w:ascii="Times New Roman" w:eastAsia="Times New Roman" w:hAnsi="Times New Roman" w:cs="Times New Roman"/>
      <w:color w:val="545454"/>
      <w:sz w:val="29"/>
      <w:szCs w:val="29"/>
      <w:lang w:eastAsia="sl-SI"/>
    </w:rPr>
  </w:style>
  <w:style w:type="paragraph" w:customStyle="1" w:styleId="Vrstapredpisa">
    <w:name w:val="Vrsta predpisa"/>
    <w:basedOn w:val="Normal"/>
    <w:link w:val="VrstapredpisaZnak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ormal"/>
    <w:link w:val="NaslovpredpisaZnak"/>
    <w:qFormat/>
    <w:rsid w:val="001F205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1F205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Poglavje">
    <w:name w:val="Poglavje"/>
    <w:basedOn w:val="Normal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1F205D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ormal"/>
    <w:link w:val="lenZnak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paragraph" w:customStyle="1" w:styleId="tevilnatoka111">
    <w:name w:val="Številčna točka 1.1.1"/>
    <w:basedOn w:val="Normal"/>
    <w:qFormat/>
    <w:rsid w:val="001F205D"/>
    <w:pPr>
      <w:widowControl w:val="0"/>
      <w:tabs>
        <w:tab w:val="num" w:pos="454"/>
      </w:tabs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1F205D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ormal"/>
    <w:link w:val="OdstavekZnak"/>
    <w:qFormat/>
    <w:rsid w:val="001F205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1F205D"/>
    <w:pPr>
      <w:spacing w:before="480"/>
    </w:pPr>
  </w:style>
  <w:style w:type="character" w:customStyle="1" w:styleId="OdstavekZnak">
    <w:name w:val="Odstavek Znak"/>
    <w:link w:val="Odstavek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Nazivpodpisnika">
    <w:name w:val="Naziv podpisnika"/>
    <w:basedOn w:val="Normal"/>
    <w:link w:val="NazivpodpisnikaZnak"/>
    <w:rsid w:val="001F205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azivpodpisnikaZnak">
    <w:name w:val="Naziv podpisnika Znak"/>
    <w:link w:val="Nazivpodpisnika"/>
    <w:rsid w:val="001F205D"/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basedOn w:val="OdstavekZnak"/>
    <w:link w:val="tevilnatok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F205D"/>
    <w:pPr>
      <w:spacing w:before="480"/>
    </w:pPr>
  </w:style>
  <w:style w:type="paragraph" w:customStyle="1" w:styleId="Datumsprejetja">
    <w:name w:val="Datum sprejetja"/>
    <w:basedOn w:val="Normal"/>
    <w:link w:val="DatumsprejetjaZnak"/>
    <w:qFormat/>
    <w:rsid w:val="001F2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1F205D"/>
    <w:rPr>
      <w:rFonts w:ascii="Arial" w:eastAsia="Times New Roman" w:hAnsi="Arial" w:cs="Times New Roman"/>
      <w:snapToGrid w:val="0"/>
      <w:color w:val="000000"/>
      <w:lang w:val="x-none" w:eastAsia="x-none"/>
    </w:rPr>
  </w:style>
  <w:style w:type="paragraph" w:customStyle="1" w:styleId="Podpisnik">
    <w:name w:val="Podpisnik"/>
    <w:basedOn w:val="Normal"/>
    <w:link w:val="PodpisnikZnak"/>
    <w:qFormat/>
    <w:rsid w:val="001F205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sl-SI"/>
    </w:rPr>
  </w:style>
  <w:style w:type="character" w:customStyle="1" w:styleId="DatumsprejetjaZnak">
    <w:name w:val="Datum sprejetja Znak"/>
    <w:link w:val="Datumsprejetja"/>
    <w:rsid w:val="001F205D"/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PodpisnikZnak">
    <w:name w:val="Podpisnik Znak"/>
    <w:basedOn w:val="NazivpodpisnikaZnak"/>
    <w:link w:val="Podpisnik"/>
    <w:rsid w:val="001F205D"/>
    <w:rPr>
      <w:rFonts w:ascii="Arial" w:eastAsia="Times New Roman" w:hAnsi="Arial" w:cs="Arial"/>
      <w:lang w:val="x-none" w:eastAsia="sl-SI"/>
    </w:rPr>
  </w:style>
  <w:style w:type="paragraph" w:customStyle="1" w:styleId="lennaslov">
    <w:name w:val="Člen_naslov"/>
    <w:basedOn w:val="len"/>
    <w:qFormat/>
    <w:rsid w:val="001F205D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EVA">
    <w:name w:val="EVA"/>
    <w:basedOn w:val="Normal"/>
    <w:link w:val="EVAZnak"/>
    <w:qFormat/>
    <w:rsid w:val="001F2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EVAZnak">
    <w:name w:val="EVA Znak"/>
    <w:link w:val="EV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Imeorgana">
    <w:name w:val="Ime organa"/>
    <w:basedOn w:val="Normal"/>
    <w:link w:val="ImeorganaZnak"/>
    <w:qFormat/>
    <w:rsid w:val="001F205D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ImeorganaZnak">
    <w:name w:val="Ime organa Znak"/>
    <w:link w:val="Imeorgan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tevilnatoka11Nova">
    <w:name w:val="Številčna točka 1.1 Nova"/>
    <w:basedOn w:val="tevilnatoka"/>
    <w:qFormat/>
    <w:rsid w:val="001F205D"/>
    <w:pPr>
      <w:numPr>
        <w:numId w:val="0"/>
      </w:numPr>
      <w:tabs>
        <w:tab w:val="clear" w:pos="540"/>
        <w:tab w:val="clear" w:pos="900"/>
        <w:tab w:val="num" w:pos="425"/>
      </w:tabs>
      <w:ind w:left="425" w:hanging="425"/>
    </w:pPr>
    <w:rPr>
      <w:lang w:val="sl-SI"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"/>
    <w:rsid w:val="00D55E07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4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7D26"/>
  </w:style>
  <w:style w:type="paragraph" w:styleId="Footer">
    <w:name w:val="footer"/>
    <w:basedOn w:val="Normal"/>
    <w:link w:val="FooterChar"/>
    <w:uiPriority w:val="99"/>
    <w:unhideWhenUsed/>
    <w:rsid w:val="009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26"/>
  </w:style>
  <w:style w:type="paragraph" w:styleId="ListParagraph">
    <w:name w:val="List Paragraph"/>
    <w:basedOn w:val="Normal"/>
    <w:link w:val="ListParagraphChar"/>
    <w:uiPriority w:val="34"/>
    <w:qFormat/>
    <w:rsid w:val="00987D26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87D26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98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87D26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7D26"/>
    <w:rPr>
      <w:rFonts w:ascii="Arial" w:eastAsia="Times New Roman" w:hAnsi="Arial" w:cs="Times New Roman"/>
      <w:sz w:val="20"/>
      <w:szCs w:val="24"/>
      <w:lang w:val="en-US"/>
    </w:rPr>
  </w:style>
  <w:style w:type="paragraph" w:styleId="FootnoteText">
    <w:name w:val="footnote text"/>
    <w:aliases w:val="Footnote,Fußnote,Footnote Text Char Char,FSR footnote,lábléc"/>
    <w:basedOn w:val="Normal"/>
    <w:link w:val="FootnoteTextChar1"/>
    <w:uiPriority w:val="99"/>
    <w:rsid w:val="00987D2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uiPriority w:val="99"/>
    <w:semiHidden/>
    <w:rsid w:val="00987D26"/>
    <w:rPr>
      <w:sz w:val="20"/>
      <w:szCs w:val="20"/>
    </w:rPr>
  </w:style>
  <w:style w:type="character" w:customStyle="1" w:styleId="FootnoteTextChar1">
    <w:name w:val="Footnote Text Char1"/>
    <w:aliases w:val="Footnote Char,Fußnote Char,Footnote Text Char Char Char,FSR footnote Char,lábléc Char"/>
    <w:link w:val="FootnoteText"/>
    <w:uiPriority w:val="99"/>
    <w:rsid w:val="00987D26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Oddelek">
    <w:name w:val="Oddelek"/>
    <w:basedOn w:val="Normal"/>
    <w:qFormat/>
    <w:rsid w:val="00987D26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ormal"/>
    <w:qFormat/>
    <w:rsid w:val="00987D26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"/>
    <w:uiPriority w:val="99"/>
    <w:rsid w:val="00987D26"/>
    <w:rPr>
      <w:vertAlign w:val="superscript"/>
    </w:rPr>
  </w:style>
  <w:style w:type="paragraph" w:customStyle="1" w:styleId="rkovnatokazaodstavkom">
    <w:name w:val="Črkovna točka_za odstavkom"/>
    <w:basedOn w:val="Normal"/>
    <w:qFormat/>
    <w:rsid w:val="00987D26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lang w:val="x-none" w:eastAsia="x-none"/>
    </w:rPr>
  </w:style>
  <w:style w:type="paragraph" w:customStyle="1" w:styleId="tevilnatoka">
    <w:name w:val="Številčna točka"/>
    <w:basedOn w:val="Normal"/>
    <w:link w:val="tevilnatokaZnak"/>
    <w:qFormat/>
    <w:rsid w:val="00987D26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odstavek1">
    <w:name w:val="odstavek1"/>
    <w:basedOn w:val="Normal"/>
    <w:rsid w:val="00987D2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ormal"/>
    <w:rsid w:val="00987D26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1">
    <w:name w:val="len1"/>
    <w:basedOn w:val="Normal"/>
    <w:rsid w:val="00987D26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ormal"/>
    <w:rsid w:val="00987D26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DF7"/>
    <w:pPr>
      <w:spacing w:after="240" w:line="240" w:lineRule="auto"/>
    </w:pPr>
    <w:rPr>
      <w:rFonts w:ascii="Times New Roman" w:eastAsia="Times New Roman" w:hAnsi="Times New Roman" w:cs="Times New Roman"/>
      <w:color w:val="545454"/>
      <w:sz w:val="29"/>
      <w:szCs w:val="29"/>
      <w:lang w:eastAsia="sl-SI"/>
    </w:rPr>
  </w:style>
  <w:style w:type="paragraph" w:customStyle="1" w:styleId="Vrstapredpisa">
    <w:name w:val="Vrsta predpisa"/>
    <w:basedOn w:val="Normal"/>
    <w:link w:val="VrstapredpisaZnak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ormal"/>
    <w:link w:val="NaslovpredpisaZnak"/>
    <w:qFormat/>
    <w:rsid w:val="001F205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1F205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Poglavje">
    <w:name w:val="Poglavje"/>
    <w:basedOn w:val="Normal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1F205D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ormal"/>
    <w:link w:val="lenZnak"/>
    <w:qFormat/>
    <w:rsid w:val="001F205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paragraph" w:customStyle="1" w:styleId="tevilnatoka111">
    <w:name w:val="Številčna točka 1.1.1"/>
    <w:basedOn w:val="Normal"/>
    <w:qFormat/>
    <w:rsid w:val="001F205D"/>
    <w:pPr>
      <w:widowControl w:val="0"/>
      <w:tabs>
        <w:tab w:val="num" w:pos="454"/>
      </w:tabs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1F205D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ormal"/>
    <w:link w:val="OdstavekZnak"/>
    <w:qFormat/>
    <w:rsid w:val="001F205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1F205D"/>
    <w:pPr>
      <w:spacing w:before="480"/>
    </w:pPr>
  </w:style>
  <w:style w:type="character" w:customStyle="1" w:styleId="OdstavekZnak">
    <w:name w:val="Odstavek Znak"/>
    <w:link w:val="Odstavek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Nazivpodpisnika">
    <w:name w:val="Naziv podpisnika"/>
    <w:basedOn w:val="Normal"/>
    <w:link w:val="NazivpodpisnikaZnak"/>
    <w:rsid w:val="001F205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azivpodpisnikaZnak">
    <w:name w:val="Naziv podpisnika Znak"/>
    <w:link w:val="Nazivpodpisnika"/>
    <w:rsid w:val="001F205D"/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basedOn w:val="OdstavekZnak"/>
    <w:link w:val="tevilnatok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1F205D"/>
    <w:pPr>
      <w:spacing w:before="480"/>
    </w:pPr>
  </w:style>
  <w:style w:type="paragraph" w:customStyle="1" w:styleId="Datumsprejetja">
    <w:name w:val="Datum sprejetja"/>
    <w:basedOn w:val="Normal"/>
    <w:link w:val="DatumsprejetjaZnak"/>
    <w:qFormat/>
    <w:rsid w:val="001F2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1F205D"/>
    <w:rPr>
      <w:rFonts w:ascii="Arial" w:eastAsia="Times New Roman" w:hAnsi="Arial" w:cs="Times New Roman"/>
      <w:snapToGrid w:val="0"/>
      <w:color w:val="000000"/>
      <w:lang w:val="x-none" w:eastAsia="x-none"/>
    </w:rPr>
  </w:style>
  <w:style w:type="paragraph" w:customStyle="1" w:styleId="Podpisnik">
    <w:name w:val="Podpisnik"/>
    <w:basedOn w:val="Normal"/>
    <w:link w:val="PodpisnikZnak"/>
    <w:qFormat/>
    <w:rsid w:val="001F205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sl-SI"/>
    </w:rPr>
  </w:style>
  <w:style w:type="character" w:customStyle="1" w:styleId="DatumsprejetjaZnak">
    <w:name w:val="Datum sprejetja Znak"/>
    <w:link w:val="Datumsprejetja"/>
    <w:rsid w:val="001F205D"/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PodpisnikZnak">
    <w:name w:val="Podpisnik Znak"/>
    <w:basedOn w:val="NazivpodpisnikaZnak"/>
    <w:link w:val="Podpisnik"/>
    <w:rsid w:val="001F205D"/>
    <w:rPr>
      <w:rFonts w:ascii="Arial" w:eastAsia="Times New Roman" w:hAnsi="Arial" w:cs="Arial"/>
      <w:lang w:val="x-none" w:eastAsia="sl-SI"/>
    </w:rPr>
  </w:style>
  <w:style w:type="paragraph" w:customStyle="1" w:styleId="lennaslov">
    <w:name w:val="Člen_naslov"/>
    <w:basedOn w:val="len"/>
    <w:qFormat/>
    <w:rsid w:val="001F205D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EVA">
    <w:name w:val="EVA"/>
    <w:basedOn w:val="Normal"/>
    <w:link w:val="EVAZnak"/>
    <w:qFormat/>
    <w:rsid w:val="001F20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EVAZnak">
    <w:name w:val="EVA Znak"/>
    <w:link w:val="EV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Imeorgana">
    <w:name w:val="Ime organa"/>
    <w:basedOn w:val="Normal"/>
    <w:link w:val="ImeorganaZnak"/>
    <w:qFormat/>
    <w:rsid w:val="001F205D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ImeorganaZnak">
    <w:name w:val="Ime organa Znak"/>
    <w:link w:val="Imeorgana"/>
    <w:rsid w:val="001F205D"/>
    <w:rPr>
      <w:rFonts w:ascii="Arial" w:eastAsia="Times New Roman" w:hAnsi="Arial" w:cs="Times New Roman"/>
      <w:lang w:val="x-none" w:eastAsia="x-none"/>
    </w:rPr>
  </w:style>
  <w:style w:type="paragraph" w:customStyle="1" w:styleId="tevilnatoka11Nova">
    <w:name w:val="Številčna točka 1.1 Nova"/>
    <w:basedOn w:val="tevilnatoka"/>
    <w:qFormat/>
    <w:rsid w:val="001F205D"/>
    <w:pPr>
      <w:numPr>
        <w:numId w:val="0"/>
      </w:numPr>
      <w:tabs>
        <w:tab w:val="clear" w:pos="540"/>
        <w:tab w:val="clear" w:pos="900"/>
        <w:tab w:val="num" w:pos="425"/>
      </w:tabs>
      <w:ind w:left="425" w:hanging="425"/>
    </w:pPr>
    <w:rPr>
      <w:lang w:val="sl-SI"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"/>
    <w:rsid w:val="00D55E07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01-412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3-01-0786" TargetMode="External"/><Relationship Id="rId17" Type="http://schemas.openxmlformats.org/officeDocument/2006/relationships/hyperlink" Target="http://www.uradni-list.si/1/objava.jsp?sop=2017-01-07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3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1-01-137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3705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-uprava.gov.si/drzava-in-druzba/e-demokracija/predlogi-predpisov/predlog-predpisa.html?id=970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4-01-3062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0D52-762D-4E00-87C8-1FCBE522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LB;Primoz.Komatar@mf-rs.si</dc:creator>
  <cp:keywords/>
  <dc:description/>
  <cp:lastModifiedBy>Polona Pestotnik</cp:lastModifiedBy>
  <cp:revision>2</cp:revision>
  <cp:lastPrinted>2019-03-05T08:43:00Z</cp:lastPrinted>
  <dcterms:created xsi:type="dcterms:W3CDTF">2019-02-06T14:06:00Z</dcterms:created>
  <dcterms:modified xsi:type="dcterms:W3CDTF">2019-03-25T09:00:00Z</dcterms:modified>
</cp:coreProperties>
</file>