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531"/>
        <w:gridCol w:w="854"/>
        <w:gridCol w:w="224"/>
        <w:gridCol w:w="1162"/>
        <w:gridCol w:w="417"/>
        <w:gridCol w:w="967"/>
        <w:gridCol w:w="140"/>
        <w:gridCol w:w="148"/>
        <w:gridCol w:w="243"/>
        <w:gridCol w:w="305"/>
        <w:gridCol w:w="714"/>
        <w:gridCol w:w="155"/>
        <w:gridCol w:w="61"/>
        <w:gridCol w:w="1753"/>
      </w:tblGrid>
      <w:tr w:rsidR="00B34211" w:rsidRPr="00AE1F83" w14:paraId="67E4BD9C" w14:textId="77777777" w:rsidTr="00F81335">
        <w:trPr>
          <w:gridAfter w:val="4"/>
          <w:wAfter w:w="2683" w:type="dxa"/>
        </w:trPr>
        <w:tc>
          <w:tcPr>
            <w:tcW w:w="6389" w:type="dxa"/>
            <w:gridSpan w:val="11"/>
          </w:tcPr>
          <w:p w14:paraId="0DFE17D3" w14:textId="17D30DBA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Številka: </w:t>
            </w:r>
            <w:r w:rsidR="006A4502">
              <w:rPr>
                <w:rFonts w:cs="Arial"/>
                <w:szCs w:val="20"/>
                <w:lang w:eastAsia="sl-SI"/>
              </w:rPr>
              <w:t>382-118/2018</w:t>
            </w:r>
            <w:r w:rsidR="00432CC0">
              <w:rPr>
                <w:rFonts w:cs="Arial"/>
                <w:szCs w:val="20"/>
                <w:lang w:eastAsia="sl-SI"/>
              </w:rPr>
              <w:t>/27</w:t>
            </w:r>
            <w:bookmarkStart w:id="0" w:name="_GoBack"/>
            <w:bookmarkEnd w:id="0"/>
          </w:p>
        </w:tc>
      </w:tr>
      <w:tr w:rsidR="00B34211" w:rsidRPr="00AE1F83" w14:paraId="5153D8BB" w14:textId="77777777" w:rsidTr="00F81335">
        <w:trPr>
          <w:gridAfter w:val="4"/>
          <w:wAfter w:w="2683" w:type="dxa"/>
        </w:trPr>
        <w:tc>
          <w:tcPr>
            <w:tcW w:w="6389" w:type="dxa"/>
            <w:gridSpan w:val="11"/>
          </w:tcPr>
          <w:p w14:paraId="4D4B0035" w14:textId="7CA533CD" w:rsidR="00B34211" w:rsidRPr="00AE1F83" w:rsidRDefault="0026201A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Ljubljana, </w:t>
            </w:r>
            <w:r w:rsidR="0037713A">
              <w:rPr>
                <w:rFonts w:cs="Arial"/>
                <w:szCs w:val="20"/>
                <w:lang w:eastAsia="sl-SI"/>
              </w:rPr>
              <w:t>7. 5. 2019</w:t>
            </w:r>
          </w:p>
        </w:tc>
      </w:tr>
      <w:tr w:rsidR="00B34211" w:rsidRPr="00AE1F83" w14:paraId="728702D1" w14:textId="77777777" w:rsidTr="00F81335">
        <w:trPr>
          <w:gridAfter w:val="4"/>
          <w:wAfter w:w="2683" w:type="dxa"/>
        </w:trPr>
        <w:tc>
          <w:tcPr>
            <w:tcW w:w="6389" w:type="dxa"/>
            <w:gridSpan w:val="11"/>
          </w:tcPr>
          <w:p w14:paraId="18AE51DB" w14:textId="77777777" w:rsidR="00B34211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EVA: /</w:t>
            </w:r>
          </w:p>
        </w:tc>
      </w:tr>
      <w:tr w:rsidR="00B34211" w:rsidRPr="00AE1F83" w14:paraId="2939CEC9" w14:textId="77777777" w:rsidTr="00F81335">
        <w:trPr>
          <w:gridAfter w:val="4"/>
          <w:wAfter w:w="2683" w:type="dxa"/>
        </w:trPr>
        <w:tc>
          <w:tcPr>
            <w:tcW w:w="6389" w:type="dxa"/>
            <w:gridSpan w:val="11"/>
          </w:tcPr>
          <w:p w14:paraId="4083F7F9" w14:textId="77777777" w:rsidR="00B34211" w:rsidRPr="00AE1F83" w:rsidRDefault="00B34211" w:rsidP="00AA2EE3">
            <w:pPr>
              <w:spacing w:line="260" w:lineRule="exact"/>
              <w:rPr>
                <w:rFonts w:cs="Arial"/>
                <w:szCs w:val="20"/>
              </w:rPr>
            </w:pPr>
          </w:p>
          <w:p w14:paraId="21CCE29A" w14:textId="77777777" w:rsidR="00B34211" w:rsidRPr="00AE1F83" w:rsidRDefault="00B34211" w:rsidP="00AA2EE3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GENERALNI SEKRETARIAT VLADE REPUBLIKE SLOVENIJE</w:t>
            </w:r>
          </w:p>
          <w:p w14:paraId="4C1DEAF0" w14:textId="77777777" w:rsidR="00B34211" w:rsidRPr="00AE1F83" w:rsidRDefault="000856A8" w:rsidP="00AA2EE3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color w:val="0000FF"/>
                <w:szCs w:val="20"/>
                <w:u w:val="single"/>
              </w:rPr>
              <w:t>g</w:t>
            </w:r>
            <w:r w:rsidR="00B34211" w:rsidRPr="00AE1F83">
              <w:rPr>
                <w:color w:val="0000FF"/>
                <w:szCs w:val="20"/>
                <w:u w:val="single"/>
              </w:rPr>
              <w:t>p.gs@gov.si</w:t>
            </w:r>
          </w:p>
          <w:p w14:paraId="32CACD7C" w14:textId="77777777" w:rsidR="00B34211" w:rsidRPr="00AE1F83" w:rsidRDefault="00B34211" w:rsidP="00AA2EE3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B34211" w:rsidRPr="00AE1F83" w14:paraId="54B4271B" w14:textId="77777777" w:rsidTr="00AA2EE3">
        <w:tc>
          <w:tcPr>
            <w:tcW w:w="9072" w:type="dxa"/>
            <w:gridSpan w:val="15"/>
          </w:tcPr>
          <w:p w14:paraId="29BECC76" w14:textId="0062FEF8" w:rsidR="00B34211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6A4502" w:rsidRPr="006A4502">
              <w:rPr>
                <w:b/>
                <w:szCs w:val="20"/>
              </w:rPr>
              <w:t>Predlog spremembe Načrta razvojnih programov 2019</w:t>
            </w:r>
            <w:r w:rsidR="006A4502">
              <w:rPr>
                <w:b/>
                <w:szCs w:val="20"/>
              </w:rPr>
              <w:t xml:space="preserve">–2022 </w:t>
            </w:r>
            <w:r w:rsidR="006A4502" w:rsidRPr="006A4502">
              <w:rPr>
                <w:b/>
                <w:szCs w:val="20"/>
              </w:rPr>
              <w:t>– predlog za obravnavo</w:t>
            </w:r>
          </w:p>
          <w:p w14:paraId="17B6A3BC" w14:textId="77777777" w:rsidR="00B34211" w:rsidRPr="00AE1F83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34211" w:rsidRPr="00AE1F83" w14:paraId="0FBAC881" w14:textId="77777777" w:rsidTr="00AA2EE3">
        <w:tc>
          <w:tcPr>
            <w:tcW w:w="9072" w:type="dxa"/>
            <w:gridSpan w:val="15"/>
          </w:tcPr>
          <w:p w14:paraId="1E4D1F69" w14:textId="77777777" w:rsidR="00B34211" w:rsidRPr="00AE1F83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B34211" w:rsidRPr="00AE1F83" w14:paraId="382C8FEC" w14:textId="77777777" w:rsidTr="00AA2EE3">
        <w:tc>
          <w:tcPr>
            <w:tcW w:w="9072" w:type="dxa"/>
            <w:gridSpan w:val="15"/>
          </w:tcPr>
          <w:p w14:paraId="110205B2" w14:textId="3659C176" w:rsidR="0077576C" w:rsidRPr="00833837" w:rsidRDefault="0077576C" w:rsidP="0077576C">
            <w:pPr>
              <w:spacing w:before="100" w:beforeAutospacing="1" w:after="100" w:afterAutospacing="1"/>
              <w:outlineLvl w:val="0"/>
              <w:rPr>
                <w:rFonts w:cs="Arial"/>
                <w:noProof/>
                <w:szCs w:val="20"/>
              </w:rPr>
            </w:pPr>
            <w:r w:rsidRPr="00833837">
              <w:rPr>
                <w:rFonts w:cs="Arial"/>
                <w:szCs w:val="20"/>
              </w:rPr>
              <w:t xml:space="preserve">Na podlagi petega odstavka 31. člena </w:t>
            </w:r>
            <w:r w:rsidRPr="00833837">
              <w:rPr>
                <w:rFonts w:cs="Arial"/>
                <w:noProof/>
                <w:szCs w:val="20"/>
              </w:rPr>
              <w:t>Zakon o izvrševanju proračunov Republike Slovenije za leti 201</w:t>
            </w:r>
            <w:r w:rsidR="006A4502" w:rsidRPr="00833837">
              <w:rPr>
                <w:rFonts w:cs="Arial"/>
                <w:noProof/>
                <w:szCs w:val="20"/>
              </w:rPr>
              <w:t>8</w:t>
            </w:r>
            <w:r w:rsidRPr="00833837">
              <w:rPr>
                <w:rFonts w:cs="Arial"/>
                <w:noProof/>
                <w:szCs w:val="20"/>
              </w:rPr>
              <w:t xml:space="preserve"> in 201</w:t>
            </w:r>
            <w:r w:rsidR="006A4502" w:rsidRPr="00833837">
              <w:rPr>
                <w:rFonts w:cs="Arial"/>
                <w:noProof/>
                <w:szCs w:val="20"/>
              </w:rPr>
              <w:t>9</w:t>
            </w:r>
            <w:r w:rsidRPr="00833837">
              <w:rPr>
                <w:rFonts w:cs="Arial"/>
                <w:noProof/>
                <w:szCs w:val="20"/>
              </w:rPr>
              <w:t xml:space="preserve"> </w:t>
            </w:r>
            <w:r w:rsidRPr="00833837">
              <w:rPr>
                <w:rFonts w:cs="Arial"/>
                <w:szCs w:val="20"/>
              </w:rPr>
              <w:t xml:space="preserve">(Uradni list RS, </w:t>
            </w:r>
            <w:r w:rsidR="00833837" w:rsidRPr="00833837">
              <w:rPr>
                <w:rFonts w:cs="Arial"/>
                <w:szCs w:val="20"/>
              </w:rPr>
              <w:t xml:space="preserve">Uradni list RS, št. </w:t>
            </w:r>
            <w:hyperlink r:id="rId8" w:tgtFrame="_blank" w:tooltip="Zakon o izvrševanju proračunov Republike Slovenije za leti 2018 in 2019 (ZIPRS1819)" w:history="1">
              <w:r w:rsidR="00833837" w:rsidRPr="00833837">
                <w:rPr>
                  <w:rFonts w:cs="Arial"/>
                  <w:szCs w:val="20"/>
                </w:rPr>
                <w:t>71/17</w:t>
              </w:r>
            </w:hyperlink>
            <w:r w:rsidR="00833837" w:rsidRPr="00833837">
              <w:rPr>
                <w:rFonts w:cs="Arial"/>
                <w:szCs w:val="20"/>
              </w:rPr>
              <w:t xml:space="preserve">, </w:t>
            </w:r>
            <w:hyperlink r:id="rId9" w:tgtFrame="_blank" w:tooltip="Zakon o spremembah in dopolnitvah Zakona o javnih financah" w:history="1">
              <w:r w:rsidR="00833837" w:rsidRPr="00833837">
                <w:rPr>
                  <w:rFonts w:cs="Arial"/>
                  <w:szCs w:val="20"/>
                </w:rPr>
                <w:t>13/18</w:t>
              </w:r>
            </w:hyperlink>
            <w:r w:rsidR="00833837" w:rsidRPr="00833837">
              <w:rPr>
                <w:rFonts w:cs="Arial"/>
                <w:szCs w:val="20"/>
              </w:rPr>
              <w:t xml:space="preserve"> – ZJF-H, </w:t>
            </w:r>
            <w:hyperlink r:id="rId10" w:tgtFrame="_blank" w:tooltip="Zakon o spremembah in dopolnitvah Zakona o izvrševanju proračunov Republike Slovenije za leti 2018 in 2019" w:history="1">
              <w:r w:rsidR="00833837" w:rsidRPr="00833837">
                <w:rPr>
                  <w:rFonts w:cs="Arial"/>
                  <w:szCs w:val="20"/>
                </w:rPr>
                <w:t>83/18</w:t>
              </w:r>
            </w:hyperlink>
            <w:r w:rsidR="00833837" w:rsidRPr="00833837">
              <w:rPr>
                <w:rFonts w:cs="Arial"/>
                <w:szCs w:val="20"/>
              </w:rPr>
              <w:t xml:space="preserve"> in </w:t>
            </w:r>
            <w:hyperlink r:id="rId11" w:tgtFrame="_blank" w:tooltip="Zakon o spremembah in dopolnitvah Zakona o izvrševanju proračunov Republike Slovenije za leti 2018 in 2019" w:history="1">
              <w:r w:rsidR="00833837" w:rsidRPr="00833837">
                <w:rPr>
                  <w:rFonts w:cs="Arial"/>
                  <w:szCs w:val="20"/>
                </w:rPr>
                <w:t>19/19</w:t>
              </w:r>
            </w:hyperlink>
            <w:r w:rsidRPr="00833837">
              <w:rPr>
                <w:rFonts w:cs="Arial"/>
                <w:szCs w:val="20"/>
              </w:rPr>
              <w:t>) je Vlada Republike Slovenije na … seji dne …. sprejela naslednji</w:t>
            </w:r>
          </w:p>
          <w:p w14:paraId="2D3BF6CA" w14:textId="77777777" w:rsidR="00B34211" w:rsidRPr="00CA567B" w:rsidRDefault="00B34211" w:rsidP="00AA2EE3">
            <w:pPr>
              <w:spacing w:line="260" w:lineRule="exact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</w:t>
            </w:r>
          </w:p>
          <w:p w14:paraId="70776BE9" w14:textId="77777777" w:rsidR="00B34211" w:rsidRPr="00B01DA1" w:rsidRDefault="00B34211" w:rsidP="00AA2EE3">
            <w:pPr>
              <w:pStyle w:val="Naslov2"/>
              <w:spacing w:before="0" w:after="0" w:line="260" w:lineRule="exact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B01DA1">
              <w:rPr>
                <w:rFonts w:ascii="Arial" w:hAnsi="Arial" w:cs="Arial"/>
                <w:b w:val="0"/>
                <w:i w:val="0"/>
                <w:sz w:val="20"/>
                <w:szCs w:val="20"/>
              </w:rPr>
              <w:t>S K L E P</w:t>
            </w:r>
          </w:p>
          <w:p w14:paraId="3073C341" w14:textId="77777777" w:rsidR="00B34211" w:rsidRPr="00F31B0D" w:rsidRDefault="00B34211" w:rsidP="00AA2EE3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644E7F18" w14:textId="5C6E508D" w:rsidR="0077576C" w:rsidRPr="0010492D" w:rsidRDefault="0077576C" w:rsidP="0077576C">
            <w:pPr>
              <w:pStyle w:val="Golobesedilo"/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607AFA">
              <w:rPr>
                <w:rFonts w:ascii="Arial" w:hAnsi="Arial" w:cs="Arial"/>
                <w:iCs/>
                <w:color w:val="000000"/>
              </w:rPr>
              <w:t xml:space="preserve">V veljavni Načrt razvojnih programov </w:t>
            </w:r>
            <w:r>
              <w:rPr>
                <w:rFonts w:ascii="Arial" w:hAnsi="Arial" w:cs="Arial"/>
                <w:iCs/>
                <w:color w:val="000000"/>
              </w:rPr>
              <w:t>2019</w:t>
            </w:r>
            <w:r w:rsidR="00833837">
              <w:rPr>
                <w:rFonts w:ascii="Arial" w:hAnsi="Arial" w:cs="Arial"/>
                <w:iCs/>
                <w:color w:val="000000"/>
              </w:rPr>
              <w:t>-2022</w:t>
            </w:r>
            <w:r w:rsidRPr="00607AFA">
              <w:rPr>
                <w:rFonts w:ascii="Arial" w:hAnsi="Arial" w:cs="Arial"/>
                <w:iCs/>
                <w:color w:val="000000"/>
              </w:rPr>
              <w:t xml:space="preserve"> se v okviru Ministrstva za javno upravo </w:t>
            </w:r>
            <w:r w:rsidR="00833837">
              <w:rPr>
                <w:rFonts w:ascii="Arial" w:hAnsi="Arial" w:cs="Arial"/>
                <w:iCs/>
                <w:color w:val="000000"/>
              </w:rPr>
              <w:t>na podlagi</w:t>
            </w:r>
            <w:r w:rsidRPr="00607AFA">
              <w:rPr>
                <w:rFonts w:ascii="Arial" w:hAnsi="Arial" w:cs="Arial"/>
                <w:iCs/>
                <w:color w:val="000000"/>
              </w:rPr>
              <w:t xml:space="preserve"> priložene tabele uvrsti </w:t>
            </w:r>
            <w:r w:rsidR="00833837">
              <w:rPr>
                <w:rFonts w:ascii="Arial" w:hAnsi="Arial" w:cs="Arial"/>
                <w:iCs/>
                <w:color w:val="000000"/>
              </w:rPr>
              <w:t xml:space="preserve">nov </w:t>
            </w:r>
            <w:r w:rsidRPr="00607AFA">
              <w:rPr>
                <w:rFonts w:ascii="Arial" w:hAnsi="Arial" w:cs="Arial"/>
                <w:iCs/>
                <w:color w:val="000000"/>
              </w:rPr>
              <w:t xml:space="preserve">projekt št. </w:t>
            </w:r>
            <w:r w:rsidR="00482AE0" w:rsidRPr="00482AE0">
              <w:rPr>
                <w:rFonts w:ascii="Arial" w:hAnsi="Arial" w:cs="Arial"/>
                <w:iCs/>
                <w:color w:val="000000"/>
              </w:rPr>
              <w:t>3130-19-0008</w:t>
            </w:r>
            <w:r w:rsidRPr="00607AFA">
              <w:rPr>
                <w:rFonts w:ascii="Arial" w:hAnsi="Arial" w:cs="Arial"/>
                <w:iCs/>
                <w:color w:val="000000"/>
              </w:rPr>
              <w:t xml:space="preserve"> z nazivom »</w:t>
            </w:r>
            <w:r>
              <w:rPr>
                <w:rFonts w:ascii="Arial" w:hAnsi="Arial" w:cs="Arial"/>
                <w:iCs/>
                <w:color w:val="000000"/>
              </w:rPr>
              <w:t>e-Pooblaščanje</w:t>
            </w:r>
            <w:r w:rsidRPr="00607AFA">
              <w:rPr>
                <w:rFonts w:ascii="Arial" w:hAnsi="Arial" w:cs="Arial"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</w:rPr>
              <w:t>SEMPER</w:t>
            </w:r>
            <w:r w:rsidRPr="00607AFA">
              <w:rPr>
                <w:rFonts w:ascii="Arial" w:hAnsi="Arial" w:cs="Arial"/>
                <w:iCs/>
                <w:color w:val="000000"/>
              </w:rPr>
              <w:t>)«.</w:t>
            </w:r>
          </w:p>
          <w:p w14:paraId="4A78B6BF" w14:textId="77777777" w:rsidR="00921B96" w:rsidRPr="00327B46" w:rsidRDefault="00921B96" w:rsidP="00983C23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14078CE3" w14:textId="77777777" w:rsidR="00B34211" w:rsidRPr="00CA567B" w:rsidRDefault="00B34211" w:rsidP="00AA2EE3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Stojan Tramte </w:t>
            </w:r>
          </w:p>
          <w:p w14:paraId="00B4AF98" w14:textId="77777777" w:rsidR="00B34211" w:rsidRPr="00CA567B" w:rsidRDefault="00B34211" w:rsidP="00AA2EE3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GENERALNI</w:t>
            </w:r>
            <w:r w:rsidRPr="00CA567B">
              <w:rPr>
                <w:rFonts w:cs="Arial"/>
                <w:szCs w:val="20"/>
              </w:rPr>
              <w:t xml:space="preserve"> SEKRETAR</w:t>
            </w:r>
          </w:p>
          <w:p w14:paraId="2EC10681" w14:textId="77777777" w:rsidR="00B34211" w:rsidRPr="00CA567B" w:rsidRDefault="00B34211" w:rsidP="00AA2EE3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</w:p>
          <w:p w14:paraId="43DE6193" w14:textId="392609DF" w:rsidR="0077576C" w:rsidRPr="00A1271B" w:rsidRDefault="0077576C" w:rsidP="0077576C">
            <w:pPr>
              <w:jc w:val="both"/>
              <w:rPr>
                <w:rFonts w:cs="Arial"/>
                <w:szCs w:val="20"/>
              </w:rPr>
            </w:pPr>
            <w:r w:rsidRPr="00A1271B">
              <w:rPr>
                <w:rFonts w:cs="Arial"/>
                <w:szCs w:val="20"/>
              </w:rPr>
              <w:t>Sklep prejme</w:t>
            </w:r>
            <w:r>
              <w:rPr>
                <w:rFonts w:cs="Arial"/>
                <w:szCs w:val="20"/>
              </w:rPr>
              <w:t>ta</w:t>
            </w:r>
            <w:r w:rsidRPr="00A1271B">
              <w:rPr>
                <w:rFonts w:cs="Arial"/>
                <w:szCs w:val="20"/>
              </w:rPr>
              <w:t>:</w:t>
            </w:r>
          </w:p>
          <w:p w14:paraId="4552122E" w14:textId="77777777" w:rsidR="0077576C" w:rsidRDefault="0077576C" w:rsidP="0077576C">
            <w:pPr>
              <w:numPr>
                <w:ilvl w:val="0"/>
                <w:numId w:val="11"/>
              </w:numPr>
              <w:spacing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javno upravo</w:t>
            </w:r>
          </w:p>
          <w:p w14:paraId="78903703" w14:textId="77777777" w:rsidR="0077576C" w:rsidRDefault="0077576C" w:rsidP="0077576C">
            <w:pPr>
              <w:numPr>
                <w:ilvl w:val="0"/>
                <w:numId w:val="11"/>
              </w:numPr>
              <w:spacing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finance</w:t>
            </w:r>
          </w:p>
          <w:p w14:paraId="5A9C45BF" w14:textId="0E6B4262" w:rsidR="00B34211" w:rsidRPr="0094112D" w:rsidRDefault="00B34211" w:rsidP="0077576C">
            <w:pPr>
              <w:spacing w:line="260" w:lineRule="exact"/>
              <w:ind w:left="720" w:right="-108"/>
              <w:jc w:val="both"/>
              <w:rPr>
                <w:rFonts w:cs="Arial"/>
                <w:szCs w:val="20"/>
              </w:rPr>
            </w:pPr>
          </w:p>
        </w:tc>
      </w:tr>
      <w:tr w:rsidR="00B34211" w:rsidRPr="00AE1F83" w14:paraId="5307561A" w14:textId="77777777" w:rsidTr="00AA2EE3">
        <w:tc>
          <w:tcPr>
            <w:tcW w:w="9072" w:type="dxa"/>
            <w:gridSpan w:val="15"/>
          </w:tcPr>
          <w:p w14:paraId="209A1AEA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34211" w:rsidRPr="00AE1F83" w14:paraId="344E6E18" w14:textId="77777777" w:rsidTr="00AA2EE3">
        <w:tc>
          <w:tcPr>
            <w:tcW w:w="9072" w:type="dxa"/>
            <w:gridSpan w:val="15"/>
          </w:tcPr>
          <w:p w14:paraId="5B7F0E24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34211" w:rsidRPr="00AE1F83" w14:paraId="6AC6B3A5" w14:textId="77777777" w:rsidTr="00AA2EE3">
        <w:tc>
          <w:tcPr>
            <w:tcW w:w="9072" w:type="dxa"/>
            <w:gridSpan w:val="15"/>
          </w:tcPr>
          <w:p w14:paraId="3FE26197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B34211" w:rsidRPr="00AE1F83" w14:paraId="6DA49FD8" w14:textId="77777777" w:rsidTr="00AA2EE3">
        <w:tc>
          <w:tcPr>
            <w:tcW w:w="9072" w:type="dxa"/>
            <w:gridSpan w:val="15"/>
          </w:tcPr>
          <w:p w14:paraId="392EF721" w14:textId="6B5E2557" w:rsidR="0035472A" w:rsidRDefault="00216439" w:rsidP="00AA2E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57" w:hanging="357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iCs/>
                <w:szCs w:val="20"/>
                <w:lang w:eastAsia="ar-SA"/>
              </w:rPr>
              <w:t>mag. Miha</w:t>
            </w:r>
            <w:r w:rsidR="0035472A">
              <w:rPr>
                <w:rFonts w:cs="Arial"/>
                <w:iCs/>
                <w:szCs w:val="20"/>
                <w:lang w:eastAsia="ar-SA"/>
              </w:rPr>
              <w:t xml:space="preserve"> Krišelj, v. d. generalnega direktorja </w:t>
            </w:r>
            <w:r w:rsidR="0035472A">
              <w:rPr>
                <w:rFonts w:cs="Arial"/>
                <w:bCs/>
                <w:szCs w:val="20"/>
              </w:rPr>
              <w:t>Direktorata za informatiko</w:t>
            </w:r>
          </w:p>
          <w:p w14:paraId="59CB7717" w14:textId="61FE0CAE" w:rsidR="00CB248D" w:rsidRPr="00F25DBA" w:rsidRDefault="0077576C" w:rsidP="00F25DB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57" w:hanging="357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mag. Mojca Rebolj, vodja Sektorja za ekonomiko poslovanja in strateški razvoj, Direktorat za informatiko</w:t>
            </w:r>
          </w:p>
        </w:tc>
      </w:tr>
      <w:tr w:rsidR="00B34211" w:rsidRPr="00AE1F83" w14:paraId="749EB33B" w14:textId="77777777" w:rsidTr="00AA2EE3">
        <w:tc>
          <w:tcPr>
            <w:tcW w:w="9072" w:type="dxa"/>
            <w:gridSpan w:val="15"/>
          </w:tcPr>
          <w:p w14:paraId="5F951049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B34211" w:rsidRPr="00AE1F83" w14:paraId="7846FEF5" w14:textId="77777777" w:rsidTr="00AA2EE3">
        <w:tc>
          <w:tcPr>
            <w:tcW w:w="9072" w:type="dxa"/>
            <w:gridSpan w:val="15"/>
          </w:tcPr>
          <w:p w14:paraId="6A973445" w14:textId="77777777" w:rsidR="0077576C" w:rsidRDefault="0077576C" w:rsidP="007757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14:paraId="074EE229" w14:textId="45BD3221" w:rsidR="00B34211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B34211" w:rsidRPr="00AE1F83" w14:paraId="348F7A3F" w14:textId="77777777" w:rsidTr="00AA2EE3">
        <w:tc>
          <w:tcPr>
            <w:tcW w:w="9072" w:type="dxa"/>
            <w:gridSpan w:val="15"/>
          </w:tcPr>
          <w:p w14:paraId="56AFE275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B34211" w:rsidRPr="0077576C" w14:paraId="364EA3B8" w14:textId="77777777" w:rsidTr="00AA2EE3">
        <w:tc>
          <w:tcPr>
            <w:tcW w:w="9072" w:type="dxa"/>
            <w:gridSpan w:val="15"/>
          </w:tcPr>
          <w:p w14:paraId="773E9107" w14:textId="0CAE1337" w:rsidR="00B34211" w:rsidRPr="0077576C" w:rsidRDefault="0077576C" w:rsidP="007757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B34211" w:rsidRPr="00AE1F83" w14:paraId="446CAADB" w14:textId="77777777" w:rsidTr="00AA2EE3">
        <w:tc>
          <w:tcPr>
            <w:tcW w:w="9072" w:type="dxa"/>
            <w:gridSpan w:val="15"/>
          </w:tcPr>
          <w:p w14:paraId="01EB8C29" w14:textId="77777777" w:rsidR="00B34211" w:rsidRPr="00AE1F83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77576C" w:rsidRPr="00AE1F83" w14:paraId="094ADD5B" w14:textId="77777777" w:rsidTr="00AA2EE3">
        <w:tc>
          <w:tcPr>
            <w:tcW w:w="9072" w:type="dxa"/>
            <w:gridSpan w:val="15"/>
          </w:tcPr>
          <w:p w14:paraId="6E2E3B26" w14:textId="0A492FE9" w:rsidR="0077576C" w:rsidRPr="00F25DBA" w:rsidRDefault="0077576C" w:rsidP="00BE51E8">
            <w:pPr>
              <w:pStyle w:val="Telobesedila"/>
              <w:spacing w:after="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833837">
              <w:rPr>
                <w:rFonts w:cs="Arial"/>
                <w:iCs/>
                <w:szCs w:val="20"/>
                <w:lang w:eastAsia="sl-SI"/>
              </w:rPr>
              <w:t xml:space="preserve">Predlagana sprememba veljavnega Načrta razvojnih programov </w:t>
            </w:r>
            <w:r w:rsidR="00833837" w:rsidRPr="00833837">
              <w:rPr>
                <w:rFonts w:cs="Arial"/>
                <w:iCs/>
                <w:szCs w:val="20"/>
                <w:lang w:eastAsia="sl-SI"/>
              </w:rPr>
              <w:t>2019-2022</w:t>
            </w:r>
            <w:r w:rsidRPr="00833837">
              <w:rPr>
                <w:rFonts w:cs="Arial"/>
                <w:iCs/>
                <w:szCs w:val="20"/>
                <w:lang w:eastAsia="sl-SI"/>
              </w:rPr>
              <w:t xml:space="preserve"> je v skladu s petim odstavkom 31. člena Zakon o izvrševanju proračunov Republike Slovenije za leti 201</w:t>
            </w:r>
            <w:r w:rsidR="00833837" w:rsidRPr="00833837">
              <w:rPr>
                <w:rFonts w:cs="Arial"/>
                <w:iCs/>
                <w:szCs w:val="20"/>
                <w:lang w:eastAsia="sl-SI"/>
              </w:rPr>
              <w:t>8</w:t>
            </w:r>
            <w:r w:rsidRPr="00833837">
              <w:rPr>
                <w:rFonts w:cs="Arial"/>
                <w:iCs/>
                <w:szCs w:val="20"/>
                <w:lang w:eastAsia="sl-SI"/>
              </w:rPr>
              <w:t xml:space="preserve"> in 201</w:t>
            </w:r>
            <w:r w:rsidR="00833837" w:rsidRPr="00833837">
              <w:rPr>
                <w:rFonts w:cs="Arial"/>
                <w:iCs/>
                <w:szCs w:val="20"/>
                <w:lang w:eastAsia="sl-SI"/>
              </w:rPr>
              <w:t>9</w:t>
            </w:r>
            <w:r w:rsidRPr="00833837">
              <w:rPr>
                <w:rFonts w:cs="Arial"/>
                <w:iCs/>
                <w:szCs w:val="20"/>
                <w:lang w:eastAsia="sl-SI"/>
              </w:rPr>
              <w:t xml:space="preserve"> (Uradni </w:t>
            </w:r>
            <w:r w:rsidRPr="00F25DBA">
              <w:rPr>
                <w:rFonts w:cs="Arial"/>
                <w:iCs/>
                <w:szCs w:val="20"/>
                <w:lang w:eastAsia="sl-SI"/>
              </w:rPr>
              <w:t xml:space="preserve">list RS, št. </w:t>
            </w:r>
            <w:hyperlink r:id="rId12" w:tgtFrame="_blank" w:tooltip="Zakon o izvrševanju proračunov Republike Slovenije za leti 2018 in 2019 (ZIPRS1819)" w:history="1">
              <w:r w:rsidR="00833837" w:rsidRPr="00F25DBA">
                <w:rPr>
                  <w:rFonts w:cs="Arial"/>
                  <w:szCs w:val="20"/>
                </w:rPr>
                <w:t>71/17</w:t>
              </w:r>
            </w:hyperlink>
            <w:r w:rsidR="00833837" w:rsidRPr="00F25DBA">
              <w:rPr>
                <w:rFonts w:cs="Arial"/>
                <w:szCs w:val="20"/>
              </w:rPr>
              <w:t xml:space="preserve">, </w:t>
            </w:r>
            <w:hyperlink r:id="rId13" w:tgtFrame="_blank" w:tooltip="Zakon o spremembah in dopolnitvah Zakona o javnih financah" w:history="1">
              <w:r w:rsidR="00833837" w:rsidRPr="00F25DBA">
                <w:rPr>
                  <w:rFonts w:cs="Arial"/>
                  <w:szCs w:val="20"/>
                </w:rPr>
                <w:t>13/18</w:t>
              </w:r>
            </w:hyperlink>
            <w:r w:rsidR="00833837" w:rsidRPr="00F25DBA">
              <w:rPr>
                <w:rFonts w:cs="Arial"/>
                <w:szCs w:val="20"/>
              </w:rPr>
              <w:t xml:space="preserve"> – ZJF-H, </w:t>
            </w:r>
            <w:hyperlink r:id="rId14" w:tgtFrame="_blank" w:tooltip="Zakon o spremembah in dopolnitvah Zakona o izvrševanju proračunov Republike Slovenije za leti 2018 in 2019" w:history="1">
              <w:r w:rsidR="00833837" w:rsidRPr="00F25DBA">
                <w:rPr>
                  <w:rFonts w:cs="Arial"/>
                  <w:szCs w:val="20"/>
                </w:rPr>
                <w:t>83/18</w:t>
              </w:r>
            </w:hyperlink>
            <w:r w:rsidR="00833837" w:rsidRPr="00F25DBA">
              <w:rPr>
                <w:rFonts w:cs="Arial"/>
                <w:szCs w:val="20"/>
              </w:rPr>
              <w:t xml:space="preserve"> in </w:t>
            </w:r>
            <w:hyperlink r:id="rId15" w:tgtFrame="_blank" w:tooltip="Zakon o spremembah in dopolnitvah Zakona o izvrševanju proračunov Republike Slovenije za leti 2018 in 2019" w:history="1">
              <w:r w:rsidR="00833837" w:rsidRPr="00F25DBA">
                <w:rPr>
                  <w:rFonts w:cs="Arial"/>
                  <w:szCs w:val="20"/>
                </w:rPr>
                <w:t>19/19</w:t>
              </w:r>
            </w:hyperlink>
            <w:r w:rsidRPr="00F25DBA">
              <w:rPr>
                <w:rFonts w:cs="Arial"/>
                <w:iCs/>
                <w:szCs w:val="20"/>
                <w:lang w:eastAsia="sl-SI"/>
              </w:rPr>
              <w:t>).</w:t>
            </w:r>
          </w:p>
          <w:p w14:paraId="7EA02354" w14:textId="77777777" w:rsidR="0077576C" w:rsidRPr="00F25DBA" w:rsidRDefault="0077576C" w:rsidP="00BE51E8">
            <w:pPr>
              <w:jc w:val="both"/>
              <w:rPr>
                <w:rFonts w:cs="Arial"/>
                <w:iCs/>
                <w:szCs w:val="20"/>
                <w:highlight w:val="yellow"/>
                <w:lang w:eastAsia="sl-SI"/>
              </w:rPr>
            </w:pPr>
          </w:p>
          <w:p w14:paraId="6078378A" w14:textId="1392A464" w:rsidR="0077576C" w:rsidRPr="00F25DBA" w:rsidRDefault="0077576C" w:rsidP="00BE51E8">
            <w:pPr>
              <w:spacing w:line="288" w:lineRule="auto"/>
              <w:jc w:val="both"/>
            </w:pPr>
            <w:r w:rsidRPr="00F25DBA">
              <w:t xml:space="preserve">S projektom </w:t>
            </w:r>
            <w:r w:rsidR="003635BA" w:rsidRPr="00F25DBA">
              <w:t>e-Pooblaščanje (</w:t>
            </w:r>
            <w:r w:rsidR="003635BA" w:rsidRPr="00F25DBA">
              <w:rPr>
                <w:i/>
              </w:rPr>
              <w:t xml:space="preserve">SEMPER – </w:t>
            </w:r>
            <w:proofErr w:type="spellStart"/>
            <w:r w:rsidR="003635BA" w:rsidRPr="00F25DBA">
              <w:rPr>
                <w:i/>
              </w:rPr>
              <w:t>Cross-border</w:t>
            </w:r>
            <w:proofErr w:type="spellEnd"/>
            <w:r w:rsidR="003635BA" w:rsidRPr="00F25DBA">
              <w:rPr>
                <w:i/>
              </w:rPr>
              <w:t xml:space="preserve"> </w:t>
            </w:r>
            <w:proofErr w:type="spellStart"/>
            <w:r w:rsidR="003635BA" w:rsidRPr="00F25DBA">
              <w:rPr>
                <w:i/>
              </w:rPr>
              <w:t>Semantic</w:t>
            </w:r>
            <w:proofErr w:type="spellEnd"/>
            <w:r w:rsidR="003635BA" w:rsidRPr="00F25DBA">
              <w:rPr>
                <w:i/>
              </w:rPr>
              <w:t xml:space="preserve"> </w:t>
            </w:r>
            <w:proofErr w:type="spellStart"/>
            <w:r w:rsidR="003635BA" w:rsidRPr="00F25DBA">
              <w:rPr>
                <w:i/>
              </w:rPr>
              <w:t>Interoperability</w:t>
            </w:r>
            <w:proofErr w:type="spellEnd"/>
            <w:r w:rsidR="003635BA" w:rsidRPr="00F25DBA">
              <w:rPr>
                <w:i/>
              </w:rPr>
              <w:t xml:space="preserve"> </w:t>
            </w:r>
            <w:proofErr w:type="spellStart"/>
            <w:r w:rsidR="003635BA" w:rsidRPr="00F25DBA">
              <w:rPr>
                <w:i/>
              </w:rPr>
              <w:t>of</w:t>
            </w:r>
            <w:proofErr w:type="spellEnd"/>
            <w:r w:rsidR="003635BA" w:rsidRPr="00F25DBA">
              <w:rPr>
                <w:i/>
              </w:rPr>
              <w:t xml:space="preserve"> </w:t>
            </w:r>
            <w:proofErr w:type="spellStart"/>
            <w:r w:rsidR="003635BA" w:rsidRPr="00F25DBA">
              <w:rPr>
                <w:i/>
              </w:rPr>
              <w:t>power</w:t>
            </w:r>
            <w:proofErr w:type="spellEnd"/>
            <w:r w:rsidR="003635BA" w:rsidRPr="00F25DBA">
              <w:rPr>
                <w:i/>
              </w:rPr>
              <w:t xml:space="preserve"> </w:t>
            </w:r>
            <w:proofErr w:type="spellStart"/>
            <w:r w:rsidR="003635BA" w:rsidRPr="00F25DBA">
              <w:rPr>
                <w:i/>
              </w:rPr>
              <w:t>and</w:t>
            </w:r>
            <w:proofErr w:type="spellEnd"/>
            <w:r w:rsidR="003635BA" w:rsidRPr="00F25DBA">
              <w:rPr>
                <w:i/>
              </w:rPr>
              <w:t xml:space="preserve"> </w:t>
            </w:r>
            <w:proofErr w:type="spellStart"/>
            <w:r w:rsidR="003635BA" w:rsidRPr="00F25DBA">
              <w:rPr>
                <w:i/>
              </w:rPr>
              <w:t>mandates</w:t>
            </w:r>
            <w:proofErr w:type="spellEnd"/>
            <w:r w:rsidR="003635BA" w:rsidRPr="00F25DBA">
              <w:rPr>
                <w:i/>
              </w:rPr>
              <w:t>)</w:t>
            </w:r>
            <w:r w:rsidRPr="00F25DBA">
              <w:t xml:space="preserve"> se </w:t>
            </w:r>
            <w:r w:rsidR="003635BA" w:rsidRPr="00F25DBA">
              <w:t xml:space="preserve">bo pokrilo funkcionalnost pooblaščanja pri e-poslovanju v javni upravi, saj to trenutno predstavlja manjkajoči del pri storitvah </w:t>
            </w:r>
            <w:proofErr w:type="spellStart"/>
            <w:r w:rsidR="003635BA" w:rsidRPr="00F25DBA">
              <w:t>avtentikacije</w:t>
            </w:r>
            <w:proofErr w:type="spellEnd"/>
            <w:r w:rsidR="003635BA" w:rsidRPr="00F25DBA">
              <w:t xml:space="preserve"> in storitv</w:t>
            </w:r>
            <w:r w:rsidR="00F25DBA" w:rsidRPr="00F25DBA">
              <w:t>ah</w:t>
            </w:r>
            <w:r w:rsidR="003635BA" w:rsidRPr="00F25DBA">
              <w:t xml:space="preserve"> zaupanja, ki jih določa Uredba o e-identifikaciji in storitvah zaupanja na enotnem notranjem trgu </w:t>
            </w:r>
            <w:proofErr w:type="spellStart"/>
            <w:r w:rsidR="003635BA" w:rsidRPr="00F25DBA">
              <w:t>eIDAS</w:t>
            </w:r>
            <w:proofErr w:type="spellEnd"/>
            <w:r w:rsidRPr="00F25DBA">
              <w:t>. Naša udeležba v projektu je povezana z e-storitvami za poslovne subjekte</w:t>
            </w:r>
            <w:r w:rsidR="00F25DBA" w:rsidRPr="00F25DBA">
              <w:t xml:space="preserve"> ter ureditvijo e-pooblaščanja čezmejno.</w:t>
            </w:r>
            <w:r w:rsidRPr="00F25DBA">
              <w:t xml:space="preserve"> </w:t>
            </w:r>
          </w:p>
          <w:p w14:paraId="75474217" w14:textId="77777777" w:rsidR="003635BA" w:rsidRPr="00F25DBA" w:rsidRDefault="003635BA" w:rsidP="00BE51E8">
            <w:pPr>
              <w:spacing w:line="288" w:lineRule="auto"/>
              <w:jc w:val="both"/>
            </w:pPr>
          </w:p>
          <w:p w14:paraId="47DD4023" w14:textId="77777777" w:rsidR="00BE51E8" w:rsidRPr="00BE51E8" w:rsidRDefault="00BE51E8" w:rsidP="00BE51E8">
            <w:pPr>
              <w:pStyle w:val="Pripombabesedilo"/>
              <w:spacing w:line="288" w:lineRule="auto"/>
              <w:jc w:val="both"/>
              <w:rPr>
                <w:szCs w:val="24"/>
              </w:rPr>
            </w:pPr>
            <w:r w:rsidRPr="00BE51E8">
              <w:rPr>
                <w:szCs w:val="24"/>
              </w:rPr>
              <w:lastRenderedPageBreak/>
              <w:t xml:space="preserve">Ocenjena vrednost projekta znaša 1.214.305 EUR, pri čemer so upravičeni stroški za konzorcij partnerjev ocenjeni v višini 1.194.335 EUR; od tega je udeležba MJU v višini 154.900 EUR brez DDV oz. 174.870 EUR z neupravičenimi stroški. </w:t>
            </w:r>
          </w:p>
          <w:p w14:paraId="6FCE93C1" w14:textId="77777777" w:rsidR="00BE51E8" w:rsidRDefault="00BE51E8" w:rsidP="00BE51E8">
            <w:pPr>
              <w:spacing w:line="288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788ADA93" w14:textId="34DC9ACB" w:rsidR="0077576C" w:rsidRPr="00923AE2" w:rsidRDefault="0077576C" w:rsidP="00BE51E8">
            <w:pPr>
              <w:spacing w:line="288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F25DBA">
              <w:rPr>
                <w:rFonts w:cs="Arial"/>
                <w:iCs/>
                <w:szCs w:val="20"/>
                <w:lang w:eastAsia="sl-SI"/>
              </w:rPr>
              <w:t xml:space="preserve">Projekt </w:t>
            </w:r>
            <w:r w:rsidR="00BE51E8">
              <w:rPr>
                <w:rFonts w:cs="Arial"/>
                <w:iCs/>
                <w:szCs w:val="20"/>
                <w:lang w:eastAsia="sl-SI"/>
              </w:rPr>
              <w:t>so</w:t>
            </w:r>
            <w:r w:rsidRPr="00F25DBA">
              <w:rPr>
                <w:rFonts w:cs="Arial"/>
                <w:iCs/>
                <w:szCs w:val="20"/>
                <w:lang w:eastAsia="sl-SI"/>
              </w:rPr>
              <w:t>financir</w:t>
            </w:r>
            <w:r w:rsidR="00BE51E8">
              <w:rPr>
                <w:rFonts w:cs="Arial"/>
                <w:iCs/>
                <w:szCs w:val="20"/>
                <w:lang w:eastAsia="sl-SI"/>
              </w:rPr>
              <w:t>a</w:t>
            </w:r>
            <w:r w:rsidRPr="00F25DBA">
              <w:rPr>
                <w:rFonts w:cs="Arial"/>
                <w:iCs/>
                <w:szCs w:val="20"/>
                <w:lang w:eastAsia="sl-SI"/>
              </w:rPr>
              <w:t xml:space="preserve"> Instrument za povezovanje Evrope (CEF) </w:t>
            </w:r>
            <w:r w:rsidR="00BE51E8">
              <w:rPr>
                <w:rFonts w:cs="Arial"/>
                <w:iCs/>
                <w:szCs w:val="20"/>
                <w:lang w:eastAsia="sl-SI"/>
              </w:rPr>
              <w:t xml:space="preserve">v višini </w:t>
            </w:r>
            <w:r w:rsidRPr="00F25DBA">
              <w:rPr>
                <w:rFonts w:cs="Arial"/>
                <w:iCs/>
                <w:szCs w:val="20"/>
                <w:lang w:eastAsia="sl-SI"/>
              </w:rPr>
              <w:t>75 % odobrene udeležbe</w:t>
            </w:r>
            <w:r w:rsidR="00923AE2">
              <w:rPr>
                <w:rFonts w:cs="Arial"/>
                <w:iCs/>
                <w:szCs w:val="20"/>
                <w:lang w:eastAsia="sl-SI"/>
              </w:rPr>
              <w:t xml:space="preserve"> (116.175 EUR)</w:t>
            </w:r>
            <w:r w:rsidRPr="00F25DBA">
              <w:rPr>
                <w:rFonts w:cs="Arial"/>
                <w:iCs/>
                <w:szCs w:val="20"/>
                <w:lang w:eastAsia="sl-SI"/>
              </w:rPr>
              <w:t xml:space="preserve">, 25 % pa zagotovi </w:t>
            </w:r>
            <w:r w:rsidR="00923AE2">
              <w:rPr>
                <w:rFonts w:cs="Arial"/>
                <w:iCs/>
                <w:szCs w:val="20"/>
                <w:lang w:eastAsia="sl-SI"/>
              </w:rPr>
              <w:t>Ministrstvo za javno upravo (38.725 EUR)</w:t>
            </w:r>
            <w:r w:rsidRPr="00F25DBA">
              <w:rPr>
                <w:rFonts w:cs="Arial"/>
                <w:iCs/>
                <w:szCs w:val="20"/>
                <w:lang w:eastAsia="sl-SI"/>
              </w:rPr>
              <w:t xml:space="preserve">. </w:t>
            </w:r>
            <w:r w:rsidRPr="00F25DBA">
              <w:rPr>
                <w:rFonts w:cs="Arial"/>
                <w:szCs w:val="20"/>
                <w:lang w:eastAsia="ar-SA"/>
              </w:rPr>
              <w:t xml:space="preserve">Dodatno </w:t>
            </w:r>
            <w:r w:rsidRPr="003635BA">
              <w:rPr>
                <w:rFonts w:cs="Arial"/>
                <w:szCs w:val="20"/>
                <w:lang w:eastAsia="ar-SA"/>
              </w:rPr>
              <w:t>mora ministrstvo kriti tudi strošek DDV-ja, saj ta v okviru projekta ni upravičen.</w:t>
            </w:r>
            <w:r w:rsidR="00923AE2">
              <w:rPr>
                <w:rFonts w:cs="Arial"/>
                <w:szCs w:val="20"/>
                <w:lang w:eastAsia="ar-SA"/>
              </w:rPr>
              <w:t xml:space="preserve"> DDV se obračuna na storitve zunanjega </w:t>
            </w:r>
            <w:r w:rsidR="00923AE2" w:rsidRPr="00923AE2">
              <w:rPr>
                <w:rFonts w:cs="Arial"/>
                <w:iCs/>
                <w:szCs w:val="20"/>
                <w:lang w:eastAsia="sl-SI"/>
              </w:rPr>
              <w:t xml:space="preserve">izvajanja ter </w:t>
            </w:r>
            <w:r w:rsidR="00923AE2">
              <w:rPr>
                <w:rFonts w:cs="Arial"/>
                <w:iCs/>
                <w:szCs w:val="20"/>
                <w:lang w:eastAsia="sl-SI"/>
              </w:rPr>
              <w:t>ostale neposredne stroške projekta</w:t>
            </w:r>
            <w:r w:rsidR="00BE51E8">
              <w:rPr>
                <w:rFonts w:cs="Arial"/>
                <w:iCs/>
                <w:szCs w:val="20"/>
                <w:lang w:eastAsia="sl-SI"/>
              </w:rPr>
              <w:t>.</w:t>
            </w:r>
            <w:r w:rsidR="00923AE2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BE51E8">
              <w:rPr>
                <w:rFonts w:cs="Arial"/>
                <w:iCs/>
                <w:szCs w:val="20"/>
                <w:lang w:eastAsia="sl-SI"/>
              </w:rPr>
              <w:t>O</w:t>
            </w:r>
            <w:r w:rsidR="00923AE2">
              <w:rPr>
                <w:rFonts w:cs="Arial"/>
                <w:iCs/>
                <w:szCs w:val="20"/>
                <w:lang w:eastAsia="sl-SI"/>
              </w:rPr>
              <w:t>cenjujemo</w:t>
            </w:r>
            <w:r w:rsidR="00BE51E8">
              <w:rPr>
                <w:rFonts w:cs="Arial"/>
                <w:iCs/>
                <w:szCs w:val="20"/>
                <w:lang w:eastAsia="sl-SI"/>
              </w:rPr>
              <w:t xml:space="preserve"> ga</w:t>
            </w:r>
            <w:r w:rsidR="00923AE2">
              <w:rPr>
                <w:rFonts w:cs="Arial"/>
                <w:iCs/>
                <w:szCs w:val="20"/>
                <w:lang w:eastAsia="sl-SI"/>
              </w:rPr>
              <w:t xml:space="preserve"> v višini 19.970 EUR. </w:t>
            </w:r>
          </w:p>
          <w:p w14:paraId="01F02E38" w14:textId="77777777" w:rsidR="0077576C" w:rsidRPr="00923AE2" w:rsidRDefault="0077576C" w:rsidP="00BE51E8">
            <w:pPr>
              <w:spacing w:line="288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5CC4707A" w14:textId="67093E20" w:rsidR="00BD26BA" w:rsidRPr="00923AE2" w:rsidRDefault="0077576C" w:rsidP="00BE51E8">
            <w:pPr>
              <w:spacing w:line="288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923AE2">
              <w:rPr>
                <w:rFonts w:cs="Arial"/>
                <w:iCs/>
                <w:szCs w:val="20"/>
                <w:lang w:eastAsia="sl-SI"/>
              </w:rPr>
              <w:t xml:space="preserve">V projekt </w:t>
            </w:r>
            <w:r w:rsidR="003635BA" w:rsidRPr="00923AE2">
              <w:rPr>
                <w:rFonts w:cs="Arial"/>
                <w:iCs/>
                <w:szCs w:val="20"/>
                <w:lang w:eastAsia="sl-SI"/>
              </w:rPr>
              <w:t>so vključeni štirje</w:t>
            </w:r>
            <w:r w:rsidRPr="00923AE2">
              <w:rPr>
                <w:rFonts w:cs="Arial"/>
                <w:iCs/>
                <w:szCs w:val="20"/>
                <w:lang w:eastAsia="sl-SI"/>
              </w:rPr>
              <w:t xml:space="preserve"> partnerj</w:t>
            </w:r>
            <w:r w:rsidR="003635BA" w:rsidRPr="00923AE2">
              <w:rPr>
                <w:rFonts w:cs="Arial"/>
                <w:iCs/>
                <w:szCs w:val="20"/>
                <w:lang w:eastAsia="sl-SI"/>
              </w:rPr>
              <w:t xml:space="preserve">i </w:t>
            </w:r>
            <w:r w:rsidRPr="00923AE2">
              <w:rPr>
                <w:rFonts w:cs="Arial"/>
                <w:iCs/>
                <w:szCs w:val="20"/>
                <w:lang w:eastAsia="sl-SI"/>
              </w:rPr>
              <w:t xml:space="preserve">iz </w:t>
            </w:r>
            <w:r w:rsidR="003635BA" w:rsidRPr="00923AE2">
              <w:rPr>
                <w:rFonts w:cs="Arial"/>
                <w:iCs/>
                <w:szCs w:val="20"/>
                <w:lang w:eastAsia="sl-SI"/>
              </w:rPr>
              <w:t>štirih</w:t>
            </w:r>
            <w:r w:rsidRPr="00923AE2">
              <w:rPr>
                <w:rFonts w:cs="Arial"/>
                <w:iCs/>
                <w:szCs w:val="20"/>
                <w:lang w:eastAsia="sl-SI"/>
              </w:rPr>
              <w:t xml:space="preserve"> različnih držav. Začetek projekta je določen s pogodbo o financiranju št. </w:t>
            </w:r>
            <w:r w:rsidR="003635BA" w:rsidRPr="00923AE2">
              <w:rPr>
                <w:rFonts w:cs="Arial"/>
                <w:iCs/>
                <w:szCs w:val="20"/>
                <w:lang w:eastAsia="sl-SI"/>
              </w:rPr>
              <w:t xml:space="preserve">INEA/CEF/ICT/A2018/1633489, ukrep 2018-EU-IA-0032 </w:t>
            </w:r>
            <w:r w:rsidRPr="00923AE2">
              <w:rPr>
                <w:rFonts w:cs="Arial"/>
                <w:iCs/>
                <w:szCs w:val="20"/>
                <w:lang w:eastAsia="sl-SI"/>
              </w:rPr>
              <w:t>z začetkom 1. 1. 201</w:t>
            </w:r>
            <w:r w:rsidR="003635BA" w:rsidRPr="00923AE2">
              <w:rPr>
                <w:rFonts w:cs="Arial"/>
                <w:iCs/>
                <w:szCs w:val="20"/>
                <w:lang w:eastAsia="sl-SI"/>
              </w:rPr>
              <w:t>9</w:t>
            </w:r>
            <w:r w:rsidRPr="00923AE2">
              <w:rPr>
                <w:rFonts w:cs="Arial"/>
                <w:iCs/>
                <w:szCs w:val="20"/>
                <w:lang w:eastAsia="sl-SI"/>
              </w:rPr>
              <w:t>.</w:t>
            </w:r>
          </w:p>
          <w:p w14:paraId="17E3629D" w14:textId="2B591202" w:rsidR="00BD26BA" w:rsidRPr="0077576C" w:rsidRDefault="00BD26BA" w:rsidP="00BE51E8">
            <w:pPr>
              <w:jc w:val="both"/>
              <w:rPr>
                <w:rFonts w:cs="Arial"/>
                <w:iCs/>
                <w:color w:val="FF0000"/>
                <w:szCs w:val="20"/>
                <w:lang w:eastAsia="sl-SI"/>
              </w:rPr>
            </w:pPr>
          </w:p>
        </w:tc>
      </w:tr>
      <w:tr w:rsidR="0077576C" w:rsidRPr="00AE1F83" w14:paraId="51ABEDD4" w14:textId="77777777" w:rsidTr="00AA2EE3">
        <w:tc>
          <w:tcPr>
            <w:tcW w:w="9072" w:type="dxa"/>
            <w:gridSpan w:val="15"/>
          </w:tcPr>
          <w:p w14:paraId="181AA801" w14:textId="77777777" w:rsidR="0077576C" w:rsidRPr="00AE1F83" w:rsidRDefault="0077576C" w:rsidP="0077576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77576C" w:rsidRPr="00AE1F83" w14:paraId="686BCB43" w14:textId="77777777" w:rsidTr="00F81335">
        <w:tc>
          <w:tcPr>
            <w:tcW w:w="1398" w:type="dxa"/>
          </w:tcPr>
          <w:p w14:paraId="4BCFB216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705" w:type="dxa"/>
            <w:gridSpan w:val="11"/>
          </w:tcPr>
          <w:p w14:paraId="79EFC82F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969" w:type="dxa"/>
            <w:gridSpan w:val="3"/>
            <w:vAlign w:val="center"/>
          </w:tcPr>
          <w:p w14:paraId="7EDFBD3D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7576C">
              <w:rPr>
                <w:rFonts w:cs="Arial"/>
                <w:b/>
                <w:szCs w:val="20"/>
                <w:lang w:eastAsia="sl-SI"/>
              </w:rPr>
              <w:t>DA</w:t>
            </w:r>
            <w:r w:rsidRPr="00AE1F83">
              <w:rPr>
                <w:rFonts w:cs="Arial"/>
                <w:szCs w:val="20"/>
                <w:lang w:eastAsia="sl-SI"/>
              </w:rPr>
              <w:t>/</w:t>
            </w:r>
            <w:r w:rsidRPr="0077576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7576C" w:rsidRPr="00AE1F83" w14:paraId="1BCC247F" w14:textId="77777777" w:rsidTr="00F81335">
        <w:tc>
          <w:tcPr>
            <w:tcW w:w="1398" w:type="dxa"/>
          </w:tcPr>
          <w:p w14:paraId="0A61BE2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705" w:type="dxa"/>
            <w:gridSpan w:val="11"/>
          </w:tcPr>
          <w:p w14:paraId="62C8BED3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1969" w:type="dxa"/>
            <w:gridSpan w:val="3"/>
            <w:vAlign w:val="center"/>
          </w:tcPr>
          <w:p w14:paraId="4A4D8AA1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5858F9FF" w14:textId="77777777" w:rsidTr="00F81335">
        <w:tc>
          <w:tcPr>
            <w:tcW w:w="1398" w:type="dxa"/>
          </w:tcPr>
          <w:p w14:paraId="01A0E61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705" w:type="dxa"/>
            <w:gridSpan w:val="11"/>
          </w:tcPr>
          <w:p w14:paraId="14A7E4EA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1969" w:type="dxa"/>
            <w:gridSpan w:val="3"/>
            <w:vAlign w:val="center"/>
          </w:tcPr>
          <w:p w14:paraId="08058F5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36A5A54E" w14:textId="77777777" w:rsidTr="00F81335">
        <w:tc>
          <w:tcPr>
            <w:tcW w:w="1398" w:type="dxa"/>
          </w:tcPr>
          <w:p w14:paraId="687B97B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705" w:type="dxa"/>
            <w:gridSpan w:val="11"/>
          </w:tcPr>
          <w:p w14:paraId="68785B8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969" w:type="dxa"/>
            <w:gridSpan w:val="3"/>
            <w:vAlign w:val="center"/>
          </w:tcPr>
          <w:p w14:paraId="6C5C93F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3ACEC1AC" w14:textId="77777777" w:rsidTr="00F81335">
        <w:tc>
          <w:tcPr>
            <w:tcW w:w="1398" w:type="dxa"/>
          </w:tcPr>
          <w:p w14:paraId="0BC35FE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705" w:type="dxa"/>
            <w:gridSpan w:val="11"/>
          </w:tcPr>
          <w:p w14:paraId="6142EE1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1969" w:type="dxa"/>
            <w:gridSpan w:val="3"/>
            <w:vAlign w:val="center"/>
          </w:tcPr>
          <w:p w14:paraId="5FB4EC01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35324B17" w14:textId="77777777" w:rsidTr="00F81335">
        <w:tc>
          <w:tcPr>
            <w:tcW w:w="1398" w:type="dxa"/>
          </w:tcPr>
          <w:p w14:paraId="28E8BF20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705" w:type="dxa"/>
            <w:gridSpan w:val="11"/>
          </w:tcPr>
          <w:p w14:paraId="03F8E7B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1969" w:type="dxa"/>
            <w:gridSpan w:val="3"/>
            <w:vAlign w:val="center"/>
          </w:tcPr>
          <w:p w14:paraId="7EDE676A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7AE71306" w14:textId="77777777" w:rsidTr="00F81335">
        <w:tc>
          <w:tcPr>
            <w:tcW w:w="1398" w:type="dxa"/>
            <w:tcBorders>
              <w:bottom w:val="single" w:sz="4" w:space="0" w:color="auto"/>
            </w:tcBorders>
          </w:tcPr>
          <w:p w14:paraId="65777550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705" w:type="dxa"/>
            <w:gridSpan w:val="11"/>
            <w:tcBorders>
              <w:bottom w:val="single" w:sz="4" w:space="0" w:color="auto"/>
            </w:tcBorders>
          </w:tcPr>
          <w:p w14:paraId="32DC749A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4E71F90F" w14:textId="77777777" w:rsidR="0077576C" w:rsidRPr="00AE1F83" w:rsidRDefault="0077576C" w:rsidP="007757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056C885F" w14:textId="77777777" w:rsidR="0077576C" w:rsidRPr="00AE1F83" w:rsidRDefault="0077576C" w:rsidP="007757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FB868C6" w14:textId="77777777" w:rsidR="0077576C" w:rsidRPr="00AE1F83" w:rsidRDefault="0077576C" w:rsidP="007757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vAlign w:val="center"/>
          </w:tcPr>
          <w:p w14:paraId="5098399D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5013C145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8F7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28824257" w14:textId="6256356A" w:rsidR="0077576C" w:rsidRPr="00F25DBA" w:rsidRDefault="0077576C" w:rsidP="00923AE2">
            <w:pPr>
              <w:spacing w:line="288" w:lineRule="auto"/>
              <w:jc w:val="both"/>
              <w:rPr>
                <w:rFonts w:cs="Arial"/>
                <w:szCs w:val="20"/>
                <w:lang w:eastAsia="ar-SA"/>
              </w:rPr>
            </w:pPr>
            <w:r w:rsidRPr="00F25DBA">
              <w:rPr>
                <w:rFonts w:cs="Arial"/>
                <w:szCs w:val="20"/>
                <w:lang w:eastAsia="ar-SA"/>
              </w:rPr>
              <w:t xml:space="preserve">Pri </w:t>
            </w:r>
            <w:r w:rsidR="00F25DBA" w:rsidRPr="00F25DBA">
              <w:rPr>
                <w:rFonts w:cs="Arial"/>
                <w:szCs w:val="20"/>
                <w:lang w:eastAsia="ar-SA"/>
              </w:rPr>
              <w:t>dvoletnih</w:t>
            </w:r>
            <w:r w:rsidRPr="00F25DBA">
              <w:rPr>
                <w:rFonts w:cs="Arial"/>
                <w:szCs w:val="20"/>
                <w:lang w:eastAsia="ar-SA"/>
              </w:rPr>
              <w:t xml:space="preserve"> CEF projektih </w:t>
            </w:r>
            <w:r w:rsidR="00F25DBA" w:rsidRPr="00F25DBA">
              <w:rPr>
                <w:rFonts w:cs="Arial"/>
                <w:szCs w:val="20"/>
                <w:lang w:eastAsia="ar-SA"/>
              </w:rPr>
              <w:t xml:space="preserve">je financiranje s strani financerja urejeno kot eno </w:t>
            </w:r>
            <w:proofErr w:type="spellStart"/>
            <w:r w:rsidRPr="00F25DBA">
              <w:rPr>
                <w:rFonts w:cs="Arial"/>
                <w:szCs w:val="20"/>
                <w:lang w:eastAsia="ar-SA"/>
              </w:rPr>
              <w:t>predfinanciranje</w:t>
            </w:r>
            <w:proofErr w:type="spellEnd"/>
            <w:r w:rsidRPr="00F25DBA">
              <w:rPr>
                <w:rFonts w:cs="Arial"/>
                <w:szCs w:val="20"/>
                <w:lang w:eastAsia="ar-SA"/>
              </w:rPr>
              <w:t xml:space="preserve"> </w:t>
            </w:r>
            <w:r w:rsidR="00F25DBA" w:rsidRPr="00F25DBA">
              <w:rPr>
                <w:rFonts w:cs="Arial"/>
                <w:szCs w:val="20"/>
                <w:lang w:eastAsia="ar-SA"/>
              </w:rPr>
              <w:t xml:space="preserve">v višini 50 % od odobrenih 75 % financiranja projekta, preostanek do sorazmernega dela realiziranih upravičenih stroškov pa financer nakaže po zaključku projekta. </w:t>
            </w:r>
            <w:r w:rsidRPr="00F25DBA">
              <w:rPr>
                <w:rFonts w:cs="Arial"/>
                <w:szCs w:val="20"/>
                <w:lang w:eastAsia="ar-SA"/>
              </w:rPr>
              <w:t>Sredstva tako pričakujemo konec leta 20</w:t>
            </w:r>
            <w:r w:rsidR="00F25DBA" w:rsidRPr="00F25DBA">
              <w:rPr>
                <w:rFonts w:cs="Arial"/>
                <w:szCs w:val="20"/>
                <w:lang w:eastAsia="ar-SA"/>
              </w:rPr>
              <w:t>21</w:t>
            </w:r>
            <w:r w:rsidRPr="00F25DBA">
              <w:rPr>
                <w:rFonts w:cs="Arial"/>
                <w:szCs w:val="20"/>
                <w:lang w:eastAsia="ar-SA"/>
              </w:rPr>
              <w:t xml:space="preserve">. </w:t>
            </w:r>
          </w:p>
          <w:p w14:paraId="14DB7F5B" w14:textId="77777777" w:rsidR="0077576C" w:rsidRDefault="0077576C" w:rsidP="00923A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09683BC4" w14:textId="277C8FA5" w:rsidR="00923AE2" w:rsidRDefault="00923AE2" w:rsidP="00923A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Udeležba Ministrstva za javno upravo v projektu znaša 154.900 EUR brez DDV, saj t</w:t>
            </w:r>
            <w:r w:rsidR="00BE51E8">
              <w:rPr>
                <w:rFonts w:cs="Arial"/>
                <w:szCs w:val="20"/>
                <w:lang w:eastAsia="sl-SI"/>
              </w:rPr>
              <w:t>a</w:t>
            </w:r>
            <w:r>
              <w:rPr>
                <w:rFonts w:cs="Arial"/>
                <w:szCs w:val="20"/>
                <w:lang w:eastAsia="sl-SI"/>
              </w:rPr>
              <w:t xml:space="preserve"> ni upravičen strošek projekta. Financer izvajalska agencija INEA bo za izvedbo projekta prispevala 116.175 EUR, Ministrstvo za javno upravo pa bo sofinanciralo projekt v višini 38.725 EUR ter dodatno krilo stroške davka na dodano vrednost, ki ga ocenjujemo v višini 19.970 EUR.</w:t>
            </w:r>
          </w:p>
          <w:p w14:paraId="16BCB672" w14:textId="60AFF9C5" w:rsidR="00923AE2" w:rsidRDefault="00923AE2" w:rsidP="00923A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13CE5E65" w14:textId="30C67211" w:rsidR="00923AE2" w:rsidRDefault="00923AE2" w:rsidP="005702DC">
            <w:pPr>
              <w:widowControl w:val="0"/>
              <w:tabs>
                <w:tab w:val="left" w:pos="360"/>
              </w:tabs>
              <w:spacing w:line="260" w:lineRule="exact"/>
              <w:jc w:val="both"/>
              <w:outlineLvl w:val="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sl-SI"/>
              </w:rPr>
              <w:t xml:space="preserve">Pravice porabe za izvedbo projekta v letu 2019 bodo zagotovljene s prerazporeditvijo </w:t>
            </w:r>
            <w:r w:rsidR="00BE51E8">
              <w:rPr>
                <w:rFonts w:cs="Arial"/>
                <w:szCs w:val="20"/>
                <w:lang w:eastAsia="sl-SI"/>
              </w:rPr>
              <w:t>z</w:t>
            </w:r>
            <w:r>
              <w:rPr>
                <w:rFonts w:cs="Arial"/>
                <w:szCs w:val="20"/>
                <w:lang w:eastAsia="sl-SI"/>
              </w:rPr>
              <w:t xml:space="preserve"> evidenčnega projekta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3130-18-0004 Centralizirani in drugi programi EU 14-20, in sicer s proračunske postavke 180067 </w:t>
            </w: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EU v višini </w:t>
            </w:r>
            <w:r w:rsidRPr="00D36379">
              <w:rPr>
                <w:rFonts w:cs="Arial"/>
                <w:szCs w:val="20"/>
                <w:lang w:eastAsia="ar-SA"/>
              </w:rPr>
              <w:t xml:space="preserve">63.982,50 </w:t>
            </w:r>
            <w:r w:rsidRPr="00D36379">
              <w:t>EUR</w:t>
            </w:r>
            <w:r>
              <w:t xml:space="preserve"> ter proračunske postavke 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180068 </w:t>
            </w: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– slovenska udeležba v višini </w:t>
            </w:r>
            <w:r w:rsidRPr="00D36379">
              <w:rPr>
                <w:rFonts w:cs="Arial"/>
                <w:szCs w:val="20"/>
                <w:lang w:eastAsia="ar-SA"/>
              </w:rPr>
              <w:t xml:space="preserve">33.727,50 </w:t>
            </w:r>
            <w:r w:rsidRPr="005E55BC">
              <w:rPr>
                <w:rFonts w:cs="Arial"/>
                <w:szCs w:val="20"/>
                <w:lang w:eastAsia="ar-SA"/>
              </w:rPr>
              <w:t>EUR</w:t>
            </w:r>
            <w:r>
              <w:rPr>
                <w:rFonts w:cs="Arial"/>
                <w:szCs w:val="20"/>
                <w:lang w:eastAsia="ar-SA"/>
              </w:rPr>
              <w:t>.</w:t>
            </w:r>
          </w:p>
          <w:p w14:paraId="441761E7" w14:textId="7EC983B3" w:rsidR="00923AE2" w:rsidRPr="00AE1F83" w:rsidRDefault="00923AE2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77576C" w:rsidRPr="00AE1F83" w14:paraId="586DC6EF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EA528E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F81335" w:rsidRPr="00AE1F83" w14:paraId="24FF0AAC" w14:textId="77777777" w:rsidTr="004E4E41"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A541" w14:textId="77777777" w:rsidR="0077576C" w:rsidRPr="00AE1F83" w:rsidRDefault="0077576C" w:rsidP="0077576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6DB3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69FB" w14:textId="77777777" w:rsidR="0077576C" w:rsidRPr="00C74978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</w:t>
            </w:r>
            <w:r w:rsidRPr="00C74978">
              <w:rPr>
                <w:rFonts w:cs="Arial"/>
                <w:kern w:val="32"/>
                <w:szCs w:val="20"/>
                <w:lang w:eastAsia="sl-SI"/>
              </w:rPr>
              <w:t>+1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8FC" w14:textId="77777777" w:rsidR="0077576C" w:rsidRPr="00C74978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 w:rsidRPr="00C74978">
              <w:rPr>
                <w:rFonts w:cs="Arial"/>
                <w:kern w:val="32"/>
                <w:szCs w:val="20"/>
                <w:lang w:eastAsia="sl-SI"/>
              </w:rPr>
              <w:t>t+2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AD7A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t+3</w:t>
            </w:r>
          </w:p>
        </w:tc>
      </w:tr>
      <w:tr w:rsidR="00F81335" w:rsidRPr="00AE1F83" w14:paraId="1125A91E" w14:textId="77777777" w:rsidTr="004E4E41"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2ACB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A46E" w14:textId="10758E16" w:rsidR="0077576C" w:rsidRPr="00AE1F83" w:rsidRDefault="0077576C" w:rsidP="004E4E41">
            <w:pPr>
              <w:widowControl w:val="0"/>
              <w:spacing w:line="260" w:lineRule="exact"/>
              <w:rPr>
                <w:rFonts w:cs="Arial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055F" w14:textId="6AD0A522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FA1" w14:textId="39D08B1C" w:rsidR="0077576C" w:rsidRPr="00AE1F83" w:rsidRDefault="0077576C" w:rsidP="00F81335">
            <w:pPr>
              <w:widowControl w:val="0"/>
              <w:spacing w:line="260" w:lineRule="exact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F78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2C735ABA" w14:textId="77777777" w:rsidTr="004E4E41"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920D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</w:t>
            </w:r>
            <w:r w:rsidRPr="00AE1F83">
              <w:rPr>
                <w:rFonts w:cs="Arial"/>
                <w:bCs/>
                <w:szCs w:val="20"/>
              </w:rPr>
              <w:lastRenderedPageBreak/>
              <w:t xml:space="preserve">občinskih proračunov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F8BA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E916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D1F3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32C4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1E48532D" w14:textId="77777777" w:rsidTr="004E4E41"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5D05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85A6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FC50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35B8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B792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12508751" w14:textId="77777777" w:rsidTr="004E4E41"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B7FE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286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640F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6425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D155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03316CA2" w14:textId="77777777" w:rsidTr="004E4E41"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F54F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AB18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97ED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41A1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91DC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77576C" w:rsidRPr="00AE1F83" w14:paraId="0633F172" w14:textId="77777777" w:rsidTr="00AA2EE3">
        <w:trPr>
          <w:trHeight w:val="291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212FD0" w14:textId="77777777" w:rsidR="0077576C" w:rsidRPr="00AE1F83" w:rsidRDefault="0077576C" w:rsidP="0077576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77576C" w:rsidRPr="00AE1F83" w14:paraId="670421E5" w14:textId="77777777" w:rsidTr="00AA2EE3">
        <w:trPr>
          <w:trHeight w:val="281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C25358" w14:textId="77777777" w:rsidR="0077576C" w:rsidRPr="00AE1F83" w:rsidRDefault="0077576C" w:rsidP="0077576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0A250A" w:rsidRPr="00AE1F83" w14:paraId="454D9DB9" w14:textId="77777777" w:rsidTr="004E4E41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409C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22A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8F4A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0644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642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A422B7" w:rsidRPr="00AE1F83" w14:paraId="09F3E493" w14:textId="77777777" w:rsidTr="004E4E41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A3B0" w14:textId="2B81C850" w:rsidR="00A422B7" w:rsidRPr="005E55B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MJU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97" w14:textId="77777777" w:rsidR="00A422B7" w:rsidRDefault="00A422B7" w:rsidP="00A422B7">
            <w:pPr>
              <w:rPr>
                <w:rFonts w:cs="Arial"/>
                <w:iCs/>
                <w:color w:val="000000"/>
              </w:rPr>
            </w:pPr>
            <w:r w:rsidRPr="00482AE0">
              <w:rPr>
                <w:rFonts w:cs="Arial"/>
                <w:iCs/>
                <w:color w:val="000000"/>
              </w:rPr>
              <w:t>3130-19-0008</w:t>
            </w:r>
            <w:r w:rsidRPr="00607AFA">
              <w:rPr>
                <w:rFonts w:cs="Arial"/>
                <w:iCs/>
                <w:color w:val="000000"/>
              </w:rPr>
              <w:t xml:space="preserve"> </w:t>
            </w:r>
          </w:p>
          <w:p w14:paraId="117C5581" w14:textId="77777777" w:rsidR="00A422B7" w:rsidRPr="005E55BC" w:rsidRDefault="00A422B7" w:rsidP="00A422B7">
            <w:pPr>
              <w:rPr>
                <w:lang w:eastAsia="sl-SI"/>
              </w:rPr>
            </w:pPr>
          </w:p>
          <w:p w14:paraId="599C7CD7" w14:textId="69E8F481" w:rsidR="00A422B7" w:rsidRPr="005E55B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ar-SA"/>
              </w:rPr>
              <w:t>e-Pooblaščanje</w:t>
            </w:r>
            <w:r w:rsidRPr="005E55BC">
              <w:rPr>
                <w:rFonts w:cs="Arial"/>
                <w:szCs w:val="20"/>
                <w:lang w:eastAsia="ar-SA"/>
              </w:rPr>
              <w:t xml:space="preserve"> (</w:t>
            </w:r>
            <w:r>
              <w:rPr>
                <w:rFonts w:cs="Arial"/>
                <w:szCs w:val="20"/>
                <w:lang w:eastAsia="ar-SA"/>
              </w:rPr>
              <w:t>SEMPER</w:t>
            </w:r>
            <w:r w:rsidRPr="005E55BC">
              <w:rPr>
                <w:rFonts w:cs="Arial"/>
                <w:szCs w:val="20"/>
                <w:lang w:eastAsia="ar-SA"/>
              </w:rPr>
              <w:t>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1696" w14:textId="7EFF50FD" w:rsidR="00A422B7" w:rsidRPr="00C25FEC" w:rsidRDefault="00A422B7" w:rsidP="00A422B7">
            <w:pPr>
              <w:pStyle w:val="Naslov1"/>
              <w:rPr>
                <w:color w:val="auto"/>
              </w:rPr>
            </w:pPr>
            <w:r w:rsidRPr="00C25FEC">
              <w:rPr>
                <w:color w:val="auto"/>
              </w:rPr>
              <w:t>PP 190010</w:t>
            </w:r>
          </w:p>
          <w:p w14:paraId="1F273EB4" w14:textId="77777777" w:rsidR="00A422B7" w:rsidRPr="00C25FEC" w:rsidRDefault="00A422B7" w:rsidP="00A422B7">
            <w:pPr>
              <w:pStyle w:val="Naslov1"/>
              <w:rPr>
                <w:color w:val="auto"/>
              </w:rPr>
            </w:pPr>
          </w:p>
          <w:p w14:paraId="636E1F24" w14:textId="7314153A" w:rsidR="00A422B7" w:rsidRPr="00C25FE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25FEC">
              <w:rPr>
                <w:bCs/>
                <w:lang w:eastAsia="ar-SA"/>
              </w:rPr>
              <w:t>Izvajanje projekta SEMPER – EU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C85" w14:textId="4EFC48B0" w:rsidR="00A422B7" w:rsidRPr="005E55B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0,00 EUR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5822" w14:textId="77777777" w:rsidR="00A422B7" w:rsidRPr="00AE1F83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A250A" w:rsidRPr="00AE1F83" w14:paraId="01EBCB99" w14:textId="77777777" w:rsidTr="004E4E41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952B" w14:textId="2CEE5CA0" w:rsidR="005E55BC" w:rsidRP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MJU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1E5" w14:textId="22AC194B" w:rsidR="005E55BC" w:rsidRDefault="00A422B7" w:rsidP="005E55BC">
            <w:pPr>
              <w:rPr>
                <w:rFonts w:cs="Arial"/>
                <w:iCs/>
                <w:color w:val="000000"/>
              </w:rPr>
            </w:pPr>
            <w:r w:rsidRPr="00482AE0">
              <w:rPr>
                <w:rFonts w:cs="Arial"/>
                <w:iCs/>
                <w:color w:val="000000"/>
              </w:rPr>
              <w:t>3130-19-0008</w:t>
            </w:r>
            <w:r w:rsidRPr="00607AFA">
              <w:rPr>
                <w:rFonts w:cs="Arial"/>
                <w:iCs/>
                <w:color w:val="000000"/>
              </w:rPr>
              <w:t xml:space="preserve"> </w:t>
            </w:r>
          </w:p>
          <w:p w14:paraId="3F5319E1" w14:textId="77777777" w:rsidR="00A422B7" w:rsidRPr="005E55BC" w:rsidRDefault="00A422B7" w:rsidP="005E55BC">
            <w:pPr>
              <w:rPr>
                <w:lang w:eastAsia="sl-SI"/>
              </w:rPr>
            </w:pPr>
          </w:p>
          <w:p w14:paraId="1B2B948D" w14:textId="156D1F75" w:rsidR="005E55BC" w:rsidRPr="005E55BC" w:rsidRDefault="0097570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ar-SA"/>
              </w:rPr>
              <w:t>e-Pooblaščanje</w:t>
            </w:r>
            <w:r w:rsidRPr="005E55BC">
              <w:rPr>
                <w:rFonts w:cs="Arial"/>
                <w:szCs w:val="20"/>
                <w:lang w:eastAsia="ar-SA"/>
              </w:rPr>
              <w:t xml:space="preserve"> (</w:t>
            </w:r>
            <w:r>
              <w:rPr>
                <w:rFonts w:cs="Arial"/>
                <w:szCs w:val="20"/>
                <w:lang w:eastAsia="ar-SA"/>
              </w:rPr>
              <w:t>SEMPER</w:t>
            </w:r>
            <w:r w:rsidRPr="005E55BC">
              <w:rPr>
                <w:rFonts w:cs="Arial"/>
                <w:szCs w:val="20"/>
                <w:lang w:eastAsia="ar-SA"/>
              </w:rPr>
              <w:t>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343" w14:textId="45B61294" w:rsidR="005E55BC" w:rsidRPr="00C25FEC" w:rsidRDefault="005E55BC" w:rsidP="0097570D">
            <w:pPr>
              <w:pStyle w:val="Naslov1"/>
              <w:rPr>
                <w:color w:val="auto"/>
              </w:rPr>
            </w:pPr>
            <w:r w:rsidRPr="00C25FEC">
              <w:rPr>
                <w:color w:val="auto"/>
              </w:rPr>
              <w:t>PP 190011</w:t>
            </w:r>
          </w:p>
          <w:p w14:paraId="22392A23" w14:textId="77777777" w:rsidR="005E55BC" w:rsidRPr="00C25FEC" w:rsidRDefault="005E55BC" w:rsidP="005E55BC">
            <w:pPr>
              <w:rPr>
                <w:lang w:eastAsia="ar-SA"/>
              </w:rPr>
            </w:pPr>
          </w:p>
          <w:p w14:paraId="71EE977F" w14:textId="369075AD" w:rsidR="005E55BC" w:rsidRPr="00C25FE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25FEC">
              <w:rPr>
                <w:bCs/>
                <w:lang w:eastAsia="ar-SA"/>
              </w:rPr>
              <w:t>Izvajanje projekta SEMPER – slovenska udeležba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EC4" w14:textId="3F7D6A2B" w:rsidR="005E55BC" w:rsidRP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0,00 EUR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A50" w14:textId="77777777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E55BC" w:rsidRPr="00AE1F83" w14:paraId="41FEC0D6" w14:textId="77777777" w:rsidTr="004E4E41"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5BDC" w14:textId="77777777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F85D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F8C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48ED7261" w14:textId="77777777" w:rsidTr="00AA2EE3">
        <w:trPr>
          <w:trHeight w:val="379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38A3B6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81335" w:rsidRPr="00AE1F83" w14:paraId="029B4EB5" w14:textId="77777777" w:rsidTr="00F81335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D757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839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09A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C8C4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0993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F81335" w:rsidRPr="00AE1F83" w14:paraId="1EF1E8DD" w14:textId="77777777" w:rsidTr="00F81335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2470" w14:textId="0A67DEAC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t>MJU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3C2E" w14:textId="1EAE1698" w:rsid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3130-18-0004</w:t>
            </w:r>
          </w:p>
          <w:p w14:paraId="17A58E80" w14:textId="77777777" w:rsidR="000A250A" w:rsidRDefault="000A250A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36E57BD8" w14:textId="41095927" w:rsidR="000A250A" w:rsidRDefault="000A250A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Centralizirani in drugi programi EU 14-20</w:t>
            </w:r>
          </w:p>
          <w:p w14:paraId="47AD9662" w14:textId="040E32B8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937A" w14:textId="77777777" w:rsid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180067</w:t>
            </w:r>
          </w:p>
          <w:p w14:paraId="696F1932" w14:textId="21D5A20A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EU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D12" w14:textId="6262D388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36379">
              <w:rPr>
                <w:rFonts w:cs="Arial"/>
                <w:szCs w:val="20"/>
                <w:lang w:eastAsia="ar-SA"/>
              </w:rPr>
              <w:t xml:space="preserve">63.982,50 </w:t>
            </w:r>
            <w:r w:rsidRPr="00D36379"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9AE" w14:textId="44957A03" w:rsidR="005E55BC" w:rsidRPr="00AE1F83" w:rsidRDefault="00F44B9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48.982,50 EUR</w:t>
            </w:r>
          </w:p>
        </w:tc>
      </w:tr>
      <w:tr w:rsidR="00F81335" w:rsidRPr="00F44B9D" w14:paraId="20435E2D" w14:textId="77777777" w:rsidTr="00F81335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3B7B" w14:textId="4DD61C70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t>MJU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4679" w14:textId="77777777" w:rsidR="000A250A" w:rsidRDefault="000A250A" w:rsidP="000A250A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3130-18-0004</w:t>
            </w:r>
          </w:p>
          <w:p w14:paraId="4D6C5770" w14:textId="77777777" w:rsidR="000A250A" w:rsidRDefault="000A250A" w:rsidP="000A250A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50634877" w14:textId="77777777" w:rsidR="000A250A" w:rsidRDefault="000A250A" w:rsidP="000A250A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Centralizirani in drugi programi EU 14-20</w:t>
            </w:r>
          </w:p>
          <w:p w14:paraId="4919A551" w14:textId="77777777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5E1E" w14:textId="1243F4B9" w:rsid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180068</w:t>
            </w:r>
          </w:p>
          <w:p w14:paraId="77E7E0C6" w14:textId="0654F088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– slovenska udeležba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BA4E" w14:textId="77777777" w:rsidR="005E55BC" w:rsidRPr="00D36379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  <w:lang w:eastAsia="ar-SA"/>
              </w:rPr>
            </w:pPr>
            <w:r w:rsidRPr="00D36379">
              <w:rPr>
                <w:rFonts w:cs="Arial"/>
                <w:szCs w:val="20"/>
                <w:lang w:eastAsia="ar-SA"/>
              </w:rPr>
              <w:t xml:space="preserve">33.727,50 </w:t>
            </w:r>
            <w:r w:rsidRPr="005E55BC">
              <w:rPr>
                <w:rFonts w:cs="Arial"/>
                <w:szCs w:val="20"/>
                <w:lang w:eastAsia="ar-SA"/>
              </w:rPr>
              <w:t>EUR</w:t>
            </w:r>
          </w:p>
          <w:p w14:paraId="15A70FA8" w14:textId="77777777" w:rsidR="005E55BC" w:rsidRP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E02" w14:textId="77777777" w:rsidR="005E55BC" w:rsidRDefault="00F44B9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  <w:lang w:eastAsia="ar-SA"/>
              </w:rPr>
            </w:pPr>
            <w:r w:rsidRPr="00F44B9D">
              <w:rPr>
                <w:rFonts w:cs="Arial"/>
                <w:szCs w:val="20"/>
                <w:lang w:eastAsia="ar-SA"/>
              </w:rPr>
              <w:t>23.697,50 EUR</w:t>
            </w:r>
          </w:p>
          <w:p w14:paraId="45106018" w14:textId="76EB3350" w:rsidR="00F44B9D" w:rsidRPr="00F44B9D" w:rsidRDefault="00F44B9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szCs w:val="20"/>
                <w:lang w:eastAsia="ar-SA"/>
              </w:rPr>
            </w:pPr>
          </w:p>
        </w:tc>
      </w:tr>
      <w:tr w:rsidR="005E55BC" w:rsidRPr="00AE1F83" w14:paraId="1244A4A4" w14:textId="77777777" w:rsidTr="00F81335">
        <w:tc>
          <w:tcPr>
            <w:tcW w:w="5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9593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0F35" w14:textId="297573CE" w:rsidR="005E55BC" w:rsidRPr="00AE1F83" w:rsidRDefault="004E4E41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b/>
                <w:kern w:val="32"/>
                <w:szCs w:val="20"/>
                <w:lang w:eastAsia="sl-SI"/>
              </w:rPr>
              <w:t>97.710,00 EUR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1FD2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6355A026" w14:textId="77777777" w:rsidTr="00AA2EE3">
        <w:trPr>
          <w:trHeight w:val="397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6CE9E3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E55BC" w:rsidRPr="00AE1F83" w14:paraId="799CC870" w14:textId="77777777" w:rsidTr="00F81335"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C737" w14:textId="77777777" w:rsidR="005E55BC" w:rsidRPr="00AE1F83" w:rsidRDefault="005E55BC" w:rsidP="005E55B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B05" w14:textId="77777777" w:rsidR="005E55BC" w:rsidRPr="00AE1F83" w:rsidRDefault="005E55BC" w:rsidP="005E55B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5A30" w14:textId="77777777" w:rsidR="005E55BC" w:rsidRPr="00AE1F83" w:rsidRDefault="005E55BC" w:rsidP="005E55B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5E55BC" w:rsidRPr="00AE1F83" w14:paraId="37B62A89" w14:textId="77777777" w:rsidTr="00F81335"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6B33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366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F411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3C738663" w14:textId="77777777" w:rsidTr="00F81335"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512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26E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EF92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268C897E" w14:textId="77777777" w:rsidTr="00F81335"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4F58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278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4B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03AE2318" w14:textId="77777777" w:rsidTr="00F81335"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67BC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3A4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1D99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41508A6D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FF26" w14:textId="77777777" w:rsidR="005E55BC" w:rsidRPr="00AE1F83" w:rsidRDefault="005E55BC" w:rsidP="005E55BC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OBRAZLOŽITEV:</w:t>
            </w:r>
          </w:p>
          <w:p w14:paraId="6B3D2DD1" w14:textId="77777777" w:rsidR="005E55BC" w:rsidRPr="00AE1F83" w:rsidRDefault="005E55BC" w:rsidP="005E55B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2513A30A" w14:textId="77777777" w:rsidR="005E55BC" w:rsidRPr="00AE1F83" w:rsidRDefault="005E55BC" w:rsidP="005E55BC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7D6270B3" w14:textId="77777777" w:rsidR="005E55BC" w:rsidRPr="00AE1F83" w:rsidRDefault="005E55BC" w:rsidP="005E55B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48A7A77" w14:textId="77777777" w:rsidR="005E55BC" w:rsidRPr="00AE1F83" w:rsidRDefault="005E55BC" w:rsidP="005E55B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F88EF64" w14:textId="77777777" w:rsidR="005E55BC" w:rsidRPr="00AE1F83" w:rsidRDefault="005E55BC" w:rsidP="005E55B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13547FBC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14:paraId="2BB50FD0" w14:textId="77777777" w:rsidR="005E55BC" w:rsidRPr="00AE1F83" w:rsidRDefault="005E55BC" w:rsidP="005E55B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C2C6119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D95E150" w14:textId="77777777" w:rsidR="005E55BC" w:rsidRPr="00AE1F83" w:rsidRDefault="005E55BC" w:rsidP="005E55BC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9F17CBF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04B9E8D" w14:textId="77777777" w:rsidR="005E55BC" w:rsidRPr="00AE1F83" w:rsidRDefault="005E55BC" w:rsidP="005E55B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200E6808" w14:textId="77777777" w:rsidR="005E55BC" w:rsidRPr="00AE1F83" w:rsidRDefault="005E55BC" w:rsidP="005E55B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3B9C875" w14:textId="77777777" w:rsidR="005E55BC" w:rsidRPr="00AE1F83" w:rsidRDefault="005E55BC" w:rsidP="005E55B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694C0A44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532C3C6" w14:textId="77777777" w:rsidR="005E55BC" w:rsidRPr="00AE1F83" w:rsidRDefault="005E55BC" w:rsidP="005E55BC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78D3A14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6FF9DF1D" w14:textId="77777777" w:rsidR="005E55BC" w:rsidRPr="00AE1F83" w:rsidRDefault="005E55BC" w:rsidP="005E55BC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FF1512C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7C3E5B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307E3DD0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57C" w14:textId="77777777" w:rsidR="005E55BC" w:rsidRPr="00AE1F83" w:rsidRDefault="005E55BC" w:rsidP="005E55BC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7E6B405F" w14:textId="77777777" w:rsidR="005E55BC" w:rsidRPr="00E13397" w:rsidRDefault="005E55BC" w:rsidP="005E55BC">
            <w:pPr>
              <w:spacing w:line="260" w:lineRule="exact"/>
              <w:rPr>
                <w:rFonts w:cs="Arial"/>
                <w:szCs w:val="20"/>
              </w:rPr>
            </w:pPr>
            <w:r w:rsidRPr="00E13397">
              <w:rPr>
                <w:rFonts w:cs="Arial"/>
                <w:szCs w:val="20"/>
              </w:rPr>
              <w:t>Gradivo nima finančnih posledic.</w:t>
            </w:r>
          </w:p>
          <w:p w14:paraId="739183E8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5E55BC" w:rsidRPr="00AE1F83" w14:paraId="4B300067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901" w14:textId="77777777" w:rsidR="005E55BC" w:rsidRPr="00AE1F83" w:rsidRDefault="005E55BC" w:rsidP="005E55BC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E55BC" w:rsidRPr="00AE1F83" w14:paraId="08F7A835" w14:textId="77777777" w:rsidTr="00F81335"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EC5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1E50CCC2" w14:textId="77777777" w:rsidR="005E55BC" w:rsidRPr="00AE1F83" w:rsidRDefault="005E55BC" w:rsidP="005E55BC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1CCBE301" w14:textId="77777777" w:rsidR="005E55BC" w:rsidRPr="00AE1F83" w:rsidRDefault="005E55BC" w:rsidP="005E55BC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54D05D80" w14:textId="77777777" w:rsidR="005E55BC" w:rsidRPr="00E13397" w:rsidRDefault="005E55BC" w:rsidP="005E55BC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3EC" w14:textId="77777777" w:rsidR="005E55BC" w:rsidRPr="00AE1F83" w:rsidRDefault="005E55BC" w:rsidP="005E55BC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3201023F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A12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3D7AFC96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Skupnosti občin Slovenije SOS: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3238DB3D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občin Slovenije ZOS: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4A3F7758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lastRenderedPageBreak/>
              <w:t>Združenju mestnih občin Slovenije ZMOS: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7FD2500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255B779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6D6C7200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745E4A0E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604BF631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5D30A06C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2D873B48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7FA1026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0F4A573A" w14:textId="77777777" w:rsidR="005E55BC" w:rsidRPr="00AE1F83" w:rsidRDefault="005E55BC" w:rsidP="005E55BC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E55BC" w:rsidRPr="00AE1F83" w14:paraId="3CA271DC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EAE0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E55BC" w:rsidRPr="00AE1F83" w14:paraId="3DC32C23" w14:textId="77777777" w:rsidTr="00F81335"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0B6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D27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13397">
              <w:rPr>
                <w:rFonts w:cs="Arial"/>
                <w:szCs w:val="20"/>
                <w:lang w:eastAsia="sl-SI"/>
              </w:rPr>
              <w:t>DA</w:t>
            </w:r>
            <w:r w:rsidRPr="00AE1F83">
              <w:rPr>
                <w:rFonts w:cs="Arial"/>
                <w:szCs w:val="20"/>
                <w:lang w:eastAsia="sl-SI"/>
              </w:rPr>
              <w:t>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09B6807F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2AF" w14:textId="780EA2CD" w:rsidR="005E55BC" w:rsidRPr="00E13397" w:rsidRDefault="00012F2A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B2E83">
              <w:rPr>
                <w:iCs/>
                <w:szCs w:val="20"/>
              </w:rPr>
              <w:t>Gradivo ni bilo predhodno objavljeno na spletni strani predlagatelja, ker sodelovanje javnosti po mnenju organa ni potrebno.</w:t>
            </w:r>
          </w:p>
        </w:tc>
      </w:tr>
      <w:tr w:rsidR="005E55BC" w:rsidRPr="00AE1F83" w14:paraId="3DDDB828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F1A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0657BD4F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6F063066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5B7BBBCE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34E0A654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2959ABD9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70227AAC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5C90654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AE1F83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3C04A972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9E547A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0BFB2904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D613347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54F906CE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7086E8C5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029CC8E7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3D3F8C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5FC6A67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F8AB60D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4776F93F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A44CEA3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7CB81A81" w14:textId="77777777" w:rsidR="005E55BC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5E55BC" w:rsidRPr="00AE1F83" w14:paraId="1DB80EBC" w14:textId="77777777" w:rsidTr="00F81335">
        <w:tc>
          <w:tcPr>
            <w:tcW w:w="7103" w:type="dxa"/>
            <w:gridSpan w:val="12"/>
            <w:vAlign w:val="center"/>
          </w:tcPr>
          <w:p w14:paraId="7DEEA294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1969" w:type="dxa"/>
            <w:gridSpan w:val="3"/>
            <w:vAlign w:val="center"/>
          </w:tcPr>
          <w:p w14:paraId="46E015F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39858A93" w14:textId="77777777" w:rsidTr="00F81335">
        <w:tc>
          <w:tcPr>
            <w:tcW w:w="7103" w:type="dxa"/>
            <w:gridSpan w:val="12"/>
            <w:vAlign w:val="center"/>
          </w:tcPr>
          <w:p w14:paraId="3919FFE4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1969" w:type="dxa"/>
            <w:gridSpan w:val="3"/>
            <w:vAlign w:val="center"/>
          </w:tcPr>
          <w:p w14:paraId="357A8D25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3A2DA145" w14:textId="77777777" w:rsidTr="00AA2EE3"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3D7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5AFA3229" w14:textId="77777777" w:rsidR="005E55BC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42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Rudi Medved</w:t>
            </w:r>
          </w:p>
          <w:p w14:paraId="4B632DAE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707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</w:t>
            </w:r>
          </w:p>
          <w:p w14:paraId="36DC3D6F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039094A9" w14:textId="77777777" w:rsidR="00B34211" w:rsidRDefault="00B34211" w:rsidP="00B34211">
      <w:pPr>
        <w:spacing w:line="260" w:lineRule="exact"/>
      </w:pPr>
    </w:p>
    <w:p w14:paraId="5CA3BA89" w14:textId="77777777" w:rsidR="00B34211" w:rsidRDefault="00B34211" w:rsidP="00B34211">
      <w:pPr>
        <w:spacing w:line="260" w:lineRule="exact"/>
      </w:pPr>
    </w:p>
    <w:p w14:paraId="1037FAE1" w14:textId="77777777" w:rsidR="00B34211" w:rsidRDefault="00B34211" w:rsidP="00B34211">
      <w:pPr>
        <w:spacing w:line="260" w:lineRule="exact"/>
      </w:pPr>
      <w:r>
        <w:t>Priloga:</w:t>
      </w:r>
    </w:p>
    <w:p w14:paraId="0F094CD6" w14:textId="1D697904" w:rsidR="00D74E10" w:rsidRPr="00012F2A" w:rsidRDefault="00CB248D" w:rsidP="005730E0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12F2A">
        <w:rPr>
          <w:rFonts w:ascii="Arial" w:hAnsi="Arial" w:cs="Arial"/>
          <w:sz w:val="20"/>
          <w:szCs w:val="20"/>
        </w:rPr>
        <w:t xml:space="preserve">Priloga </w:t>
      </w:r>
      <w:r w:rsidR="004570A5">
        <w:rPr>
          <w:rFonts w:ascii="Arial" w:hAnsi="Arial" w:cs="Arial"/>
          <w:sz w:val="20"/>
          <w:szCs w:val="20"/>
        </w:rPr>
        <w:t>1</w:t>
      </w:r>
      <w:r w:rsidRPr="00012F2A">
        <w:rPr>
          <w:rFonts w:ascii="Arial" w:hAnsi="Arial" w:cs="Arial"/>
          <w:sz w:val="20"/>
          <w:szCs w:val="20"/>
        </w:rPr>
        <w:t xml:space="preserve">: </w:t>
      </w:r>
      <w:r w:rsidR="00012F2A" w:rsidRPr="00012F2A">
        <w:rPr>
          <w:rFonts w:ascii="Arial" w:hAnsi="Arial" w:cs="Arial"/>
          <w:sz w:val="20"/>
          <w:szCs w:val="20"/>
        </w:rPr>
        <w:t>obrazložitev</w:t>
      </w:r>
    </w:p>
    <w:p w14:paraId="76AF1DC0" w14:textId="0D686ED4" w:rsidR="00974C84" w:rsidRPr="0012106F" w:rsidRDefault="00B34211" w:rsidP="003F6862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Cs w:val="20"/>
        </w:rPr>
      </w:pPr>
      <w:r>
        <w:br w:type="page"/>
      </w:r>
    </w:p>
    <w:p w14:paraId="08AAACD4" w14:textId="28775659" w:rsidR="002C0611" w:rsidRDefault="002C0611" w:rsidP="002C0611">
      <w:pPr>
        <w:spacing w:line="260" w:lineRule="exact"/>
        <w:jc w:val="right"/>
        <w:rPr>
          <w:rFonts w:cs="Arial"/>
          <w:szCs w:val="20"/>
        </w:rPr>
      </w:pPr>
      <w:bookmarkStart w:id="1" w:name="_Hlk531679566"/>
      <w:r>
        <w:rPr>
          <w:rFonts w:cs="Arial"/>
          <w:szCs w:val="20"/>
        </w:rPr>
        <w:lastRenderedPageBreak/>
        <w:t xml:space="preserve">PRILOGA </w:t>
      </w:r>
      <w:r w:rsidR="004570A5">
        <w:rPr>
          <w:rFonts w:cs="Arial"/>
          <w:szCs w:val="20"/>
        </w:rPr>
        <w:t>1</w:t>
      </w:r>
    </w:p>
    <w:p w14:paraId="4E5397FC" w14:textId="77777777" w:rsidR="002C0611" w:rsidRDefault="002C0611" w:rsidP="00195631">
      <w:pPr>
        <w:spacing w:line="288" w:lineRule="auto"/>
        <w:jc w:val="right"/>
        <w:rPr>
          <w:rFonts w:cs="Arial"/>
          <w:szCs w:val="20"/>
        </w:rPr>
      </w:pPr>
    </w:p>
    <w:bookmarkEnd w:id="1"/>
    <w:p w14:paraId="1B54964E" w14:textId="77777777" w:rsidR="00F037C1" w:rsidRDefault="00F037C1" w:rsidP="00195631">
      <w:pPr>
        <w:spacing w:line="288" w:lineRule="auto"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Ministrstvo za javno upravo (v nadaljevanju: MJU) je partner v mednarodnem konzorciju štirih projektnih partnerjev iz Avstrije, Španije, Nizozemske in Slovenije. Mednarodni konzorcij je v okviru CEF mehanizma prijavil projekt »</w:t>
      </w:r>
      <w:r w:rsidRPr="00A431BC">
        <w:rPr>
          <w:i/>
        </w:rPr>
        <w:t xml:space="preserve">SEMPER – </w:t>
      </w:r>
      <w:proofErr w:type="spellStart"/>
      <w:r w:rsidRPr="00A431BC">
        <w:rPr>
          <w:i/>
        </w:rPr>
        <w:t>Cross-border</w:t>
      </w:r>
      <w:proofErr w:type="spellEnd"/>
      <w:r w:rsidRPr="00A431BC">
        <w:rPr>
          <w:i/>
        </w:rPr>
        <w:t xml:space="preserve"> </w:t>
      </w:r>
      <w:proofErr w:type="spellStart"/>
      <w:r w:rsidRPr="00A431BC">
        <w:rPr>
          <w:i/>
        </w:rPr>
        <w:t>Semantic</w:t>
      </w:r>
      <w:proofErr w:type="spellEnd"/>
      <w:r w:rsidRPr="00A431BC">
        <w:rPr>
          <w:i/>
        </w:rPr>
        <w:t xml:space="preserve"> </w:t>
      </w:r>
      <w:proofErr w:type="spellStart"/>
      <w:r w:rsidRPr="00A431BC">
        <w:rPr>
          <w:i/>
        </w:rPr>
        <w:t>Interoperability</w:t>
      </w:r>
      <w:proofErr w:type="spellEnd"/>
      <w:r w:rsidRPr="00A431BC">
        <w:rPr>
          <w:i/>
        </w:rPr>
        <w:t xml:space="preserve"> </w:t>
      </w:r>
      <w:proofErr w:type="spellStart"/>
      <w:r w:rsidRPr="00A431BC">
        <w:rPr>
          <w:i/>
        </w:rPr>
        <w:t>of</w:t>
      </w:r>
      <w:proofErr w:type="spellEnd"/>
      <w:r w:rsidRPr="00A431BC">
        <w:rPr>
          <w:i/>
        </w:rPr>
        <w:t xml:space="preserve"> </w:t>
      </w:r>
      <w:proofErr w:type="spellStart"/>
      <w:r w:rsidRPr="00195631">
        <w:rPr>
          <w:rFonts w:cs="Arial"/>
          <w:szCs w:val="20"/>
          <w:lang w:eastAsia="ar-SA"/>
        </w:rPr>
        <w:t>power</w:t>
      </w:r>
      <w:proofErr w:type="spellEnd"/>
      <w:r w:rsidRPr="00195631">
        <w:rPr>
          <w:rFonts w:cs="Arial"/>
          <w:szCs w:val="20"/>
          <w:lang w:eastAsia="ar-SA"/>
        </w:rPr>
        <w:t xml:space="preserve"> </w:t>
      </w:r>
      <w:proofErr w:type="spellStart"/>
      <w:r w:rsidRPr="00195631">
        <w:rPr>
          <w:rFonts w:cs="Arial"/>
          <w:szCs w:val="20"/>
          <w:lang w:eastAsia="ar-SA"/>
        </w:rPr>
        <w:t>and</w:t>
      </w:r>
      <w:proofErr w:type="spellEnd"/>
      <w:r w:rsidRPr="00195631">
        <w:rPr>
          <w:rFonts w:cs="Arial"/>
          <w:szCs w:val="20"/>
          <w:lang w:eastAsia="ar-SA"/>
        </w:rPr>
        <w:t xml:space="preserve"> </w:t>
      </w:r>
      <w:proofErr w:type="spellStart"/>
      <w:r w:rsidRPr="00195631">
        <w:rPr>
          <w:rFonts w:cs="Arial"/>
          <w:szCs w:val="20"/>
          <w:lang w:eastAsia="ar-SA"/>
        </w:rPr>
        <w:t>mandates</w:t>
      </w:r>
      <w:proofErr w:type="spellEnd"/>
      <w:r>
        <w:rPr>
          <w:rFonts w:cs="Arial"/>
          <w:szCs w:val="20"/>
          <w:lang w:eastAsia="ar-SA"/>
        </w:rPr>
        <w:t>« (v nadaljevanju: projekt SEMPER) v trajanju 24 mesecev, ki je pridobil nepovratna sredstva v višini 75 %, 25 % pa krije vsak partner sam. Dodatno mora ministrstvo kriti tudi strošek DDV-ja, saj ta v okviru projekta ni upravičen.</w:t>
      </w:r>
    </w:p>
    <w:p w14:paraId="1716FD17" w14:textId="77777777" w:rsidR="00F037C1" w:rsidRDefault="00F037C1" w:rsidP="00195631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67F80B28" w14:textId="3548480D" w:rsidR="00F037C1" w:rsidRPr="00823909" w:rsidRDefault="00F037C1" w:rsidP="00BE51E8">
      <w:pPr>
        <w:spacing w:line="288" w:lineRule="auto"/>
        <w:jc w:val="both"/>
        <w:rPr>
          <w:rFonts w:cs="Arial"/>
          <w:szCs w:val="20"/>
          <w:lang w:eastAsia="ar-SA"/>
        </w:rPr>
      </w:pPr>
      <w:r w:rsidRPr="00823909">
        <w:rPr>
          <w:rFonts w:cs="Arial"/>
          <w:szCs w:val="20"/>
          <w:lang w:eastAsia="ar-SA"/>
        </w:rPr>
        <w:t xml:space="preserve">Cilj </w:t>
      </w:r>
      <w:r w:rsidR="00195631">
        <w:rPr>
          <w:rFonts w:cs="Arial"/>
          <w:szCs w:val="20"/>
          <w:lang w:eastAsia="ar-SA"/>
        </w:rPr>
        <w:t xml:space="preserve">mednarodnega </w:t>
      </w:r>
      <w:r w:rsidRPr="00823909">
        <w:rPr>
          <w:rFonts w:cs="Arial"/>
          <w:szCs w:val="20"/>
          <w:lang w:eastAsia="ar-SA"/>
        </w:rPr>
        <w:t xml:space="preserve">projekta SEMPER je pokriti funkcionalnost pooblaščanja pri e-poslovanju v javni upravi. </w:t>
      </w:r>
      <w:r w:rsidR="00195631" w:rsidRPr="00195631">
        <w:rPr>
          <w:rFonts w:cs="Arial"/>
          <w:szCs w:val="20"/>
          <w:lang w:eastAsia="ar-SA"/>
        </w:rPr>
        <w:t xml:space="preserve">Evropska komisija je </w:t>
      </w:r>
      <w:r w:rsidR="00195631">
        <w:rPr>
          <w:rFonts w:cs="Arial"/>
          <w:szCs w:val="20"/>
          <w:lang w:eastAsia="ar-SA"/>
        </w:rPr>
        <w:t>to področje</w:t>
      </w:r>
      <w:r w:rsidR="00195631" w:rsidRPr="00195631">
        <w:rPr>
          <w:rFonts w:cs="Arial"/>
          <w:szCs w:val="20"/>
          <w:lang w:eastAsia="ar-SA"/>
        </w:rPr>
        <w:t xml:space="preserve"> razpisala, ker se zaveda, da to predstavlja manjkajoči </w:t>
      </w:r>
      <w:r w:rsidR="00195631">
        <w:rPr>
          <w:rFonts w:cs="Arial"/>
          <w:szCs w:val="20"/>
          <w:lang w:eastAsia="ar-SA"/>
        </w:rPr>
        <w:t>element</w:t>
      </w:r>
      <w:r w:rsidR="00195631" w:rsidRPr="00195631">
        <w:rPr>
          <w:rFonts w:cs="Arial"/>
          <w:szCs w:val="20"/>
          <w:lang w:eastAsia="ar-SA"/>
        </w:rPr>
        <w:t xml:space="preserve"> pri storitvah </w:t>
      </w:r>
      <w:proofErr w:type="spellStart"/>
      <w:r w:rsidR="00195631" w:rsidRPr="00195631">
        <w:rPr>
          <w:rFonts w:cs="Arial"/>
          <w:szCs w:val="20"/>
          <w:lang w:eastAsia="ar-SA"/>
        </w:rPr>
        <w:t>avtentikacije</w:t>
      </w:r>
      <w:proofErr w:type="spellEnd"/>
      <w:r w:rsidR="00195631" w:rsidRPr="00195631">
        <w:rPr>
          <w:rFonts w:cs="Arial"/>
          <w:szCs w:val="20"/>
          <w:lang w:eastAsia="ar-SA"/>
        </w:rPr>
        <w:t xml:space="preserve"> in storit</w:t>
      </w:r>
      <w:r w:rsidR="00195631">
        <w:rPr>
          <w:rFonts w:cs="Arial"/>
          <w:szCs w:val="20"/>
          <w:lang w:eastAsia="ar-SA"/>
        </w:rPr>
        <w:t>vah</w:t>
      </w:r>
      <w:r w:rsidR="00195631" w:rsidRPr="00195631">
        <w:rPr>
          <w:rFonts w:cs="Arial"/>
          <w:szCs w:val="20"/>
          <w:lang w:eastAsia="ar-SA"/>
        </w:rPr>
        <w:t xml:space="preserve"> zaupanja, ki jih sicer določa Uredba o e-identifikaciji in storitvah zaupanja na enotnem notranjem trgu </w:t>
      </w:r>
      <w:proofErr w:type="spellStart"/>
      <w:r w:rsidR="00195631" w:rsidRPr="00195631">
        <w:rPr>
          <w:rFonts w:cs="Arial"/>
          <w:szCs w:val="20"/>
          <w:lang w:eastAsia="ar-SA"/>
        </w:rPr>
        <w:t>eIDAS</w:t>
      </w:r>
      <w:proofErr w:type="spellEnd"/>
      <w:r w:rsidR="00195631" w:rsidRPr="00195631">
        <w:rPr>
          <w:rFonts w:cs="Arial"/>
          <w:szCs w:val="20"/>
          <w:lang w:eastAsia="ar-SA"/>
        </w:rPr>
        <w:t xml:space="preserve">. Pri </w:t>
      </w:r>
      <w:proofErr w:type="spellStart"/>
      <w:r w:rsidR="00195631" w:rsidRPr="00195631">
        <w:rPr>
          <w:rFonts w:cs="Arial"/>
          <w:szCs w:val="20"/>
          <w:lang w:eastAsia="ar-SA"/>
        </w:rPr>
        <w:t>avtentikaciji</w:t>
      </w:r>
      <w:proofErr w:type="spellEnd"/>
      <w:r w:rsidR="00195631" w:rsidRPr="00195631">
        <w:rPr>
          <w:rFonts w:cs="Arial"/>
          <w:szCs w:val="20"/>
          <w:lang w:eastAsia="ar-SA"/>
        </w:rPr>
        <w:t xml:space="preserve"> uporabnikov, tako domačih kot tudi tujih, zgolj osnovna identifikacija navadno ne zadošča</w:t>
      </w:r>
      <w:r w:rsidR="00195631">
        <w:rPr>
          <w:rFonts w:cs="Arial"/>
          <w:szCs w:val="20"/>
          <w:lang w:eastAsia="ar-SA"/>
        </w:rPr>
        <w:t xml:space="preserve">, saj je </w:t>
      </w:r>
      <w:r w:rsidR="00195631" w:rsidRPr="00195631">
        <w:rPr>
          <w:rFonts w:cs="Arial"/>
          <w:szCs w:val="20"/>
          <w:lang w:eastAsia="ar-SA"/>
        </w:rPr>
        <w:t>povezana z izmenjavo različnih atributov, na podlagi kater</w:t>
      </w:r>
      <w:r w:rsidR="00195631">
        <w:rPr>
          <w:rFonts w:cs="Arial"/>
          <w:szCs w:val="20"/>
          <w:lang w:eastAsia="ar-SA"/>
        </w:rPr>
        <w:t>ih</w:t>
      </w:r>
      <w:r w:rsidR="00195631" w:rsidRPr="00195631">
        <w:rPr>
          <w:rFonts w:cs="Arial"/>
          <w:szCs w:val="20"/>
          <w:lang w:eastAsia="ar-SA"/>
        </w:rPr>
        <w:t xml:space="preserve"> se lahko potem avtorizira dostop do nekih pravic uporabnika.</w:t>
      </w:r>
      <w:r w:rsidR="00195631">
        <w:rPr>
          <w:rFonts w:cs="Arial"/>
          <w:szCs w:val="20"/>
          <w:lang w:eastAsia="ar-SA"/>
        </w:rPr>
        <w:t xml:space="preserve"> Pri izvajanju projekta</w:t>
      </w:r>
      <w:r w:rsidRPr="00823909">
        <w:rPr>
          <w:rFonts w:cs="Arial"/>
          <w:szCs w:val="20"/>
          <w:lang w:eastAsia="ar-SA"/>
        </w:rPr>
        <w:t xml:space="preserve"> bodo </w:t>
      </w:r>
      <w:r w:rsidR="00B0661E">
        <w:rPr>
          <w:rFonts w:cs="Arial"/>
          <w:szCs w:val="20"/>
          <w:lang w:eastAsia="ar-SA"/>
        </w:rPr>
        <w:t>vključene storitve nacionalne</w:t>
      </w:r>
      <w:r w:rsidRPr="00823909">
        <w:rPr>
          <w:rFonts w:cs="Arial"/>
          <w:szCs w:val="20"/>
          <w:lang w:eastAsia="ar-SA"/>
        </w:rPr>
        <w:t xml:space="preserve"> točk</w:t>
      </w:r>
      <w:r w:rsidR="00B0661E">
        <w:rPr>
          <w:rFonts w:cs="Arial"/>
          <w:szCs w:val="20"/>
          <w:lang w:eastAsia="ar-SA"/>
        </w:rPr>
        <w:t>e</w:t>
      </w:r>
      <w:r w:rsidRPr="00823909">
        <w:rPr>
          <w:rFonts w:cs="Arial"/>
          <w:szCs w:val="20"/>
          <w:lang w:eastAsia="ar-SA"/>
        </w:rPr>
        <w:t xml:space="preserve"> za čezmejno </w:t>
      </w:r>
      <w:proofErr w:type="spellStart"/>
      <w:r w:rsidRPr="00823909">
        <w:rPr>
          <w:rFonts w:cs="Arial"/>
          <w:szCs w:val="20"/>
          <w:lang w:eastAsia="ar-SA"/>
        </w:rPr>
        <w:t>avtentikacijo</w:t>
      </w:r>
      <w:proofErr w:type="spellEnd"/>
      <w:r w:rsidRPr="00823909">
        <w:rPr>
          <w:rFonts w:cs="Arial"/>
          <w:szCs w:val="20"/>
          <w:lang w:eastAsia="ar-SA"/>
        </w:rPr>
        <w:t xml:space="preserve">, ponudnik ustreznih e-identitet in ponudniki storitev, na primer portali za državljane, podjetja. </w:t>
      </w:r>
    </w:p>
    <w:p w14:paraId="319F7F8F" w14:textId="77777777" w:rsidR="0040585D" w:rsidRDefault="0040585D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8FC2E78" w14:textId="3C12A061" w:rsidR="00F037C1" w:rsidRDefault="00F037C1" w:rsidP="00BE51E8">
      <w:pPr>
        <w:spacing w:line="288" w:lineRule="auto"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MJU bo aktivnosti izvajal v skladu s pogodbo o dodelitvi sredstev št. </w:t>
      </w:r>
      <w:r w:rsidRPr="00195631">
        <w:rPr>
          <w:rFonts w:cs="Arial"/>
          <w:szCs w:val="20"/>
          <w:lang w:eastAsia="ar-SA"/>
        </w:rPr>
        <w:t xml:space="preserve">INEA/CEF/ICT/A2018/1633489, UKREP 2018-EU-IA-0032 </w:t>
      </w:r>
      <w:r>
        <w:rPr>
          <w:rFonts w:cs="Arial"/>
          <w:szCs w:val="20"/>
          <w:lang w:eastAsia="ar-SA"/>
        </w:rPr>
        <w:t xml:space="preserve">in pripadajočih dokumentov </w:t>
      </w:r>
      <w:proofErr w:type="spellStart"/>
      <w:r>
        <w:rPr>
          <w:rFonts w:cs="Arial"/>
          <w:szCs w:val="20"/>
          <w:lang w:eastAsia="ar-SA"/>
        </w:rPr>
        <w:t>Annex</w:t>
      </w:r>
      <w:proofErr w:type="spellEnd"/>
      <w:r>
        <w:rPr>
          <w:rFonts w:cs="Arial"/>
          <w:szCs w:val="20"/>
          <w:lang w:eastAsia="ar-SA"/>
        </w:rPr>
        <w:t xml:space="preserve"> 1 (</w:t>
      </w:r>
      <w:proofErr w:type="spellStart"/>
      <w:r>
        <w:rPr>
          <w:rFonts w:cs="Arial"/>
          <w:szCs w:val="20"/>
          <w:lang w:eastAsia="ar-SA"/>
        </w:rPr>
        <w:t>Description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of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the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Action</w:t>
      </w:r>
      <w:proofErr w:type="spellEnd"/>
      <w:r>
        <w:rPr>
          <w:rFonts w:cs="Arial"/>
          <w:szCs w:val="20"/>
          <w:lang w:eastAsia="ar-SA"/>
        </w:rPr>
        <w:t xml:space="preserve">) in </w:t>
      </w:r>
      <w:proofErr w:type="spellStart"/>
      <w:r>
        <w:rPr>
          <w:rFonts w:cs="Arial"/>
          <w:szCs w:val="20"/>
          <w:lang w:eastAsia="ar-SA"/>
        </w:rPr>
        <w:t>Annex</w:t>
      </w:r>
      <w:proofErr w:type="spellEnd"/>
      <w:r>
        <w:rPr>
          <w:rFonts w:cs="Arial"/>
          <w:szCs w:val="20"/>
          <w:lang w:eastAsia="ar-SA"/>
        </w:rPr>
        <w:t xml:space="preserve"> 2 (General </w:t>
      </w:r>
      <w:proofErr w:type="spellStart"/>
      <w:r>
        <w:rPr>
          <w:rFonts w:cs="Arial"/>
          <w:szCs w:val="20"/>
          <w:lang w:eastAsia="ar-SA"/>
        </w:rPr>
        <w:t>Conditions</w:t>
      </w:r>
      <w:proofErr w:type="spellEnd"/>
      <w:r>
        <w:rPr>
          <w:rFonts w:cs="Arial"/>
          <w:szCs w:val="20"/>
          <w:lang w:eastAsia="ar-SA"/>
        </w:rPr>
        <w:t>).</w:t>
      </w:r>
    </w:p>
    <w:p w14:paraId="3D8F93D3" w14:textId="77777777" w:rsidR="00F037C1" w:rsidRPr="00B30E2F" w:rsidRDefault="00F037C1" w:rsidP="00BE51E8">
      <w:pPr>
        <w:spacing w:line="288" w:lineRule="auto"/>
        <w:ind w:left="930"/>
        <w:jc w:val="both"/>
        <w:rPr>
          <w:rFonts w:cs="Arial"/>
          <w:szCs w:val="20"/>
          <w:lang w:eastAsia="ar-SA"/>
        </w:rPr>
      </w:pPr>
    </w:p>
    <w:p w14:paraId="40C9C37A" w14:textId="5EC30390" w:rsidR="00F037C1" w:rsidRPr="00BE51E8" w:rsidRDefault="00BE51E8" w:rsidP="00BE51E8">
      <w:pPr>
        <w:pStyle w:val="Pripombabesedilo"/>
        <w:spacing w:line="288" w:lineRule="auto"/>
        <w:jc w:val="both"/>
        <w:rPr>
          <w:rFonts w:cs="Arial"/>
          <w:lang w:eastAsia="ar-SA"/>
        </w:rPr>
      </w:pPr>
      <w:r w:rsidRPr="00BE51E8">
        <w:rPr>
          <w:rFonts w:cs="Arial"/>
          <w:lang w:eastAsia="ar-SA"/>
        </w:rPr>
        <w:t xml:space="preserve">Ocenjena vrednost projekta znaša 1.214.305 EUR, pri čemer so upravičeni stroški za konzorcij partnerjev ocenjeni v višini 1.194.335 EUR; od tega je udeležba MJU v višini 154.900 EUR brez DDV oz. 174.870 EUR z neupravičenimi stroški. </w:t>
      </w:r>
      <w:r w:rsidR="00F037C1" w:rsidRPr="00D36379">
        <w:rPr>
          <w:rFonts w:cs="Arial"/>
          <w:lang w:eastAsia="ar-SA"/>
        </w:rPr>
        <w:t xml:space="preserve">Pri dvoletnih CEF projektih je predvideno eno </w:t>
      </w:r>
      <w:proofErr w:type="spellStart"/>
      <w:r w:rsidR="00F037C1" w:rsidRPr="00D36379">
        <w:rPr>
          <w:rFonts w:cs="Arial"/>
          <w:lang w:eastAsia="ar-SA"/>
        </w:rPr>
        <w:t>predfinanciranje</w:t>
      </w:r>
      <w:proofErr w:type="spellEnd"/>
      <w:r w:rsidR="00F037C1" w:rsidRPr="00D36379">
        <w:rPr>
          <w:rFonts w:cs="Arial"/>
          <w:lang w:eastAsia="ar-SA"/>
        </w:rPr>
        <w:t xml:space="preserve"> v višini 50 % </w:t>
      </w:r>
      <w:r w:rsidR="002B6643" w:rsidRPr="00F25DBA">
        <w:rPr>
          <w:rFonts w:cs="Arial"/>
          <w:lang w:eastAsia="ar-SA"/>
        </w:rPr>
        <w:t>odobrenih 75 % financiranja projekta, preostanek do sorazmernega dela realiziranih upravičenih stroškov pa financer nakaže po zaključku projekta</w:t>
      </w:r>
      <w:r w:rsidR="00F037C1" w:rsidRPr="00D36379">
        <w:rPr>
          <w:rFonts w:cs="Arial"/>
          <w:lang w:eastAsia="ar-SA"/>
        </w:rPr>
        <w:t xml:space="preserve">. </w:t>
      </w:r>
      <w:r w:rsidR="002B6643">
        <w:rPr>
          <w:rFonts w:cs="Arial"/>
          <w:lang w:eastAsia="ar-SA"/>
        </w:rPr>
        <w:t>Preostanek sredstev</w:t>
      </w:r>
      <w:r w:rsidR="00F037C1" w:rsidRPr="00D36379">
        <w:rPr>
          <w:rFonts w:cs="Arial"/>
          <w:lang w:eastAsia="ar-SA"/>
        </w:rPr>
        <w:t xml:space="preserve"> tako pričakujemo </w:t>
      </w:r>
      <w:r w:rsidR="002B6643">
        <w:rPr>
          <w:rFonts w:cs="Arial"/>
          <w:lang w:eastAsia="ar-SA"/>
        </w:rPr>
        <w:t>konec leta</w:t>
      </w:r>
      <w:r w:rsidR="00F037C1" w:rsidRPr="00D36379">
        <w:rPr>
          <w:rFonts w:cs="Arial"/>
          <w:lang w:eastAsia="ar-SA"/>
        </w:rPr>
        <w:t xml:space="preserve"> 2021. </w:t>
      </w:r>
    </w:p>
    <w:p w14:paraId="175D06A6" w14:textId="77777777" w:rsidR="00F037C1" w:rsidRPr="00D36379" w:rsidRDefault="00F037C1" w:rsidP="00BE51E8">
      <w:pPr>
        <w:suppressAutoHyphens/>
        <w:autoSpaceDE w:val="0"/>
        <w:autoSpaceDN w:val="0"/>
        <w:adjustRightInd w:val="0"/>
        <w:spacing w:line="288" w:lineRule="auto"/>
        <w:ind w:right="70"/>
        <w:jc w:val="both"/>
        <w:rPr>
          <w:rFonts w:cs="Arial"/>
          <w:szCs w:val="20"/>
          <w:lang w:eastAsia="ar-SA"/>
        </w:rPr>
      </w:pPr>
    </w:p>
    <w:p w14:paraId="486CA899" w14:textId="3A32E89F" w:rsidR="00BC6E7C" w:rsidRDefault="00BC6E7C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sectPr w:rsidR="00BC6E7C" w:rsidSect="00EA33D6"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2B63" w14:textId="77777777" w:rsidR="00655258" w:rsidRDefault="00655258" w:rsidP="006F25AC">
      <w:r>
        <w:separator/>
      </w:r>
    </w:p>
  </w:endnote>
  <w:endnote w:type="continuationSeparator" w:id="0">
    <w:p w14:paraId="4FD97C9F" w14:textId="77777777" w:rsidR="00655258" w:rsidRDefault="00655258" w:rsidP="006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04E8" w14:textId="77777777" w:rsidR="00655258" w:rsidRDefault="00655258" w:rsidP="006F25AC">
      <w:r>
        <w:separator/>
      </w:r>
    </w:p>
  </w:footnote>
  <w:footnote w:type="continuationSeparator" w:id="0">
    <w:p w14:paraId="2A83D887" w14:textId="77777777" w:rsidR="00655258" w:rsidRDefault="00655258" w:rsidP="006F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2E6"/>
    <w:multiLevelType w:val="hybridMultilevel"/>
    <w:tmpl w:val="ED9AE7C0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B03DD"/>
    <w:multiLevelType w:val="hybridMultilevel"/>
    <w:tmpl w:val="236427BA"/>
    <w:lvl w:ilvl="0" w:tplc="5DF012A2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643"/>
    <w:multiLevelType w:val="hybridMultilevel"/>
    <w:tmpl w:val="9D0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317"/>
    <w:multiLevelType w:val="hybridMultilevel"/>
    <w:tmpl w:val="F0DEF724"/>
    <w:lvl w:ilvl="0" w:tplc="C3C055D0">
      <w:start w:val="2"/>
      <w:numFmt w:val="bullet"/>
      <w:lvlText w:val="-"/>
      <w:lvlJc w:val="left"/>
      <w:pPr>
        <w:tabs>
          <w:tab w:val="num" w:pos="57"/>
        </w:tabs>
        <w:ind w:left="284" w:hanging="284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027"/>
    <w:multiLevelType w:val="hybridMultilevel"/>
    <w:tmpl w:val="4418D9FC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460A7"/>
    <w:multiLevelType w:val="hybridMultilevel"/>
    <w:tmpl w:val="C89EEFCE"/>
    <w:lvl w:ilvl="0" w:tplc="76AC1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74AF"/>
    <w:multiLevelType w:val="hybridMultilevel"/>
    <w:tmpl w:val="53EAA9FE"/>
    <w:lvl w:ilvl="0" w:tplc="F20AEDE8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0B32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2B68E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38D5C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C699F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6228F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4580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CA1BFE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2E44A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4623"/>
    <w:multiLevelType w:val="hybridMultilevel"/>
    <w:tmpl w:val="92EAB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847"/>
    <w:multiLevelType w:val="hybridMultilevel"/>
    <w:tmpl w:val="F9E42D6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7A05"/>
    <w:multiLevelType w:val="hybridMultilevel"/>
    <w:tmpl w:val="CBD6826E"/>
    <w:lvl w:ilvl="0" w:tplc="DBB2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F7CD9"/>
    <w:multiLevelType w:val="hybridMultilevel"/>
    <w:tmpl w:val="BFA6B89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71C5"/>
    <w:multiLevelType w:val="hybridMultilevel"/>
    <w:tmpl w:val="D8DC1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5391C"/>
    <w:multiLevelType w:val="hybridMultilevel"/>
    <w:tmpl w:val="A9D24C8A"/>
    <w:lvl w:ilvl="0" w:tplc="06728C02">
      <w:start w:val="7"/>
      <w:numFmt w:val="bullet"/>
      <w:lvlText w:val="-"/>
      <w:lvlJc w:val="left"/>
      <w:pPr>
        <w:ind w:left="3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1" w15:restartNumberingAfterBreak="0">
    <w:nsid w:val="7DF1537A"/>
    <w:multiLevelType w:val="hybridMultilevel"/>
    <w:tmpl w:val="49800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221C"/>
    <w:multiLevelType w:val="hybridMultilevel"/>
    <w:tmpl w:val="6576ED22"/>
    <w:lvl w:ilvl="0" w:tplc="72DAA2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23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3"/>
  </w:num>
  <w:num w:numId="14">
    <w:abstractNumId w:val="22"/>
  </w:num>
  <w:num w:numId="15">
    <w:abstractNumId w:val="17"/>
  </w:num>
  <w:num w:numId="16">
    <w:abstractNumId w:val="14"/>
  </w:num>
  <w:num w:numId="17">
    <w:abstractNumId w:val="21"/>
  </w:num>
  <w:num w:numId="18">
    <w:abstractNumId w:val="8"/>
  </w:num>
  <w:num w:numId="19">
    <w:abstractNumId w:val="19"/>
  </w:num>
  <w:num w:numId="20">
    <w:abstractNumId w:val="9"/>
  </w:num>
  <w:num w:numId="21">
    <w:abstractNumId w:val="6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11"/>
    <w:rsid w:val="00004018"/>
    <w:rsid w:val="00011A43"/>
    <w:rsid w:val="00012F2A"/>
    <w:rsid w:val="000249FE"/>
    <w:rsid w:val="0003764F"/>
    <w:rsid w:val="000738C3"/>
    <w:rsid w:val="00075AA9"/>
    <w:rsid w:val="000856A8"/>
    <w:rsid w:val="000947C3"/>
    <w:rsid w:val="000A250A"/>
    <w:rsid w:val="000A6EF5"/>
    <w:rsid w:val="000F5122"/>
    <w:rsid w:val="001017EE"/>
    <w:rsid w:val="00104BF9"/>
    <w:rsid w:val="00106886"/>
    <w:rsid w:val="00110885"/>
    <w:rsid w:val="00117E4A"/>
    <w:rsid w:val="0012106F"/>
    <w:rsid w:val="0012109C"/>
    <w:rsid w:val="00134134"/>
    <w:rsid w:val="00181C55"/>
    <w:rsid w:val="00184AC6"/>
    <w:rsid w:val="00195631"/>
    <w:rsid w:val="001B13BD"/>
    <w:rsid w:val="001B16DC"/>
    <w:rsid w:val="001B42DF"/>
    <w:rsid w:val="001F436A"/>
    <w:rsid w:val="001F7FDB"/>
    <w:rsid w:val="00200F30"/>
    <w:rsid w:val="00206C2E"/>
    <w:rsid w:val="002078A7"/>
    <w:rsid w:val="00214639"/>
    <w:rsid w:val="0021498B"/>
    <w:rsid w:val="00216439"/>
    <w:rsid w:val="00220039"/>
    <w:rsid w:val="00221982"/>
    <w:rsid w:val="00222FC7"/>
    <w:rsid w:val="00237671"/>
    <w:rsid w:val="0024589D"/>
    <w:rsid w:val="00254609"/>
    <w:rsid w:val="002616EA"/>
    <w:rsid w:val="0026201A"/>
    <w:rsid w:val="00264595"/>
    <w:rsid w:val="002746A7"/>
    <w:rsid w:val="00283E86"/>
    <w:rsid w:val="00284275"/>
    <w:rsid w:val="0029195B"/>
    <w:rsid w:val="002B6643"/>
    <w:rsid w:val="002C0611"/>
    <w:rsid w:val="002F20E4"/>
    <w:rsid w:val="002F21CF"/>
    <w:rsid w:val="002F2EA0"/>
    <w:rsid w:val="002F40C8"/>
    <w:rsid w:val="002F637F"/>
    <w:rsid w:val="003142F6"/>
    <w:rsid w:val="00332F53"/>
    <w:rsid w:val="003346B6"/>
    <w:rsid w:val="00344605"/>
    <w:rsid w:val="00346CA5"/>
    <w:rsid w:val="00350B9D"/>
    <w:rsid w:val="0035472A"/>
    <w:rsid w:val="003635BA"/>
    <w:rsid w:val="0036519D"/>
    <w:rsid w:val="00365447"/>
    <w:rsid w:val="00367B6A"/>
    <w:rsid w:val="00374025"/>
    <w:rsid w:val="003740C9"/>
    <w:rsid w:val="0037472F"/>
    <w:rsid w:val="0037713A"/>
    <w:rsid w:val="00392AB5"/>
    <w:rsid w:val="003A6240"/>
    <w:rsid w:val="003B0493"/>
    <w:rsid w:val="003B405F"/>
    <w:rsid w:val="003C02C3"/>
    <w:rsid w:val="003D2F91"/>
    <w:rsid w:val="003E1E1A"/>
    <w:rsid w:val="0040585D"/>
    <w:rsid w:val="00406DC8"/>
    <w:rsid w:val="004174EA"/>
    <w:rsid w:val="00432CC0"/>
    <w:rsid w:val="00451DD7"/>
    <w:rsid w:val="004570A5"/>
    <w:rsid w:val="00482AE0"/>
    <w:rsid w:val="00483055"/>
    <w:rsid w:val="004A4CC2"/>
    <w:rsid w:val="004E4E41"/>
    <w:rsid w:val="004E6038"/>
    <w:rsid w:val="0050241D"/>
    <w:rsid w:val="00504551"/>
    <w:rsid w:val="005134FA"/>
    <w:rsid w:val="00515AF0"/>
    <w:rsid w:val="0053219B"/>
    <w:rsid w:val="0053478B"/>
    <w:rsid w:val="0055118C"/>
    <w:rsid w:val="00567B9C"/>
    <w:rsid w:val="005702DC"/>
    <w:rsid w:val="00577DFD"/>
    <w:rsid w:val="00587066"/>
    <w:rsid w:val="005A374F"/>
    <w:rsid w:val="005A75B4"/>
    <w:rsid w:val="005E18BF"/>
    <w:rsid w:val="005E55BC"/>
    <w:rsid w:val="005E626A"/>
    <w:rsid w:val="005F467B"/>
    <w:rsid w:val="005F6E23"/>
    <w:rsid w:val="00602EA9"/>
    <w:rsid w:val="00614A34"/>
    <w:rsid w:val="006178EE"/>
    <w:rsid w:val="00621364"/>
    <w:rsid w:val="006243FD"/>
    <w:rsid w:val="00626879"/>
    <w:rsid w:val="00634298"/>
    <w:rsid w:val="00646878"/>
    <w:rsid w:val="00650902"/>
    <w:rsid w:val="00655258"/>
    <w:rsid w:val="00656075"/>
    <w:rsid w:val="0066398A"/>
    <w:rsid w:val="00674D9F"/>
    <w:rsid w:val="00681450"/>
    <w:rsid w:val="00685A8A"/>
    <w:rsid w:val="006A4502"/>
    <w:rsid w:val="006F25AC"/>
    <w:rsid w:val="00712BE1"/>
    <w:rsid w:val="007235E5"/>
    <w:rsid w:val="00765501"/>
    <w:rsid w:val="00771480"/>
    <w:rsid w:val="0077576C"/>
    <w:rsid w:val="00781A52"/>
    <w:rsid w:val="007A18DF"/>
    <w:rsid w:val="007B234C"/>
    <w:rsid w:val="007B4F25"/>
    <w:rsid w:val="007C28F5"/>
    <w:rsid w:val="007D05DB"/>
    <w:rsid w:val="007F22B1"/>
    <w:rsid w:val="007F479B"/>
    <w:rsid w:val="00833147"/>
    <w:rsid w:val="00833837"/>
    <w:rsid w:val="00841DA0"/>
    <w:rsid w:val="008437F3"/>
    <w:rsid w:val="00852B77"/>
    <w:rsid w:val="00870FA8"/>
    <w:rsid w:val="0087184A"/>
    <w:rsid w:val="0089585C"/>
    <w:rsid w:val="008A6F08"/>
    <w:rsid w:val="008B0479"/>
    <w:rsid w:val="008B09C1"/>
    <w:rsid w:val="008B4F75"/>
    <w:rsid w:val="008C4B5D"/>
    <w:rsid w:val="008D0654"/>
    <w:rsid w:val="008E4C88"/>
    <w:rsid w:val="008E53D1"/>
    <w:rsid w:val="009154C1"/>
    <w:rsid w:val="009168E7"/>
    <w:rsid w:val="00921B96"/>
    <w:rsid w:val="00923AE2"/>
    <w:rsid w:val="0092477F"/>
    <w:rsid w:val="00927DD6"/>
    <w:rsid w:val="00935CE5"/>
    <w:rsid w:val="00940508"/>
    <w:rsid w:val="00940D4E"/>
    <w:rsid w:val="00941B2D"/>
    <w:rsid w:val="00951F32"/>
    <w:rsid w:val="0095345F"/>
    <w:rsid w:val="0096307C"/>
    <w:rsid w:val="00974C84"/>
    <w:rsid w:val="0097570D"/>
    <w:rsid w:val="00976BB3"/>
    <w:rsid w:val="00983C23"/>
    <w:rsid w:val="0099545F"/>
    <w:rsid w:val="009974A1"/>
    <w:rsid w:val="009A672B"/>
    <w:rsid w:val="009A73D7"/>
    <w:rsid w:val="009B3599"/>
    <w:rsid w:val="009B4F5D"/>
    <w:rsid w:val="009B5B7C"/>
    <w:rsid w:val="009D22D9"/>
    <w:rsid w:val="009D4724"/>
    <w:rsid w:val="009D6DC2"/>
    <w:rsid w:val="009E4B7B"/>
    <w:rsid w:val="009E7961"/>
    <w:rsid w:val="00A00D58"/>
    <w:rsid w:val="00A2432B"/>
    <w:rsid w:val="00A422B7"/>
    <w:rsid w:val="00A430AE"/>
    <w:rsid w:val="00A52F3C"/>
    <w:rsid w:val="00A5491E"/>
    <w:rsid w:val="00A835AF"/>
    <w:rsid w:val="00AA1AC9"/>
    <w:rsid w:val="00AB5C43"/>
    <w:rsid w:val="00AD2268"/>
    <w:rsid w:val="00AD43DA"/>
    <w:rsid w:val="00AD7209"/>
    <w:rsid w:val="00B0661E"/>
    <w:rsid w:val="00B34211"/>
    <w:rsid w:val="00B37AB9"/>
    <w:rsid w:val="00B40A4F"/>
    <w:rsid w:val="00B52580"/>
    <w:rsid w:val="00B539D3"/>
    <w:rsid w:val="00B5669F"/>
    <w:rsid w:val="00B83AA5"/>
    <w:rsid w:val="00B940A7"/>
    <w:rsid w:val="00BB337F"/>
    <w:rsid w:val="00BC13A8"/>
    <w:rsid w:val="00BC2D97"/>
    <w:rsid w:val="00BC37E1"/>
    <w:rsid w:val="00BC6E7C"/>
    <w:rsid w:val="00BD26BA"/>
    <w:rsid w:val="00BE51E8"/>
    <w:rsid w:val="00C23823"/>
    <w:rsid w:val="00C25FEC"/>
    <w:rsid w:val="00C26B0F"/>
    <w:rsid w:val="00C312B7"/>
    <w:rsid w:val="00C34717"/>
    <w:rsid w:val="00C37A39"/>
    <w:rsid w:val="00C524ED"/>
    <w:rsid w:val="00CB248D"/>
    <w:rsid w:val="00CC52D2"/>
    <w:rsid w:val="00CC5922"/>
    <w:rsid w:val="00CD525A"/>
    <w:rsid w:val="00CE0241"/>
    <w:rsid w:val="00CE26A6"/>
    <w:rsid w:val="00D045DA"/>
    <w:rsid w:val="00D22B87"/>
    <w:rsid w:val="00D2474F"/>
    <w:rsid w:val="00D32BFC"/>
    <w:rsid w:val="00D3592D"/>
    <w:rsid w:val="00D371E3"/>
    <w:rsid w:val="00D74E10"/>
    <w:rsid w:val="00D75C7B"/>
    <w:rsid w:val="00DB0693"/>
    <w:rsid w:val="00DB473A"/>
    <w:rsid w:val="00DC74DF"/>
    <w:rsid w:val="00DD21DF"/>
    <w:rsid w:val="00DD30D5"/>
    <w:rsid w:val="00DE0009"/>
    <w:rsid w:val="00DF501B"/>
    <w:rsid w:val="00E0619A"/>
    <w:rsid w:val="00E10EA6"/>
    <w:rsid w:val="00E2544C"/>
    <w:rsid w:val="00E30CB3"/>
    <w:rsid w:val="00E417CC"/>
    <w:rsid w:val="00E52038"/>
    <w:rsid w:val="00E72B21"/>
    <w:rsid w:val="00E75F79"/>
    <w:rsid w:val="00E82E2D"/>
    <w:rsid w:val="00E90D3E"/>
    <w:rsid w:val="00E94B65"/>
    <w:rsid w:val="00E97B62"/>
    <w:rsid w:val="00EA33D6"/>
    <w:rsid w:val="00EA5EAB"/>
    <w:rsid w:val="00EA6279"/>
    <w:rsid w:val="00EE0F97"/>
    <w:rsid w:val="00EE1BE2"/>
    <w:rsid w:val="00EF6489"/>
    <w:rsid w:val="00F037C1"/>
    <w:rsid w:val="00F03F6E"/>
    <w:rsid w:val="00F14D09"/>
    <w:rsid w:val="00F20D0B"/>
    <w:rsid w:val="00F25DBA"/>
    <w:rsid w:val="00F30C1B"/>
    <w:rsid w:val="00F427FF"/>
    <w:rsid w:val="00F44B9D"/>
    <w:rsid w:val="00F72165"/>
    <w:rsid w:val="00F81335"/>
    <w:rsid w:val="00F9692D"/>
    <w:rsid w:val="00FA6856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92A50B"/>
  <w15:docId w15:val="{F095F66D-C9E9-4556-8A5E-DBCFAD96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42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7570D"/>
    <w:pPr>
      <w:widowControl w:val="0"/>
      <w:tabs>
        <w:tab w:val="left" w:pos="360"/>
      </w:tabs>
      <w:spacing w:line="260" w:lineRule="exact"/>
      <w:outlineLvl w:val="0"/>
    </w:pPr>
    <w:rPr>
      <w:rFonts w:cs="Arial"/>
      <w:bCs/>
      <w:color w:val="FF0000"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342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342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B3421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eastAsia="sl-SI"/>
    </w:rPr>
  </w:style>
  <w:style w:type="character" w:customStyle="1" w:styleId="NaslovpredpisaZnak">
    <w:name w:val="Naslov_predpisa Znak"/>
    <w:link w:val="Naslovpredpisa"/>
    <w:rsid w:val="00B34211"/>
    <w:rPr>
      <w:rFonts w:ascii="Arial" w:eastAsia="Times New Roman" w:hAnsi="Arial" w:cs="Times New Roman"/>
      <w:b/>
      <w:sz w:val="20"/>
      <w:szCs w:val="20"/>
      <w:lang w:eastAsia="sl-SI"/>
    </w:rPr>
  </w:style>
  <w:style w:type="character" w:customStyle="1" w:styleId="rkovnatokazaodstavkomZnak">
    <w:name w:val="Črkovna točka_za odstavkom Znak"/>
    <w:link w:val="rkovnatokazaodstavkom"/>
    <w:rsid w:val="00B34211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34211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styleId="Odstavekseznama">
    <w:name w:val="List Paragraph"/>
    <w:aliases w:val="numbered list,List Paragraph"/>
    <w:basedOn w:val="Navaden"/>
    <w:link w:val="OdstavekseznamaZnak"/>
    <w:uiPriority w:val="34"/>
    <w:qFormat/>
    <w:rsid w:val="00B34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2474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2474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D2474F"/>
    <w:rPr>
      <w:vertAlign w:val="superscript"/>
    </w:rPr>
  </w:style>
  <w:style w:type="table" w:styleId="Tabelamrea">
    <w:name w:val="Table Grid"/>
    <w:basedOn w:val="Navadnatabela"/>
    <w:uiPriority w:val="39"/>
    <w:rsid w:val="0092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8437F3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74C84"/>
    <w:pPr>
      <w:tabs>
        <w:tab w:val="left" w:pos="3402"/>
      </w:tabs>
      <w:spacing w:line="260" w:lineRule="exact"/>
    </w:pPr>
    <w:rPr>
      <w:lang w:val="it-IT"/>
    </w:rPr>
  </w:style>
  <w:style w:type="character" w:customStyle="1" w:styleId="OdstavekseznamaZnak">
    <w:name w:val="Odstavek seznama Znak"/>
    <w:aliases w:val="numbered list Znak,List Paragraph Znak"/>
    <w:link w:val="Odstavekseznama"/>
    <w:uiPriority w:val="34"/>
    <w:locked/>
    <w:rsid w:val="00974C84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A8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rsid w:val="007235E5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235E5"/>
    <w:pPr>
      <w:spacing w:after="120" w:line="260" w:lineRule="exact"/>
    </w:pPr>
  </w:style>
  <w:style w:type="character" w:customStyle="1" w:styleId="TelobesedilaZnak">
    <w:name w:val="Telo besedila Znak"/>
    <w:basedOn w:val="Privzetapisavaodstavka"/>
    <w:link w:val="Telobesedila"/>
    <w:rsid w:val="007235E5"/>
    <w:rPr>
      <w:rFonts w:ascii="Arial" w:eastAsia="Times New Roman" w:hAnsi="Arial" w:cs="Times New Roman"/>
      <w:sz w:val="20"/>
      <w:szCs w:val="24"/>
    </w:rPr>
  </w:style>
  <w:style w:type="paragraph" w:styleId="Navadensplet">
    <w:name w:val="Normal (Web)"/>
    <w:basedOn w:val="Navaden"/>
    <w:uiPriority w:val="99"/>
    <w:unhideWhenUsed/>
    <w:rsid w:val="007235E5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2F40C8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430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430A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430A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30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30AE"/>
    <w:rPr>
      <w:rFonts w:ascii="Arial" w:eastAsia="Times New Roman" w:hAnsi="Arial" w:cs="Times New Roman"/>
      <w:b/>
      <w:bCs/>
      <w:sz w:val="20"/>
      <w:szCs w:val="20"/>
    </w:rPr>
  </w:style>
  <w:style w:type="paragraph" w:styleId="Golobesedilo">
    <w:name w:val="Plain Text"/>
    <w:basedOn w:val="Navaden"/>
    <w:link w:val="GolobesediloZnak"/>
    <w:rsid w:val="0077576C"/>
    <w:pPr>
      <w:jc w:val="both"/>
    </w:pPr>
    <w:rPr>
      <w:rFonts w:ascii="Courier New" w:eastAsia="Batang" w:hAnsi="Courier New" w:cs="Courier New"/>
      <w:szCs w:val="20"/>
      <w:lang w:eastAsia="ko-KR"/>
    </w:rPr>
  </w:style>
  <w:style w:type="character" w:customStyle="1" w:styleId="GolobesediloZnak">
    <w:name w:val="Golo besedilo Znak"/>
    <w:basedOn w:val="Privzetapisavaodstavka"/>
    <w:link w:val="Golobesedilo"/>
    <w:rsid w:val="0077576C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eotevilenodstavek">
    <w:name w:val="Neoštevilčen odstavek"/>
    <w:basedOn w:val="Navaden"/>
    <w:link w:val="NeotevilenodstavekZnak"/>
    <w:qFormat/>
    <w:rsid w:val="0077576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77576C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77576C"/>
    <w:pPr>
      <w:numPr>
        <w:numId w:val="2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7576C"/>
    <w:rPr>
      <w:rFonts w:ascii="Arial" w:eastAsia="Times New Roman" w:hAnsi="Arial" w:cs="Arial"/>
      <w:b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97570D"/>
    <w:rPr>
      <w:rFonts w:ascii="Arial" w:eastAsia="Times New Roman" w:hAnsi="Arial" w:cs="Arial"/>
      <w:bCs/>
      <w:color w:val="FF0000"/>
      <w:kern w:val="32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3415" TargetMode="External"/><Relationship Id="rId13" Type="http://schemas.openxmlformats.org/officeDocument/2006/relationships/hyperlink" Target="http://www.uradni-list.si/1/objava.jsp?sop=2018-01-0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4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9-01-0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9-01-0800" TargetMode="External"/><Relationship Id="rId10" Type="http://schemas.openxmlformats.org/officeDocument/2006/relationships/hyperlink" Target="http://www.uradni-list.si/1/objava.jsp?sop=2018-01-4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544" TargetMode="External"/><Relationship Id="rId14" Type="http://schemas.openxmlformats.org/officeDocument/2006/relationships/hyperlink" Target="http://www.uradni-list.si/1/objava.jsp?sop=2018-01-406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A2A233-A057-45A9-8E8E-5049F11C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Centa</dc:creator>
  <cp:lastModifiedBy>Mojca Rebolj</cp:lastModifiedBy>
  <cp:revision>5</cp:revision>
  <cp:lastPrinted>2018-11-26T09:20:00Z</cp:lastPrinted>
  <dcterms:created xsi:type="dcterms:W3CDTF">2019-04-29T07:51:00Z</dcterms:created>
  <dcterms:modified xsi:type="dcterms:W3CDTF">2019-05-07T08:51:00Z</dcterms:modified>
</cp:coreProperties>
</file>