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F25" w:rsidRDefault="00696D9C" w:rsidP="00205F25">
      <w:pPr>
        <w:pStyle w:val="TechnicalBlock"/>
        <w:ind w:left="-1134" w:right="-1134"/>
      </w:pPr>
      <w:bookmarkStart w:id="0" w:name="DW_BM_COVERPAGE"/>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ocument Cover Page.&#10;Document Number: 11144/19.&#10;Subject Codes: PECHE 322.&#10;Heading: PREDLOG.&#10;Originator: za generalnega sekretarja Evropske komisije: direktor Jordi AYET PUIGARNAU.&#10;Recipient: generalni sekretar Sveta Evropske unije Jeppe TRANHOLM-MIKKELSEN.&#10;Subject: Predlog SKLEPA SVETA o stališču, ki se v imenu Evropske unije zastopa v Komisiji za ribištvo v zahodnem srednjem Atlantiku.&#10;Commission Document Number: COM(2019) 284 final.&#10;Preceeding Document Number: Not Set.&#10;Location: Bruselj.&#10;Date: 10. julij 2019.&#10;Interinstitutional Files: 2019/0138 (NLE).&#10;Institutional Framework: Svet Evropske unije.&#10;Language: SL.&#10;Distribution Code: PUBLIC.&#10;GUID: 4769979650096181416_0" style="width:568.5pt;height:369pt">
            <v:imagedata r:id="rId8" o:title=""/>
          </v:shape>
        </w:pict>
      </w:r>
      <w:bookmarkEnd w:id="0"/>
    </w:p>
    <w:p w:rsidR="00205F25" w:rsidRDefault="00205F25" w:rsidP="00205F25">
      <w:pPr>
        <w:pStyle w:val="EntText"/>
        <w:spacing w:before="480"/>
      </w:pPr>
      <w:r w:rsidRPr="00205F25">
        <w:t xml:space="preserve">Delegacije prejmejo priloženi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205F25">
        <w:instrText>COM(2019) 284 final</w:instrText>
      </w:r>
      <w:r>
        <w:instrText xml:space="preserve">" </w:instrText>
      </w:r>
      <w:r>
        <w:fldChar w:fldCharType="separate"/>
      </w:r>
      <w:r w:rsidRPr="00205F25">
        <w:t>COM(2019) 284 final</w:t>
      </w:r>
      <w:r>
        <w:fldChar w:fldCharType="end"/>
      </w:r>
      <w:r w:rsidRPr="00205F25">
        <w:t>.</w:t>
      </w:r>
    </w:p>
    <w:p w:rsidR="00205F25" w:rsidRDefault="00205F25" w:rsidP="00205F25">
      <w:pPr>
        <w:pStyle w:val="Lignefinal"/>
      </w:pPr>
    </w:p>
    <w:p w:rsidR="00205F25" w:rsidRDefault="00205F25" w:rsidP="00205F25">
      <w:pPr>
        <w:pStyle w:val="pj"/>
        <w:spacing w:before="120"/>
      </w:pPr>
      <w:bookmarkStart w:id="1" w:name="_GoBack"/>
      <w:r w:rsidRPr="00696D9C">
        <w:rPr>
          <w:u w:val="single"/>
        </w:rPr>
        <w:t>Priloga</w:t>
      </w:r>
      <w:bookmarkEnd w:id="1"/>
      <w:r w:rsidRPr="00205F25">
        <w:t xml:space="preserve">: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Pr="00205F25">
        <w:instrText>COM(2019) 284 final</w:instrText>
      </w:r>
      <w:r>
        <w:instrText xml:space="preserve">" </w:instrText>
      </w:r>
      <w:r>
        <w:fldChar w:fldCharType="separate"/>
      </w:r>
      <w:r w:rsidRPr="00205F25">
        <w:t>COM(2019) 284 final</w:t>
      </w:r>
      <w:r>
        <w:fldChar w:fldCharType="end"/>
      </w:r>
    </w:p>
    <w:p w:rsidR="00205F25" w:rsidRPr="00205F25" w:rsidRDefault="00205F25" w:rsidP="00205F25"/>
    <w:p w:rsidR="00205F25" w:rsidRDefault="00205F25" w:rsidP="00205F25">
      <w:pPr>
        <w:rPr>
          <w:noProof/>
        </w:rPr>
        <w:sectPr w:rsidR="00205F25" w:rsidSect="00205F25">
          <w:headerReference w:type="even" r:id="rId9"/>
          <w:headerReference w:type="default" r:id="rId10"/>
          <w:footerReference w:type="even" r:id="rId11"/>
          <w:footerReference w:type="default" r:id="rId12"/>
          <w:headerReference w:type="first" r:id="rId13"/>
          <w:footerReference w:type="first" r:id="rId14"/>
          <w:pgSz w:w="11907" w:h="16839"/>
          <w:pgMar w:top="624" w:right="1134" w:bottom="1134" w:left="1134" w:header="567" w:footer="567" w:gutter="0"/>
          <w:pgNumType w:start="0"/>
          <w:cols w:space="720"/>
          <w:titlePg/>
          <w:docGrid w:linePitch="360"/>
        </w:sectPr>
      </w:pPr>
    </w:p>
    <w:p w:rsidR="008D1AA6" w:rsidRDefault="00696D9C">
      <w:pPr>
        <w:pStyle w:val="Pagedecouverture"/>
        <w:rPr>
          <w:noProof/>
        </w:rPr>
      </w:pPr>
      <w:r>
        <w:rPr>
          <w:noProof/>
        </w:rPr>
        <w:lastRenderedPageBreak/>
        <w:pict>
          <v:shape id="_x0000_i1026" type="#_x0000_t75" alt="E363F0D9-3C8C-4C7F-8A0A-F70A9687CA88" style="width:450.75pt;height:351.75pt">
            <v:imagedata r:id="rId15" o:title=""/>
          </v:shape>
        </w:pict>
      </w:r>
    </w:p>
    <w:p w:rsidR="008D1AA6" w:rsidRDefault="008D1AA6">
      <w:pPr>
        <w:rPr>
          <w:noProof/>
        </w:rPr>
        <w:sectPr w:rsidR="008D1AA6">
          <w:headerReference w:type="even" r:id="rId16"/>
          <w:headerReference w:type="default" r:id="rId17"/>
          <w:footerReference w:type="even" r:id="rId18"/>
          <w:footerReference w:type="default" r:id="rId19"/>
          <w:headerReference w:type="first" r:id="rId20"/>
          <w:footerReference w:type="first" r:id="rId21"/>
          <w:pgSz w:w="11907" w:h="16839"/>
          <w:pgMar w:top="1134" w:right="1417" w:bottom="1134" w:left="1417" w:header="709" w:footer="709" w:gutter="0"/>
          <w:pgNumType w:start="0"/>
          <w:cols w:space="720"/>
          <w:docGrid w:linePitch="360"/>
        </w:sectPr>
      </w:pPr>
    </w:p>
    <w:p w:rsidR="008D1AA6" w:rsidRDefault="00205F25">
      <w:pPr>
        <w:pStyle w:val="Exposdesmotifstitre"/>
        <w:rPr>
          <w:noProof/>
        </w:rPr>
      </w:pPr>
      <w:r>
        <w:rPr>
          <w:noProof/>
        </w:rPr>
        <w:lastRenderedPageBreak/>
        <w:t>OBRAZLOŽITVENI MEMORANDUM</w:t>
      </w:r>
    </w:p>
    <w:p w:rsidR="008D1AA6" w:rsidRDefault="00205F25">
      <w:pPr>
        <w:pStyle w:val="ManualHeading1"/>
        <w:rPr>
          <w:rFonts w:eastAsia="Arial Unicode MS"/>
          <w:noProof/>
        </w:rPr>
      </w:pPr>
      <w:r>
        <w:t>1.</w:t>
      </w:r>
      <w:r>
        <w:tab/>
      </w:r>
      <w:r>
        <w:rPr>
          <w:noProof/>
        </w:rPr>
        <w:t>Predmet urejanja predloga</w:t>
      </w:r>
    </w:p>
    <w:p w:rsidR="008D1AA6" w:rsidRDefault="00205F25">
      <w:pPr>
        <w:rPr>
          <w:rFonts w:eastAsia="Arial Unicode MS"/>
          <w:noProof/>
        </w:rPr>
      </w:pPr>
      <w:r>
        <w:rPr>
          <w:noProof/>
        </w:rPr>
        <w:t>Ta predlog zadeva sklep o stališču, ki se v imenu Unije zastopa na zasedanjih pogodbenic Komisije za ribištvo v zahodnem srednjem Atlantiku (WECAFC) v obdobju 2019–2023 glede sprejetja nezavezujočih resolucij in priporočil za ohranjanje in upravljanje živih morskih virov.</w:t>
      </w:r>
    </w:p>
    <w:p w:rsidR="008D1AA6" w:rsidRDefault="00205F25">
      <w:pPr>
        <w:pStyle w:val="ManualHeading1"/>
        <w:rPr>
          <w:noProof/>
        </w:rPr>
      </w:pPr>
      <w:r>
        <w:t>2.</w:t>
      </w:r>
      <w:r>
        <w:tab/>
      </w:r>
      <w:r>
        <w:rPr>
          <w:noProof/>
        </w:rPr>
        <w:t>Ozadje predloga</w:t>
      </w:r>
    </w:p>
    <w:p w:rsidR="008D1AA6" w:rsidRDefault="00205F25">
      <w:pPr>
        <w:pStyle w:val="ManualHeading2"/>
        <w:rPr>
          <w:noProof/>
        </w:rPr>
      </w:pPr>
      <w:r>
        <w:t>2.1.</w:t>
      </w:r>
      <w:r>
        <w:tab/>
      </w:r>
      <w:r>
        <w:rPr>
          <w:noProof/>
        </w:rPr>
        <w:t>Resolucija FAO o ustanovitvi Komisije za ribištvo v zahodnem srednjem Atlantiku (WECAFC)</w:t>
      </w:r>
    </w:p>
    <w:p w:rsidR="008D1AA6" w:rsidRDefault="00205F25">
      <w:pPr>
        <w:rPr>
          <w:rFonts w:eastAsia="Arial Unicode MS"/>
          <w:noProof/>
        </w:rPr>
      </w:pPr>
      <w:r>
        <w:rPr>
          <w:noProof/>
        </w:rPr>
        <w:t>WECAFC je bil ustanovljen leta 1973 z Resolucijo 4/61 Sveta Organizacije Združenih narodov za prehrano in kmetijstvo (FAO) na podlagi člena VI(1) ustanovne listine FAO. Namen WECAFC je spodbujati učinkovito ohranjanje, upravljanje in razvoj živih morskih virov na območju pod njegovo pristojnostjo v skladu s Kodeksom FAO za odgovorno ribištvo in obravnavati skupne težave pri upravljanju in razvoju ribištva, s katerimi se srečujejo njegove članice.</w:t>
      </w:r>
    </w:p>
    <w:p w:rsidR="008D1AA6" w:rsidRDefault="00205F25">
      <w:pPr>
        <w:rPr>
          <w:rFonts w:eastAsia="Arial Unicode MS"/>
          <w:noProof/>
        </w:rPr>
      </w:pPr>
      <w:r>
        <w:rPr>
          <w:noProof/>
        </w:rPr>
        <w:t>Evropska unija je, tako kot Francija, Nizozemska, Španija in Združeno kraljestvo, članica WECAFC</w:t>
      </w:r>
      <w:r>
        <w:rPr>
          <w:rStyle w:val="FootnoteReference"/>
          <w:noProof/>
        </w:rPr>
        <w:footnoteReference w:id="1"/>
      </w:r>
      <w:r>
        <w:rPr>
          <w:noProof/>
        </w:rPr>
        <w:t xml:space="preserve">. </w:t>
      </w:r>
    </w:p>
    <w:p w:rsidR="008D1AA6" w:rsidRDefault="00205F25">
      <w:pPr>
        <w:pStyle w:val="ManualHeading2"/>
        <w:rPr>
          <w:noProof/>
        </w:rPr>
      </w:pPr>
      <w:r>
        <w:t>2.2.</w:t>
      </w:r>
      <w:r>
        <w:tab/>
      </w:r>
      <w:r>
        <w:rPr>
          <w:noProof/>
        </w:rPr>
        <w:t>Komisija za ribištvo v zahodnem srednjem Atlantiku</w:t>
      </w:r>
    </w:p>
    <w:p w:rsidR="008D1AA6" w:rsidRDefault="00205F25">
      <w:pPr>
        <w:rPr>
          <w:noProof/>
        </w:rPr>
      </w:pPr>
      <w:r>
        <w:rPr>
          <w:noProof/>
        </w:rPr>
        <w:t>WECAFC je posvetovalni tehnični in regionalni organ za ribištvo, ustanovljen na podlagi člena VI(1) ustanovne listine FAO. FAO upravlja in financira sekretariat WECAFC. Njegove glavne naloge vključujejo spodbujanje, usklajevanje in pospeševanje upravljanja ter dejavnosti, povezanih z ohranjanjem in upravljanjem živih morskih virov na območju pod njegovo pristojnostjo. WECAFC lahko poleg tega svojim članicam in pristojnim ribiškim organizacijam svetuje glede upravljanja, spremljanja, nadzora in opazovanja ribištva. Svojim članicam lahko po potrebi pomaga tudi pri izvajanju zadevnih mednarodnih instrumentov na področju ribištva in na njihovo zahtevo pri ohranjanju, upravljanju in razvoju čezmejnih in čezconskih staležev pod njihovo nacionalno pristojnostjo</w:t>
      </w:r>
      <w:r>
        <w:rPr>
          <w:rStyle w:val="FootnoteReference"/>
          <w:noProof/>
        </w:rPr>
        <w:footnoteReference w:id="2"/>
      </w:r>
      <w:r>
        <w:rPr>
          <w:noProof/>
        </w:rPr>
        <w:t xml:space="preserve">. </w:t>
      </w:r>
    </w:p>
    <w:p w:rsidR="008D1AA6" w:rsidRDefault="00205F25">
      <w:pPr>
        <w:rPr>
          <w:rFonts w:eastAsia="Arial Unicode MS"/>
          <w:noProof/>
        </w:rPr>
      </w:pPr>
      <w:r>
        <w:rPr>
          <w:noProof/>
        </w:rPr>
        <w:t xml:space="preserve">Unija ima kot članica pravico do sodelovanja in glasovanja. WECAFC si svoje odločitve prizadeva sprejemati s soglasjem. V ostalih primerih se odločitve sprejemajo z večino oddanih glasov, razen če v poslovniku ni določeno drugače. </w:t>
      </w:r>
    </w:p>
    <w:p w:rsidR="008D1AA6" w:rsidRDefault="00205F25">
      <w:pPr>
        <w:pStyle w:val="ManualHeading2"/>
        <w:rPr>
          <w:noProof/>
        </w:rPr>
      </w:pPr>
      <w:r>
        <w:t>2.3.</w:t>
      </w:r>
      <w:r>
        <w:tab/>
      </w:r>
      <w:r>
        <w:rPr>
          <w:noProof/>
        </w:rPr>
        <w:t>Odločitve, ki jih sprejme Komisija za ribištvo v zahodnem srednjem Atlantiku</w:t>
      </w:r>
    </w:p>
    <w:p w:rsidR="008D1AA6" w:rsidRDefault="00205F25">
      <w:pPr>
        <w:rPr>
          <w:rFonts w:eastAsia="Arial Unicode MS"/>
          <w:noProof/>
        </w:rPr>
      </w:pPr>
      <w:r>
        <w:rPr>
          <w:noProof/>
        </w:rPr>
        <w:t>Na podlagi člena 6(h) revidiranih statutov WECAFC svetuje o ukrepih za upravljanje (v nadaljnjem besedilu: „priporočila“ in „resolucije“) vladam članic in pristojnim ribiškim organizacijam. Zaradi njegovega svetovalnega statusa sklepi WECAFC za njegove članice niso zavezujoči.</w:t>
      </w:r>
    </w:p>
    <w:p w:rsidR="008D1AA6" w:rsidRDefault="00205F25">
      <w:pPr>
        <w:pStyle w:val="ManualHeading1"/>
        <w:rPr>
          <w:rFonts w:eastAsia="Arial Unicode MS"/>
          <w:noProof/>
        </w:rPr>
      </w:pPr>
      <w:r>
        <w:t>3.</w:t>
      </w:r>
      <w:r>
        <w:tab/>
      </w:r>
      <w:r>
        <w:rPr>
          <w:noProof/>
        </w:rPr>
        <w:t>Stališče, ki naj se zastopa v imenu Unije</w:t>
      </w:r>
    </w:p>
    <w:p w:rsidR="008D1AA6" w:rsidRDefault="00205F25">
      <w:pPr>
        <w:rPr>
          <w:noProof/>
        </w:rPr>
      </w:pPr>
      <w:r>
        <w:rPr>
          <w:noProof/>
        </w:rPr>
        <w:t xml:space="preserve">V skladu s postopki, ki se uporabljajo za regionalne organizacije za upravljanje ribištva, se stališče, ki se v imenu Unije sprejme na letnih zasedanjih regionalnih organov za ribištvo, kot </w:t>
      </w:r>
      <w:r>
        <w:rPr>
          <w:noProof/>
        </w:rPr>
        <w:lastRenderedPageBreak/>
        <w:t>je WECAFC, določi po dvostopenjskem pristopu. S sklepom Sveta se določijo glavna načela in usmeritve stališča Unije na večletni osnovi, stališče pa se pred vsakoletnim zasedanjem prilagodi z delovnimi dokumenti Komisije, o katerih razpravlja delovna skupina Sveta.</w:t>
      </w:r>
    </w:p>
    <w:p w:rsidR="008D1AA6" w:rsidRDefault="00205F25">
      <w:pPr>
        <w:rPr>
          <w:noProof/>
        </w:rPr>
      </w:pPr>
      <w:r>
        <w:rPr>
          <w:noProof/>
        </w:rPr>
        <w:t xml:space="preserve">Ta predlog sklepa: </w:t>
      </w:r>
    </w:p>
    <w:p w:rsidR="008D1AA6" w:rsidRDefault="00205F25">
      <w:pPr>
        <w:rPr>
          <w:noProof/>
        </w:rPr>
      </w:pPr>
      <w:r>
        <w:rPr>
          <w:noProof/>
        </w:rPr>
        <w:t xml:space="preserve">vsebuje splošna načela in usmeritve, vendar v čim večji meri upošteva tudi posebne značilnosti WECAFC; </w:t>
      </w:r>
    </w:p>
    <w:p w:rsidR="008D1AA6" w:rsidRDefault="00205F25">
      <w:pPr>
        <w:pStyle w:val="Bullet0"/>
        <w:numPr>
          <w:ilvl w:val="0"/>
          <w:numId w:val="11"/>
        </w:numPr>
        <w:rPr>
          <w:noProof/>
        </w:rPr>
      </w:pPr>
      <w:r>
        <w:rPr>
          <w:noProof/>
        </w:rPr>
        <w:t>na zahtevo držav članic določa standardni postopek za vsakoletno določanje stališča Unije;</w:t>
      </w:r>
    </w:p>
    <w:p w:rsidR="008D1AA6" w:rsidRDefault="00205F25">
      <w:pPr>
        <w:pStyle w:val="Bullet0"/>
        <w:rPr>
          <w:noProof/>
        </w:rPr>
      </w:pPr>
      <w:r>
        <w:rPr>
          <w:noProof/>
        </w:rPr>
        <w:t>vključuje načela in usmeritve nove skupne ribiške politike, določene v Uredbi (EU) št. 1380/2013 Evropskega parlamenta in Sveta</w:t>
      </w:r>
      <w:r>
        <w:rPr>
          <w:rStyle w:val="FootnoteReference"/>
          <w:noProof/>
        </w:rPr>
        <w:footnoteReference w:id="3"/>
      </w:r>
      <w:r>
        <w:rPr>
          <w:noProof/>
        </w:rPr>
        <w:t>, tudi ob upoštevanju ciljev iz sporočila Komisije o zunanji razsežnosti skupne ribiške politike</w:t>
      </w:r>
      <w:r>
        <w:rPr>
          <w:rStyle w:val="FootnoteReference"/>
          <w:noProof/>
        </w:rPr>
        <w:footnoteReference w:id="4"/>
      </w:r>
      <w:r>
        <w:rPr>
          <w:noProof/>
        </w:rPr>
        <w:t xml:space="preserve">; </w:t>
      </w:r>
    </w:p>
    <w:p w:rsidR="008D1AA6" w:rsidRDefault="00205F25">
      <w:pPr>
        <w:pStyle w:val="Bullet0"/>
        <w:rPr>
          <w:noProof/>
        </w:rPr>
      </w:pPr>
      <w:r>
        <w:rPr>
          <w:noProof/>
        </w:rPr>
        <w:t>upošteva skupno sporočilo visokega predstavnika EU za zunanje zadeve in varnostno politiko ter Komisije z naslovom „Mednarodno upravljanje oceanov: prispevek EU k odgovornemu upravljanju oceanov“</w:t>
      </w:r>
      <w:r>
        <w:rPr>
          <w:rStyle w:val="FootnoteReference"/>
          <w:noProof/>
        </w:rPr>
        <w:footnoteReference w:id="5"/>
      </w:r>
      <w:r>
        <w:rPr>
          <w:noProof/>
        </w:rPr>
        <w:t xml:space="preserve"> in sklepe Sveta o navedenem skupnem sporočilu</w:t>
      </w:r>
      <w:r>
        <w:rPr>
          <w:rStyle w:val="FootnoteReference"/>
          <w:noProof/>
        </w:rPr>
        <w:footnoteReference w:id="6"/>
      </w:r>
      <w:r>
        <w:rPr>
          <w:noProof/>
        </w:rPr>
        <w:t xml:space="preserve"> ter </w:t>
      </w:r>
    </w:p>
    <w:p w:rsidR="008D1AA6" w:rsidRDefault="00205F25">
      <w:pPr>
        <w:pStyle w:val="Bullet0"/>
        <w:rPr>
          <w:noProof/>
        </w:rPr>
      </w:pPr>
      <w:r>
        <w:rPr>
          <w:noProof/>
        </w:rPr>
        <w:t>upošteva Sporočilo Komisije Evropskemu parlamentu, Svetu, Evropskemu ekonomsko-socialnemu odboru in Odboru regij z naslovom „Evropska strategija za plastiko v krožnem gospodarstvu“</w:t>
      </w:r>
      <w:r>
        <w:rPr>
          <w:rStyle w:val="FootnoteReference"/>
          <w:noProof/>
        </w:rPr>
        <w:footnoteReference w:id="7"/>
      </w:r>
      <w:r>
        <w:rPr>
          <w:noProof/>
        </w:rPr>
        <w:t>.</w:t>
      </w:r>
    </w:p>
    <w:p w:rsidR="008D1AA6" w:rsidRDefault="00205F25">
      <w:pPr>
        <w:pStyle w:val="ManualHeading1"/>
        <w:rPr>
          <w:noProof/>
        </w:rPr>
      </w:pPr>
      <w:r>
        <w:t>4.</w:t>
      </w:r>
      <w:r>
        <w:tab/>
      </w:r>
      <w:r>
        <w:rPr>
          <w:noProof/>
        </w:rPr>
        <w:t>Pravna podlaga</w:t>
      </w:r>
    </w:p>
    <w:p w:rsidR="008D1AA6" w:rsidRDefault="00205F25">
      <w:pPr>
        <w:pStyle w:val="ManualHeading2"/>
        <w:rPr>
          <w:noProof/>
        </w:rPr>
      </w:pPr>
      <w:r>
        <w:t>4.1.</w:t>
      </w:r>
      <w:r>
        <w:tab/>
      </w:r>
      <w:r>
        <w:rPr>
          <w:noProof/>
        </w:rPr>
        <w:t>Postopkovna pravna podlaga</w:t>
      </w:r>
    </w:p>
    <w:p w:rsidR="008D1AA6" w:rsidRDefault="00205F25">
      <w:pPr>
        <w:pStyle w:val="ManualHeading3"/>
        <w:rPr>
          <w:noProof/>
        </w:rPr>
      </w:pPr>
      <w:r>
        <w:t>4.1.1.</w:t>
      </w:r>
      <w:r>
        <w:tab/>
      </w:r>
      <w:r>
        <w:rPr>
          <w:noProof/>
        </w:rPr>
        <w:t>Načela</w:t>
      </w:r>
    </w:p>
    <w:p w:rsidR="008D1AA6" w:rsidRDefault="00205F25">
      <w:pPr>
        <w:rPr>
          <w:noProof/>
        </w:rPr>
      </w:pPr>
      <w:r>
        <w:rPr>
          <w:noProof/>
        </w:rPr>
        <w:t>V členu 218(9) Pogodbe o delovanju Evropske unije (v nadaljnjem besedilu: Pogodba) so predvideni sklepi o določitvi „stališč, ki naj se v imenu Unije zastopajo v organu, ustanovljenem s sporazumom, kadar ta organ sprejema akte s pravnim učinkom, razen aktov o spremembah ali dopolnitvah institucionalnega okvira sporazuma“.</w:t>
      </w:r>
    </w:p>
    <w:p w:rsidR="008D1AA6" w:rsidRDefault="00205F25">
      <w:pPr>
        <w:rPr>
          <w:noProof/>
        </w:rPr>
      </w:pPr>
      <w:r>
        <w:rPr>
          <w:noProof/>
        </w:rPr>
        <w:t>Pojem „akti s pravnim učinkom“ vključuje akte, ki imajo pravni učinek po pravilih mednarodnega prava, s katerimi se ureja zadevni organ. Vključuje tudi instrumente, ki nimajo zavezujočega učinka v mednarodnem pravu, vendar lahko „odločilno vpliva[jo] na vsebino ureditve, ki jo [sprejme] zakonodajalec Unije“</w:t>
      </w:r>
      <w:r>
        <w:rPr>
          <w:rStyle w:val="FootnoteReference"/>
          <w:noProof/>
        </w:rPr>
        <w:footnoteReference w:id="8"/>
      </w:r>
      <w:r>
        <w:rPr>
          <w:noProof/>
        </w:rPr>
        <w:t>.</w:t>
      </w:r>
    </w:p>
    <w:p w:rsidR="008D1AA6" w:rsidRDefault="00205F25">
      <w:pPr>
        <w:pStyle w:val="ManualHeading3"/>
        <w:rPr>
          <w:noProof/>
        </w:rPr>
      </w:pPr>
      <w:r>
        <w:t>4.1.2.</w:t>
      </w:r>
      <w:r>
        <w:tab/>
      </w:r>
      <w:r>
        <w:rPr>
          <w:noProof/>
        </w:rPr>
        <w:t>Uporaba v tem primeru</w:t>
      </w:r>
    </w:p>
    <w:p w:rsidR="008D1AA6" w:rsidRDefault="00205F25">
      <w:pPr>
        <w:rPr>
          <w:noProof/>
        </w:rPr>
      </w:pPr>
      <w:r>
        <w:rPr>
          <w:noProof/>
        </w:rPr>
        <w:t>WECAFC je tehnični in regionalni organ za ribištvo, ustanovljen z Resolucijo FAO 4/61 iz leta 1973 na podlagi člena VI(1) ustanovne listine FAO. Čeprav sklepi WECAFC (v nadaljnjem besedilu: „priporočila“ in „resolucije“) za njegove članice niso zavezujoči, pa akti, ki jih sprejme WECAFC, pomenijo akte, ki lahko odločilno vplivajo na vsebino ureditve, ki jo sprejme zakonodajalec Unije.</w:t>
      </w:r>
    </w:p>
    <w:p w:rsidR="008D1AA6" w:rsidRDefault="00205F25">
      <w:pPr>
        <w:rPr>
          <w:noProof/>
        </w:rPr>
      </w:pPr>
      <w:r>
        <w:rPr>
          <w:noProof/>
        </w:rPr>
        <w:lastRenderedPageBreak/>
        <w:t>Predvideni akt ne dopolnjuje ali spreminja institucionalnega okvira sporazuma.</w:t>
      </w:r>
    </w:p>
    <w:p w:rsidR="008D1AA6" w:rsidRDefault="00205F25">
      <w:pPr>
        <w:rPr>
          <w:noProof/>
        </w:rPr>
      </w:pPr>
      <w:r>
        <w:rPr>
          <w:noProof/>
        </w:rPr>
        <w:t>Postopkovna pravna podlaga za predlagani sklep je zato člen 218(9) Pogodbe.</w:t>
      </w:r>
    </w:p>
    <w:p w:rsidR="008D1AA6" w:rsidRDefault="00205F25">
      <w:pPr>
        <w:pStyle w:val="ManualHeading2"/>
        <w:rPr>
          <w:noProof/>
        </w:rPr>
      </w:pPr>
      <w:r>
        <w:t>4.2.</w:t>
      </w:r>
      <w:r>
        <w:tab/>
      </w:r>
      <w:r>
        <w:rPr>
          <w:noProof/>
        </w:rPr>
        <w:t>Materialna pravna podlaga</w:t>
      </w:r>
    </w:p>
    <w:p w:rsidR="008D1AA6" w:rsidRDefault="00205F25">
      <w:pPr>
        <w:pStyle w:val="ManualHeading3"/>
        <w:rPr>
          <w:noProof/>
        </w:rPr>
      </w:pPr>
      <w:r>
        <w:t>4.2.1.</w:t>
      </w:r>
      <w:r>
        <w:tab/>
      </w:r>
      <w:r>
        <w:rPr>
          <w:noProof/>
        </w:rPr>
        <w:t>Načela</w:t>
      </w:r>
    </w:p>
    <w:p w:rsidR="008D1AA6" w:rsidRDefault="00205F25">
      <w:pPr>
        <w:rPr>
          <w:noProof/>
        </w:rPr>
      </w:pPr>
      <w:r>
        <w:rPr>
          <w:noProof/>
        </w:rPr>
        <w:t>Materialna pravna podlaga za sklep iz člena 218(9) Pogodbe je odvisna predvsem od cilja in vsebine predvidenega akta, glede katerega se v imenu Unije zastopa stališče. Če ima predvideni akt dva cilja ali elementa in če je eden od teh ciljev ali elementov glavni, drugi pa postranski, mora sklep iz člena 218(9) Pogodbe temeljiti na samo eni materialni pravni podlagi, in sicer na tisti, ki se zahteva za glavni cilj ali element.</w:t>
      </w:r>
    </w:p>
    <w:p w:rsidR="008D1AA6" w:rsidRDefault="00205F25">
      <w:pPr>
        <w:pStyle w:val="ManualHeading3"/>
        <w:rPr>
          <w:noProof/>
        </w:rPr>
      </w:pPr>
      <w:r>
        <w:t>4.2.2.</w:t>
      </w:r>
      <w:r>
        <w:tab/>
      </w:r>
      <w:r>
        <w:rPr>
          <w:noProof/>
        </w:rPr>
        <w:t>Uporaba v tem primeru</w:t>
      </w:r>
    </w:p>
    <w:p w:rsidR="008D1AA6" w:rsidRDefault="00205F25">
      <w:pPr>
        <w:rPr>
          <w:noProof/>
        </w:rPr>
      </w:pPr>
      <w:r>
        <w:rPr>
          <w:noProof/>
        </w:rPr>
        <w:t>Glavni cilj in vsebina predvidenega akta se nanašata na ribištvo. Uredba (EU) št. 1380/2013 je pravna podlaga, ki določa načela, ki se upoštevajo v tem stališču.</w:t>
      </w:r>
    </w:p>
    <w:p w:rsidR="008D1AA6" w:rsidRDefault="00205F25">
      <w:pPr>
        <w:rPr>
          <w:i/>
          <w:noProof/>
        </w:rPr>
      </w:pPr>
      <w:r>
        <w:rPr>
          <w:noProof/>
        </w:rPr>
        <w:t>Materialna pravna podlaga za predlagani sklep je člen 43(2) Pogodbe.</w:t>
      </w:r>
    </w:p>
    <w:p w:rsidR="008D1AA6" w:rsidRDefault="00205F25">
      <w:pPr>
        <w:pStyle w:val="ManualHeading2"/>
        <w:rPr>
          <w:noProof/>
        </w:rPr>
      </w:pPr>
      <w:r>
        <w:t>4.3.</w:t>
      </w:r>
      <w:r>
        <w:tab/>
      </w:r>
      <w:r>
        <w:rPr>
          <w:noProof/>
        </w:rPr>
        <w:t>Zaključek</w:t>
      </w:r>
    </w:p>
    <w:p w:rsidR="008D1AA6" w:rsidRDefault="00205F25">
      <w:pPr>
        <w:rPr>
          <w:noProof/>
        </w:rPr>
      </w:pPr>
      <w:r>
        <w:rPr>
          <w:noProof/>
        </w:rPr>
        <w:t>Pravna podlaga predlaganega sklepa bi moral biti člen 43(2) Pogodbe v povezavi s členom 218(9) Pogodbe.</w:t>
      </w:r>
    </w:p>
    <w:p w:rsidR="008D1AA6" w:rsidRDefault="008D1AA6">
      <w:pPr>
        <w:rPr>
          <w:noProof/>
        </w:rPr>
        <w:sectPr w:rsidR="008D1AA6">
          <w:footerReference w:type="default" r:id="rId22"/>
          <w:footerReference w:type="first" r:id="rId23"/>
          <w:pgSz w:w="11907" w:h="16839"/>
          <w:pgMar w:top="1134" w:right="1417" w:bottom="1134" w:left="1417" w:header="709" w:footer="709" w:gutter="0"/>
          <w:cols w:space="708"/>
          <w:docGrid w:linePitch="360"/>
        </w:sectPr>
      </w:pPr>
    </w:p>
    <w:p w:rsidR="008D1AA6" w:rsidRDefault="00205F25">
      <w:pPr>
        <w:pStyle w:val="Rfrenceinterinstitutionnelle"/>
        <w:rPr>
          <w:noProof/>
        </w:rPr>
      </w:pPr>
      <w:r>
        <w:rPr>
          <w:noProof/>
        </w:rPr>
        <w:lastRenderedPageBreak/>
        <w:t>2019/0138 (NLE)</w:t>
      </w:r>
    </w:p>
    <w:p w:rsidR="008D1AA6" w:rsidRDefault="00205F25">
      <w:pPr>
        <w:pStyle w:val="Statut"/>
        <w:rPr>
          <w:noProof/>
        </w:rPr>
      </w:pPr>
      <w:r>
        <w:rPr>
          <w:noProof/>
        </w:rPr>
        <w:t>Predlog</w:t>
      </w:r>
    </w:p>
    <w:p w:rsidR="008D1AA6" w:rsidRDefault="00205F25">
      <w:pPr>
        <w:pStyle w:val="Typedudocument"/>
        <w:rPr>
          <w:noProof/>
        </w:rPr>
      </w:pPr>
      <w:r>
        <w:rPr>
          <w:noProof/>
        </w:rPr>
        <w:t>SKLEP SVETA</w:t>
      </w:r>
    </w:p>
    <w:p w:rsidR="008D1AA6" w:rsidRDefault="00205F25">
      <w:pPr>
        <w:pStyle w:val="Titreobjet"/>
        <w:rPr>
          <w:noProof/>
        </w:rPr>
      </w:pPr>
      <w:r>
        <w:rPr>
          <w:noProof/>
        </w:rPr>
        <w:t>o stališču, ki se v imenu Evropske unije zastopa v Komisiji za ribištvo v zahodnem srednjem Atlantiku</w:t>
      </w:r>
    </w:p>
    <w:p w:rsidR="008D1AA6" w:rsidRDefault="00205F25">
      <w:pPr>
        <w:pStyle w:val="Institutionquiagit"/>
        <w:rPr>
          <w:b/>
          <w:noProof/>
        </w:rPr>
      </w:pPr>
      <w:r>
        <w:rPr>
          <w:b/>
          <w:noProof/>
        </w:rPr>
        <w:t>SVET EVROPSKE UNIJE JE –</w:t>
      </w:r>
    </w:p>
    <w:p w:rsidR="008D1AA6" w:rsidRDefault="00205F25">
      <w:pPr>
        <w:rPr>
          <w:noProof/>
        </w:rPr>
      </w:pPr>
      <w:r>
        <w:rPr>
          <w:noProof/>
        </w:rPr>
        <w:t>ob upoštevanju Pogodbe o delovanju Evropske unije (v nadaljnjem besedilu: Pogodba) in zlasti člena 43(2) v povezavi s členom 218(9) Pogodbe,</w:t>
      </w:r>
    </w:p>
    <w:p w:rsidR="008D1AA6" w:rsidRDefault="00205F25">
      <w:pPr>
        <w:rPr>
          <w:noProof/>
        </w:rPr>
      </w:pPr>
      <w:r>
        <w:rPr>
          <w:noProof/>
        </w:rPr>
        <w:t>ob upoštevanju predloga Evropske komisije,</w:t>
      </w:r>
    </w:p>
    <w:p w:rsidR="008D1AA6" w:rsidRDefault="00205F25">
      <w:pPr>
        <w:rPr>
          <w:noProof/>
        </w:rPr>
      </w:pPr>
      <w:r>
        <w:rPr>
          <w:noProof/>
        </w:rPr>
        <w:t>ob upoštevanju naslednjega:</w:t>
      </w:r>
    </w:p>
    <w:p w:rsidR="008D1AA6" w:rsidRDefault="00205F25">
      <w:pPr>
        <w:pStyle w:val="ManualConsidrant"/>
        <w:rPr>
          <w:noProof/>
        </w:rPr>
      </w:pPr>
      <w:r>
        <w:t>(1)</w:t>
      </w:r>
      <w:r>
        <w:tab/>
      </w:r>
      <w:r>
        <w:rPr>
          <w:noProof/>
        </w:rPr>
        <w:t>Evropska unija je članica Komisija za ribištvo v zahodnem srednjem Atlantiku (WECAFC), ki je regionalna ribiška komisija Organizacije Združenih narodov za prehrano in kmetijstvo (FAO), ustanovljena na podlagi člena VI(1) ustanovne listine FAO.</w:t>
      </w:r>
    </w:p>
    <w:p w:rsidR="008D1AA6" w:rsidRDefault="00205F25">
      <w:pPr>
        <w:pStyle w:val="ManualConsidrant"/>
        <w:rPr>
          <w:noProof/>
        </w:rPr>
      </w:pPr>
      <w:r>
        <w:t>(2)</w:t>
      </w:r>
      <w:r>
        <w:tab/>
      </w:r>
      <w:r>
        <w:rPr>
          <w:noProof/>
        </w:rPr>
        <w:t>Evropska unija je članica FAO</w:t>
      </w:r>
      <w:r>
        <w:rPr>
          <w:rStyle w:val="FootnoteReference"/>
          <w:noProof/>
        </w:rPr>
        <w:footnoteReference w:id="9"/>
      </w:r>
      <w:r>
        <w:rPr>
          <w:noProof/>
        </w:rPr>
        <w:t>.</w:t>
      </w:r>
    </w:p>
    <w:p w:rsidR="008D1AA6" w:rsidRDefault="00205F25">
      <w:pPr>
        <w:pStyle w:val="ManualConsidrant"/>
        <w:rPr>
          <w:noProof/>
        </w:rPr>
      </w:pPr>
      <w:r>
        <w:t>(3)</w:t>
      </w:r>
      <w:r>
        <w:tab/>
      </w:r>
      <w:r>
        <w:rPr>
          <w:noProof/>
        </w:rPr>
        <w:t>WECAFC lahko na podlagi člena 6(h) svojih revidiranih statutov sprejema priporočila in resolucije. Zaradi njegovega svetovalnega statusa sklepi WECAFC za njegove članice niso zavezujoči.</w:t>
      </w:r>
    </w:p>
    <w:p w:rsidR="008D1AA6" w:rsidRDefault="00205F25">
      <w:pPr>
        <w:pStyle w:val="ManualConsidrant"/>
        <w:rPr>
          <w:noProof/>
        </w:rPr>
      </w:pPr>
      <w:r>
        <w:t>(4)</w:t>
      </w:r>
      <w:r>
        <w:tab/>
      </w:r>
      <w:r>
        <w:rPr>
          <w:noProof/>
        </w:rPr>
        <w:t>WECAFC na svojih zasedanjih sprejema priporočila in resolucije o ukrepih za ohranjanje in upravljanje živih morskih virov.</w:t>
      </w:r>
    </w:p>
    <w:p w:rsidR="008D1AA6" w:rsidRDefault="00205F25">
      <w:pPr>
        <w:pStyle w:val="ManualConsidrant"/>
        <w:rPr>
          <w:noProof/>
        </w:rPr>
      </w:pPr>
      <w:r>
        <w:t>(5)</w:t>
      </w:r>
      <w:r>
        <w:tab/>
      </w:r>
      <w:r>
        <w:rPr>
          <w:noProof/>
        </w:rPr>
        <w:t>Primerno je določiti stališče, ki se v imenu Unije zastopa v WECAFC v obdobju 2019–2023, saj WECAFC sprejema nezavezujoče akte, ki lahko odločilno vplivajo na vsebino ureditve, ki jo sprejme zakonodajalec Unije. Večino sklepov Sveta, ki določajo stališče Unije v regionalnih organizacijah za upravljanje ribištva, katerih pogodbenica je Unija, je treba revidirati pred letnim srečanjem navedenih regionalnih organizacij za upravljanje ribištva v letu 2024. Zato bi bilo treba za izboljšanje skladnosti med stališči Unije v vseh regionalnih organizacijah za upravljanje ribištva in regionalnih organih za ribištvo ter za racionalizacijo postopka revizije ta sklep Sveta revidirati najpozneje pred letnim zasedanjem WECAFC v letu 2024.</w:t>
      </w:r>
    </w:p>
    <w:p w:rsidR="008D1AA6" w:rsidRDefault="00205F25">
      <w:pPr>
        <w:pStyle w:val="ManualConsidrant"/>
        <w:rPr>
          <w:noProof/>
        </w:rPr>
      </w:pPr>
      <w:r>
        <w:t>(6)</w:t>
      </w:r>
      <w:r>
        <w:tab/>
      </w:r>
      <w:r>
        <w:rPr>
          <w:noProof/>
        </w:rPr>
        <w:t>Skupno sporočilo visokega predstavnika EU za zunanje zadeve in varnostno politiko ter Komisije z naslovom „Mednarodno upravljanje oceanov: prispevek EU k odgovornemu upravljanju oceanov</w:t>
      </w:r>
      <w:r>
        <w:rPr>
          <w:rStyle w:val="FootnoteReference"/>
          <w:noProof/>
        </w:rPr>
        <w:footnoteReference w:id="10"/>
      </w:r>
      <w:r>
        <w:rPr>
          <w:noProof/>
        </w:rPr>
        <w:t>“ ter sklepi Sveta o navedenem skupnem sporočilu</w:t>
      </w:r>
      <w:r>
        <w:rPr>
          <w:rStyle w:val="FootnoteReference"/>
          <w:noProof/>
        </w:rPr>
        <w:footnoteReference w:id="11"/>
      </w:r>
      <w:r>
        <w:rPr>
          <w:noProof/>
        </w:rPr>
        <w:t xml:space="preserve"> navajajo, da je spodbujanje ukrepov za podporo in povečanje učinkovitosti regionalnih organizacij za upravljanje ribištva in po potrebi za izboljšanje njihovega upravljanja in okrepitev sodelovanja na ključnih oceanskih območjih za zapolnitev vrzeli regionalnega upravljanja glavna značilnost ukrepanja EU v teh forumih.</w:t>
      </w:r>
    </w:p>
    <w:p w:rsidR="008D1AA6" w:rsidRDefault="00205F25">
      <w:pPr>
        <w:pStyle w:val="ManualConsidrant"/>
        <w:rPr>
          <w:noProof/>
        </w:rPr>
      </w:pPr>
      <w:r>
        <w:lastRenderedPageBreak/>
        <w:t>(7)</w:t>
      </w:r>
      <w:r>
        <w:tab/>
      </w:r>
      <w:r>
        <w:rPr>
          <w:noProof/>
        </w:rPr>
        <w:t>Kot navaja Sporočilo Komisije Evropskemu parlamentu, Svetu, Evropskemu ekonomsko-socialnemu odboru in Odboru regij z naslovom „Evropska strategija za plastiko v krožnem gospodarstvu“</w:t>
      </w:r>
      <w:r>
        <w:rPr>
          <w:rStyle w:val="FootnoteReference"/>
          <w:noProof/>
        </w:rPr>
        <w:footnoteReference w:id="12"/>
      </w:r>
      <w:r>
        <w:rPr>
          <w:noProof/>
        </w:rPr>
        <w:t>, bi bilo treba sprejeti posebne ukrepe za zmanjšanje onesnaževanja s plastiko in onesnaževanja morja ter izgub ali opustitev ribolovnega orodja na morju.</w:t>
      </w:r>
    </w:p>
    <w:p w:rsidR="008D1AA6" w:rsidRDefault="00205F25">
      <w:pPr>
        <w:pStyle w:val="ManualConsidrant"/>
        <w:rPr>
          <w:noProof/>
        </w:rPr>
      </w:pPr>
      <w:r>
        <w:t>(8)</w:t>
      </w:r>
      <w:r>
        <w:tab/>
      </w:r>
      <w:r>
        <w:rPr>
          <w:noProof/>
        </w:rPr>
        <w:t>Glede na razvijajočo se naravo ribolovnih virov na območju WECAFC in potrebo po stališču Unije, da se upoštevajo novi dogodki, vključno z novimi znanstvenimi in drugimi ustreznimi informacijami, predstavljenimi pred ali med zasedanji WECAFC, bi bilo treba določiti postopke za vsakoletno določitev stališča Unije v obdobju 2019–2023 v skladu z načelom lojalnega sodelovanja med institucijami Unije iz člena 13(2) Pogodbe o Evropski uniji –</w:t>
      </w:r>
    </w:p>
    <w:p w:rsidR="008D1AA6" w:rsidRDefault="008D1AA6">
      <w:pPr>
        <w:rPr>
          <w:noProof/>
        </w:rPr>
      </w:pPr>
    </w:p>
    <w:p w:rsidR="008D1AA6" w:rsidRDefault="00205F25">
      <w:pPr>
        <w:pStyle w:val="Formuledadoption"/>
        <w:rPr>
          <w:noProof/>
        </w:rPr>
      </w:pPr>
      <w:r>
        <w:rPr>
          <w:noProof/>
        </w:rPr>
        <w:t>SPREJEL NASLEDNJI SKLEP:</w:t>
      </w:r>
    </w:p>
    <w:p w:rsidR="008D1AA6" w:rsidRDefault="00205F25">
      <w:pPr>
        <w:pStyle w:val="Titrearticle"/>
        <w:rPr>
          <w:noProof/>
        </w:rPr>
      </w:pPr>
      <w:r>
        <w:rPr>
          <w:noProof/>
        </w:rPr>
        <w:t>Člen 1</w:t>
      </w:r>
    </w:p>
    <w:p w:rsidR="008D1AA6" w:rsidRDefault="00205F25">
      <w:pPr>
        <w:rPr>
          <w:noProof/>
        </w:rPr>
      </w:pPr>
      <w:r>
        <w:rPr>
          <w:noProof/>
        </w:rPr>
        <w:t>Stališče, ki se v imenu Unije zastopa na zasedanjih Komisije za ribištvo v zahodnem srednjem Atlantiku (WECAFC), je določeno v Prilogi I.</w:t>
      </w:r>
    </w:p>
    <w:p w:rsidR="008D1AA6" w:rsidRDefault="00205F25">
      <w:pPr>
        <w:pStyle w:val="Titrearticle"/>
        <w:rPr>
          <w:noProof/>
        </w:rPr>
      </w:pPr>
      <w:r>
        <w:rPr>
          <w:noProof/>
        </w:rPr>
        <w:t>Člen 2</w:t>
      </w:r>
    </w:p>
    <w:p w:rsidR="008D1AA6" w:rsidRDefault="00205F25">
      <w:pPr>
        <w:rPr>
          <w:noProof/>
        </w:rPr>
      </w:pPr>
      <w:r>
        <w:rPr>
          <w:noProof/>
        </w:rPr>
        <w:t>Vsakoletna opredelitev stališča Unije, ki se zastopa na zasedanjih WECAFC, se določi v skladu s Prilogo II.</w:t>
      </w:r>
    </w:p>
    <w:p w:rsidR="008D1AA6" w:rsidRDefault="008D1AA6">
      <w:pPr>
        <w:rPr>
          <w:noProof/>
        </w:rPr>
      </w:pPr>
    </w:p>
    <w:p w:rsidR="008D1AA6" w:rsidRDefault="00205F25">
      <w:pPr>
        <w:pStyle w:val="Titrearticle"/>
        <w:rPr>
          <w:noProof/>
        </w:rPr>
      </w:pPr>
      <w:r>
        <w:rPr>
          <w:noProof/>
        </w:rPr>
        <w:t>Člen 3</w:t>
      </w:r>
    </w:p>
    <w:p w:rsidR="008D1AA6" w:rsidRDefault="00205F25">
      <w:pPr>
        <w:rPr>
          <w:noProof/>
        </w:rPr>
      </w:pPr>
      <w:r>
        <w:rPr>
          <w:noProof/>
        </w:rPr>
        <w:t>Stališče Unije, določeno v Prilogi I, Svet na predlog Komisije oceni in po potrebi revidira najpozneje do zasedanja WECAFC v letu 2024.</w:t>
      </w:r>
    </w:p>
    <w:p w:rsidR="008D1AA6" w:rsidRDefault="00205F25">
      <w:pPr>
        <w:pStyle w:val="Titrearticle"/>
        <w:rPr>
          <w:noProof/>
        </w:rPr>
      </w:pPr>
      <w:r>
        <w:rPr>
          <w:noProof/>
        </w:rPr>
        <w:t>Člen 4</w:t>
      </w:r>
    </w:p>
    <w:p w:rsidR="008D1AA6" w:rsidRDefault="00205F25">
      <w:pPr>
        <w:rPr>
          <w:noProof/>
        </w:rPr>
      </w:pPr>
      <w:r>
        <w:rPr>
          <w:noProof/>
        </w:rPr>
        <w:t>Ta sklep je naslovljen na Komisijo.</w:t>
      </w:r>
    </w:p>
    <w:p w:rsidR="008D1AA6" w:rsidRDefault="00205F25">
      <w:pPr>
        <w:pStyle w:val="Fait"/>
        <w:rPr>
          <w:noProof/>
        </w:rPr>
      </w:pPr>
      <w:r>
        <w:t>V Bruslju,</w:t>
      </w:r>
    </w:p>
    <w:p w:rsidR="008D1AA6" w:rsidRDefault="00205F25">
      <w:pPr>
        <w:pStyle w:val="Institutionquisigne"/>
        <w:rPr>
          <w:noProof/>
        </w:rPr>
      </w:pPr>
      <w:r>
        <w:rPr>
          <w:noProof/>
        </w:rPr>
        <w:tab/>
        <w:t>Za Svet</w:t>
      </w:r>
    </w:p>
    <w:p w:rsidR="008D1AA6" w:rsidRDefault="00205F25">
      <w:pPr>
        <w:pStyle w:val="Personnequisigne"/>
        <w:rPr>
          <w:noProof/>
        </w:rPr>
      </w:pPr>
      <w:r>
        <w:rPr>
          <w:noProof/>
        </w:rPr>
        <w:tab/>
        <w:t>Predsednik</w:t>
      </w:r>
    </w:p>
    <w:sectPr w:rsidR="008D1AA6">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1AA6" w:rsidRDefault="00205F25">
      <w:pPr>
        <w:spacing w:before="0" w:after="0"/>
      </w:pPr>
      <w:r>
        <w:separator/>
      </w:r>
    </w:p>
  </w:endnote>
  <w:endnote w:type="continuationSeparator" w:id="0">
    <w:p w:rsidR="008D1AA6" w:rsidRDefault="00205F2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A6" w:rsidRPr="00205F25" w:rsidRDefault="008D1AA6" w:rsidP="00205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05F25" w:rsidRPr="00D94637" w:rsidTr="00205F25">
      <w:trPr>
        <w:jc w:val="center"/>
      </w:trPr>
      <w:tc>
        <w:tcPr>
          <w:tcW w:w="5000" w:type="pct"/>
          <w:gridSpan w:val="7"/>
          <w:shd w:val="clear" w:color="auto" w:fill="auto"/>
          <w:tcMar>
            <w:top w:w="57" w:type="dxa"/>
          </w:tcMar>
        </w:tcPr>
        <w:p w:rsidR="00205F25" w:rsidRPr="00D94637" w:rsidRDefault="00205F25" w:rsidP="00D94637">
          <w:pPr>
            <w:pStyle w:val="FooterText"/>
            <w:pBdr>
              <w:top w:val="single" w:sz="4" w:space="1" w:color="auto"/>
            </w:pBdr>
            <w:spacing w:before="200"/>
            <w:rPr>
              <w:sz w:val="2"/>
              <w:szCs w:val="2"/>
            </w:rPr>
          </w:pPr>
          <w:bookmarkStart w:id="2" w:name="FOOTER_STANDARD"/>
        </w:p>
      </w:tc>
    </w:tr>
    <w:tr w:rsidR="00205F25" w:rsidRPr="00B310DC" w:rsidTr="00205F25">
      <w:trPr>
        <w:jc w:val="center"/>
      </w:trPr>
      <w:tc>
        <w:tcPr>
          <w:tcW w:w="2500" w:type="pct"/>
          <w:gridSpan w:val="2"/>
          <w:shd w:val="clear" w:color="auto" w:fill="auto"/>
          <w:tcMar>
            <w:top w:w="0" w:type="dxa"/>
          </w:tcMar>
        </w:tcPr>
        <w:p w:rsidR="00205F25" w:rsidRPr="00AD7BF2" w:rsidRDefault="00205F25" w:rsidP="004F54B2">
          <w:pPr>
            <w:pStyle w:val="FooterText"/>
          </w:pPr>
          <w:r>
            <w:t>11144/19</w:t>
          </w:r>
          <w:r w:rsidRPr="002511D8">
            <w:t xml:space="preserve"> </w:t>
          </w:r>
        </w:p>
      </w:tc>
      <w:tc>
        <w:tcPr>
          <w:tcW w:w="625" w:type="pct"/>
          <w:shd w:val="clear" w:color="auto" w:fill="auto"/>
          <w:tcMar>
            <w:top w:w="0" w:type="dxa"/>
          </w:tcMar>
        </w:tcPr>
        <w:p w:rsidR="00205F25" w:rsidRPr="00AD7BF2" w:rsidRDefault="00205F25" w:rsidP="00D94637">
          <w:pPr>
            <w:pStyle w:val="FooterText"/>
            <w:jc w:val="center"/>
          </w:pPr>
        </w:p>
      </w:tc>
      <w:tc>
        <w:tcPr>
          <w:tcW w:w="1286" w:type="pct"/>
          <w:gridSpan w:val="3"/>
          <w:shd w:val="clear" w:color="auto" w:fill="auto"/>
          <w:tcMar>
            <w:top w:w="0" w:type="dxa"/>
          </w:tcMar>
        </w:tcPr>
        <w:p w:rsidR="00205F25" w:rsidRPr="002511D8" w:rsidRDefault="00205F25" w:rsidP="00D94637">
          <w:pPr>
            <w:pStyle w:val="FooterText"/>
            <w:jc w:val="center"/>
          </w:pPr>
          <w:r>
            <w:t>tu</w:t>
          </w:r>
        </w:p>
      </w:tc>
      <w:tc>
        <w:tcPr>
          <w:tcW w:w="589" w:type="pct"/>
          <w:shd w:val="clear" w:color="auto" w:fill="auto"/>
          <w:tcMar>
            <w:top w:w="0" w:type="dxa"/>
          </w:tcMar>
        </w:tcPr>
        <w:p w:rsidR="00205F25" w:rsidRPr="00B310DC" w:rsidRDefault="00205F25" w:rsidP="00205F25">
          <w:pPr>
            <w:pStyle w:val="FooterText"/>
            <w:jc w:val="right"/>
          </w:pPr>
          <w:r>
            <w:fldChar w:fldCharType="begin"/>
          </w:r>
          <w:r>
            <w:instrText xml:space="preserve"> PAGE  \* MERGEFORMAT </w:instrText>
          </w:r>
          <w:r>
            <w:fldChar w:fldCharType="separate"/>
          </w:r>
          <w:r w:rsidR="006E7029">
            <w:rPr>
              <w:noProof/>
            </w:rPr>
            <w:t>0</w:t>
          </w:r>
          <w:r>
            <w:fldChar w:fldCharType="end"/>
          </w:r>
        </w:p>
      </w:tc>
    </w:tr>
    <w:tr w:rsidR="00205F25" w:rsidRPr="00D94637" w:rsidTr="00205F25">
      <w:trPr>
        <w:jc w:val="center"/>
      </w:trPr>
      <w:tc>
        <w:tcPr>
          <w:tcW w:w="1774" w:type="pct"/>
          <w:shd w:val="clear" w:color="auto" w:fill="auto"/>
        </w:tcPr>
        <w:p w:rsidR="00205F25" w:rsidRPr="00AD7BF2" w:rsidRDefault="00205F25" w:rsidP="00D94637">
          <w:pPr>
            <w:pStyle w:val="FooterText"/>
            <w:spacing w:before="40"/>
          </w:pPr>
        </w:p>
      </w:tc>
      <w:tc>
        <w:tcPr>
          <w:tcW w:w="1455" w:type="pct"/>
          <w:gridSpan w:val="3"/>
          <w:shd w:val="clear" w:color="auto" w:fill="auto"/>
        </w:tcPr>
        <w:p w:rsidR="00205F25" w:rsidRPr="00AD7BF2" w:rsidRDefault="00205F25" w:rsidP="00D204D6">
          <w:pPr>
            <w:pStyle w:val="FooterText"/>
            <w:spacing w:before="40"/>
            <w:jc w:val="center"/>
          </w:pPr>
          <w:r>
            <w:t>LIFE.2.A</w:t>
          </w:r>
        </w:p>
      </w:tc>
      <w:tc>
        <w:tcPr>
          <w:tcW w:w="742" w:type="pct"/>
          <w:shd w:val="clear" w:color="auto" w:fill="auto"/>
        </w:tcPr>
        <w:p w:rsidR="00205F25" w:rsidRPr="00D94637" w:rsidRDefault="00205F25" w:rsidP="002F0099">
          <w:pPr>
            <w:pStyle w:val="FooterText"/>
            <w:jc w:val="center"/>
            <w:rPr>
              <w:b/>
              <w:position w:val="-4"/>
              <w:sz w:val="36"/>
            </w:rPr>
          </w:pPr>
        </w:p>
      </w:tc>
      <w:tc>
        <w:tcPr>
          <w:tcW w:w="1029" w:type="pct"/>
          <w:gridSpan w:val="2"/>
          <w:shd w:val="clear" w:color="auto" w:fill="auto"/>
        </w:tcPr>
        <w:p w:rsidR="00205F25" w:rsidRPr="000310C2" w:rsidRDefault="00205F25" w:rsidP="00D94637">
          <w:pPr>
            <w:pStyle w:val="FooterText"/>
            <w:jc w:val="right"/>
            <w:rPr>
              <w:spacing w:val="-20"/>
              <w:sz w:val="16"/>
            </w:rPr>
          </w:pPr>
          <w:r>
            <w:rPr>
              <w:b/>
              <w:spacing w:val="-20"/>
              <w:position w:val="-4"/>
              <w:sz w:val="36"/>
            </w:rPr>
            <w:t>SL</w:t>
          </w:r>
        </w:p>
      </w:tc>
    </w:tr>
    <w:bookmarkEnd w:id="2"/>
  </w:tbl>
  <w:p w:rsidR="008D1AA6" w:rsidRPr="00205F25" w:rsidRDefault="008D1AA6" w:rsidP="00205F25">
    <w:pPr>
      <w:pStyle w:val="FooterCouncil"/>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Layout w:type="fixed"/>
      <w:tblCellMar>
        <w:left w:w="0" w:type="dxa"/>
        <w:right w:w="0" w:type="dxa"/>
      </w:tblCellMar>
      <w:tblLook w:val="01E0" w:firstRow="1" w:lastRow="1" w:firstColumn="1" w:lastColumn="1" w:noHBand="0" w:noVBand="0"/>
    </w:tblPr>
    <w:tblGrid>
      <w:gridCol w:w="3421"/>
      <w:gridCol w:w="1400"/>
      <w:gridCol w:w="1205"/>
      <w:gridCol w:w="200"/>
      <w:gridCol w:w="1430"/>
      <w:gridCol w:w="848"/>
      <w:gridCol w:w="1135"/>
    </w:tblGrid>
    <w:tr w:rsidR="00205F25" w:rsidRPr="00D94637" w:rsidTr="00205F25">
      <w:trPr>
        <w:jc w:val="center"/>
      </w:trPr>
      <w:tc>
        <w:tcPr>
          <w:tcW w:w="5000" w:type="pct"/>
          <w:gridSpan w:val="7"/>
          <w:shd w:val="clear" w:color="auto" w:fill="auto"/>
          <w:tcMar>
            <w:top w:w="57" w:type="dxa"/>
          </w:tcMar>
        </w:tcPr>
        <w:p w:rsidR="00205F25" w:rsidRPr="00D94637" w:rsidRDefault="00205F25" w:rsidP="00D94637">
          <w:pPr>
            <w:pStyle w:val="FooterText"/>
            <w:pBdr>
              <w:top w:val="single" w:sz="4" w:space="1" w:color="auto"/>
            </w:pBdr>
            <w:spacing w:before="200"/>
            <w:rPr>
              <w:sz w:val="2"/>
              <w:szCs w:val="2"/>
            </w:rPr>
          </w:pPr>
        </w:p>
      </w:tc>
    </w:tr>
    <w:tr w:rsidR="00205F25" w:rsidRPr="00B310DC" w:rsidTr="00205F25">
      <w:trPr>
        <w:jc w:val="center"/>
      </w:trPr>
      <w:tc>
        <w:tcPr>
          <w:tcW w:w="2500" w:type="pct"/>
          <w:gridSpan w:val="2"/>
          <w:shd w:val="clear" w:color="auto" w:fill="auto"/>
          <w:tcMar>
            <w:top w:w="0" w:type="dxa"/>
          </w:tcMar>
        </w:tcPr>
        <w:p w:rsidR="00205F25" w:rsidRPr="00AD7BF2" w:rsidRDefault="00205F25" w:rsidP="004F54B2">
          <w:pPr>
            <w:pStyle w:val="FooterText"/>
          </w:pPr>
          <w:r>
            <w:t>11144/19</w:t>
          </w:r>
          <w:r w:rsidRPr="002511D8">
            <w:t xml:space="preserve"> </w:t>
          </w:r>
        </w:p>
      </w:tc>
      <w:tc>
        <w:tcPr>
          <w:tcW w:w="625" w:type="pct"/>
          <w:shd w:val="clear" w:color="auto" w:fill="auto"/>
          <w:tcMar>
            <w:top w:w="0" w:type="dxa"/>
          </w:tcMar>
        </w:tcPr>
        <w:p w:rsidR="00205F25" w:rsidRPr="00AD7BF2" w:rsidRDefault="00205F25" w:rsidP="00D94637">
          <w:pPr>
            <w:pStyle w:val="FooterText"/>
            <w:jc w:val="center"/>
          </w:pPr>
        </w:p>
      </w:tc>
      <w:tc>
        <w:tcPr>
          <w:tcW w:w="1286" w:type="pct"/>
          <w:gridSpan w:val="3"/>
          <w:shd w:val="clear" w:color="auto" w:fill="auto"/>
          <w:tcMar>
            <w:top w:w="0" w:type="dxa"/>
          </w:tcMar>
        </w:tcPr>
        <w:p w:rsidR="00205F25" w:rsidRPr="002511D8" w:rsidRDefault="00205F25" w:rsidP="00D94637">
          <w:pPr>
            <w:pStyle w:val="FooterText"/>
            <w:jc w:val="center"/>
          </w:pPr>
          <w:r>
            <w:t>tu</w:t>
          </w:r>
        </w:p>
      </w:tc>
      <w:tc>
        <w:tcPr>
          <w:tcW w:w="589" w:type="pct"/>
          <w:shd w:val="clear" w:color="auto" w:fill="auto"/>
          <w:tcMar>
            <w:top w:w="0" w:type="dxa"/>
          </w:tcMar>
        </w:tcPr>
        <w:p w:rsidR="00205F25" w:rsidRPr="00B310DC" w:rsidRDefault="00205F25" w:rsidP="00D94637">
          <w:pPr>
            <w:pStyle w:val="FooterText"/>
            <w:jc w:val="right"/>
          </w:pPr>
        </w:p>
      </w:tc>
    </w:tr>
    <w:tr w:rsidR="00205F25" w:rsidRPr="00D94637" w:rsidTr="00205F25">
      <w:trPr>
        <w:jc w:val="center"/>
      </w:trPr>
      <w:tc>
        <w:tcPr>
          <w:tcW w:w="1774" w:type="pct"/>
          <w:shd w:val="clear" w:color="auto" w:fill="auto"/>
        </w:tcPr>
        <w:p w:rsidR="00205F25" w:rsidRPr="00AD7BF2" w:rsidRDefault="00205F25" w:rsidP="00D94637">
          <w:pPr>
            <w:pStyle w:val="FooterText"/>
            <w:spacing w:before="40"/>
          </w:pPr>
        </w:p>
      </w:tc>
      <w:tc>
        <w:tcPr>
          <w:tcW w:w="1455" w:type="pct"/>
          <w:gridSpan w:val="3"/>
          <w:shd w:val="clear" w:color="auto" w:fill="auto"/>
        </w:tcPr>
        <w:p w:rsidR="00205F25" w:rsidRPr="00AD7BF2" w:rsidRDefault="00205F25" w:rsidP="00D204D6">
          <w:pPr>
            <w:pStyle w:val="FooterText"/>
            <w:spacing w:before="40"/>
            <w:jc w:val="center"/>
          </w:pPr>
          <w:r>
            <w:t>LIFE.2.A</w:t>
          </w:r>
        </w:p>
      </w:tc>
      <w:tc>
        <w:tcPr>
          <w:tcW w:w="742" w:type="pct"/>
          <w:shd w:val="clear" w:color="auto" w:fill="auto"/>
        </w:tcPr>
        <w:p w:rsidR="00205F25" w:rsidRPr="00D94637" w:rsidRDefault="00205F25" w:rsidP="002F0099">
          <w:pPr>
            <w:pStyle w:val="FooterText"/>
            <w:jc w:val="center"/>
            <w:rPr>
              <w:b/>
              <w:position w:val="-4"/>
              <w:sz w:val="36"/>
            </w:rPr>
          </w:pPr>
        </w:p>
      </w:tc>
      <w:tc>
        <w:tcPr>
          <w:tcW w:w="1029" w:type="pct"/>
          <w:gridSpan w:val="2"/>
          <w:shd w:val="clear" w:color="auto" w:fill="auto"/>
        </w:tcPr>
        <w:p w:rsidR="00205F25" w:rsidRPr="000310C2" w:rsidRDefault="00205F25" w:rsidP="00D94637">
          <w:pPr>
            <w:pStyle w:val="FooterText"/>
            <w:jc w:val="right"/>
            <w:rPr>
              <w:spacing w:val="-20"/>
              <w:sz w:val="16"/>
            </w:rPr>
          </w:pPr>
          <w:r>
            <w:rPr>
              <w:b/>
              <w:spacing w:val="-20"/>
              <w:position w:val="-4"/>
              <w:sz w:val="36"/>
            </w:rPr>
            <w:t>SL</w:t>
          </w:r>
        </w:p>
      </w:tc>
    </w:tr>
  </w:tbl>
  <w:p w:rsidR="008D1AA6" w:rsidRPr="00205F25" w:rsidRDefault="008D1AA6" w:rsidP="00205F25">
    <w:pPr>
      <w:pStyle w:val="FooterCouncil"/>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25" w:rsidRDefault="00205F2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25" w:rsidRDefault="00205F25">
    <w:pPr>
      <w:pStyle w:val="Footer"/>
      <w:rPr>
        <w:rFonts w:ascii="Arial" w:hAnsi="Arial" w:cs="Arial"/>
        <w:b/>
        <w:sz w:val="48"/>
      </w:rPr>
    </w:pPr>
    <w:r>
      <w:rPr>
        <w:rFonts w:ascii="Arial" w:hAnsi="Arial" w:cs="Arial"/>
        <w:b/>
        <w:sz w:val="48"/>
      </w:rPr>
      <w:t>SL</w:t>
    </w:r>
    <w:r>
      <w:rPr>
        <w:rFonts w:ascii="Arial" w:hAnsi="Arial" w:cs="Arial"/>
        <w:b/>
        <w:sz w:val="48"/>
      </w:rPr>
      <w:tab/>
    </w:r>
    <w:r>
      <w:rPr>
        <w:rFonts w:ascii="Arial" w:hAnsi="Arial" w:cs="Arial"/>
        <w:b/>
        <w:sz w:val="48"/>
      </w:rPr>
      <w:tab/>
    </w:r>
    <w:r>
      <w:tab/>
    </w:r>
    <w:r>
      <w:rPr>
        <w:rFonts w:ascii="Arial" w:hAnsi="Arial" w:cs="Arial"/>
        <w:b/>
        <w:sz w:val="48"/>
      </w:rPr>
      <w:t>SL</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25" w:rsidRDefault="00205F2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A6" w:rsidRDefault="00205F25">
    <w:pPr>
      <w:pStyle w:val="Footer"/>
      <w:rPr>
        <w:rFonts w:ascii="Arial" w:hAnsi="Arial" w:cs="Arial"/>
        <w:b/>
        <w:sz w:val="48"/>
      </w:rPr>
    </w:pPr>
    <w:r>
      <w:rPr>
        <w:rFonts w:ascii="Arial" w:hAnsi="Arial" w:cs="Arial"/>
        <w:b/>
        <w:sz w:val="48"/>
      </w:rPr>
      <w:t>SL</w:t>
    </w:r>
    <w:r>
      <w:rPr>
        <w:rFonts w:ascii="Arial" w:hAnsi="Arial" w:cs="Arial"/>
        <w:b/>
        <w:sz w:val="48"/>
      </w:rPr>
      <w:tab/>
    </w:r>
    <w:r>
      <w:fldChar w:fldCharType="begin"/>
    </w:r>
    <w:r>
      <w:instrText xml:space="preserve"> PAGE  \* MERGEFORMAT </w:instrText>
    </w:r>
    <w:r>
      <w:fldChar w:fldCharType="separate"/>
    </w:r>
    <w:r w:rsidR="00696D9C">
      <w:rPr>
        <w:noProof/>
      </w:rPr>
      <w:t>1</w:t>
    </w:r>
    <w:r>
      <w:fldChar w:fldCharType="end"/>
    </w:r>
    <w:r>
      <w:tab/>
    </w:r>
    <w:r>
      <w:tab/>
    </w:r>
    <w:r>
      <w:rPr>
        <w:rFonts w:ascii="Arial" w:hAnsi="Arial" w:cs="Arial"/>
        <w:b/>
        <w:sz w:val="48"/>
      </w:rPr>
      <w:t>SL</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A6" w:rsidRDefault="008D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1AA6" w:rsidRDefault="00205F25">
      <w:pPr>
        <w:spacing w:before="0" w:after="0"/>
      </w:pPr>
      <w:r>
        <w:separator/>
      </w:r>
    </w:p>
  </w:footnote>
  <w:footnote w:type="continuationSeparator" w:id="0">
    <w:p w:rsidR="008D1AA6" w:rsidRDefault="00205F25">
      <w:pPr>
        <w:spacing w:before="0" w:after="0"/>
      </w:pPr>
      <w:r>
        <w:continuationSeparator/>
      </w:r>
    </w:p>
  </w:footnote>
  <w:footnote w:id="1">
    <w:p w:rsidR="008D1AA6" w:rsidRDefault="00205F25">
      <w:pPr>
        <w:pStyle w:val="FootnoteText"/>
      </w:pPr>
      <w:r>
        <w:rPr>
          <w:rStyle w:val="FootnoteReference"/>
        </w:rPr>
        <w:footnoteRef/>
      </w:r>
      <w:r>
        <w:tab/>
        <w:t>Sklep Sveta z dne 25. novembra 1991 o pristopu Evropske gospodarske skupnosti k Organizaciji Združenih narodov za prehrano in kmetijstvo (FAO).</w:t>
      </w:r>
    </w:p>
  </w:footnote>
  <w:footnote w:id="2">
    <w:p w:rsidR="008D1AA6" w:rsidRDefault="00205F25">
      <w:pPr>
        <w:pStyle w:val="FootnoteText"/>
      </w:pPr>
      <w:r>
        <w:rPr>
          <w:rStyle w:val="FootnoteReference"/>
        </w:rPr>
        <w:footnoteRef/>
      </w:r>
      <w:r>
        <w:tab/>
        <w:t xml:space="preserve">Resolucija FAO 1/131 iz leta 2006 o spremembi statuta WECAFC in reviziji resolucij FAO 4/61 iz leta 1973 in 3/74 iz leta 1978. </w:t>
      </w:r>
    </w:p>
  </w:footnote>
  <w:footnote w:id="3">
    <w:p w:rsidR="008D1AA6" w:rsidRDefault="00205F25">
      <w:pPr>
        <w:pStyle w:val="FootnoteText"/>
      </w:pPr>
      <w:r>
        <w:rPr>
          <w:rStyle w:val="FootnoteReference"/>
        </w:rPr>
        <w:footnoteRef/>
      </w:r>
      <w:r>
        <w:tab/>
        <w:t>Uredba (EU) št. 1380/2013 Evropskega parlamenta in Sveta o skupni ribiški politiki in o spremembi uredb Sveta (ES) št. 1954/2003 in (ES) št. 1224/2009 ter razveljavitvi uredb Sveta (ES) št. 2371/2002 in (ES) št. 639/2004 ter Sklepa Sveta 2004/585/ES (UL L 354, 28.12.2013, str. 22).</w:t>
      </w:r>
    </w:p>
  </w:footnote>
  <w:footnote w:id="4">
    <w:p w:rsidR="008D1AA6" w:rsidRDefault="00205F25">
      <w:pPr>
        <w:pStyle w:val="FootnoteText"/>
      </w:pPr>
      <w:r>
        <w:rPr>
          <w:rStyle w:val="FootnoteReference"/>
        </w:rPr>
        <w:footnoteRef/>
      </w:r>
      <w:r>
        <w:tab/>
        <w:t>COM(2011) 424 z dne 13. julija 2011.</w:t>
      </w:r>
    </w:p>
  </w:footnote>
  <w:footnote w:id="5">
    <w:p w:rsidR="008D1AA6" w:rsidRDefault="00205F25">
      <w:pPr>
        <w:pStyle w:val="FootnoteText"/>
      </w:pPr>
      <w:r>
        <w:rPr>
          <w:rStyle w:val="FootnoteReference"/>
        </w:rPr>
        <w:footnoteRef/>
      </w:r>
      <w:r>
        <w:tab/>
        <w:t>JOIN(2016) 49 final z dne 10. novembra 2016.</w:t>
      </w:r>
    </w:p>
  </w:footnote>
  <w:footnote w:id="6">
    <w:p w:rsidR="008D1AA6" w:rsidRDefault="00205F25">
      <w:pPr>
        <w:pStyle w:val="FootnoteText"/>
        <w:rPr>
          <w:lang w:val="pt-PT"/>
        </w:rPr>
      </w:pPr>
      <w:r>
        <w:rPr>
          <w:rStyle w:val="FootnoteReference"/>
        </w:rPr>
        <w:footnoteRef/>
      </w:r>
      <w:r>
        <w:tab/>
        <w:t>7348/1/17 REV 1 z dne 24. marca 2017.</w:t>
      </w:r>
    </w:p>
  </w:footnote>
  <w:footnote w:id="7">
    <w:p w:rsidR="008D1AA6" w:rsidRDefault="00205F25">
      <w:pPr>
        <w:pStyle w:val="FootnoteText"/>
        <w:rPr>
          <w:lang w:val="pt-PT"/>
        </w:rPr>
      </w:pPr>
      <w:r>
        <w:rPr>
          <w:rStyle w:val="FootnoteReference"/>
        </w:rPr>
        <w:footnoteRef/>
      </w:r>
      <w:r>
        <w:tab/>
        <w:t>COM(2018) 28 final z dne 16. januarja 2018.</w:t>
      </w:r>
    </w:p>
  </w:footnote>
  <w:footnote w:id="8">
    <w:p w:rsidR="008D1AA6" w:rsidRDefault="00205F25">
      <w:pPr>
        <w:pStyle w:val="FootnoteText"/>
      </w:pPr>
      <w:r>
        <w:rPr>
          <w:rStyle w:val="FootnoteReference"/>
        </w:rPr>
        <w:footnoteRef/>
      </w:r>
      <w:r>
        <w:tab/>
        <w:t xml:space="preserve">Sodba Sodišča z dne 7. oktobra 2014 v zadevi </w:t>
      </w:r>
      <w:r>
        <w:rPr>
          <w:i/>
        </w:rPr>
        <w:t>Nemčija</w:t>
      </w:r>
      <w:r>
        <w:t xml:space="preserve"> proti </w:t>
      </w:r>
      <w:r>
        <w:rPr>
          <w:i/>
        </w:rPr>
        <w:t>Svetu</w:t>
      </w:r>
      <w:r>
        <w:t xml:space="preserve">, C-399/12, ECLI:EU:C:2014:2258, točke 61 do 64. </w:t>
      </w:r>
    </w:p>
  </w:footnote>
  <w:footnote w:id="9">
    <w:p w:rsidR="008D1AA6" w:rsidRDefault="00205F25">
      <w:pPr>
        <w:pStyle w:val="FootnoteText"/>
      </w:pPr>
      <w:r>
        <w:rPr>
          <w:rStyle w:val="FootnoteReference"/>
        </w:rPr>
        <w:footnoteRef/>
      </w:r>
      <w:r>
        <w:tab/>
        <w:t>Sklep Sveta z dne 25. novembra 1991 o pristopu Evropske gospodarske skupnosti k Organizaciji Združenih narodov za prehrano in kmetijstvo (FAO).</w:t>
      </w:r>
    </w:p>
  </w:footnote>
  <w:footnote w:id="10">
    <w:p w:rsidR="008D1AA6" w:rsidRDefault="00205F25">
      <w:pPr>
        <w:pStyle w:val="FootnoteText"/>
      </w:pPr>
      <w:r>
        <w:rPr>
          <w:rStyle w:val="FootnoteReference"/>
        </w:rPr>
        <w:footnoteRef/>
      </w:r>
      <w:r>
        <w:tab/>
        <w:t>JOIN(2016) 49 final z dne 10. novembra 2016.</w:t>
      </w:r>
    </w:p>
  </w:footnote>
  <w:footnote w:id="11">
    <w:p w:rsidR="008D1AA6" w:rsidRDefault="00205F25">
      <w:pPr>
        <w:pStyle w:val="FootnoteText"/>
      </w:pPr>
      <w:r>
        <w:rPr>
          <w:rStyle w:val="FootnoteReference"/>
        </w:rPr>
        <w:footnoteRef/>
      </w:r>
      <w:r>
        <w:tab/>
        <w:t>7348/1/17 REV 1 z dne 24. marca 2017.</w:t>
      </w:r>
    </w:p>
  </w:footnote>
  <w:footnote w:id="12">
    <w:p w:rsidR="008D1AA6" w:rsidRDefault="00205F25">
      <w:pPr>
        <w:pStyle w:val="FootnoteText"/>
      </w:pPr>
      <w:r>
        <w:rPr>
          <w:rStyle w:val="FootnoteReference"/>
        </w:rPr>
        <w:footnoteRef/>
      </w:r>
      <w:r>
        <w:tab/>
        <w:t>COM(2018) 28 final z dne 16. januarja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A6" w:rsidRPr="00205F25" w:rsidRDefault="008D1AA6" w:rsidP="00205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A6" w:rsidRPr="00205F25" w:rsidRDefault="00205F25" w:rsidP="00205F25">
    <w:pPr>
      <w:pStyle w:val="HeaderCouncilLarge"/>
    </w:pPr>
    <w:r>
      <w: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AA6" w:rsidRPr="00205F25" w:rsidRDefault="00205F25" w:rsidP="00205F25">
    <w:pPr>
      <w:pStyle w:val="HeaderCouncil"/>
    </w:pPr>
    <w:r>
      <w:t>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25" w:rsidRDefault="00205F2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25" w:rsidRDefault="00205F25">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F25" w:rsidRDefault="00205F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6B065508"/>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F63AC4E2"/>
    <w:lvl w:ilvl="0">
      <w:start w:val="1"/>
      <w:numFmt w:val="decimal"/>
      <w:pStyle w:val="ListNumber3"/>
      <w:lvlText w:val="%1."/>
      <w:lvlJc w:val="left"/>
      <w:pPr>
        <w:tabs>
          <w:tab w:val="num" w:pos="926"/>
        </w:tabs>
        <w:ind w:left="926" w:hanging="360"/>
      </w:pPr>
    </w:lvl>
  </w:abstractNum>
  <w:abstractNum w:abstractNumId="2" w15:restartNumberingAfterBreak="0">
    <w:nsid w:val="FFFFFF7F"/>
    <w:multiLevelType w:val="singleLevel"/>
    <w:tmpl w:val="B0007CCC"/>
    <w:lvl w:ilvl="0">
      <w:start w:val="1"/>
      <w:numFmt w:val="decimal"/>
      <w:pStyle w:val="ListNumber2"/>
      <w:lvlText w:val="%1."/>
      <w:lvlJc w:val="left"/>
      <w:pPr>
        <w:tabs>
          <w:tab w:val="num" w:pos="643"/>
        </w:tabs>
        <w:ind w:left="643" w:hanging="360"/>
      </w:pPr>
    </w:lvl>
  </w:abstractNum>
  <w:abstractNum w:abstractNumId="3" w15:restartNumberingAfterBreak="0">
    <w:nsid w:val="FFFFFF81"/>
    <w:multiLevelType w:val="singleLevel"/>
    <w:tmpl w:val="4CFCE9C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35AA824"/>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72F0CBD0"/>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D108A590"/>
    <w:lvl w:ilvl="0">
      <w:start w:val="1"/>
      <w:numFmt w:val="decimal"/>
      <w:pStyle w:val="ListNumber"/>
      <w:lvlText w:val="%1."/>
      <w:lvlJc w:val="left"/>
      <w:pPr>
        <w:tabs>
          <w:tab w:val="num" w:pos="360"/>
        </w:tabs>
        <w:ind w:left="360" w:hanging="360"/>
      </w:pPr>
    </w:lvl>
  </w:abstractNum>
  <w:abstractNum w:abstractNumId="7" w15:restartNumberingAfterBreak="0">
    <w:nsid w:val="FFFFFF89"/>
    <w:multiLevelType w:val="singleLevel"/>
    <w:tmpl w:val="E3720F6C"/>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Heading1"/>
      <w:lvlText w:val="%1."/>
      <w:lvlJc w:val="left"/>
      <w:pPr>
        <w:tabs>
          <w:tab w:val="num" w:pos="850"/>
        </w:tabs>
        <w:ind w:left="850" w:hanging="850"/>
      </w:pPr>
    </w:lvl>
    <w:lvl w:ilvl="1">
      <w:start w:val="1"/>
      <w:numFmt w:val="decimal"/>
      <w:pStyle w:val="Heading2"/>
      <w:lvlText w:val="%1.%2."/>
      <w:lvlJc w:val="left"/>
      <w:pPr>
        <w:tabs>
          <w:tab w:val="num" w:pos="850"/>
        </w:tabs>
        <w:ind w:left="850" w:hanging="850"/>
      </w:pPr>
    </w:lvl>
    <w:lvl w:ilvl="2">
      <w:start w:val="1"/>
      <w:numFmt w:val="decimal"/>
      <w:pStyle w:val="Heading3"/>
      <w:lvlText w:val="%1.%2.%3."/>
      <w:lvlJc w:val="left"/>
      <w:pPr>
        <w:tabs>
          <w:tab w:val="num" w:pos="850"/>
        </w:tabs>
        <w:ind w:left="850" w:hanging="850"/>
      </w:pPr>
    </w:lvl>
    <w:lvl w:ilvl="3">
      <w:start w:val="1"/>
      <w:numFmt w:val="decimal"/>
      <w:pStyle w:val="Heading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num>
  <w:num w:numId="7">
    <w:abstractNumId w:val="6"/>
  </w:num>
  <w:num w:numId="8">
    <w:abstractNumId w:val="2"/>
  </w:num>
  <w:num w:numId="9">
    <w:abstractNumId w:val="1"/>
  </w:num>
  <w:num w:numId="10">
    <w:abstractNumId w:val="0"/>
  </w:num>
  <w:num w:numId="11">
    <w:abstractNumId w:val="14"/>
    <w:lvlOverride w:ilvl="0">
      <w:startOverride w:val="1"/>
    </w:lvlOverride>
  </w:num>
  <w:num w:numId="12">
    <w:abstractNumId w:val="18"/>
  </w:num>
  <w:num w:numId="13">
    <w:abstractNumId w:val="12"/>
  </w:num>
  <w:num w:numId="14">
    <w:abstractNumId w:val="20"/>
  </w:num>
  <w:num w:numId="15">
    <w:abstractNumId w:val="11"/>
  </w:num>
  <w:num w:numId="16">
    <w:abstractNumId w:val="13"/>
  </w:num>
  <w:num w:numId="17">
    <w:abstractNumId w:val="9"/>
  </w:num>
  <w:num w:numId="18">
    <w:abstractNumId w:val="19"/>
  </w:num>
  <w:num w:numId="19">
    <w:abstractNumId w:val="8"/>
  </w:num>
  <w:num w:numId="20">
    <w:abstractNumId w:val="14"/>
  </w:num>
  <w:num w:numId="21">
    <w:abstractNumId w:val="16"/>
  </w:num>
  <w:num w:numId="22">
    <w:abstractNumId w:val="17"/>
  </w:num>
  <w:num w:numId="23">
    <w:abstractNumId w:val="10"/>
  </w:num>
  <w:num w:numId="24">
    <w:abstractNumId w:val="15"/>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uncil" w:val="true"/>
    <w:docVar w:name="CoverPageOnWordDoc" w:val="false"/>
    <w:docVar w:name="DocuWriteMetaData" w:val="&lt;metadataset docuwriteversion=&quot;4.2.11&quot; technicalblockguid=&quot;4769979650096181416&quot;&gt;_x000d__x000a_  &lt;metadata key=&quot;md_DocumentLanguages&quot;&gt;_x000d__x000a_    &lt;basicdatatypelist&gt;_x000d__x000a_      &lt;language key=&quot;SL&quot; text=&quot;SL&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UniqueHeading&quot;&gt;_x000d__x000a_    &lt;basicdatatype&gt;_x000d__x000a_      &lt;heading key=&quot;uh_65&quot; text=&quot;PREDLOG&quot; /&gt;_x000d__x000a_    &lt;/basicdatatype&gt;_x000d__x000a_  &lt;/metadata&gt;_x000d__x000a_  &lt;metadata key=&quot;md_HeadingText&quot;&gt;_x000d__x000a_    &lt;headingtext text=&quot;PREDLOG&quot;&gt;_x000d__x000a_      &lt;formattedtext&gt;_x000d__x000a_        &lt;xaml text=&quot;PREDLOG&quot;&gt;&amp;lt;FlowDocument xmlns=&quot;http://schemas.microsoft.com/winfx/2006/xaml/presentation&quot;&amp;gt;&amp;lt;Paragraph&amp;gt;PREDLOG&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Svet Evropske unije&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selj&quot; /&gt;_x000d__x000a_    &lt;/basicdatatype&gt;_x000d__x000a_  &lt;/metadata&gt;_x000d__x000a_  &lt;metadata key=&quot;md_DocumentDate&quot;&gt;_x000d__x000a_    &lt;text&gt;2019-07-10&lt;/text&gt;_x000d__x000a_  &lt;/metadata&gt;_x000d__x000a_  &lt;metadata key=&quot;md_Prefix&quot;&gt;_x000d__x000a_    &lt;text&gt;&lt;/text&gt;_x000d__x000a_  &lt;/metadata&gt;_x000d__x000a_  &lt;metadata key=&quot;md_DocumentNumber&quot;&gt;_x000d__x000a_    &lt;text&gt;11144&lt;/text&gt;_x000d__x000a_  &lt;/metadata&gt;_x000d__x000a_  &lt;metadata key=&quot;md_YearDocumentNumber&quot;&gt;_x000d__x000a_    &lt;text&gt;2019&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PECHE 32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9/0138 (NLE)&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DraftVersion&quot;&gt;_x000d__x000a_    &lt;text&gt;&lt;/text&gt;_x000d__x000a_  &lt;/metadata&gt;_x000d__x000a_  &lt;metadata key=&quot;md_Originator&quot;&gt;_x000d__x000a_    &lt;basicdatatype&gt;_x000d__x000a_      &lt;originator key=&quot;or_01&quot; text=&quot;za generalnega sekretarja Evropske komisije: direktor Jordi AYET PUIGARNAU&quot; /&gt;_x000d__x000a_    &lt;/basicdatatype&gt;_x000d__x000a_  &lt;/metadata&gt;_x000d__x000a_  &lt;metadata key=&quot;md_Recipient&quot;&gt;_x000d__x000a_    &lt;basicdatatype&gt;_x000d__x000a_      &lt;recipient key=&quot;re_02&quot; text=&quot;generalni sekretar Sveta Evropske unije Jeppe TRANHOLM-MIKKELSEN&quot; /&gt;_x000d__x000a_    &lt;/basicdatatype&gt;_x000d__x000a_  &lt;/metadata&gt;_x000d__x000a_  &lt;metadata key=&quot;md_DateOfReceipt&quot;&gt;_x000d__x000a_    &lt;text&gt;2019-07-10&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9) 284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Predlog SKLEPA SVETA o stali&amp;#353;&amp;#269;u, ki se v imenu Evropske unije zastopa v Komisiji za ribi&amp;#353;tvo v zahodnem srednjem Atlantiku&quot;&gt;&amp;lt;FlowDocument FontFamily=&quot;Arial Unicode MS&quot; FontSize=&quot;12&quot; LineHeight=&quot;6&quot; PageWidth=&quot;329&quot; PagePadding=&quot;0,0,0,0&quot; AllowDrop=&quot;False&quot; xmlns=&quot;http://schemas.microsoft.com/winfx/2006/xaml/presentation&quot;&amp;gt;&amp;lt;Paragraph&amp;gt;Predlog SKLEP&amp;lt;Run xml:lang=&quot;sl-si&quot;&amp;gt;A&amp;lt;/Run&amp;gt; SVETA o stali&amp;#353;&amp;#269;u, ki se v imenu Evropske unije zastopa v Komisiji za ribi&amp;#353;tvo v zahodnem srednjem Atlantiku&amp;lt;/Paragraph&amp;gt;&amp;lt;/FlowDocument&amp;gt;&lt;/xaml&gt;_x000d__x000a_  &lt;/metadata&gt;_x000d__x000a_  &lt;metadata key=&quot;md_SubjectFootnote&quot; /&gt;_x000d__x000a_  &lt;metadata key=&quot;md_DG&quot;&gt;_x000d__x000a_    &lt;text&gt;LIFE.2.A&lt;/text&gt;_x000d__x000a_  &lt;/metadata&gt;_x000d__x000a_  &lt;metadata key=&quot;md_Initials&quot;&gt;_x000d__x000a_    &lt;text&gt;tu&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9&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SL&lt;/text&gt;_x000d__x000a_  &lt;/metadata&gt;_x000d__x000a_  &lt;metadata key=&quot;md_SourceDocType&quot;&gt;_x000d__x000a_    &lt;text&gt;Predlog _x000d__x000a_SKLEP SVETA&lt;/text&gt;_x000d__x000a_  &lt;/metadata&gt;_x000d__x000a_  &lt;metadata key=&quot;md_SourceDocTitle&quot;&gt;_x000d__x000a_    &lt;text&gt;o stali&amp;#353;&amp;#269;u, ki se v imenu Evropske unije zastopa v Komisiji za ribi&amp;#353;tvo v zahodnem srednjem Atlantiku&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originator key=&quot;visrep_02&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 /&gt;_x000d__x000a_  &lt;metadata key=&quot;md_Caveat&quot;&gt;_x000d__x000a_    &lt;text&gt;&lt;/text&gt;_x000d__x000a_  &lt;/metadata&gt;_x000d__x000a_&lt;/metadataset&gt;"/>
    <w:docVar w:name="DQCDateTime" w:val="2019-07-01 10:57:56"/>
    <w:docVar w:name="DQCResult_Distribution" w:val="0;0"/>
    <w:docVar w:name="DQCResult_DocumentContent" w:val="0;0"/>
    <w:docVar w:name="DQCResult_DocumentSize" w:val="0;0"/>
    <w:docVar w:name="DQCResult_DocumentVersions" w:val="0;0"/>
    <w:docVar w:name="DQCResult_InvalidFootnotes" w:val="0;0"/>
    <w:docVar w:name="DQCResult_LinkedStyles" w:val="0;0"/>
    <w:docVar w:name="DQCResult_ModifiedMargins" w:val="0;0"/>
    <w:docVar w:name="DQCResult_ModifiedMarkers" w:val="0;0"/>
    <w:docVar w:name="DQCResult_ModifiedNumbering" w:val="0;0"/>
    <w:docVar w:name="DQCResult_Objects" w:val="0;0"/>
    <w:docVar w:name="DQCResult_Sections" w:val="0;0"/>
    <w:docVar w:name="DQCResult_StructureCheck" w:val="0;0"/>
    <w:docVar w:name="DQCResult_SuperfluousWhitespace" w:val="0;2"/>
    <w:docVar w:name="DQCResult_UnknownFonts" w:val="0;0"/>
    <w:docVar w:name="DQCResult_UnknownStyles" w:val="0;0"/>
    <w:docVar w:name="DQCStatus" w:val="Green"/>
    <w:docVar w:name="DQCVersion" w:val="3"/>
    <w:docVar w:name="DQCWithWarnings" w:val="0"/>
    <w:docVar w:name="LW_CORRIGENDUM" w:val="&lt;UNUSED&gt;"/>
    <w:docVar w:name="LW_COVERPAGE_EXISTS" w:val="True"/>
    <w:docVar w:name="LW_COVERPAGE_GUID" w:val="E363F0D9-3C8C-4C7F-8A0A-F70A9687CA88"/>
    <w:docVar w:name="LW_COVERPAGE_TYPE" w:val="1"/>
    <w:docVar w:name="LW_CROSSREFERENCE" w:val="&lt;UNUSED&gt;"/>
    <w:docVar w:name="LW_DocType" w:val="COM"/>
    <w:docVar w:name="LW_EMISSION" w:val="10.7.2019"/>
    <w:docVar w:name="LW_EMISSION_ISODATE" w:val="2019-07-10"/>
    <w:docVar w:name="LW_EMISSION_LOCATION" w:val="BRX"/>
    <w:docVar w:name="LW_EMISSION_PREFIX" w:val="Bruselj, "/>
    <w:docVar w:name="LW_EMISSION_SUFFIX" w:val=" "/>
    <w:docVar w:name="LW_ID_DOCMODEL" w:val="SJ-043"/>
    <w:docVar w:name="LW_ID_DOCSIGNATURE" w:val="SJ-019"/>
    <w:docVar w:name="LW_ID_DOCSTRUCTURE" w:val="COM/PL/ORG"/>
    <w:docVar w:name="LW_ID_DOCTYPE" w:val="SJ-043"/>
    <w:docVar w:name="LW_ID_EXP.MOTIFS.NEW" w:val="EM_PL2_"/>
    <w:docVar w:name="LW_ID_STATUT" w:val="SJ-019"/>
    <w:docVar w:name="LW_INTERETEEE.CP" w:val="&lt;UNUSED&gt;"/>
    <w:docVar w:name="LW_LANGUE" w:val="SL"/>
    <w:docVar w:name="LW_LEVEL_OF_SENSITIVITY" w:val="Standard treatment"/>
    <w:docVar w:name="LW_NOM.INST" w:val="EVROPSKA KOMISIJA"/>
    <w:docVar w:name="LW_NOM.INST_JOINTDOC" w:val="&lt;EMPTY&gt;"/>
    <w:docVar w:name="LW_PART_NBR" w:val="1"/>
    <w:docVar w:name="LW_PART_NBR_TOTAL" w:val="1"/>
    <w:docVar w:name="LW_REF.II.NEW.CP" w:val="NLE"/>
    <w:docVar w:name="LW_REF.II.NEW.CP_NUMBER" w:val="0138"/>
    <w:docVar w:name="LW_REF.II.NEW.CP_YEAR" w:val="2019"/>
    <w:docVar w:name="LW_REF.INST.NEW" w:val="COM"/>
    <w:docVar w:name="LW_REF.INST.NEW_ADOPTED" w:val="final"/>
    <w:docVar w:name="LW_REF.INST.NEW_TEXT" w:val="(2019) 284"/>
    <w:docVar w:name="LW_REF.INTERNE" w:val="&lt;UNUSED&gt;"/>
    <w:docVar w:name="LW_SENSITIVITY" w:val="&lt;?xml version=&quot;1.0&quot; encoding=&quot;utf-8&quot;?&gt;_x000d__x000a_&lt;SensitivityLevel xmlns:xsi=&quot;http://www.w3.org/2001/XMLSchema-instance&quot; xmlns:xsd=&quot;http://www.w3.org/2001/XMLSchema&quot; id=&quot;standard&quot;&gt;_x000d__x000a_  &lt;nicename EN=&quot;Standard treatment&quot; FR=&quot;Traitement standard&quot; /&gt;_x000d__x000a_  &lt;documentProperty&gt;Standard treatment&lt;/documentProperty&gt;_x000d__x000a_  &lt;marking xsi:nil=&quot;true&quot; /&gt;_x000d__x000a_  &lt;limited xsi:nil=&quot;true&quot; /&gt;_x000d__x000a_  &lt;detached xsi:nil=&quot;true&quot; /&gt;_x000d__x000a_  &lt;declassify xsi:nil=&quot;true&quot; /&gt;_x000d__x000a_  &lt;headerTexts xsi:nil=&quot;true&quot; /&gt;_x000d__x000a_  &lt;footerTexts xsi:nil=&quot;true&quot; /&gt;_x000d__x000a_  &lt;footnote xsi:nil=&quot;true&quot; /&gt;_x000d__x000a_  &lt;isRestricted&gt;false&lt;/isRestricted&gt;_x000d__x000a_&lt;/SensitivityLevel&gt;"/>
    <w:docVar w:name="LW_STATUT.CP" w:val="Predlog"/>
    <w:docVar w:name="LW_SUPERTITRE" w:val="&lt;UNUSED&gt;"/>
    <w:docVar w:name="LW_TITRE.OBJ.CP" w:val="o stali\u353?\u269?u, ki se v imenu Evropske unije zastopa v Komisiji za ribi\u353?tvo v zahodnem srednjem Atlantiku"/>
    <w:docVar w:name="LW_TYPE.DOC.CP" w:val="SKLEP SVETA"/>
  </w:docVars>
  <w:rsids>
    <w:rsidRoot w:val="008D1AA6"/>
    <w:rsid w:val="00205F25"/>
    <w:rsid w:val="00696D9C"/>
    <w:rsid w:val="006E7029"/>
    <w:rsid w:val="008D1A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C05D1A9-2570-4862-B20C-A251A54C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120" w:line="240" w:lineRule="auto"/>
      <w:jc w:val="both"/>
    </w:pPr>
    <w:rPr>
      <w:rFonts w:ascii="Times New Roman" w:hAnsi="Times New Roman" w:cs="Times New Roman"/>
      <w:sz w:val="24"/>
      <w:lang w:val="sl-SI"/>
    </w:rPr>
  </w:style>
  <w:style w:type="paragraph" w:styleId="Heading1">
    <w:name w:val="heading 1"/>
    <w:basedOn w:val="Normal"/>
    <w:next w:val="Text1"/>
    <w:link w:val="Heading1Char"/>
    <w:uiPriority w:val="9"/>
    <w:qFormat/>
    <w:pPr>
      <w:keepNext/>
      <w:numPr>
        <w:numId w:val="18"/>
      </w:numPr>
      <w:spacing w:before="360"/>
      <w:outlineLvl w:val="0"/>
    </w:pPr>
    <w:rPr>
      <w:rFonts w:eastAsiaTheme="majorEastAsia"/>
      <w:b/>
      <w:bCs/>
      <w:smallCaps/>
      <w:szCs w:val="28"/>
    </w:rPr>
  </w:style>
  <w:style w:type="paragraph" w:styleId="Heading2">
    <w:name w:val="heading 2"/>
    <w:basedOn w:val="Normal"/>
    <w:next w:val="Text1"/>
    <w:link w:val="Heading2Char"/>
    <w:uiPriority w:val="9"/>
    <w:semiHidden/>
    <w:unhideWhenUsed/>
    <w:qFormat/>
    <w:pPr>
      <w:keepNext/>
      <w:numPr>
        <w:ilvl w:val="1"/>
        <w:numId w:val="18"/>
      </w:numPr>
      <w:outlineLvl w:val="1"/>
    </w:pPr>
    <w:rPr>
      <w:rFonts w:eastAsiaTheme="majorEastAsia"/>
      <w:b/>
      <w:bCs/>
      <w:szCs w:val="26"/>
    </w:rPr>
  </w:style>
  <w:style w:type="paragraph" w:styleId="Heading3">
    <w:name w:val="heading 3"/>
    <w:basedOn w:val="Normal"/>
    <w:next w:val="Text1"/>
    <w:link w:val="Heading3Char"/>
    <w:uiPriority w:val="9"/>
    <w:semiHidden/>
    <w:unhideWhenUsed/>
    <w:qFormat/>
    <w:pPr>
      <w:keepNext/>
      <w:numPr>
        <w:ilvl w:val="2"/>
        <w:numId w:val="18"/>
      </w:numPr>
      <w:outlineLvl w:val="2"/>
    </w:pPr>
    <w:rPr>
      <w:rFonts w:eastAsiaTheme="majorEastAsia"/>
      <w:bCs/>
      <w:i/>
    </w:rPr>
  </w:style>
  <w:style w:type="paragraph" w:styleId="Heading4">
    <w:name w:val="heading 4"/>
    <w:basedOn w:val="Normal"/>
    <w:next w:val="Text1"/>
    <w:link w:val="Heading4Char"/>
    <w:uiPriority w:val="9"/>
    <w:semiHidden/>
    <w:unhideWhenUsed/>
    <w:qFormat/>
    <w:pPr>
      <w:keepNext/>
      <w:numPr>
        <w:ilvl w:val="3"/>
        <w:numId w:val="18"/>
      </w:numPr>
      <w:outlineLvl w:val="3"/>
    </w:pPr>
    <w:rPr>
      <w:rFonts w:eastAsiaTheme="majorEastAsia"/>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nhideWhenUsed/>
    <w:rPr>
      <w:sz w:val="20"/>
      <w:szCs w:val="20"/>
    </w:rPr>
  </w:style>
  <w:style w:type="character" w:customStyle="1" w:styleId="CommentTextChar">
    <w:name w:val="Comment Text Char"/>
    <w:basedOn w:val="DefaultParagraphFont"/>
    <w:link w:val="CommentText"/>
    <w:rPr>
      <w:rFonts w:ascii="Times New Roman" w:hAnsi="Times New Roman" w:cs="Times New Roman"/>
      <w:sz w:val="20"/>
      <w:szCs w:val="20"/>
      <w:lang w:val="sl-S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hAnsi="Times New Roman" w:cs="Times New Roman"/>
      <w:b/>
      <w:bCs/>
      <w:sz w:val="20"/>
      <w:szCs w:val="20"/>
      <w:lang w:val="sl-SI"/>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val="sl-SI"/>
    </w:rPr>
  </w:style>
  <w:style w:type="paragraph" w:styleId="Revision">
    <w:name w:val="Revision"/>
    <w:hidden/>
    <w:uiPriority w:val="99"/>
    <w:semiHidden/>
    <w:pPr>
      <w:spacing w:after="0" w:line="240" w:lineRule="auto"/>
    </w:pPr>
    <w:rPr>
      <w:rFonts w:ascii="Times New Roman" w:hAnsi="Times New Roman" w:cs="Times New Roman"/>
      <w:sz w:val="24"/>
    </w:rPr>
  </w:style>
  <w:style w:type="paragraph" w:styleId="Caption">
    <w:name w:val="caption"/>
    <w:basedOn w:val="Normal"/>
    <w:next w:val="Normal"/>
    <w:uiPriority w:val="35"/>
    <w:semiHidden/>
    <w:unhideWhenUsed/>
    <w:qFormat/>
    <w:pPr>
      <w:spacing w:before="0" w:after="200"/>
    </w:pPr>
    <w:rPr>
      <w:i/>
      <w:iCs/>
      <w:color w:val="1F497D" w:themeColor="text2"/>
      <w:sz w:val="18"/>
      <w:szCs w:val="18"/>
    </w:rPr>
  </w:style>
  <w:style w:type="paragraph" w:styleId="TableofFigures">
    <w:name w:val="table of figures"/>
    <w:basedOn w:val="Normal"/>
    <w:next w:val="Normal"/>
    <w:uiPriority w:val="99"/>
    <w:semiHidden/>
    <w:unhideWhenUsed/>
    <w:pPr>
      <w:spacing w:after="0"/>
    </w:pPr>
  </w:style>
  <w:style w:type="paragraph" w:styleId="ListNumber">
    <w:name w:val="List Number"/>
    <w:basedOn w:val="Normal"/>
    <w:uiPriority w:val="99"/>
    <w:semiHidden/>
    <w:unhideWhenUsed/>
    <w:pPr>
      <w:numPr>
        <w:numId w:val="7"/>
      </w:numPr>
      <w:contextualSpacing/>
    </w:pPr>
  </w:style>
  <w:style w:type="paragraph" w:styleId="ListNumber2">
    <w:name w:val="List Number 2"/>
    <w:basedOn w:val="Normal"/>
    <w:uiPriority w:val="99"/>
    <w:semiHidden/>
    <w:unhideWhenUsed/>
    <w:pPr>
      <w:numPr>
        <w:numId w:val="8"/>
      </w:numPr>
      <w:contextualSpacing/>
    </w:pPr>
  </w:style>
  <w:style w:type="paragraph" w:styleId="ListNumber3">
    <w:name w:val="List Number 3"/>
    <w:basedOn w:val="Normal"/>
    <w:uiPriority w:val="99"/>
    <w:semiHidden/>
    <w:unhideWhenUsed/>
    <w:pPr>
      <w:numPr>
        <w:numId w:val="9"/>
      </w:numPr>
      <w:contextualSpacing/>
    </w:pPr>
  </w:style>
  <w:style w:type="paragraph" w:styleId="ListNumber4">
    <w:name w:val="List Number 4"/>
    <w:basedOn w:val="Normal"/>
    <w:uiPriority w:val="99"/>
    <w:semiHidden/>
    <w:unhideWhenUsed/>
    <w:pPr>
      <w:numPr>
        <w:numId w:val="10"/>
      </w:numPr>
      <w:contextualSpacing/>
    </w:p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35"/>
        <w:tab w:val="right" w:pos="9071"/>
      </w:tabs>
      <w:spacing w:before="0"/>
    </w:pPr>
  </w:style>
  <w:style w:type="character" w:customStyle="1" w:styleId="HeaderChar">
    <w:name w:val="Header Char"/>
    <w:basedOn w:val="DefaultParagraphFont"/>
    <w:link w:val="Header"/>
    <w:uiPriority w:val="99"/>
    <w:rPr>
      <w:rFonts w:ascii="Times New Roman" w:hAnsi="Times New Roman" w:cs="Times New Roman"/>
      <w:sz w:val="24"/>
      <w:lang w:val="sl-SI"/>
    </w:rPr>
  </w:style>
  <w:style w:type="paragraph" w:styleId="Footer">
    <w:name w:val="footer"/>
    <w:basedOn w:val="Normal"/>
    <w:link w:val="FooterChar"/>
    <w:uiPriority w:val="99"/>
    <w:unhideWhenUsed/>
    <w:pPr>
      <w:tabs>
        <w:tab w:val="center" w:pos="4535"/>
        <w:tab w:val="right" w:pos="9071"/>
        <w:tab w:val="right" w:pos="9921"/>
      </w:tabs>
      <w:spacing w:before="360" w:after="0"/>
      <w:ind w:left="-850" w:right="-850"/>
      <w:jc w:val="left"/>
    </w:pPr>
  </w:style>
  <w:style w:type="character" w:customStyle="1" w:styleId="FooterChar">
    <w:name w:val="Footer Char"/>
    <w:basedOn w:val="DefaultParagraphFont"/>
    <w:link w:val="Footer"/>
    <w:uiPriority w:val="99"/>
    <w:rPr>
      <w:rFonts w:ascii="Times New Roman" w:hAnsi="Times New Roman" w:cs="Times New Roman"/>
      <w:sz w:val="24"/>
      <w:lang w:val="sl-SI"/>
    </w:rPr>
  </w:style>
  <w:style w:type="paragraph" w:styleId="FootnoteText">
    <w:name w:val="footnote text"/>
    <w:basedOn w:val="Normal"/>
    <w:link w:val="FootnoteTextChar"/>
    <w:uiPriority w:val="99"/>
    <w:semiHidden/>
    <w:unhideWhenUsed/>
    <w:pPr>
      <w:spacing w:before="0" w:after="0"/>
      <w:ind w:left="720" w:hanging="720"/>
    </w:pPr>
    <w:rPr>
      <w:sz w:val="20"/>
      <w:szCs w:val="20"/>
    </w:rPr>
  </w:style>
  <w:style w:type="character" w:customStyle="1" w:styleId="FootnoteTextChar">
    <w:name w:val="Footnote Text Char"/>
    <w:basedOn w:val="DefaultParagraphFont"/>
    <w:link w:val="FootnoteText"/>
    <w:uiPriority w:val="99"/>
    <w:semiHidden/>
    <w:rPr>
      <w:rFonts w:ascii="Times New Roman" w:hAnsi="Times New Roman" w:cs="Times New Roman"/>
      <w:sz w:val="20"/>
      <w:szCs w:val="20"/>
      <w:shd w:val="clear" w:color="auto" w:fill="auto"/>
      <w:lang w:val="en-GB"/>
    </w:rPr>
  </w:style>
  <w:style w:type="character" w:customStyle="1" w:styleId="Heading1Char">
    <w:name w:val="Heading 1 Char"/>
    <w:basedOn w:val="DefaultParagraphFont"/>
    <w:link w:val="Heading1"/>
    <w:uiPriority w:val="9"/>
    <w:rPr>
      <w:rFonts w:ascii="Times New Roman" w:eastAsiaTheme="majorEastAsia" w:hAnsi="Times New Roman" w:cs="Times New Roman"/>
      <w:b/>
      <w:bCs/>
      <w:smallCaps/>
      <w:sz w:val="24"/>
      <w:szCs w:val="28"/>
      <w:lang w:val="en-GB"/>
    </w:rPr>
  </w:style>
  <w:style w:type="character" w:customStyle="1" w:styleId="Heading2Char">
    <w:name w:val="Heading 2 Char"/>
    <w:basedOn w:val="DefaultParagraphFont"/>
    <w:link w:val="Heading2"/>
    <w:uiPriority w:val="9"/>
    <w:semiHidden/>
    <w:rPr>
      <w:rFonts w:ascii="Times New Roman" w:eastAsiaTheme="majorEastAsia" w:hAnsi="Times New Roman" w:cs="Times New Roman"/>
      <w:b/>
      <w:bCs/>
      <w:sz w:val="24"/>
      <w:szCs w:val="26"/>
      <w:lang w:val="en-GB"/>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i/>
      <w:sz w:val="24"/>
      <w:lang w:val="en-GB"/>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lang w:val="en-GB"/>
    </w:rPr>
  </w:style>
  <w:style w:type="paragraph" w:styleId="TOCHeading">
    <w:name w:val="TOC Heading"/>
    <w:basedOn w:val="Normal"/>
    <w:next w:val="Normal"/>
    <w:uiPriority w:val="39"/>
    <w:semiHidden/>
    <w:unhideWhenUsed/>
    <w:qFormat/>
    <w:pPr>
      <w:spacing w:after="240"/>
      <w:jc w:val="center"/>
    </w:pPr>
    <w:rPr>
      <w:b/>
      <w:sz w:val="28"/>
    </w:rPr>
  </w:style>
  <w:style w:type="paragraph" w:styleId="TOC1">
    <w:name w:val="toc 1"/>
    <w:basedOn w:val="Normal"/>
    <w:next w:val="Normal"/>
    <w:uiPriority w:val="39"/>
    <w:semiHidden/>
    <w:unhideWhenUsed/>
    <w:pPr>
      <w:tabs>
        <w:tab w:val="right" w:leader="dot" w:pos="9071"/>
      </w:tabs>
      <w:spacing w:before="60"/>
      <w:ind w:left="850" w:hanging="850"/>
      <w:jc w:val="left"/>
    </w:pPr>
  </w:style>
  <w:style w:type="paragraph" w:styleId="TOC2">
    <w:name w:val="toc 2"/>
    <w:basedOn w:val="Normal"/>
    <w:next w:val="Normal"/>
    <w:uiPriority w:val="39"/>
    <w:semiHidden/>
    <w:unhideWhenUsed/>
    <w:pPr>
      <w:tabs>
        <w:tab w:val="right" w:leader="dot" w:pos="9071"/>
      </w:tabs>
      <w:spacing w:before="60"/>
      <w:ind w:left="850" w:hanging="850"/>
      <w:jc w:val="left"/>
    </w:pPr>
  </w:style>
  <w:style w:type="paragraph" w:styleId="TOC3">
    <w:name w:val="toc 3"/>
    <w:basedOn w:val="Normal"/>
    <w:next w:val="Normal"/>
    <w:uiPriority w:val="39"/>
    <w:semiHidden/>
    <w:unhideWhenUsed/>
    <w:pPr>
      <w:tabs>
        <w:tab w:val="right" w:leader="dot" w:pos="9071"/>
      </w:tabs>
      <w:spacing w:before="60"/>
      <w:ind w:left="850" w:hanging="850"/>
      <w:jc w:val="left"/>
    </w:pPr>
  </w:style>
  <w:style w:type="paragraph" w:styleId="TOC4">
    <w:name w:val="toc 4"/>
    <w:basedOn w:val="Normal"/>
    <w:next w:val="Normal"/>
    <w:uiPriority w:val="39"/>
    <w:semiHidden/>
    <w:unhideWhenUsed/>
    <w:pPr>
      <w:tabs>
        <w:tab w:val="right" w:leader="dot" w:pos="9071"/>
      </w:tabs>
      <w:spacing w:before="60"/>
      <w:ind w:left="850" w:hanging="850"/>
      <w:jc w:val="left"/>
    </w:pPr>
  </w:style>
  <w:style w:type="paragraph" w:styleId="TOC5">
    <w:name w:val="toc 5"/>
    <w:basedOn w:val="Normal"/>
    <w:next w:val="Normal"/>
    <w:uiPriority w:val="39"/>
    <w:semiHidden/>
    <w:unhideWhenUsed/>
    <w:pPr>
      <w:tabs>
        <w:tab w:val="right" w:leader="dot" w:pos="9071"/>
      </w:tabs>
      <w:spacing w:before="300"/>
      <w:jc w:val="left"/>
    </w:pPr>
  </w:style>
  <w:style w:type="paragraph" w:styleId="TOC6">
    <w:name w:val="toc 6"/>
    <w:basedOn w:val="Normal"/>
    <w:next w:val="Normal"/>
    <w:uiPriority w:val="39"/>
    <w:semiHidden/>
    <w:unhideWhenUsed/>
    <w:pPr>
      <w:tabs>
        <w:tab w:val="right" w:leader="dot" w:pos="9071"/>
      </w:tabs>
      <w:spacing w:before="240"/>
      <w:jc w:val="left"/>
    </w:pPr>
  </w:style>
  <w:style w:type="paragraph" w:styleId="TOC7">
    <w:name w:val="toc 7"/>
    <w:basedOn w:val="Normal"/>
    <w:next w:val="Normal"/>
    <w:uiPriority w:val="39"/>
    <w:semiHidden/>
    <w:unhideWhenUsed/>
    <w:pPr>
      <w:tabs>
        <w:tab w:val="right" w:leader="dot" w:pos="9071"/>
      </w:tabs>
      <w:spacing w:before="180"/>
      <w:jc w:val="left"/>
    </w:pPr>
  </w:style>
  <w:style w:type="paragraph" w:styleId="TOC8">
    <w:name w:val="toc 8"/>
    <w:basedOn w:val="Normal"/>
    <w:next w:val="Normal"/>
    <w:uiPriority w:val="39"/>
    <w:semiHidden/>
    <w:unhideWhenUsed/>
    <w:pPr>
      <w:tabs>
        <w:tab w:val="right" w:leader="dot" w:pos="9071"/>
      </w:tabs>
      <w:jc w:val="left"/>
    </w:pPr>
  </w:style>
  <w:style w:type="paragraph" w:styleId="TOC9">
    <w:name w:val="toc 9"/>
    <w:basedOn w:val="Normal"/>
    <w:next w:val="Normal"/>
    <w:uiPriority w:val="39"/>
    <w:semiHidden/>
    <w:unhideWhenUsed/>
    <w:pPr>
      <w:tabs>
        <w:tab w:val="right" w:leader="dot" w:pos="9071"/>
      </w:tabs>
    </w:pPr>
  </w:style>
  <w:style w:type="paragraph" w:customStyle="1" w:styleId="HeaderLandscape">
    <w:name w:val="HeaderLandscape"/>
    <w:basedOn w:val="Normal"/>
    <w:pPr>
      <w:tabs>
        <w:tab w:val="center" w:pos="7285"/>
        <w:tab w:val="right" w:pos="14003"/>
      </w:tabs>
      <w:spacing w:before="0"/>
    </w:pPr>
  </w:style>
  <w:style w:type="paragraph" w:customStyle="1" w:styleId="FooterLandscape">
    <w:name w:val="FooterLandscape"/>
    <w:basedOn w:val="Normal"/>
    <w:pPr>
      <w:tabs>
        <w:tab w:val="center" w:pos="7285"/>
        <w:tab w:val="center" w:pos="10913"/>
        <w:tab w:val="right" w:pos="15137"/>
      </w:tabs>
      <w:spacing w:before="360" w:after="0"/>
      <w:ind w:left="-567" w:right="-567"/>
      <w:jc w:val="left"/>
    </w:pPr>
  </w:style>
  <w:style w:type="character" w:styleId="FootnoteReference">
    <w:name w:val="footnote reference"/>
    <w:basedOn w:val="DefaultParagraphFont"/>
    <w:uiPriority w:val="99"/>
    <w:semiHidden/>
    <w:unhideWhenUsed/>
    <w:rPr>
      <w:shd w:val="clear" w:color="auto" w:fill="auto"/>
      <w:vertAlign w:val="superscript"/>
    </w:rPr>
  </w:style>
  <w:style w:type="paragraph" w:customStyle="1" w:styleId="HeaderSensitivity">
    <w:name w:val="Header Sensitivity"/>
    <w:basedOn w:val="Normal"/>
    <w:pPr>
      <w:pBdr>
        <w:top w:val="single" w:sz="4" w:space="1" w:color="auto"/>
        <w:left w:val="single" w:sz="4" w:space="4" w:color="auto"/>
        <w:bottom w:val="single" w:sz="4" w:space="1" w:color="auto"/>
        <w:right w:val="single" w:sz="4" w:space="4" w:color="auto"/>
      </w:pBdr>
      <w:spacing w:before="0"/>
      <w:ind w:left="113" w:right="113"/>
      <w:jc w:val="center"/>
    </w:pPr>
    <w:rPr>
      <w:b/>
      <w:sz w:val="32"/>
    </w:rPr>
  </w:style>
  <w:style w:type="paragraph" w:customStyle="1" w:styleId="FooterSensitivity">
    <w:name w:val="Footer Sensitivity"/>
    <w:basedOn w:val="Normal"/>
    <w:pPr>
      <w:pBdr>
        <w:top w:val="single" w:sz="4" w:space="1" w:color="auto"/>
        <w:left w:val="single" w:sz="4" w:space="4" w:color="auto"/>
        <w:bottom w:val="single" w:sz="4" w:space="1" w:color="auto"/>
        <w:right w:val="single" w:sz="4" w:space="4" w:color="auto"/>
      </w:pBdr>
      <w:spacing w:before="360" w:after="0"/>
      <w:ind w:left="113" w:right="113"/>
      <w:jc w:val="center"/>
    </w:pPr>
    <w:rPr>
      <w:b/>
      <w:sz w:val="32"/>
    </w:rPr>
  </w:style>
  <w:style w:type="paragraph" w:customStyle="1" w:styleId="Text1">
    <w:name w:val="Text 1"/>
    <w:basedOn w:val="Normal"/>
    <w:pPr>
      <w:ind w:left="850"/>
    </w:pPr>
  </w:style>
  <w:style w:type="paragraph" w:customStyle="1" w:styleId="Text2">
    <w:name w:val="Text 2"/>
    <w:basedOn w:val="Normal"/>
    <w:pPr>
      <w:ind w:left="1417"/>
    </w:pPr>
  </w:style>
  <w:style w:type="paragraph" w:customStyle="1" w:styleId="Text3">
    <w:name w:val="Text 3"/>
    <w:basedOn w:val="Normal"/>
    <w:pPr>
      <w:ind w:left="1984"/>
    </w:pPr>
  </w:style>
  <w:style w:type="paragraph" w:customStyle="1" w:styleId="Text4">
    <w:name w:val="Text 4"/>
    <w:basedOn w:val="Normal"/>
    <w:pPr>
      <w:ind w:left="2551"/>
    </w:pPr>
  </w:style>
  <w:style w:type="paragraph" w:customStyle="1" w:styleId="NormalCentered">
    <w:name w:val="Normal Centered"/>
    <w:basedOn w:val="Normal"/>
    <w:pPr>
      <w:jc w:val="center"/>
    </w:pPr>
  </w:style>
  <w:style w:type="paragraph" w:customStyle="1" w:styleId="NormalLeft">
    <w:name w:val="Normal Left"/>
    <w:basedOn w:val="Normal"/>
    <w:pPr>
      <w:jc w:val="left"/>
    </w:pPr>
  </w:style>
  <w:style w:type="paragraph" w:customStyle="1" w:styleId="NormalRight">
    <w:name w:val="Normal Right"/>
    <w:basedOn w:val="Normal"/>
    <w:pPr>
      <w:jc w:val="right"/>
    </w:pPr>
  </w:style>
  <w:style w:type="paragraph" w:customStyle="1" w:styleId="QuotedText">
    <w:name w:val="Quoted Text"/>
    <w:basedOn w:val="Normal"/>
    <w:pPr>
      <w:ind w:left="1417"/>
    </w:pPr>
  </w:style>
  <w:style w:type="paragraph" w:customStyle="1" w:styleId="Point0">
    <w:name w:val="Point 0"/>
    <w:basedOn w:val="Normal"/>
    <w:pPr>
      <w:ind w:left="850" w:hanging="850"/>
    </w:pPr>
  </w:style>
  <w:style w:type="paragraph" w:customStyle="1" w:styleId="Point1">
    <w:name w:val="Point 1"/>
    <w:basedOn w:val="Normal"/>
    <w:pPr>
      <w:ind w:left="1417" w:hanging="567"/>
    </w:pPr>
  </w:style>
  <w:style w:type="paragraph" w:customStyle="1" w:styleId="Point2">
    <w:name w:val="Point 2"/>
    <w:basedOn w:val="Normal"/>
    <w:pPr>
      <w:ind w:left="1984" w:hanging="567"/>
    </w:pPr>
  </w:style>
  <w:style w:type="paragraph" w:customStyle="1" w:styleId="Point3">
    <w:name w:val="Point 3"/>
    <w:basedOn w:val="Normal"/>
    <w:pPr>
      <w:ind w:left="2551" w:hanging="567"/>
    </w:pPr>
  </w:style>
  <w:style w:type="paragraph" w:customStyle="1" w:styleId="Point4">
    <w:name w:val="Point 4"/>
    <w:basedOn w:val="Normal"/>
    <w:pPr>
      <w:ind w:left="3118" w:hanging="567"/>
    </w:pPr>
  </w:style>
  <w:style w:type="paragraph" w:customStyle="1" w:styleId="Tiret0">
    <w:name w:val="Tiret 0"/>
    <w:basedOn w:val="Point0"/>
    <w:pPr>
      <w:numPr>
        <w:numId w:val="12"/>
      </w:numPr>
    </w:pPr>
  </w:style>
  <w:style w:type="paragraph" w:customStyle="1" w:styleId="Tiret1">
    <w:name w:val="Tiret 1"/>
    <w:basedOn w:val="Point1"/>
    <w:pPr>
      <w:numPr>
        <w:numId w:val="13"/>
      </w:numPr>
    </w:pPr>
  </w:style>
  <w:style w:type="paragraph" w:customStyle="1" w:styleId="Tiret2">
    <w:name w:val="Tiret 2"/>
    <w:basedOn w:val="Point2"/>
    <w:pPr>
      <w:numPr>
        <w:numId w:val="14"/>
      </w:numPr>
    </w:pPr>
  </w:style>
  <w:style w:type="paragraph" w:customStyle="1" w:styleId="Tiret3">
    <w:name w:val="Tiret 3"/>
    <w:basedOn w:val="Point3"/>
    <w:pPr>
      <w:numPr>
        <w:numId w:val="15"/>
      </w:numPr>
    </w:pPr>
  </w:style>
  <w:style w:type="paragraph" w:customStyle="1" w:styleId="Tiret4">
    <w:name w:val="Tiret 4"/>
    <w:basedOn w:val="Point4"/>
    <w:pPr>
      <w:numPr>
        <w:numId w:val="16"/>
      </w:numPr>
    </w:pPr>
  </w:style>
  <w:style w:type="paragraph" w:customStyle="1" w:styleId="PointDouble0">
    <w:name w:val="PointDouble 0"/>
    <w:basedOn w:val="Normal"/>
    <w:pPr>
      <w:tabs>
        <w:tab w:val="left" w:pos="850"/>
      </w:tabs>
      <w:ind w:left="1417" w:hanging="1417"/>
    </w:pPr>
  </w:style>
  <w:style w:type="paragraph" w:customStyle="1" w:styleId="PointDouble1">
    <w:name w:val="PointDouble 1"/>
    <w:basedOn w:val="Normal"/>
    <w:pPr>
      <w:tabs>
        <w:tab w:val="left" w:pos="1417"/>
      </w:tabs>
      <w:ind w:left="1984" w:hanging="1134"/>
    </w:pPr>
  </w:style>
  <w:style w:type="paragraph" w:customStyle="1" w:styleId="PointDouble2">
    <w:name w:val="PointDouble 2"/>
    <w:basedOn w:val="Normal"/>
    <w:pPr>
      <w:tabs>
        <w:tab w:val="left" w:pos="1984"/>
      </w:tabs>
      <w:ind w:left="2551" w:hanging="1134"/>
    </w:pPr>
  </w:style>
  <w:style w:type="paragraph" w:customStyle="1" w:styleId="PointDouble3">
    <w:name w:val="PointDouble 3"/>
    <w:basedOn w:val="Normal"/>
    <w:pPr>
      <w:tabs>
        <w:tab w:val="left" w:pos="2551"/>
      </w:tabs>
      <w:ind w:left="3118" w:hanging="1134"/>
    </w:pPr>
  </w:style>
  <w:style w:type="paragraph" w:customStyle="1" w:styleId="PointDouble4">
    <w:name w:val="PointDouble 4"/>
    <w:basedOn w:val="Normal"/>
    <w:pPr>
      <w:tabs>
        <w:tab w:val="left" w:pos="3118"/>
      </w:tabs>
      <w:ind w:left="3685" w:hanging="1134"/>
    </w:pPr>
  </w:style>
  <w:style w:type="paragraph" w:customStyle="1" w:styleId="PointTriple0">
    <w:name w:val="PointTriple 0"/>
    <w:basedOn w:val="Normal"/>
    <w:pPr>
      <w:tabs>
        <w:tab w:val="left" w:pos="850"/>
        <w:tab w:val="left" w:pos="1417"/>
      </w:tabs>
      <w:ind w:left="1984" w:hanging="1984"/>
    </w:pPr>
  </w:style>
  <w:style w:type="paragraph" w:customStyle="1" w:styleId="PointTriple1">
    <w:name w:val="PointTriple 1"/>
    <w:basedOn w:val="Normal"/>
    <w:pPr>
      <w:tabs>
        <w:tab w:val="left" w:pos="1417"/>
        <w:tab w:val="left" w:pos="1984"/>
      </w:tabs>
      <w:ind w:left="2551" w:hanging="1701"/>
    </w:pPr>
  </w:style>
  <w:style w:type="paragraph" w:customStyle="1" w:styleId="PointTriple2">
    <w:name w:val="PointTriple 2"/>
    <w:basedOn w:val="Normal"/>
    <w:pPr>
      <w:tabs>
        <w:tab w:val="left" w:pos="1984"/>
        <w:tab w:val="left" w:pos="2551"/>
      </w:tabs>
      <w:ind w:left="3118" w:hanging="1701"/>
    </w:pPr>
  </w:style>
  <w:style w:type="paragraph" w:customStyle="1" w:styleId="PointTriple3">
    <w:name w:val="PointTriple 3"/>
    <w:basedOn w:val="Normal"/>
    <w:pPr>
      <w:tabs>
        <w:tab w:val="left" w:pos="2551"/>
        <w:tab w:val="left" w:pos="3118"/>
      </w:tabs>
      <w:ind w:left="3685" w:hanging="1701"/>
    </w:pPr>
  </w:style>
  <w:style w:type="paragraph" w:customStyle="1" w:styleId="PointTriple4">
    <w:name w:val="PointTriple 4"/>
    <w:basedOn w:val="Normal"/>
    <w:pPr>
      <w:tabs>
        <w:tab w:val="left" w:pos="3118"/>
        <w:tab w:val="left" w:pos="3685"/>
      </w:tabs>
      <w:ind w:left="4252" w:hanging="1701"/>
    </w:pPr>
  </w:style>
  <w:style w:type="paragraph" w:customStyle="1" w:styleId="NumPar1">
    <w:name w:val="NumPar 1"/>
    <w:basedOn w:val="Normal"/>
    <w:next w:val="Text1"/>
    <w:pPr>
      <w:numPr>
        <w:numId w:val="17"/>
      </w:numPr>
    </w:pPr>
  </w:style>
  <w:style w:type="paragraph" w:customStyle="1" w:styleId="NumPar2">
    <w:name w:val="NumPar 2"/>
    <w:basedOn w:val="Normal"/>
    <w:next w:val="Text1"/>
    <w:pPr>
      <w:numPr>
        <w:ilvl w:val="1"/>
        <w:numId w:val="17"/>
      </w:numPr>
    </w:pPr>
  </w:style>
  <w:style w:type="paragraph" w:customStyle="1" w:styleId="NumPar3">
    <w:name w:val="NumPar 3"/>
    <w:basedOn w:val="Normal"/>
    <w:next w:val="Text1"/>
    <w:pPr>
      <w:numPr>
        <w:ilvl w:val="2"/>
        <w:numId w:val="17"/>
      </w:numPr>
    </w:pPr>
  </w:style>
  <w:style w:type="paragraph" w:customStyle="1" w:styleId="NumPar4">
    <w:name w:val="NumPar 4"/>
    <w:basedOn w:val="Normal"/>
    <w:next w:val="Text1"/>
    <w:pPr>
      <w:numPr>
        <w:ilvl w:val="3"/>
        <w:numId w:val="17"/>
      </w:numPr>
    </w:pPr>
  </w:style>
  <w:style w:type="paragraph" w:customStyle="1" w:styleId="ManualNumPar1">
    <w:name w:val="Manual NumPar 1"/>
    <w:basedOn w:val="Normal"/>
    <w:next w:val="Text1"/>
    <w:pPr>
      <w:ind w:left="850" w:hanging="850"/>
    </w:pPr>
  </w:style>
  <w:style w:type="paragraph" w:customStyle="1" w:styleId="ManualNumPar2">
    <w:name w:val="Manual NumPar 2"/>
    <w:basedOn w:val="Normal"/>
    <w:next w:val="Text1"/>
    <w:pPr>
      <w:ind w:left="850" w:hanging="850"/>
    </w:pPr>
  </w:style>
  <w:style w:type="paragraph" w:customStyle="1" w:styleId="ManualNumPar3">
    <w:name w:val="Manual NumPar 3"/>
    <w:basedOn w:val="Normal"/>
    <w:next w:val="Text1"/>
    <w:pPr>
      <w:ind w:left="850" w:hanging="850"/>
    </w:pPr>
  </w:style>
  <w:style w:type="paragraph" w:customStyle="1" w:styleId="ManualNumPar4">
    <w:name w:val="Manual NumPar 4"/>
    <w:basedOn w:val="Normal"/>
    <w:next w:val="Text1"/>
    <w:pPr>
      <w:ind w:left="850" w:hanging="850"/>
    </w:pPr>
  </w:style>
  <w:style w:type="paragraph" w:customStyle="1" w:styleId="QuotedNumPar">
    <w:name w:val="Quoted NumPar"/>
    <w:basedOn w:val="Normal"/>
    <w:pPr>
      <w:ind w:left="1417" w:hanging="567"/>
    </w:pPr>
  </w:style>
  <w:style w:type="paragraph" w:customStyle="1" w:styleId="ManualHeading1">
    <w:name w:val="Manual Heading 1"/>
    <w:basedOn w:val="Normal"/>
    <w:next w:val="Text1"/>
    <w:pPr>
      <w:keepNext/>
      <w:tabs>
        <w:tab w:val="left" w:pos="850"/>
      </w:tabs>
      <w:spacing w:before="360"/>
      <w:ind w:left="850" w:hanging="850"/>
      <w:outlineLvl w:val="0"/>
    </w:pPr>
    <w:rPr>
      <w:b/>
      <w:smallCaps/>
    </w:rPr>
  </w:style>
  <w:style w:type="paragraph" w:customStyle="1" w:styleId="ManualHeading2">
    <w:name w:val="Manual Heading 2"/>
    <w:basedOn w:val="Normal"/>
    <w:next w:val="Text1"/>
    <w:pPr>
      <w:keepNext/>
      <w:tabs>
        <w:tab w:val="left" w:pos="850"/>
      </w:tabs>
      <w:ind w:left="850" w:hanging="850"/>
      <w:outlineLvl w:val="1"/>
    </w:pPr>
    <w:rPr>
      <w:b/>
    </w:rPr>
  </w:style>
  <w:style w:type="paragraph" w:customStyle="1" w:styleId="ManualHeading3">
    <w:name w:val="Manual Heading 3"/>
    <w:basedOn w:val="Normal"/>
    <w:next w:val="Text1"/>
    <w:pPr>
      <w:keepNext/>
      <w:tabs>
        <w:tab w:val="left" w:pos="850"/>
      </w:tabs>
      <w:ind w:left="850" w:hanging="850"/>
      <w:outlineLvl w:val="2"/>
    </w:pPr>
    <w:rPr>
      <w:i/>
    </w:rPr>
  </w:style>
  <w:style w:type="paragraph" w:customStyle="1" w:styleId="ManualHeading4">
    <w:name w:val="Manual Heading 4"/>
    <w:basedOn w:val="Normal"/>
    <w:next w:val="Text1"/>
    <w:pPr>
      <w:keepNext/>
      <w:tabs>
        <w:tab w:val="left" w:pos="850"/>
      </w:tabs>
      <w:ind w:left="850" w:hanging="850"/>
      <w:outlineLvl w:val="3"/>
    </w:pPr>
  </w:style>
  <w:style w:type="paragraph" w:customStyle="1" w:styleId="ChapterTitle">
    <w:name w:val="ChapterTitle"/>
    <w:basedOn w:val="Normal"/>
    <w:next w:val="Normal"/>
    <w:pPr>
      <w:keepNext/>
      <w:spacing w:after="360"/>
      <w:jc w:val="center"/>
    </w:pPr>
    <w:rPr>
      <w:b/>
      <w:sz w:val="32"/>
    </w:rPr>
  </w:style>
  <w:style w:type="paragraph" w:customStyle="1" w:styleId="PartTitle">
    <w:name w:val="PartTitle"/>
    <w:basedOn w:val="Normal"/>
    <w:next w:val="ChapterTitle"/>
    <w:pPr>
      <w:keepNext/>
      <w:pageBreakBefore/>
      <w:spacing w:after="360"/>
      <w:jc w:val="center"/>
    </w:pPr>
    <w:rPr>
      <w:b/>
      <w:sz w:val="36"/>
    </w:rPr>
  </w:style>
  <w:style w:type="paragraph" w:customStyle="1" w:styleId="SectionTitle">
    <w:name w:val="SectionTitle"/>
    <w:basedOn w:val="Normal"/>
    <w:next w:val="Heading1"/>
    <w:pPr>
      <w:keepNext/>
      <w:spacing w:after="360"/>
      <w:jc w:val="center"/>
    </w:pPr>
    <w:rPr>
      <w:b/>
      <w:smallCaps/>
      <w:sz w:val="28"/>
    </w:rPr>
  </w:style>
  <w:style w:type="paragraph" w:customStyle="1" w:styleId="TableTitle">
    <w:name w:val="Table Title"/>
    <w:basedOn w:val="Normal"/>
    <w:next w:val="Normal"/>
    <w:pPr>
      <w:jc w:val="center"/>
    </w:pPr>
    <w:rPr>
      <w:b/>
    </w:rPr>
  </w:style>
  <w:style w:type="character" w:customStyle="1" w:styleId="Marker">
    <w:name w:val="Marker"/>
    <w:basedOn w:val="DefaultParagraphFont"/>
    <w:rsid w:val="00205F25"/>
    <w:rPr>
      <w:color w:val="0000FF"/>
      <w:bdr w:val="none" w:sz="0" w:space="0" w:color="auto"/>
      <w:shd w:val="clear" w:color="auto" w:fill="auto"/>
    </w:rPr>
  </w:style>
  <w:style w:type="character" w:customStyle="1" w:styleId="Marker1">
    <w:name w:val="Marker1"/>
    <w:basedOn w:val="DefaultParagraphFont"/>
    <w:rPr>
      <w:color w:val="008000"/>
      <w:shd w:val="clear" w:color="auto" w:fill="auto"/>
    </w:rPr>
  </w:style>
  <w:style w:type="character" w:customStyle="1" w:styleId="Marker2">
    <w:name w:val="Marker2"/>
    <w:basedOn w:val="DefaultParagraphFont"/>
    <w:rPr>
      <w:color w:val="FF0000"/>
      <w:shd w:val="clear" w:color="auto" w:fill="auto"/>
    </w:rPr>
  </w:style>
  <w:style w:type="paragraph" w:customStyle="1" w:styleId="Point0number">
    <w:name w:val="Point 0 (number)"/>
    <w:basedOn w:val="Normal"/>
    <w:pPr>
      <w:numPr>
        <w:numId w:val="19"/>
      </w:numPr>
    </w:pPr>
  </w:style>
  <w:style w:type="paragraph" w:customStyle="1" w:styleId="Point1number">
    <w:name w:val="Point 1 (number)"/>
    <w:basedOn w:val="Normal"/>
    <w:pPr>
      <w:numPr>
        <w:ilvl w:val="2"/>
        <w:numId w:val="19"/>
      </w:numPr>
    </w:pPr>
  </w:style>
  <w:style w:type="paragraph" w:customStyle="1" w:styleId="Point2number">
    <w:name w:val="Point 2 (number)"/>
    <w:basedOn w:val="Normal"/>
    <w:pPr>
      <w:numPr>
        <w:ilvl w:val="4"/>
        <w:numId w:val="19"/>
      </w:numPr>
    </w:pPr>
  </w:style>
  <w:style w:type="paragraph" w:customStyle="1" w:styleId="Point3number">
    <w:name w:val="Point 3 (number)"/>
    <w:basedOn w:val="Normal"/>
    <w:pPr>
      <w:numPr>
        <w:ilvl w:val="6"/>
        <w:numId w:val="19"/>
      </w:numPr>
    </w:pPr>
  </w:style>
  <w:style w:type="paragraph" w:customStyle="1" w:styleId="Point0letter">
    <w:name w:val="Point 0 (letter)"/>
    <w:basedOn w:val="Normal"/>
    <w:pPr>
      <w:numPr>
        <w:ilvl w:val="1"/>
        <w:numId w:val="19"/>
      </w:numPr>
    </w:pPr>
  </w:style>
  <w:style w:type="paragraph" w:customStyle="1" w:styleId="Point1letter">
    <w:name w:val="Point 1 (letter)"/>
    <w:basedOn w:val="Normal"/>
    <w:pPr>
      <w:numPr>
        <w:ilvl w:val="3"/>
        <w:numId w:val="19"/>
      </w:numPr>
    </w:pPr>
  </w:style>
  <w:style w:type="paragraph" w:customStyle="1" w:styleId="Point2letter">
    <w:name w:val="Point 2 (letter)"/>
    <w:basedOn w:val="Normal"/>
    <w:pPr>
      <w:numPr>
        <w:ilvl w:val="5"/>
        <w:numId w:val="19"/>
      </w:numPr>
    </w:pPr>
  </w:style>
  <w:style w:type="paragraph" w:customStyle="1" w:styleId="Point3letter">
    <w:name w:val="Point 3 (letter)"/>
    <w:basedOn w:val="Normal"/>
    <w:pPr>
      <w:numPr>
        <w:ilvl w:val="7"/>
        <w:numId w:val="19"/>
      </w:numPr>
    </w:pPr>
  </w:style>
  <w:style w:type="paragraph" w:customStyle="1" w:styleId="Point4letter">
    <w:name w:val="Point 4 (letter)"/>
    <w:basedOn w:val="Normal"/>
    <w:pPr>
      <w:numPr>
        <w:ilvl w:val="8"/>
        <w:numId w:val="19"/>
      </w:numPr>
    </w:pPr>
  </w:style>
  <w:style w:type="paragraph" w:customStyle="1" w:styleId="Bullet0">
    <w:name w:val="Bullet 0"/>
    <w:basedOn w:val="Normal"/>
    <w:pPr>
      <w:numPr>
        <w:numId w:val="20"/>
      </w:numPr>
    </w:pPr>
  </w:style>
  <w:style w:type="paragraph" w:customStyle="1" w:styleId="Bullet1">
    <w:name w:val="Bullet 1"/>
    <w:basedOn w:val="Normal"/>
    <w:pPr>
      <w:numPr>
        <w:numId w:val="21"/>
      </w:numPr>
    </w:pPr>
  </w:style>
  <w:style w:type="paragraph" w:customStyle="1" w:styleId="Bullet2">
    <w:name w:val="Bullet 2"/>
    <w:basedOn w:val="Normal"/>
    <w:pPr>
      <w:numPr>
        <w:numId w:val="22"/>
      </w:numPr>
    </w:pPr>
  </w:style>
  <w:style w:type="paragraph" w:customStyle="1" w:styleId="Bullet3">
    <w:name w:val="Bullet 3"/>
    <w:basedOn w:val="Normal"/>
    <w:pPr>
      <w:numPr>
        <w:numId w:val="23"/>
      </w:numPr>
    </w:pPr>
  </w:style>
  <w:style w:type="paragraph" w:customStyle="1" w:styleId="Bullet4">
    <w:name w:val="Bullet 4"/>
    <w:basedOn w:val="Normal"/>
    <w:pPr>
      <w:numPr>
        <w:numId w:val="24"/>
      </w:numPr>
    </w:pPr>
  </w:style>
  <w:style w:type="paragraph" w:customStyle="1" w:styleId="Langue">
    <w:name w:val="Langue"/>
    <w:basedOn w:val="Normal"/>
    <w:next w:val="Rfrenceinterne"/>
    <w:pPr>
      <w:framePr w:wrap="around" w:vAnchor="page" w:hAnchor="text" w:xAlign="center" w:y="14741"/>
      <w:spacing w:before="0" w:after="600"/>
      <w:jc w:val="center"/>
    </w:pPr>
    <w:rPr>
      <w:b/>
      <w:caps/>
    </w:rPr>
  </w:style>
  <w:style w:type="paragraph" w:customStyle="1" w:styleId="Nomdelinstitution">
    <w:name w:val="Nom de l'institution"/>
    <w:basedOn w:val="Normal"/>
    <w:next w:val="Emission"/>
    <w:pPr>
      <w:spacing w:before="0" w:after="0"/>
      <w:jc w:val="left"/>
    </w:pPr>
    <w:rPr>
      <w:rFonts w:ascii="Arial" w:hAnsi="Arial" w:cs="Arial"/>
    </w:rPr>
  </w:style>
  <w:style w:type="paragraph" w:customStyle="1" w:styleId="Emission">
    <w:name w:val="Emission"/>
    <w:basedOn w:val="Normal"/>
    <w:next w:val="Rfrenceinstitutionnelle"/>
    <w:pPr>
      <w:spacing w:before="0" w:after="0"/>
      <w:ind w:left="5103"/>
      <w:jc w:val="left"/>
    </w:pPr>
  </w:style>
  <w:style w:type="paragraph" w:customStyle="1" w:styleId="Rfrenceinstitutionnelle">
    <w:name w:val="Référence institutionnelle"/>
    <w:basedOn w:val="Normal"/>
    <w:next w:val="Confidentialit"/>
    <w:pPr>
      <w:spacing w:before="0" w:after="240"/>
      <w:ind w:left="5103"/>
      <w:jc w:val="left"/>
    </w:pPr>
  </w:style>
  <w:style w:type="paragraph" w:customStyle="1" w:styleId="Pagedecouverture">
    <w:name w:val="Page de couverture"/>
    <w:basedOn w:val="Normal"/>
    <w:next w:val="Normal"/>
    <w:pPr>
      <w:spacing w:before="0" w:after="0"/>
    </w:pPr>
  </w:style>
  <w:style w:type="paragraph" w:customStyle="1" w:styleId="Declassification">
    <w:name w:val="Declassification"/>
    <w:basedOn w:val="Normal"/>
    <w:next w:val="Normal"/>
    <w:pPr>
      <w:spacing w:before="0" w:after="0"/>
    </w:pPr>
  </w:style>
  <w:style w:type="paragraph" w:customStyle="1" w:styleId="Disclaimer">
    <w:name w:val="Disclaimer"/>
    <w:basedOn w:val="Normal"/>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pPr>
  </w:style>
  <w:style w:type="paragraph" w:customStyle="1" w:styleId="Annexetitreexpos">
    <w:name w:val="Annexe titre (exposé)"/>
    <w:basedOn w:val="Normal"/>
    <w:next w:val="Normal"/>
    <w:pPr>
      <w:jc w:val="center"/>
    </w:pPr>
    <w:rPr>
      <w:b/>
      <w:u w:val="single"/>
    </w:rPr>
  </w:style>
  <w:style w:type="paragraph" w:customStyle="1" w:styleId="Annexetitre">
    <w:name w:val="Annexe titre"/>
    <w:basedOn w:val="Normal"/>
    <w:next w:val="Normal"/>
    <w:pPr>
      <w:jc w:val="center"/>
    </w:pPr>
    <w:rPr>
      <w:b/>
      <w:u w:val="single"/>
    </w:rPr>
  </w:style>
  <w:style w:type="paragraph" w:customStyle="1" w:styleId="Annexetitrefichefinancire">
    <w:name w:val="Annexe titre (fiche financière)"/>
    <w:basedOn w:val="Normal"/>
    <w:next w:val="Normal"/>
    <w:pPr>
      <w:jc w:val="center"/>
    </w:pPr>
    <w:rPr>
      <w:b/>
      <w:u w:val="single"/>
    </w:rPr>
  </w:style>
  <w:style w:type="paragraph" w:customStyle="1" w:styleId="Applicationdirecte">
    <w:name w:val="Application directe"/>
    <w:basedOn w:val="Normal"/>
    <w:next w:val="Fait"/>
    <w:pPr>
      <w:spacing w:before="480"/>
    </w:pPr>
  </w:style>
  <w:style w:type="paragraph" w:customStyle="1" w:styleId="Avertissementtitre">
    <w:name w:val="Avertissement titre"/>
    <w:basedOn w:val="Normal"/>
    <w:next w:val="Normal"/>
    <w:pPr>
      <w:keepNext/>
      <w:spacing w:before="480"/>
    </w:pPr>
    <w:rPr>
      <w:u w:val="single"/>
    </w:rPr>
  </w:style>
  <w:style w:type="paragraph" w:customStyle="1" w:styleId="Confidence">
    <w:name w:val="Confidence"/>
    <w:basedOn w:val="Normal"/>
    <w:next w:val="Normal"/>
    <w:pPr>
      <w:spacing w:before="360"/>
      <w:jc w:val="center"/>
    </w:pPr>
  </w:style>
  <w:style w:type="paragraph" w:customStyle="1" w:styleId="Confidentialit">
    <w:name w:val="Confidentialité"/>
    <w:basedOn w:val="Normal"/>
    <w:next w:val="TypedudocumentPagedecouverture"/>
    <w:pPr>
      <w:spacing w:before="240" w:after="240"/>
      <w:ind w:left="5103"/>
      <w:jc w:val="left"/>
    </w:pPr>
    <w:rPr>
      <w:i/>
      <w:sz w:val="32"/>
    </w:rPr>
  </w:style>
  <w:style w:type="paragraph" w:customStyle="1" w:styleId="Considrant">
    <w:name w:val="Considérant"/>
    <w:basedOn w:val="Normal"/>
    <w:pPr>
      <w:numPr>
        <w:numId w:val="25"/>
      </w:numPr>
    </w:pPr>
  </w:style>
  <w:style w:type="paragraph" w:customStyle="1" w:styleId="Corrigendum">
    <w:name w:val="Corrigendum"/>
    <w:basedOn w:val="Normal"/>
    <w:next w:val="Normal"/>
    <w:pPr>
      <w:spacing w:before="0" w:after="240"/>
      <w:jc w:val="left"/>
    </w:pPr>
  </w:style>
  <w:style w:type="paragraph" w:customStyle="1" w:styleId="Datedadoption">
    <w:name w:val="Date d'adoption"/>
    <w:basedOn w:val="Normal"/>
    <w:next w:val="Titreobjet"/>
    <w:pPr>
      <w:spacing w:before="360" w:after="0"/>
      <w:jc w:val="center"/>
    </w:pPr>
    <w:rPr>
      <w:b/>
    </w:rPr>
  </w:style>
  <w:style w:type="paragraph" w:customStyle="1" w:styleId="Exposdesmotifstitre">
    <w:name w:val="Exposé des motifs titre"/>
    <w:basedOn w:val="Normal"/>
    <w:next w:val="Normal"/>
    <w:pPr>
      <w:jc w:val="center"/>
    </w:pPr>
    <w:rPr>
      <w:b/>
      <w:u w:val="single"/>
    </w:rPr>
  </w:style>
  <w:style w:type="paragraph" w:customStyle="1" w:styleId="Fait">
    <w:name w:val="Fait à"/>
    <w:basedOn w:val="Normal"/>
    <w:next w:val="Institutionquisigne"/>
    <w:pPr>
      <w:keepNext/>
      <w:spacing w:after="0"/>
    </w:pPr>
  </w:style>
  <w:style w:type="paragraph" w:customStyle="1" w:styleId="Formuledadoption">
    <w:name w:val="Formule d'adoption"/>
    <w:basedOn w:val="Normal"/>
    <w:next w:val="Titrearticle"/>
    <w:pPr>
      <w:keepNext/>
    </w:pPr>
  </w:style>
  <w:style w:type="paragraph" w:customStyle="1" w:styleId="Institutionquiagit">
    <w:name w:val="Institution qui agit"/>
    <w:basedOn w:val="Normal"/>
    <w:next w:val="Normal"/>
    <w:pPr>
      <w:keepNext/>
      <w:spacing w:before="600"/>
    </w:pPr>
  </w:style>
  <w:style w:type="paragraph" w:customStyle="1" w:styleId="Institutionquisigne">
    <w:name w:val="Institution qui signe"/>
    <w:basedOn w:val="Normal"/>
    <w:next w:val="Personnequisigne"/>
    <w:pPr>
      <w:keepNext/>
      <w:tabs>
        <w:tab w:val="left" w:pos="4252"/>
      </w:tabs>
      <w:spacing w:before="720" w:after="0"/>
    </w:pPr>
    <w:rPr>
      <w:i/>
    </w:rPr>
  </w:style>
  <w:style w:type="paragraph" w:customStyle="1" w:styleId="ManualConsidrant">
    <w:name w:val="Manual Considérant"/>
    <w:basedOn w:val="Normal"/>
    <w:pPr>
      <w:ind w:left="709" w:hanging="709"/>
    </w:pPr>
  </w:style>
  <w:style w:type="paragraph" w:customStyle="1" w:styleId="Personnequisigne">
    <w:name w:val="Personne qui signe"/>
    <w:basedOn w:val="Normal"/>
    <w:next w:val="Institutionquisigne"/>
    <w:pPr>
      <w:tabs>
        <w:tab w:val="left" w:pos="4252"/>
      </w:tabs>
      <w:spacing w:before="0" w:after="0"/>
      <w:jc w:val="left"/>
    </w:pPr>
    <w:rPr>
      <w:i/>
    </w:rPr>
  </w:style>
  <w:style w:type="paragraph" w:customStyle="1" w:styleId="Rfrenceinterinstitutionnelle">
    <w:name w:val="Référence interinstitutionnelle"/>
    <w:basedOn w:val="Normal"/>
    <w:next w:val="Statut"/>
    <w:pPr>
      <w:spacing w:before="0" w:after="0"/>
      <w:ind w:left="5103"/>
      <w:jc w:val="left"/>
    </w:pPr>
  </w:style>
  <w:style w:type="paragraph" w:customStyle="1" w:styleId="Rfrenceinterne">
    <w:name w:val="Référence interne"/>
    <w:basedOn w:val="Normal"/>
    <w:next w:val="Rfrenceinterinstitutionnelle"/>
    <w:pPr>
      <w:spacing w:before="0" w:after="0"/>
      <w:ind w:left="5103"/>
      <w:jc w:val="left"/>
    </w:pPr>
  </w:style>
  <w:style w:type="paragraph" w:customStyle="1" w:styleId="Statut">
    <w:name w:val="Statut"/>
    <w:basedOn w:val="Normal"/>
    <w:next w:val="Typedudocument"/>
    <w:pPr>
      <w:spacing w:before="360" w:after="0"/>
      <w:jc w:val="center"/>
    </w:pPr>
  </w:style>
  <w:style w:type="paragraph" w:customStyle="1" w:styleId="Titrearticle">
    <w:name w:val="Titre article"/>
    <w:basedOn w:val="Normal"/>
    <w:next w:val="Normal"/>
    <w:pPr>
      <w:keepNext/>
      <w:spacing w:before="360"/>
      <w:jc w:val="center"/>
    </w:pPr>
    <w:rPr>
      <w:i/>
    </w:rPr>
  </w:style>
  <w:style w:type="paragraph" w:customStyle="1" w:styleId="Titreobjet">
    <w:name w:val="Titre objet"/>
    <w:basedOn w:val="Normal"/>
    <w:next w:val="IntrtEEE"/>
    <w:pPr>
      <w:spacing w:before="360" w:after="360"/>
      <w:jc w:val="center"/>
    </w:pPr>
    <w:rPr>
      <w:b/>
    </w:rPr>
  </w:style>
  <w:style w:type="paragraph" w:customStyle="1" w:styleId="Typedudocument">
    <w:name w:val="Type du document"/>
    <w:basedOn w:val="Normal"/>
    <w:next w:val="Titreobjet"/>
    <w:pPr>
      <w:spacing w:before="360" w:after="0"/>
      <w:jc w:val="center"/>
    </w:pPr>
    <w:rPr>
      <w:b/>
    </w:rPr>
  </w:style>
  <w:style w:type="character" w:customStyle="1" w:styleId="Added">
    <w:name w:val="Added"/>
    <w:basedOn w:val="DefaultParagraphFont"/>
    <w:rPr>
      <w:b/>
      <w:u w:val="single"/>
      <w:shd w:val="clear" w:color="auto" w:fill="auto"/>
    </w:rPr>
  </w:style>
  <w:style w:type="character" w:customStyle="1" w:styleId="Deleted">
    <w:name w:val="Deleted"/>
    <w:basedOn w:val="DefaultParagraphFont"/>
    <w:rPr>
      <w:strike/>
      <w:dstrike w:val="0"/>
      <w:shd w:val="clear" w:color="auto" w:fill="auto"/>
    </w:rPr>
  </w:style>
  <w:style w:type="paragraph" w:customStyle="1" w:styleId="Address">
    <w:name w:val="Address"/>
    <w:basedOn w:val="Normal"/>
    <w:next w:val="Normal"/>
    <w:pPr>
      <w:keepLines/>
      <w:spacing w:line="360" w:lineRule="auto"/>
      <w:ind w:left="3402"/>
      <w:jc w:val="left"/>
    </w:pPr>
  </w:style>
  <w:style w:type="paragraph" w:customStyle="1" w:styleId="Objetexterne">
    <w:name w:val="Objet externe"/>
    <w:basedOn w:val="Normal"/>
    <w:next w:val="Normal"/>
    <w:rPr>
      <w:i/>
      <w:caps/>
    </w:rPr>
  </w:style>
  <w:style w:type="paragraph" w:customStyle="1" w:styleId="Supertitre">
    <w:name w:val="Supertitre"/>
    <w:basedOn w:val="Normal"/>
    <w:next w:val="Normal"/>
    <w:pPr>
      <w:spacing w:before="0" w:after="600"/>
      <w:jc w:val="center"/>
    </w:pPr>
    <w:rPr>
      <w:b/>
    </w:rPr>
  </w:style>
  <w:style w:type="paragraph" w:customStyle="1" w:styleId="Languesfaisantfoi">
    <w:name w:val="Langues faisant foi"/>
    <w:basedOn w:val="Normal"/>
    <w:next w:val="Normal"/>
    <w:pPr>
      <w:spacing w:before="360" w:after="0"/>
      <w:jc w:val="center"/>
    </w:pPr>
  </w:style>
  <w:style w:type="paragraph" w:customStyle="1" w:styleId="Rfrencecroise">
    <w:name w:val="Référence croisée"/>
    <w:basedOn w:val="Normal"/>
    <w:pPr>
      <w:spacing w:before="0" w:after="0"/>
      <w:jc w:val="center"/>
    </w:pPr>
  </w:style>
  <w:style w:type="paragraph" w:customStyle="1" w:styleId="Fichefinanciretitre">
    <w:name w:val="Fiche financière titre"/>
    <w:basedOn w:val="Normal"/>
    <w:next w:val="Normal"/>
    <w:pPr>
      <w:jc w:val="center"/>
    </w:pPr>
    <w:rPr>
      <w:b/>
      <w:u w:val="single"/>
    </w:rPr>
  </w:style>
  <w:style w:type="paragraph" w:customStyle="1" w:styleId="DatedadoptionPagedecouverture">
    <w:name w:val="Date d'adoption (Page de couverture)"/>
    <w:basedOn w:val="Datedadoption"/>
    <w:next w:val="TitreobjetPagedecouverture"/>
  </w:style>
  <w:style w:type="paragraph" w:customStyle="1" w:styleId="RfrenceinterinstitutionnellePagedecouverture">
    <w:name w:val="Référence interinstitutionnelle (Page de couverture)"/>
    <w:basedOn w:val="Rfrenceinterinstitutionnelle"/>
    <w:next w:val="Confidentialit"/>
  </w:style>
  <w:style w:type="paragraph" w:customStyle="1" w:styleId="StatutPagedecouverture">
    <w:name w:val="Statut (Page de couverture)"/>
    <w:basedOn w:val="Statut"/>
    <w:next w:val="TypedudocumentPagedecouverture"/>
  </w:style>
  <w:style w:type="paragraph" w:customStyle="1" w:styleId="TitreobjetPagedecouverture">
    <w:name w:val="Titre objet (Page de couverture)"/>
    <w:basedOn w:val="Titreobjet"/>
    <w:next w:val="IntrtEEEPagedecouverture"/>
  </w:style>
  <w:style w:type="paragraph" w:customStyle="1" w:styleId="TypedudocumentPagedecouverture">
    <w:name w:val="Type du document (Page de couverture)"/>
    <w:basedOn w:val="Typedudocument"/>
    <w:next w:val="TitreobjetPagedecouverture"/>
  </w:style>
  <w:style w:type="paragraph" w:customStyle="1" w:styleId="Volume">
    <w:name w:val="Volume"/>
    <w:basedOn w:val="Normal"/>
    <w:next w:val="Confidentialit"/>
    <w:pPr>
      <w:spacing w:before="0" w:after="240"/>
      <w:ind w:left="5103"/>
      <w:jc w:val="left"/>
    </w:pPr>
  </w:style>
  <w:style w:type="paragraph" w:customStyle="1" w:styleId="IntrtEEE">
    <w:name w:val="Intérêt EEE"/>
    <w:basedOn w:val="Languesfaisantfoi"/>
    <w:next w:val="Normal"/>
    <w:pPr>
      <w:spacing w:after="240"/>
    </w:pPr>
  </w:style>
  <w:style w:type="paragraph" w:customStyle="1" w:styleId="Accompagnant">
    <w:name w:val="Accompagnant"/>
    <w:basedOn w:val="Normal"/>
    <w:next w:val="Typeacteprincipal"/>
    <w:pPr>
      <w:spacing w:before="0" w:after="240"/>
      <w:jc w:val="center"/>
    </w:pPr>
    <w:rPr>
      <w:b/>
      <w:i/>
    </w:rPr>
  </w:style>
  <w:style w:type="paragraph" w:customStyle="1" w:styleId="Typeacteprincipal">
    <w:name w:val="Type acte principal"/>
    <w:basedOn w:val="Normal"/>
    <w:next w:val="Objetacteprincipal"/>
    <w:pPr>
      <w:spacing w:before="0" w:after="240"/>
      <w:jc w:val="center"/>
    </w:pPr>
    <w:rPr>
      <w:b/>
    </w:rPr>
  </w:style>
  <w:style w:type="paragraph" w:customStyle="1" w:styleId="Objetacteprincipal">
    <w:name w:val="Objet acte principal"/>
    <w:basedOn w:val="Normal"/>
    <w:next w:val="Titrearticle"/>
    <w:pPr>
      <w:spacing w:before="0" w:after="360"/>
      <w:jc w:val="center"/>
    </w:pPr>
    <w:rPr>
      <w:b/>
    </w:rPr>
  </w:style>
  <w:style w:type="paragraph" w:customStyle="1" w:styleId="IntrtEEEPagedecouverture">
    <w:name w:val="Intérêt EEE (Page de couverture)"/>
    <w:basedOn w:val="IntrtEEE"/>
    <w:next w:val="Rfrencecroise"/>
  </w:style>
  <w:style w:type="paragraph" w:customStyle="1" w:styleId="AccompagnantPagedecouverture">
    <w:name w:val="Accompagnant (Page de couverture)"/>
    <w:basedOn w:val="Accompagnant"/>
    <w:next w:val="TypeacteprincipalPagedecouverture"/>
  </w:style>
  <w:style w:type="paragraph" w:customStyle="1" w:styleId="TypeacteprincipalPagedecouverture">
    <w:name w:val="Type acte principal (Page de couverture)"/>
    <w:basedOn w:val="Typeacteprincipal"/>
    <w:next w:val="ObjetacteprincipalPagedecouverture"/>
  </w:style>
  <w:style w:type="paragraph" w:customStyle="1" w:styleId="ObjetacteprincipalPagedecouverture">
    <w:name w:val="Objet acte principal (Page de couverture)"/>
    <w:basedOn w:val="Objetacteprincipal"/>
    <w:next w:val="Rfrencecroise"/>
  </w:style>
  <w:style w:type="paragraph" w:customStyle="1" w:styleId="LanguesfaisantfoiPagedecouverture">
    <w:name w:val="Langues faisant foi (Page de couverture)"/>
    <w:basedOn w:val="Normal"/>
    <w:next w:val="Normal"/>
    <w:pPr>
      <w:spacing w:before="360" w:after="0"/>
      <w:jc w:val="center"/>
    </w:pPr>
  </w:style>
  <w:style w:type="paragraph" w:customStyle="1" w:styleId="TechnicalBlock">
    <w:name w:val="Technical Block"/>
    <w:basedOn w:val="Normal"/>
    <w:link w:val="TechnicalBlockChar"/>
    <w:rsid w:val="00205F25"/>
    <w:pPr>
      <w:spacing w:before="0" w:after="240"/>
      <w:jc w:val="center"/>
    </w:pPr>
  </w:style>
  <w:style w:type="character" w:customStyle="1" w:styleId="TechnicalBlockChar">
    <w:name w:val="Technical Block Char"/>
    <w:basedOn w:val="DefaultParagraphFont"/>
    <w:link w:val="TechnicalBlock"/>
    <w:rsid w:val="00205F25"/>
    <w:rPr>
      <w:rFonts w:ascii="Times New Roman" w:hAnsi="Times New Roman" w:cs="Times New Roman"/>
      <w:sz w:val="24"/>
      <w:lang w:val="sl-SI"/>
    </w:rPr>
  </w:style>
  <w:style w:type="paragraph" w:customStyle="1" w:styleId="Lignefinal">
    <w:name w:val="Ligne final"/>
    <w:basedOn w:val="Normal"/>
    <w:next w:val="Normal"/>
    <w:rsid w:val="00205F25"/>
    <w:pPr>
      <w:pBdr>
        <w:bottom w:val="single" w:sz="4" w:space="0" w:color="000000"/>
      </w:pBdr>
      <w:spacing w:before="360" w:line="360" w:lineRule="auto"/>
      <w:ind w:left="3400" w:right="3400"/>
      <w:jc w:val="center"/>
    </w:pPr>
    <w:rPr>
      <w:b/>
    </w:rPr>
  </w:style>
  <w:style w:type="paragraph" w:customStyle="1" w:styleId="EntText">
    <w:name w:val="EntText"/>
    <w:basedOn w:val="Normal"/>
    <w:rsid w:val="00205F25"/>
    <w:pPr>
      <w:spacing w:line="360" w:lineRule="auto"/>
      <w:jc w:val="left"/>
    </w:pPr>
  </w:style>
  <w:style w:type="paragraph" w:customStyle="1" w:styleId="pj">
    <w:name w:val="p.j."/>
    <w:basedOn w:val="TechnicalBlock"/>
    <w:link w:val="pjChar"/>
    <w:rsid w:val="00205F25"/>
    <w:pPr>
      <w:spacing w:before="1200" w:after="120"/>
      <w:ind w:left="1440" w:hanging="1440"/>
      <w:jc w:val="left"/>
    </w:pPr>
  </w:style>
  <w:style w:type="character" w:customStyle="1" w:styleId="pjChar">
    <w:name w:val="p.j. Char"/>
    <w:basedOn w:val="TechnicalBlockChar"/>
    <w:link w:val="pj"/>
    <w:rsid w:val="00205F25"/>
    <w:rPr>
      <w:rFonts w:ascii="Times New Roman" w:hAnsi="Times New Roman" w:cs="Times New Roman"/>
      <w:sz w:val="24"/>
      <w:lang w:val="sl-SI"/>
    </w:rPr>
  </w:style>
  <w:style w:type="paragraph" w:customStyle="1" w:styleId="nbbordered">
    <w:name w:val="nb bordered"/>
    <w:basedOn w:val="TechnicalBlock"/>
    <w:link w:val="nbborderedChar"/>
    <w:rsid w:val="00205F25"/>
    <w:pPr>
      <w:pBdr>
        <w:top w:val="single" w:sz="4" w:space="1" w:color="auto"/>
        <w:left w:val="single" w:sz="4" w:space="4" w:color="auto"/>
        <w:bottom w:val="single" w:sz="4" w:space="1" w:color="auto"/>
        <w:right w:val="single" w:sz="4" w:space="4" w:color="auto"/>
        <w:between w:val="single" w:sz="4" w:space="0" w:color="auto"/>
      </w:pBdr>
      <w:spacing w:before="120" w:after="160"/>
      <w:ind w:left="480" w:hanging="480"/>
      <w:jc w:val="both"/>
    </w:pPr>
    <w:rPr>
      <w:b/>
    </w:rPr>
  </w:style>
  <w:style w:type="character" w:customStyle="1" w:styleId="nbborderedChar">
    <w:name w:val="nb bordered Char"/>
    <w:basedOn w:val="TechnicalBlockChar"/>
    <w:link w:val="nbbordered"/>
    <w:rsid w:val="00205F25"/>
    <w:rPr>
      <w:rFonts w:ascii="Times New Roman" w:hAnsi="Times New Roman" w:cs="Times New Roman"/>
      <w:b/>
      <w:sz w:val="24"/>
      <w:lang w:val="sl-SI"/>
    </w:rPr>
  </w:style>
  <w:style w:type="paragraph" w:customStyle="1" w:styleId="HeaderCouncil">
    <w:name w:val="Header Council"/>
    <w:basedOn w:val="Normal"/>
    <w:link w:val="HeaderCouncilChar"/>
    <w:rsid w:val="00205F25"/>
    <w:pPr>
      <w:spacing w:before="0" w:after="0"/>
    </w:pPr>
    <w:rPr>
      <w:sz w:val="2"/>
    </w:rPr>
  </w:style>
  <w:style w:type="character" w:customStyle="1" w:styleId="HeaderCouncilChar">
    <w:name w:val="Header Council Char"/>
    <w:basedOn w:val="DefaultParagraphFont"/>
    <w:link w:val="HeaderCouncil"/>
    <w:rsid w:val="00205F25"/>
    <w:rPr>
      <w:rFonts w:ascii="Times New Roman" w:hAnsi="Times New Roman" w:cs="Times New Roman"/>
      <w:sz w:val="2"/>
      <w:lang w:val="sl-SI"/>
    </w:rPr>
  </w:style>
  <w:style w:type="paragraph" w:customStyle="1" w:styleId="HeaderCouncilLarge">
    <w:name w:val="Header Council Large"/>
    <w:basedOn w:val="Normal"/>
    <w:link w:val="HeaderCouncilLargeChar"/>
    <w:rsid w:val="00205F25"/>
    <w:pPr>
      <w:spacing w:before="0" w:after="440"/>
    </w:pPr>
    <w:rPr>
      <w:sz w:val="2"/>
    </w:rPr>
  </w:style>
  <w:style w:type="character" w:customStyle="1" w:styleId="HeaderCouncilLargeChar">
    <w:name w:val="Header Council Large Char"/>
    <w:basedOn w:val="DefaultParagraphFont"/>
    <w:link w:val="HeaderCouncilLarge"/>
    <w:rsid w:val="00205F25"/>
    <w:rPr>
      <w:rFonts w:ascii="Times New Roman" w:hAnsi="Times New Roman" w:cs="Times New Roman"/>
      <w:sz w:val="2"/>
      <w:lang w:val="sl-SI"/>
    </w:rPr>
  </w:style>
  <w:style w:type="paragraph" w:customStyle="1" w:styleId="FooterCouncil">
    <w:name w:val="Footer Council"/>
    <w:basedOn w:val="Normal"/>
    <w:link w:val="FooterCouncilChar"/>
    <w:rsid w:val="00205F25"/>
    <w:pPr>
      <w:spacing w:before="0" w:after="0"/>
    </w:pPr>
    <w:rPr>
      <w:sz w:val="2"/>
    </w:rPr>
  </w:style>
  <w:style w:type="character" w:customStyle="1" w:styleId="FooterCouncilChar">
    <w:name w:val="Footer Council Char"/>
    <w:basedOn w:val="DefaultParagraphFont"/>
    <w:link w:val="FooterCouncil"/>
    <w:rsid w:val="00205F25"/>
    <w:rPr>
      <w:rFonts w:ascii="Times New Roman" w:hAnsi="Times New Roman" w:cs="Times New Roman"/>
      <w:sz w:val="2"/>
      <w:lang w:val="sl-SI"/>
    </w:rPr>
  </w:style>
  <w:style w:type="paragraph" w:customStyle="1" w:styleId="FooterText">
    <w:name w:val="Footer Text"/>
    <w:basedOn w:val="Normal"/>
    <w:rsid w:val="00205F25"/>
    <w:pPr>
      <w:spacing w:before="0" w:after="0"/>
      <w:jc w:val="left"/>
    </w:pPr>
    <w:rPr>
      <w:rFonts w:eastAsia="Times New Roman"/>
      <w:szCs w:val="24"/>
      <w:lang w:val="en-GB"/>
    </w:rPr>
  </w:style>
  <w:style w:type="character" w:styleId="PlaceholderText">
    <w:name w:val="Placeholder Text"/>
    <w:basedOn w:val="DefaultParagraphFont"/>
    <w:uiPriority w:val="99"/>
    <w:semiHidden/>
    <w:rsid w:val="00205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591442">
      <w:bodyDiv w:val="1"/>
      <w:marLeft w:val="0"/>
      <w:marRight w:val="0"/>
      <w:marTop w:val="0"/>
      <w:marBottom w:val="0"/>
      <w:divBdr>
        <w:top w:val="none" w:sz="0" w:space="0" w:color="auto"/>
        <w:left w:val="none" w:sz="0" w:space="0" w:color="auto"/>
        <w:bottom w:val="none" w:sz="0" w:space="0" w:color="auto"/>
        <w:right w:val="none" w:sz="0" w:space="0" w:color="auto"/>
      </w:divBdr>
      <w:divsChild>
        <w:div w:id="1470322728">
          <w:marLeft w:val="0"/>
          <w:marRight w:val="0"/>
          <w:marTop w:val="0"/>
          <w:marBottom w:val="0"/>
          <w:divBdr>
            <w:top w:val="none" w:sz="0" w:space="0" w:color="auto"/>
            <w:left w:val="none" w:sz="0" w:space="0" w:color="auto"/>
            <w:bottom w:val="none" w:sz="0" w:space="0" w:color="auto"/>
            <w:right w:val="none" w:sz="0" w:space="0" w:color="auto"/>
          </w:divBdr>
        </w:div>
        <w:div w:id="229772455">
          <w:marLeft w:val="0"/>
          <w:marRight w:val="0"/>
          <w:marTop w:val="0"/>
          <w:marBottom w:val="0"/>
          <w:divBdr>
            <w:top w:val="none" w:sz="0" w:space="0" w:color="auto"/>
            <w:left w:val="none" w:sz="0" w:space="0" w:color="auto"/>
            <w:bottom w:val="none" w:sz="0" w:space="0" w:color="auto"/>
            <w:right w:val="none" w:sz="0" w:space="0" w:color="auto"/>
          </w:divBdr>
        </w:div>
        <w:div w:id="18299745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19C2F7B-F989-4A6C-BDEF-33F6C649B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COM.dotm</Template>
  <TotalTime>0</TotalTime>
  <Pages>7</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UNGAR Tomaz</dc:creator>
  <cp:lastModifiedBy>UNGAR Tomaz</cp:lastModifiedBy>
  <cp:revision>4</cp:revision>
  <dcterms:created xsi:type="dcterms:W3CDTF">2019-07-10T11:48:00Z</dcterms:created>
  <dcterms:modified xsi:type="dcterms:W3CDTF">2019-07-10T11:48:00Z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Version">
    <vt:lpwstr>6.0.100.0</vt:lpwstr>
  </property>
  <property fmtid="{D5CDD505-2E9C-101B-9397-08002B2CF9AE}" pid="4" name="Last edited using">
    <vt:lpwstr>DocuWrite 4.2.11, Build 20190404</vt:lpwstr>
  </property>
  <property fmtid="{D5CDD505-2E9C-101B-9397-08002B2CF9AE}" pid="5" name="Created using">
    <vt:lpwstr>DocuWrite 4.2.11, Build 20190404</vt:lpwstr>
  </property>
  <property fmtid="{D5CDD505-2E9C-101B-9397-08002B2CF9AE}" pid="6" name="Part">
    <vt:lpwstr>1</vt:lpwstr>
  </property>
  <property fmtid="{D5CDD505-2E9C-101B-9397-08002B2CF9AE}" pid="7" name="Total parts">
    <vt:lpwstr>1</vt:lpwstr>
  </property>
  <property fmtid="{D5CDD505-2E9C-101B-9397-08002B2CF9AE}" pid="8" name="Level of sensitivity">
    <vt:lpwstr>Standard treatment</vt:lpwstr>
  </property>
  <property fmtid="{D5CDD505-2E9C-101B-9397-08002B2CF9AE}" pid="9" name="LWTemplateID">
    <vt:lpwstr>SJ-043</vt:lpwstr>
  </property>
  <property fmtid="{D5CDD505-2E9C-101B-9397-08002B2CF9AE}" pid="10" name="DQCStatus">
    <vt:lpwstr>Green (DQC version 03)</vt:lpwstr>
  </property>
</Properties>
</file>