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E5470" w:rsidRPr="00E46919" w:rsidTr="0059629F">
        <w:trPr>
          <w:gridAfter w:val="2"/>
          <w:wAfter w:w="3067" w:type="dxa"/>
        </w:trPr>
        <w:tc>
          <w:tcPr>
            <w:tcW w:w="6096" w:type="dxa"/>
            <w:gridSpan w:val="2"/>
          </w:tcPr>
          <w:p w:rsidR="001E5470" w:rsidRPr="00E46919" w:rsidRDefault="001E5470" w:rsidP="00D130A2">
            <w:pPr>
              <w:overflowPunct w:val="0"/>
              <w:autoSpaceDE w:val="0"/>
              <w:autoSpaceDN w:val="0"/>
              <w:adjustRightInd w:val="0"/>
              <w:textAlignment w:val="baseline"/>
              <w:rPr>
                <w:rFonts w:cs="Arial"/>
                <w:szCs w:val="20"/>
                <w:lang w:eastAsia="sl-SI"/>
              </w:rPr>
            </w:pPr>
            <w:r w:rsidRPr="00E46919">
              <w:rPr>
                <w:rFonts w:cs="Arial"/>
                <w:szCs w:val="20"/>
                <w:lang w:eastAsia="sl-SI"/>
              </w:rPr>
              <w:t>Številka:</w:t>
            </w:r>
            <w:r w:rsidR="006F3D7B">
              <w:rPr>
                <w:rFonts w:cs="Arial"/>
                <w:szCs w:val="20"/>
                <w:lang w:eastAsia="sl-SI"/>
              </w:rPr>
              <w:t xml:space="preserve"> </w:t>
            </w:r>
            <w:r w:rsidR="00B169B8" w:rsidRPr="0090378A">
              <w:rPr>
                <w:rFonts w:cs="Arial"/>
                <w:szCs w:val="20"/>
                <w:lang w:eastAsia="sl-SI"/>
              </w:rPr>
              <w:t>007-</w:t>
            </w:r>
            <w:r w:rsidR="00D130A2" w:rsidRPr="0090378A">
              <w:rPr>
                <w:rFonts w:cs="Arial"/>
                <w:szCs w:val="20"/>
                <w:lang w:eastAsia="sl-SI"/>
              </w:rPr>
              <w:t>16</w:t>
            </w:r>
            <w:r w:rsidR="00B169B8" w:rsidRPr="0090378A">
              <w:rPr>
                <w:rFonts w:cs="Arial"/>
                <w:szCs w:val="20"/>
                <w:lang w:eastAsia="sl-SI"/>
              </w:rPr>
              <w:t>/201</w:t>
            </w:r>
            <w:r w:rsidR="00D130A2" w:rsidRPr="0090378A">
              <w:rPr>
                <w:rFonts w:cs="Arial"/>
                <w:szCs w:val="20"/>
                <w:lang w:eastAsia="sl-SI"/>
              </w:rPr>
              <w:t>9</w:t>
            </w:r>
            <w:r w:rsidR="008636C7">
              <w:rPr>
                <w:rFonts w:cs="Arial"/>
                <w:szCs w:val="20"/>
                <w:lang w:eastAsia="sl-SI"/>
              </w:rPr>
              <w:t>/6</w:t>
            </w:r>
          </w:p>
        </w:tc>
      </w:tr>
      <w:tr w:rsidR="001E5470" w:rsidRPr="00E46919" w:rsidTr="0059629F">
        <w:trPr>
          <w:gridAfter w:val="2"/>
          <w:wAfter w:w="3067" w:type="dxa"/>
        </w:trPr>
        <w:tc>
          <w:tcPr>
            <w:tcW w:w="6096" w:type="dxa"/>
            <w:gridSpan w:val="2"/>
          </w:tcPr>
          <w:p w:rsidR="001E5470" w:rsidRPr="00E46919" w:rsidRDefault="001E5470" w:rsidP="008636C7">
            <w:pPr>
              <w:overflowPunct w:val="0"/>
              <w:autoSpaceDE w:val="0"/>
              <w:autoSpaceDN w:val="0"/>
              <w:adjustRightInd w:val="0"/>
              <w:textAlignment w:val="baseline"/>
              <w:rPr>
                <w:rFonts w:cs="Arial"/>
                <w:szCs w:val="20"/>
                <w:lang w:eastAsia="sl-SI"/>
              </w:rPr>
            </w:pPr>
            <w:r w:rsidRPr="00E46919">
              <w:rPr>
                <w:rFonts w:cs="Arial"/>
                <w:szCs w:val="20"/>
                <w:lang w:eastAsia="sl-SI"/>
              </w:rPr>
              <w:t>Ljubljana</w:t>
            </w:r>
            <w:r w:rsidRPr="00B169B8">
              <w:rPr>
                <w:rFonts w:cs="Arial"/>
                <w:szCs w:val="20"/>
                <w:lang w:eastAsia="sl-SI"/>
              </w:rPr>
              <w:t>,</w:t>
            </w:r>
            <w:r w:rsidR="00FD4947">
              <w:rPr>
                <w:rFonts w:cs="Arial"/>
                <w:szCs w:val="20"/>
                <w:lang w:eastAsia="sl-SI"/>
              </w:rPr>
              <w:t xml:space="preserve"> </w:t>
            </w:r>
            <w:r w:rsidR="008636C7">
              <w:rPr>
                <w:rFonts w:cs="Arial"/>
                <w:szCs w:val="20"/>
                <w:lang w:eastAsia="sl-SI"/>
              </w:rPr>
              <w:t>19</w:t>
            </w:r>
            <w:r w:rsidR="008D2823" w:rsidRPr="008636C7">
              <w:rPr>
                <w:rFonts w:cs="Arial"/>
                <w:szCs w:val="20"/>
                <w:lang w:eastAsia="sl-SI"/>
              </w:rPr>
              <w:t>.</w:t>
            </w:r>
            <w:r w:rsidR="00DB6AAA" w:rsidRPr="008636C7">
              <w:rPr>
                <w:rFonts w:cs="Arial"/>
                <w:szCs w:val="20"/>
                <w:lang w:eastAsia="sl-SI"/>
              </w:rPr>
              <w:t> </w:t>
            </w:r>
            <w:r w:rsidR="00B57344" w:rsidRPr="008636C7">
              <w:rPr>
                <w:rFonts w:cs="Arial"/>
                <w:szCs w:val="20"/>
                <w:lang w:eastAsia="sl-SI"/>
              </w:rPr>
              <w:t>2</w:t>
            </w:r>
            <w:r w:rsidR="008D2823" w:rsidRPr="008636C7">
              <w:rPr>
                <w:rFonts w:cs="Arial"/>
                <w:szCs w:val="20"/>
                <w:lang w:eastAsia="sl-SI"/>
              </w:rPr>
              <w:t>.</w:t>
            </w:r>
            <w:r w:rsidR="00DB6AAA" w:rsidRPr="008636C7">
              <w:rPr>
                <w:rFonts w:cs="Arial"/>
                <w:szCs w:val="20"/>
                <w:lang w:eastAsia="sl-SI"/>
              </w:rPr>
              <w:t> </w:t>
            </w:r>
            <w:r w:rsidR="008D2823" w:rsidRPr="008636C7">
              <w:rPr>
                <w:rFonts w:cs="Arial"/>
                <w:szCs w:val="20"/>
                <w:lang w:eastAsia="sl-SI"/>
              </w:rPr>
              <w:t>2019</w:t>
            </w:r>
          </w:p>
        </w:tc>
      </w:tr>
      <w:tr w:rsidR="001E5470" w:rsidRPr="00E46919" w:rsidTr="0059629F">
        <w:trPr>
          <w:gridAfter w:val="2"/>
          <w:wAfter w:w="3067" w:type="dxa"/>
        </w:trPr>
        <w:tc>
          <w:tcPr>
            <w:tcW w:w="6096" w:type="dxa"/>
            <w:gridSpan w:val="2"/>
          </w:tcPr>
          <w:p w:rsidR="001E5470" w:rsidRPr="00E46919" w:rsidRDefault="002118FB" w:rsidP="00B57344">
            <w:pPr>
              <w:overflowPunct w:val="0"/>
              <w:autoSpaceDE w:val="0"/>
              <w:autoSpaceDN w:val="0"/>
              <w:adjustRightInd w:val="0"/>
              <w:textAlignment w:val="baseline"/>
              <w:rPr>
                <w:rFonts w:cs="Arial"/>
                <w:szCs w:val="20"/>
                <w:lang w:eastAsia="sl-SI"/>
              </w:rPr>
            </w:pPr>
            <w:r w:rsidRPr="00B169B8">
              <w:rPr>
                <w:rFonts w:cs="Arial"/>
                <w:szCs w:val="20"/>
                <w:lang w:eastAsia="sl-SI"/>
              </w:rPr>
              <w:t xml:space="preserve">EVA </w:t>
            </w:r>
            <w:r w:rsidR="00B57344" w:rsidRPr="0090378A">
              <w:rPr>
                <w:rFonts w:cs="Arial"/>
                <w:szCs w:val="20"/>
                <w:lang w:eastAsia="sl-SI"/>
              </w:rPr>
              <w:t>2019</w:t>
            </w:r>
            <w:r w:rsidR="00B169B8" w:rsidRPr="0090378A">
              <w:rPr>
                <w:rFonts w:cs="Arial"/>
                <w:szCs w:val="20"/>
                <w:lang w:eastAsia="sl-SI"/>
              </w:rPr>
              <w:t>-2550-0</w:t>
            </w:r>
            <w:r w:rsidR="00B57344" w:rsidRPr="0090378A">
              <w:rPr>
                <w:rFonts w:cs="Arial"/>
                <w:szCs w:val="20"/>
                <w:lang w:eastAsia="sl-SI"/>
              </w:rPr>
              <w:t>007</w:t>
            </w:r>
          </w:p>
        </w:tc>
      </w:tr>
      <w:tr w:rsidR="001E5470" w:rsidRPr="00E46919" w:rsidTr="0059629F">
        <w:trPr>
          <w:gridAfter w:val="2"/>
          <w:wAfter w:w="3067" w:type="dxa"/>
        </w:trPr>
        <w:tc>
          <w:tcPr>
            <w:tcW w:w="6096" w:type="dxa"/>
            <w:gridSpan w:val="2"/>
          </w:tcPr>
          <w:p w:rsidR="001E5470" w:rsidRPr="00E46919" w:rsidRDefault="001E5470" w:rsidP="0059629F">
            <w:pPr>
              <w:rPr>
                <w:rFonts w:eastAsia="Calibri" w:cs="Arial"/>
                <w:szCs w:val="20"/>
              </w:rPr>
            </w:pPr>
          </w:p>
          <w:p w:rsidR="001E5470" w:rsidRPr="00E46919" w:rsidRDefault="001E5470" w:rsidP="0059629F">
            <w:pPr>
              <w:rPr>
                <w:rFonts w:eastAsia="Calibri" w:cs="Arial"/>
                <w:szCs w:val="20"/>
              </w:rPr>
            </w:pPr>
            <w:r w:rsidRPr="00E46919">
              <w:rPr>
                <w:rFonts w:eastAsia="Calibri" w:cs="Arial"/>
                <w:szCs w:val="20"/>
              </w:rPr>
              <w:t>GENERALNI SEKRETARIAT VLADE REPUBLIKE SLOVENIJE</w:t>
            </w:r>
          </w:p>
          <w:p w:rsidR="001E5470" w:rsidRPr="00E46919" w:rsidRDefault="006E3DF3" w:rsidP="0059629F">
            <w:pPr>
              <w:rPr>
                <w:rFonts w:eastAsia="Calibri" w:cs="Arial"/>
                <w:szCs w:val="20"/>
              </w:rPr>
            </w:pPr>
            <w:hyperlink r:id="rId9" w:history="1">
              <w:r w:rsidR="001E5470" w:rsidRPr="00E46919">
                <w:rPr>
                  <w:rFonts w:eastAsia="Calibri" w:cs="Arial"/>
                  <w:color w:val="0000FF"/>
                  <w:szCs w:val="20"/>
                  <w:u w:val="single"/>
                </w:rPr>
                <w:t>Gp.gs@gov.si</w:t>
              </w:r>
            </w:hyperlink>
          </w:p>
          <w:p w:rsidR="001E5470" w:rsidRPr="00E46919" w:rsidRDefault="001E5470" w:rsidP="0059629F">
            <w:pPr>
              <w:rPr>
                <w:rFonts w:eastAsia="Calibri" w:cs="Arial"/>
                <w:szCs w:val="20"/>
              </w:rPr>
            </w:pPr>
          </w:p>
        </w:tc>
      </w:tr>
      <w:tr w:rsidR="001E5470" w:rsidRPr="00E46919" w:rsidTr="0059629F">
        <w:tc>
          <w:tcPr>
            <w:tcW w:w="9163" w:type="dxa"/>
            <w:gridSpan w:val="4"/>
          </w:tcPr>
          <w:p w:rsidR="004D0554" w:rsidRDefault="001E5470" w:rsidP="00CE1AA7">
            <w:pPr>
              <w:suppressAutoHyphens/>
              <w:overflowPunct w:val="0"/>
              <w:autoSpaceDE w:val="0"/>
              <w:autoSpaceDN w:val="0"/>
              <w:adjustRightInd w:val="0"/>
              <w:textAlignment w:val="baseline"/>
              <w:rPr>
                <w:rFonts w:cs="Arial"/>
                <w:b/>
                <w:szCs w:val="20"/>
                <w:lang w:eastAsia="sl-SI"/>
              </w:rPr>
            </w:pPr>
            <w:r w:rsidRPr="00E46919">
              <w:rPr>
                <w:rFonts w:cs="Arial"/>
                <w:b/>
                <w:szCs w:val="20"/>
                <w:lang w:eastAsia="sl-SI"/>
              </w:rPr>
              <w:t xml:space="preserve">ZADEVA: </w:t>
            </w:r>
            <w:r w:rsidR="00CE1AA7" w:rsidRPr="00CE1AA7">
              <w:rPr>
                <w:rFonts w:cs="Arial"/>
                <w:b/>
                <w:bCs/>
                <w:color w:val="000000"/>
                <w:szCs w:val="20"/>
                <w:lang w:eastAsia="sl-SI"/>
              </w:rPr>
              <w:t>Sklep o spremembah Sklepa o določitvi deležev prevzemanja odpadne embalaže pri izvajalcih javne službe za leto 2018</w:t>
            </w:r>
            <w:r w:rsidR="00CE1AA7">
              <w:rPr>
                <w:rFonts w:cs="Arial"/>
                <w:b/>
                <w:szCs w:val="20"/>
                <w:lang w:eastAsia="sl-SI"/>
              </w:rPr>
              <w:t xml:space="preserve"> </w:t>
            </w:r>
            <w:r w:rsidR="009340FE">
              <w:rPr>
                <w:rFonts w:cs="Arial"/>
                <w:b/>
                <w:szCs w:val="20"/>
                <w:lang w:eastAsia="sl-SI"/>
              </w:rPr>
              <w:t>– predlog za obravnavo</w:t>
            </w:r>
            <w:r w:rsidR="007B617F">
              <w:rPr>
                <w:rFonts w:cs="Arial"/>
                <w:b/>
                <w:szCs w:val="20"/>
                <w:lang w:eastAsia="sl-SI"/>
              </w:rPr>
              <w:t xml:space="preserve"> </w:t>
            </w:r>
          </w:p>
          <w:p w:rsidR="00B169B8" w:rsidRPr="00E46919" w:rsidRDefault="00B169B8" w:rsidP="00CE1AA7">
            <w:pPr>
              <w:suppressAutoHyphens/>
              <w:overflowPunct w:val="0"/>
              <w:autoSpaceDE w:val="0"/>
              <w:autoSpaceDN w:val="0"/>
              <w:adjustRightInd w:val="0"/>
              <w:textAlignment w:val="baseline"/>
              <w:rPr>
                <w:rFonts w:cs="Arial"/>
                <w:b/>
                <w:szCs w:val="20"/>
                <w:lang w:eastAsia="sl-SI"/>
              </w:rPr>
            </w:pPr>
          </w:p>
        </w:tc>
      </w:tr>
      <w:tr w:rsidR="001E5470" w:rsidRPr="00E46919" w:rsidTr="0059629F">
        <w:tc>
          <w:tcPr>
            <w:tcW w:w="9163" w:type="dxa"/>
            <w:gridSpan w:val="4"/>
          </w:tcPr>
          <w:p w:rsidR="001E5470" w:rsidRPr="00E46919" w:rsidRDefault="001E5470" w:rsidP="0059629F">
            <w:pPr>
              <w:suppressAutoHyphens/>
              <w:overflowPunct w:val="0"/>
              <w:autoSpaceDE w:val="0"/>
              <w:autoSpaceDN w:val="0"/>
              <w:adjustRightInd w:val="0"/>
              <w:textAlignment w:val="baseline"/>
              <w:outlineLvl w:val="3"/>
              <w:rPr>
                <w:rFonts w:cs="Arial"/>
                <w:b/>
                <w:szCs w:val="20"/>
                <w:lang w:eastAsia="sl-SI"/>
              </w:rPr>
            </w:pPr>
            <w:r w:rsidRPr="00E46919">
              <w:rPr>
                <w:rFonts w:cs="Arial"/>
                <w:b/>
                <w:szCs w:val="20"/>
                <w:lang w:eastAsia="sl-SI"/>
              </w:rPr>
              <w:t>1. Predlog sklepov vlade:</w:t>
            </w:r>
          </w:p>
        </w:tc>
      </w:tr>
      <w:tr w:rsidR="001E5470" w:rsidRPr="00E46919" w:rsidTr="0059629F">
        <w:tc>
          <w:tcPr>
            <w:tcW w:w="9163" w:type="dxa"/>
            <w:gridSpan w:val="4"/>
          </w:tcPr>
          <w:p w:rsidR="00BB5961" w:rsidRDefault="00BB5961" w:rsidP="00DC548C">
            <w:pPr>
              <w:spacing w:line="240" w:lineRule="auto"/>
              <w:jc w:val="both"/>
              <w:rPr>
                <w:rFonts w:cs="Arial"/>
                <w:szCs w:val="20"/>
              </w:rPr>
            </w:pPr>
          </w:p>
          <w:p w:rsidR="00CE1AA7" w:rsidRPr="00DC548C" w:rsidRDefault="00CE1AA7" w:rsidP="00DC548C">
            <w:pPr>
              <w:pStyle w:val="Neotevilenodstavek"/>
              <w:spacing w:before="0" w:after="0" w:line="240" w:lineRule="auto"/>
              <w:rPr>
                <w:iCs/>
                <w:sz w:val="20"/>
                <w:szCs w:val="20"/>
              </w:rPr>
            </w:pPr>
            <w:r w:rsidRPr="00DC548C">
              <w:rPr>
                <w:iCs/>
                <w:sz w:val="20"/>
                <w:szCs w:val="20"/>
              </w:rPr>
              <w:t xml:space="preserve">Na podlagi petega odstavka 19. člena Uredbe o ravnanju z embalažo in odpadno embalažo (Uradni list RS, št. 84/06, 106/06, 110/07, 67/11, 68/11 – </w:t>
            </w:r>
            <w:proofErr w:type="spellStart"/>
            <w:r w:rsidRPr="00DC548C">
              <w:rPr>
                <w:iCs/>
                <w:sz w:val="20"/>
                <w:szCs w:val="20"/>
              </w:rPr>
              <w:t>popr</w:t>
            </w:r>
            <w:proofErr w:type="spellEnd"/>
            <w:r w:rsidRPr="00DC548C">
              <w:rPr>
                <w:iCs/>
                <w:sz w:val="20"/>
                <w:szCs w:val="20"/>
              </w:rPr>
              <w:t xml:space="preserve">., 18/14, 57/15, 103/15, 2/16 – </w:t>
            </w:r>
            <w:proofErr w:type="spellStart"/>
            <w:r w:rsidRPr="00DC548C">
              <w:rPr>
                <w:iCs/>
                <w:sz w:val="20"/>
                <w:szCs w:val="20"/>
              </w:rPr>
              <w:t>popr</w:t>
            </w:r>
            <w:proofErr w:type="spellEnd"/>
            <w:r w:rsidRPr="00DC548C">
              <w:rPr>
                <w:iCs/>
                <w:sz w:val="20"/>
                <w:szCs w:val="20"/>
              </w:rPr>
              <w:t>., 35/17</w:t>
            </w:r>
            <w:r w:rsidR="001F7566" w:rsidRPr="00DC548C">
              <w:rPr>
                <w:iCs/>
                <w:sz w:val="20"/>
                <w:szCs w:val="20"/>
              </w:rPr>
              <w:t>,</w:t>
            </w:r>
            <w:r w:rsidRPr="00DC548C">
              <w:rPr>
                <w:iCs/>
                <w:sz w:val="20"/>
                <w:szCs w:val="20"/>
              </w:rPr>
              <w:t xml:space="preserve"> 68/18</w:t>
            </w:r>
            <w:r w:rsidR="001F7566" w:rsidRPr="00DC548C">
              <w:rPr>
                <w:iCs/>
                <w:sz w:val="20"/>
                <w:szCs w:val="20"/>
              </w:rPr>
              <w:t xml:space="preserve"> in </w:t>
            </w:r>
            <w:hyperlink r:id="rId10" w:tgtFrame="_blank" w:tooltip="Zakon o interventnih ukrepih pri ravnanju s komunalno odpadno embalažo in z odpadnimi nagrobnimi svečami" w:history="1">
              <w:r w:rsidR="001F7566" w:rsidRPr="00DC548C">
                <w:rPr>
                  <w:iCs/>
                  <w:sz w:val="20"/>
                  <w:szCs w:val="20"/>
                </w:rPr>
                <w:t>84/18</w:t>
              </w:r>
            </w:hyperlink>
            <w:r w:rsidR="001F7566" w:rsidRPr="00DC548C">
              <w:rPr>
                <w:iCs/>
                <w:sz w:val="20"/>
                <w:szCs w:val="20"/>
              </w:rPr>
              <w:t xml:space="preserve"> – ZIURKOE</w:t>
            </w:r>
            <w:r w:rsidRPr="00DC548C">
              <w:rPr>
                <w:iCs/>
                <w:sz w:val="20"/>
                <w:szCs w:val="20"/>
              </w:rPr>
              <w:t xml:space="preserve">) je Vlada Republike Slovenije na … seji dne … sprejela naslednji </w:t>
            </w:r>
          </w:p>
          <w:p w:rsidR="001A3973" w:rsidRPr="00E46919" w:rsidRDefault="001A3973" w:rsidP="00DC548C">
            <w:pPr>
              <w:spacing w:line="240" w:lineRule="auto"/>
              <w:jc w:val="center"/>
              <w:rPr>
                <w:rFonts w:cs="Arial"/>
                <w:szCs w:val="20"/>
              </w:rPr>
            </w:pPr>
          </w:p>
          <w:p w:rsidR="001A3973" w:rsidRPr="00E46919" w:rsidRDefault="001A3973" w:rsidP="00DC548C">
            <w:pPr>
              <w:spacing w:line="240" w:lineRule="auto"/>
              <w:jc w:val="center"/>
              <w:rPr>
                <w:rFonts w:cs="Arial"/>
                <w:szCs w:val="20"/>
              </w:rPr>
            </w:pPr>
          </w:p>
          <w:p w:rsidR="001A3973" w:rsidRPr="00E46919" w:rsidRDefault="001A3973" w:rsidP="00DC548C">
            <w:pPr>
              <w:spacing w:line="240" w:lineRule="auto"/>
              <w:jc w:val="center"/>
              <w:rPr>
                <w:rFonts w:cs="Arial"/>
                <w:szCs w:val="20"/>
              </w:rPr>
            </w:pPr>
            <w:r w:rsidRPr="00E46919">
              <w:rPr>
                <w:rFonts w:cs="Arial"/>
                <w:szCs w:val="20"/>
              </w:rPr>
              <w:t>SKLEP</w:t>
            </w:r>
            <w:r w:rsidR="003553E6" w:rsidRPr="00E46919">
              <w:rPr>
                <w:rFonts w:cs="Arial"/>
                <w:szCs w:val="20"/>
              </w:rPr>
              <w:t>:</w:t>
            </w:r>
          </w:p>
          <w:p w:rsidR="001A3973" w:rsidRPr="00DC548C" w:rsidRDefault="001A3973" w:rsidP="00DC548C">
            <w:pPr>
              <w:pStyle w:val="Neotevilenodstavek"/>
              <w:spacing w:before="0" w:after="0" w:line="240" w:lineRule="auto"/>
              <w:rPr>
                <w:iCs/>
                <w:sz w:val="20"/>
                <w:szCs w:val="20"/>
              </w:rPr>
            </w:pPr>
          </w:p>
          <w:p w:rsidR="001A3973" w:rsidRPr="00DC548C" w:rsidRDefault="001A3973" w:rsidP="00DC548C">
            <w:pPr>
              <w:pStyle w:val="Neotevilenodstavek"/>
              <w:spacing w:before="0" w:after="0" w:line="240" w:lineRule="auto"/>
              <w:rPr>
                <w:iCs/>
                <w:sz w:val="20"/>
                <w:szCs w:val="20"/>
              </w:rPr>
            </w:pPr>
          </w:p>
          <w:p w:rsidR="001A3973" w:rsidRPr="001166AB" w:rsidRDefault="009422A2" w:rsidP="00DC548C">
            <w:pPr>
              <w:pStyle w:val="Neotevilenodstavek"/>
              <w:spacing w:before="0" w:after="0" w:line="240" w:lineRule="auto"/>
              <w:rPr>
                <w:iCs/>
                <w:sz w:val="20"/>
                <w:szCs w:val="20"/>
              </w:rPr>
            </w:pPr>
            <w:r w:rsidRPr="001166AB">
              <w:rPr>
                <w:iCs/>
                <w:sz w:val="20"/>
                <w:szCs w:val="20"/>
              </w:rPr>
              <w:t xml:space="preserve">Vlada Republike Slovenije </w:t>
            </w:r>
            <w:r w:rsidR="00556FDA" w:rsidRPr="001166AB">
              <w:rPr>
                <w:iCs/>
                <w:sz w:val="20"/>
                <w:szCs w:val="20"/>
              </w:rPr>
              <w:t xml:space="preserve">je </w:t>
            </w:r>
            <w:r w:rsidR="009340FE" w:rsidRPr="001166AB">
              <w:rPr>
                <w:iCs/>
                <w:sz w:val="20"/>
                <w:szCs w:val="20"/>
              </w:rPr>
              <w:t>sprej</w:t>
            </w:r>
            <w:r w:rsidR="00556FDA" w:rsidRPr="001166AB">
              <w:rPr>
                <w:iCs/>
                <w:sz w:val="20"/>
                <w:szCs w:val="20"/>
              </w:rPr>
              <w:t>ela</w:t>
            </w:r>
            <w:r w:rsidR="009340FE" w:rsidRPr="001166AB">
              <w:rPr>
                <w:iCs/>
                <w:sz w:val="20"/>
                <w:szCs w:val="20"/>
              </w:rPr>
              <w:t xml:space="preserve"> </w:t>
            </w:r>
            <w:r w:rsidR="00CE1AA7" w:rsidRPr="001166AB">
              <w:rPr>
                <w:iCs/>
                <w:sz w:val="20"/>
                <w:szCs w:val="20"/>
              </w:rPr>
              <w:t>Sklep o spremembah Sklepa o določitvi deležev prevzemanja odpadne embalaže pri izvajalcih javne službe za leto 2018</w:t>
            </w:r>
            <w:r w:rsidR="00556FDA" w:rsidRPr="001166AB">
              <w:rPr>
                <w:iCs/>
                <w:sz w:val="20"/>
                <w:szCs w:val="20"/>
              </w:rPr>
              <w:t xml:space="preserve">, ki se </w:t>
            </w:r>
            <w:r w:rsidR="001A3973" w:rsidRPr="001166AB">
              <w:rPr>
                <w:iCs/>
                <w:sz w:val="20"/>
                <w:szCs w:val="20"/>
              </w:rPr>
              <w:t>objavi v Uradnem listu Republike Slovenije.</w:t>
            </w:r>
          </w:p>
          <w:p w:rsidR="001A3973" w:rsidRPr="00DC548C" w:rsidRDefault="001A3973" w:rsidP="00DC548C">
            <w:pPr>
              <w:pStyle w:val="Neotevilenodstavek"/>
              <w:spacing w:before="0" w:after="0" w:line="240" w:lineRule="auto"/>
              <w:rPr>
                <w:iCs/>
                <w:sz w:val="20"/>
                <w:szCs w:val="20"/>
              </w:rPr>
            </w:pPr>
          </w:p>
          <w:p w:rsidR="00BB5961" w:rsidRPr="00DC548C" w:rsidRDefault="00BB5961" w:rsidP="00DC548C">
            <w:pPr>
              <w:pStyle w:val="Neotevilenodstavek"/>
              <w:spacing w:before="0" w:after="0" w:line="240" w:lineRule="auto"/>
              <w:rPr>
                <w:iCs/>
                <w:sz w:val="20"/>
                <w:szCs w:val="20"/>
              </w:rPr>
            </w:pPr>
          </w:p>
          <w:p w:rsidR="00674A9E" w:rsidRPr="00DC548C" w:rsidRDefault="00674A9E" w:rsidP="00DC548C">
            <w:pPr>
              <w:pStyle w:val="Neotevilenodstavek"/>
              <w:spacing w:before="0" w:after="0" w:line="240" w:lineRule="auto"/>
              <w:rPr>
                <w:iCs/>
                <w:sz w:val="20"/>
                <w:szCs w:val="20"/>
              </w:rPr>
            </w:pPr>
          </w:p>
          <w:p w:rsidR="00674A9E" w:rsidRPr="00DC548C" w:rsidRDefault="00674A9E" w:rsidP="00DC548C">
            <w:pPr>
              <w:pStyle w:val="Neotevilenodstavek"/>
              <w:spacing w:before="0" w:after="0" w:line="240" w:lineRule="auto"/>
              <w:rPr>
                <w:iCs/>
                <w:sz w:val="20"/>
                <w:szCs w:val="20"/>
              </w:rPr>
            </w:pPr>
          </w:p>
          <w:p w:rsidR="00CE1AA7" w:rsidRPr="00C04941" w:rsidRDefault="001A3973" w:rsidP="00DC548C">
            <w:pPr>
              <w:autoSpaceDE w:val="0"/>
              <w:autoSpaceDN w:val="0"/>
              <w:adjustRightInd w:val="0"/>
              <w:spacing w:line="240" w:lineRule="auto"/>
              <w:rPr>
                <w:rFonts w:cs="Arial"/>
                <w:szCs w:val="20"/>
              </w:rPr>
            </w:pP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00674A9E">
              <w:rPr>
                <w:rFonts w:cs="Arial"/>
                <w:szCs w:val="20"/>
              </w:rPr>
              <w:t xml:space="preserve"> </w:t>
            </w:r>
            <w:r w:rsidR="00CE1AA7" w:rsidRPr="00C04941">
              <w:rPr>
                <w:rFonts w:cs="Arial"/>
                <w:szCs w:val="20"/>
              </w:rPr>
              <w:t xml:space="preserve"> </w:t>
            </w:r>
            <w:r w:rsidR="00CE1AA7">
              <w:rPr>
                <w:rFonts w:cs="Arial"/>
                <w:szCs w:val="20"/>
              </w:rPr>
              <w:t xml:space="preserve">    Stojan Tramte</w:t>
            </w:r>
          </w:p>
          <w:p w:rsidR="00CE1AA7" w:rsidRDefault="00CE1AA7" w:rsidP="00DC548C">
            <w:pPr>
              <w:autoSpaceDE w:val="0"/>
              <w:autoSpaceDN w:val="0"/>
              <w:adjustRightInd w:val="0"/>
              <w:spacing w:line="240" w:lineRule="auto"/>
              <w:rPr>
                <w:rFonts w:cs="Arial"/>
                <w:szCs w:val="20"/>
              </w:rPr>
            </w:pP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t>GENERALN</w:t>
            </w:r>
            <w:r>
              <w:rPr>
                <w:rFonts w:cs="Arial"/>
                <w:szCs w:val="20"/>
              </w:rPr>
              <w:t>I</w:t>
            </w:r>
            <w:r w:rsidRPr="00E46919">
              <w:rPr>
                <w:rFonts w:cs="Arial"/>
                <w:szCs w:val="20"/>
              </w:rPr>
              <w:t xml:space="preserve"> SEKRETAR</w:t>
            </w:r>
          </w:p>
          <w:p w:rsidR="005F2F9D" w:rsidRPr="00556FDA" w:rsidRDefault="005F2F9D" w:rsidP="00DC548C">
            <w:pPr>
              <w:autoSpaceDE w:val="0"/>
              <w:autoSpaceDN w:val="0"/>
              <w:adjustRightInd w:val="0"/>
              <w:spacing w:line="240" w:lineRule="auto"/>
              <w:rPr>
                <w:rFonts w:cs="Arial"/>
                <w:szCs w:val="20"/>
              </w:rPr>
            </w:pPr>
          </w:p>
          <w:p w:rsidR="00073A28" w:rsidRPr="00556FDA" w:rsidRDefault="00073A28" w:rsidP="00DC548C">
            <w:pPr>
              <w:autoSpaceDE w:val="0"/>
              <w:autoSpaceDN w:val="0"/>
              <w:adjustRightInd w:val="0"/>
              <w:spacing w:line="240" w:lineRule="auto"/>
              <w:rPr>
                <w:rFonts w:cs="Arial"/>
                <w:szCs w:val="20"/>
              </w:rPr>
            </w:pPr>
          </w:p>
          <w:p w:rsidR="001A3973" w:rsidRPr="00DC548C" w:rsidRDefault="001A3973" w:rsidP="00DC548C">
            <w:pPr>
              <w:pStyle w:val="Neotevilenodstavek"/>
              <w:spacing w:before="0" w:after="0" w:line="240" w:lineRule="auto"/>
              <w:rPr>
                <w:iCs/>
                <w:sz w:val="20"/>
                <w:szCs w:val="20"/>
              </w:rPr>
            </w:pPr>
            <w:r w:rsidRPr="00DC548C">
              <w:rPr>
                <w:iCs/>
                <w:sz w:val="20"/>
                <w:szCs w:val="20"/>
              </w:rPr>
              <w:t>Prejmeta:</w:t>
            </w:r>
          </w:p>
          <w:p w:rsidR="001A3973" w:rsidRPr="00E46919" w:rsidRDefault="001A3973" w:rsidP="00DC548C">
            <w:pPr>
              <w:autoSpaceDE w:val="0"/>
              <w:autoSpaceDN w:val="0"/>
              <w:adjustRightInd w:val="0"/>
              <w:spacing w:line="240" w:lineRule="auto"/>
              <w:rPr>
                <w:rFonts w:cs="Arial"/>
                <w:szCs w:val="20"/>
              </w:rPr>
            </w:pPr>
            <w:r w:rsidRPr="00E46919">
              <w:rPr>
                <w:rFonts w:cs="Arial"/>
                <w:szCs w:val="20"/>
              </w:rPr>
              <w:t xml:space="preserve">— </w:t>
            </w:r>
            <w:r w:rsidRPr="00DC548C">
              <w:rPr>
                <w:rFonts w:cs="Arial"/>
                <w:iCs/>
                <w:szCs w:val="20"/>
                <w:lang w:eastAsia="sl-SI"/>
              </w:rPr>
              <w:t xml:space="preserve">Ministrstvo za okolje in prostor, Dunajska cesta </w:t>
            </w:r>
            <w:r w:rsidR="0082100D" w:rsidRPr="00DC548C">
              <w:rPr>
                <w:rFonts w:cs="Arial"/>
                <w:iCs/>
                <w:szCs w:val="20"/>
                <w:lang w:eastAsia="sl-SI"/>
              </w:rPr>
              <w:t>48</w:t>
            </w:r>
            <w:r w:rsidRPr="00DC548C">
              <w:rPr>
                <w:rFonts w:cs="Arial"/>
                <w:iCs/>
                <w:szCs w:val="20"/>
                <w:lang w:eastAsia="sl-SI"/>
              </w:rPr>
              <w:t>, 1000 Ljubljana,</w:t>
            </w:r>
          </w:p>
          <w:p w:rsidR="001A3973" w:rsidRPr="00E46919" w:rsidRDefault="001A3973" w:rsidP="00DC548C">
            <w:pPr>
              <w:autoSpaceDE w:val="0"/>
              <w:autoSpaceDN w:val="0"/>
              <w:adjustRightInd w:val="0"/>
              <w:spacing w:line="240" w:lineRule="auto"/>
              <w:rPr>
                <w:rFonts w:cs="Arial"/>
                <w:szCs w:val="20"/>
              </w:rPr>
            </w:pPr>
            <w:r w:rsidRPr="00E46919">
              <w:rPr>
                <w:rFonts w:cs="Arial"/>
                <w:szCs w:val="20"/>
              </w:rPr>
              <w:t xml:space="preserve">— </w:t>
            </w:r>
            <w:r w:rsidRPr="00DC548C">
              <w:rPr>
                <w:rFonts w:cs="Arial"/>
                <w:iCs/>
                <w:szCs w:val="20"/>
                <w:lang w:eastAsia="sl-SI"/>
              </w:rPr>
              <w:t>Služba Vlade Republike Slovenije za zakonodajo, Mestni trg 4, 1000 Ljubljana.</w:t>
            </w:r>
          </w:p>
          <w:p w:rsidR="001E5470" w:rsidRPr="00A253A4" w:rsidRDefault="001E5470" w:rsidP="0059629F">
            <w:pPr>
              <w:overflowPunct w:val="0"/>
              <w:autoSpaceDE w:val="0"/>
              <w:autoSpaceDN w:val="0"/>
              <w:adjustRightInd w:val="0"/>
              <w:spacing w:after="200" w:line="276" w:lineRule="auto"/>
              <w:jc w:val="both"/>
              <w:textAlignment w:val="baseline"/>
              <w:rPr>
                <w:rFonts w:cs="Arial"/>
                <w:szCs w:val="20"/>
              </w:rPr>
            </w:pPr>
          </w:p>
        </w:tc>
      </w:tr>
      <w:tr w:rsidR="001E5470" w:rsidRPr="00E46919" w:rsidTr="0059629F">
        <w:tc>
          <w:tcPr>
            <w:tcW w:w="9163" w:type="dxa"/>
            <w:gridSpan w:val="4"/>
          </w:tcPr>
          <w:p w:rsidR="001E5470" w:rsidRPr="00E46919" w:rsidRDefault="001E5470" w:rsidP="0059629F">
            <w:pPr>
              <w:overflowPunct w:val="0"/>
              <w:autoSpaceDE w:val="0"/>
              <w:autoSpaceDN w:val="0"/>
              <w:adjustRightInd w:val="0"/>
              <w:jc w:val="both"/>
              <w:textAlignment w:val="baseline"/>
              <w:rPr>
                <w:rFonts w:cs="Arial"/>
                <w:b/>
                <w:iCs/>
                <w:szCs w:val="20"/>
                <w:lang w:eastAsia="sl-SI"/>
              </w:rPr>
            </w:pPr>
            <w:r w:rsidRPr="00E46919">
              <w:rPr>
                <w:rFonts w:cs="Arial"/>
                <w:b/>
                <w:szCs w:val="20"/>
                <w:lang w:eastAsia="sl-SI"/>
              </w:rPr>
              <w:t>2. Predlog za obravnavo predloga zakona po nujnem ali skrajšanem postopku v državnem zboru z obrazložitvijo razlogov:</w:t>
            </w:r>
          </w:p>
        </w:tc>
      </w:tr>
      <w:tr w:rsidR="001E5470" w:rsidRPr="00E46919" w:rsidTr="0059629F">
        <w:tc>
          <w:tcPr>
            <w:tcW w:w="9163" w:type="dxa"/>
            <w:gridSpan w:val="4"/>
          </w:tcPr>
          <w:p w:rsidR="001E5470" w:rsidRPr="00E46919" w:rsidRDefault="003C6E75" w:rsidP="0059629F">
            <w:pPr>
              <w:overflowPunct w:val="0"/>
              <w:autoSpaceDE w:val="0"/>
              <w:autoSpaceDN w:val="0"/>
              <w:adjustRightInd w:val="0"/>
              <w:jc w:val="both"/>
              <w:textAlignment w:val="baseline"/>
              <w:rPr>
                <w:rFonts w:cs="Arial"/>
                <w:iCs/>
                <w:szCs w:val="20"/>
                <w:lang w:eastAsia="sl-SI"/>
              </w:rPr>
            </w:pPr>
            <w:r w:rsidRPr="00E46919">
              <w:rPr>
                <w:rFonts w:cs="Arial"/>
                <w:iCs/>
                <w:szCs w:val="20"/>
                <w:lang w:eastAsia="sl-SI"/>
              </w:rPr>
              <w:t>/</w:t>
            </w:r>
          </w:p>
        </w:tc>
      </w:tr>
      <w:tr w:rsidR="001E5470" w:rsidRPr="00E46919" w:rsidTr="0059629F">
        <w:tc>
          <w:tcPr>
            <w:tcW w:w="9163" w:type="dxa"/>
            <w:gridSpan w:val="4"/>
          </w:tcPr>
          <w:p w:rsidR="001E5470" w:rsidRPr="00E46919" w:rsidRDefault="001E5470" w:rsidP="0059629F">
            <w:pPr>
              <w:overflowPunct w:val="0"/>
              <w:autoSpaceDE w:val="0"/>
              <w:autoSpaceDN w:val="0"/>
              <w:adjustRightInd w:val="0"/>
              <w:jc w:val="both"/>
              <w:textAlignment w:val="baseline"/>
              <w:rPr>
                <w:rFonts w:cs="Arial"/>
                <w:b/>
                <w:iCs/>
                <w:szCs w:val="20"/>
                <w:lang w:eastAsia="sl-SI"/>
              </w:rPr>
            </w:pPr>
            <w:proofErr w:type="spellStart"/>
            <w:r w:rsidRPr="00E46919">
              <w:rPr>
                <w:rFonts w:cs="Arial"/>
                <w:b/>
                <w:szCs w:val="20"/>
                <w:lang w:eastAsia="sl-SI"/>
              </w:rPr>
              <w:t>3.a</w:t>
            </w:r>
            <w:proofErr w:type="spellEnd"/>
            <w:r w:rsidRPr="00E46919">
              <w:rPr>
                <w:rFonts w:cs="Arial"/>
                <w:b/>
                <w:szCs w:val="20"/>
                <w:lang w:eastAsia="sl-SI"/>
              </w:rPr>
              <w:t xml:space="preserve"> Osebe, odgovorne za strokovno pripravo in usklajenost gradiva:</w:t>
            </w:r>
          </w:p>
        </w:tc>
      </w:tr>
      <w:tr w:rsidR="001E5470" w:rsidRPr="00E46919" w:rsidTr="0059629F">
        <w:tc>
          <w:tcPr>
            <w:tcW w:w="9163" w:type="dxa"/>
            <w:gridSpan w:val="4"/>
          </w:tcPr>
          <w:p w:rsidR="003C6E75" w:rsidRPr="00E46919" w:rsidRDefault="003C6E75" w:rsidP="0059629F">
            <w:pPr>
              <w:numPr>
                <w:ilvl w:val="0"/>
                <w:numId w:val="5"/>
              </w:numPr>
              <w:suppressAutoHyphens/>
              <w:autoSpaceDE w:val="0"/>
              <w:autoSpaceDN w:val="0"/>
              <w:adjustRightInd w:val="0"/>
              <w:spacing w:line="240" w:lineRule="auto"/>
              <w:ind w:left="357" w:hanging="357"/>
              <w:rPr>
                <w:rFonts w:cs="Arial"/>
                <w:szCs w:val="20"/>
              </w:rPr>
            </w:pPr>
            <w:r w:rsidRPr="00E46919">
              <w:rPr>
                <w:rFonts w:cs="Arial"/>
                <w:szCs w:val="20"/>
              </w:rPr>
              <w:t>mag. Tanja Bolte, generaln</w:t>
            </w:r>
            <w:r w:rsidR="008636C7">
              <w:rPr>
                <w:rFonts w:cs="Arial"/>
                <w:szCs w:val="20"/>
              </w:rPr>
              <w:t>a</w:t>
            </w:r>
            <w:r w:rsidRPr="00E46919">
              <w:rPr>
                <w:rFonts w:cs="Arial"/>
                <w:szCs w:val="20"/>
              </w:rPr>
              <w:t xml:space="preserve"> direktoric</w:t>
            </w:r>
            <w:r w:rsidR="008636C7">
              <w:rPr>
                <w:rFonts w:cs="Arial"/>
                <w:szCs w:val="20"/>
              </w:rPr>
              <w:t>a</w:t>
            </w:r>
            <w:r w:rsidRPr="00E46919">
              <w:rPr>
                <w:rFonts w:cs="Arial"/>
                <w:szCs w:val="20"/>
              </w:rPr>
              <w:t xml:space="preserve"> Direktorata za okolje,</w:t>
            </w:r>
          </w:p>
          <w:p w:rsidR="003C6E75" w:rsidRPr="00E46919" w:rsidRDefault="00BB5961" w:rsidP="0059629F">
            <w:pPr>
              <w:numPr>
                <w:ilvl w:val="0"/>
                <w:numId w:val="5"/>
              </w:numPr>
              <w:overflowPunct w:val="0"/>
              <w:autoSpaceDE w:val="0"/>
              <w:autoSpaceDN w:val="0"/>
              <w:adjustRightInd w:val="0"/>
              <w:spacing w:line="240" w:lineRule="auto"/>
              <w:ind w:left="357" w:hanging="357"/>
              <w:jc w:val="both"/>
              <w:textAlignment w:val="baseline"/>
              <w:rPr>
                <w:rFonts w:cs="Arial"/>
                <w:iCs/>
                <w:szCs w:val="20"/>
              </w:rPr>
            </w:pPr>
            <w:r>
              <w:rPr>
                <w:rFonts w:cs="Arial"/>
                <w:snapToGrid w:val="0"/>
                <w:szCs w:val="20"/>
              </w:rPr>
              <w:t>ma</w:t>
            </w:r>
            <w:r w:rsidR="00FB79CF">
              <w:rPr>
                <w:rFonts w:cs="Arial"/>
                <w:snapToGrid w:val="0"/>
                <w:szCs w:val="20"/>
              </w:rPr>
              <w:t>g</w:t>
            </w:r>
            <w:r w:rsidR="003C6E75" w:rsidRPr="00E46919">
              <w:rPr>
                <w:rFonts w:cs="Arial"/>
                <w:snapToGrid w:val="0"/>
                <w:szCs w:val="20"/>
              </w:rPr>
              <w:t xml:space="preserve">. </w:t>
            </w:r>
            <w:r w:rsidR="00FB79CF">
              <w:rPr>
                <w:rFonts w:cs="Arial"/>
                <w:snapToGrid w:val="0"/>
                <w:szCs w:val="20"/>
              </w:rPr>
              <w:t>Jana Miklavčič</w:t>
            </w:r>
            <w:r w:rsidR="003C6E75" w:rsidRPr="00E46919">
              <w:rPr>
                <w:rFonts w:cs="Arial"/>
                <w:snapToGrid w:val="0"/>
                <w:szCs w:val="20"/>
              </w:rPr>
              <w:t xml:space="preserve">, </w:t>
            </w:r>
            <w:r w:rsidR="003C6E75" w:rsidRPr="00E46919">
              <w:rPr>
                <w:rFonts w:cs="Arial"/>
                <w:szCs w:val="20"/>
              </w:rPr>
              <w:t>Direktorat za okolje,</w:t>
            </w:r>
            <w:r w:rsidR="003C6E75" w:rsidRPr="00E46919">
              <w:rPr>
                <w:rFonts w:cs="Arial"/>
                <w:snapToGrid w:val="0"/>
                <w:szCs w:val="20"/>
              </w:rPr>
              <w:t xml:space="preserve"> </w:t>
            </w:r>
            <w:r w:rsidR="004F7FE5">
              <w:rPr>
                <w:rFonts w:cs="Arial"/>
                <w:snapToGrid w:val="0"/>
                <w:szCs w:val="20"/>
              </w:rPr>
              <w:t>v</w:t>
            </w:r>
            <w:r w:rsidR="00FB79CF">
              <w:rPr>
                <w:rFonts w:cs="Arial"/>
                <w:snapToGrid w:val="0"/>
                <w:szCs w:val="20"/>
              </w:rPr>
              <w:t xml:space="preserve">odja </w:t>
            </w:r>
            <w:r w:rsidR="003C6E75" w:rsidRPr="00E46919">
              <w:rPr>
                <w:rFonts w:cs="Arial"/>
                <w:snapToGrid w:val="0"/>
                <w:szCs w:val="20"/>
              </w:rPr>
              <w:t>Sektor</w:t>
            </w:r>
            <w:r w:rsidR="00FB79CF">
              <w:rPr>
                <w:rFonts w:cs="Arial"/>
                <w:snapToGrid w:val="0"/>
                <w:szCs w:val="20"/>
              </w:rPr>
              <w:t>ja</w:t>
            </w:r>
            <w:r w:rsidR="003C6E75" w:rsidRPr="00E46919">
              <w:rPr>
                <w:rFonts w:cs="Arial"/>
                <w:snapToGrid w:val="0"/>
                <w:szCs w:val="20"/>
              </w:rPr>
              <w:t xml:space="preserve"> za odpadke,</w:t>
            </w:r>
          </w:p>
          <w:p w:rsidR="003C6E75" w:rsidRPr="00E46919" w:rsidRDefault="00CE1AA7" w:rsidP="0059629F">
            <w:pPr>
              <w:numPr>
                <w:ilvl w:val="0"/>
                <w:numId w:val="5"/>
              </w:numPr>
              <w:overflowPunct w:val="0"/>
              <w:autoSpaceDE w:val="0"/>
              <w:autoSpaceDN w:val="0"/>
              <w:adjustRightInd w:val="0"/>
              <w:spacing w:line="240" w:lineRule="auto"/>
              <w:ind w:left="357" w:hanging="357"/>
              <w:jc w:val="both"/>
              <w:textAlignment w:val="baseline"/>
              <w:rPr>
                <w:rFonts w:cs="Arial"/>
                <w:iCs/>
                <w:szCs w:val="20"/>
              </w:rPr>
            </w:pPr>
            <w:r>
              <w:rPr>
                <w:rFonts w:cs="Arial"/>
                <w:snapToGrid w:val="0"/>
                <w:szCs w:val="20"/>
              </w:rPr>
              <w:t>dr. Lucija Jukić Soršak</w:t>
            </w:r>
            <w:r w:rsidR="003C6E75" w:rsidRPr="00E46919">
              <w:rPr>
                <w:rFonts w:cs="Arial"/>
                <w:snapToGrid w:val="0"/>
                <w:szCs w:val="20"/>
              </w:rPr>
              <w:t xml:space="preserve">, </w:t>
            </w:r>
            <w:r w:rsidR="003C6E75" w:rsidRPr="00E46919">
              <w:rPr>
                <w:rFonts w:cs="Arial"/>
                <w:szCs w:val="20"/>
              </w:rPr>
              <w:t>Direktorat za okolje,</w:t>
            </w:r>
            <w:r w:rsidR="003C6E75" w:rsidRPr="00E46919">
              <w:rPr>
                <w:rFonts w:cs="Arial"/>
                <w:snapToGrid w:val="0"/>
                <w:szCs w:val="20"/>
              </w:rPr>
              <w:t xml:space="preserve"> Sektor za odpadke.</w:t>
            </w:r>
          </w:p>
          <w:p w:rsidR="001E5470" w:rsidRPr="00E46919" w:rsidRDefault="001E5470" w:rsidP="0059629F">
            <w:pPr>
              <w:overflowPunct w:val="0"/>
              <w:autoSpaceDE w:val="0"/>
              <w:autoSpaceDN w:val="0"/>
              <w:adjustRightInd w:val="0"/>
              <w:jc w:val="both"/>
              <w:textAlignment w:val="baseline"/>
              <w:rPr>
                <w:rFonts w:cs="Arial"/>
                <w:iCs/>
                <w:szCs w:val="20"/>
                <w:lang w:eastAsia="sl-SI"/>
              </w:rPr>
            </w:pPr>
          </w:p>
        </w:tc>
      </w:tr>
      <w:tr w:rsidR="001E5470" w:rsidRPr="00E46919" w:rsidTr="0059629F">
        <w:tc>
          <w:tcPr>
            <w:tcW w:w="9163" w:type="dxa"/>
            <w:gridSpan w:val="4"/>
          </w:tcPr>
          <w:p w:rsidR="00B169B8" w:rsidRPr="00B169B8" w:rsidRDefault="001E5470" w:rsidP="0059629F">
            <w:pPr>
              <w:overflowPunct w:val="0"/>
              <w:autoSpaceDE w:val="0"/>
              <w:autoSpaceDN w:val="0"/>
              <w:adjustRightInd w:val="0"/>
              <w:jc w:val="both"/>
              <w:textAlignment w:val="baseline"/>
              <w:rPr>
                <w:rFonts w:cs="Arial"/>
                <w:b/>
                <w:szCs w:val="20"/>
                <w:lang w:eastAsia="sl-SI"/>
              </w:rPr>
            </w:pPr>
            <w:proofErr w:type="spellStart"/>
            <w:r w:rsidRPr="00E46919">
              <w:rPr>
                <w:rFonts w:cs="Arial"/>
                <w:b/>
                <w:iCs/>
                <w:szCs w:val="20"/>
                <w:lang w:eastAsia="sl-SI"/>
              </w:rPr>
              <w:t>3.b</w:t>
            </w:r>
            <w:proofErr w:type="spellEnd"/>
            <w:r w:rsidRPr="00E46919">
              <w:rPr>
                <w:rFonts w:cs="Arial"/>
                <w:b/>
                <w:iCs/>
                <w:szCs w:val="20"/>
                <w:lang w:eastAsia="sl-SI"/>
              </w:rPr>
              <w:t xml:space="preserve"> Zunanji strokovnjaki, ki so </w:t>
            </w:r>
            <w:r w:rsidRPr="00E46919">
              <w:rPr>
                <w:rFonts w:cs="Arial"/>
                <w:b/>
                <w:szCs w:val="20"/>
                <w:lang w:eastAsia="sl-SI"/>
              </w:rPr>
              <w:t>sodelovali pri pripravi dela ali celotnega gradiva:</w:t>
            </w:r>
          </w:p>
        </w:tc>
      </w:tr>
      <w:tr w:rsidR="001E5470" w:rsidRPr="00E46919" w:rsidTr="0059629F">
        <w:tc>
          <w:tcPr>
            <w:tcW w:w="9163" w:type="dxa"/>
            <w:gridSpan w:val="4"/>
          </w:tcPr>
          <w:p w:rsidR="001E5470" w:rsidRPr="00E46919" w:rsidRDefault="003C6E75" w:rsidP="0059629F">
            <w:pPr>
              <w:overflowPunct w:val="0"/>
              <w:autoSpaceDE w:val="0"/>
              <w:autoSpaceDN w:val="0"/>
              <w:adjustRightInd w:val="0"/>
              <w:jc w:val="both"/>
              <w:textAlignment w:val="baseline"/>
              <w:rPr>
                <w:rFonts w:cs="Arial"/>
                <w:iCs/>
                <w:szCs w:val="20"/>
                <w:lang w:eastAsia="sl-SI"/>
              </w:rPr>
            </w:pPr>
            <w:r w:rsidRPr="00E46919">
              <w:rPr>
                <w:rFonts w:cs="Arial"/>
                <w:iCs/>
                <w:szCs w:val="20"/>
                <w:lang w:eastAsia="sl-SI"/>
              </w:rPr>
              <w:t>/</w:t>
            </w:r>
          </w:p>
        </w:tc>
      </w:tr>
      <w:tr w:rsidR="001E5470" w:rsidRPr="00E46919" w:rsidTr="0059629F">
        <w:tc>
          <w:tcPr>
            <w:tcW w:w="9163" w:type="dxa"/>
            <w:gridSpan w:val="4"/>
          </w:tcPr>
          <w:p w:rsidR="00B169B8" w:rsidRPr="00B169B8" w:rsidRDefault="001E5470" w:rsidP="0059629F">
            <w:pPr>
              <w:overflowPunct w:val="0"/>
              <w:autoSpaceDE w:val="0"/>
              <w:autoSpaceDN w:val="0"/>
              <w:adjustRightInd w:val="0"/>
              <w:jc w:val="both"/>
              <w:textAlignment w:val="baseline"/>
              <w:rPr>
                <w:rFonts w:cs="Arial"/>
                <w:b/>
                <w:szCs w:val="20"/>
                <w:lang w:eastAsia="sl-SI"/>
              </w:rPr>
            </w:pPr>
            <w:r w:rsidRPr="00E46919">
              <w:rPr>
                <w:rFonts w:cs="Arial"/>
                <w:b/>
                <w:szCs w:val="20"/>
                <w:lang w:eastAsia="sl-SI"/>
              </w:rPr>
              <w:t>4. Predstavniki vlade, ki bodo sodelovali pri delu državnega zbora:</w:t>
            </w:r>
          </w:p>
        </w:tc>
      </w:tr>
      <w:tr w:rsidR="001E5470" w:rsidRPr="00E46919" w:rsidTr="0059629F">
        <w:tc>
          <w:tcPr>
            <w:tcW w:w="9163" w:type="dxa"/>
            <w:gridSpan w:val="4"/>
          </w:tcPr>
          <w:p w:rsidR="001E5470" w:rsidRPr="00E46919" w:rsidRDefault="003C6E75" w:rsidP="0059629F">
            <w:pPr>
              <w:overflowPunct w:val="0"/>
              <w:autoSpaceDE w:val="0"/>
              <w:autoSpaceDN w:val="0"/>
              <w:adjustRightInd w:val="0"/>
              <w:jc w:val="both"/>
              <w:textAlignment w:val="baseline"/>
              <w:rPr>
                <w:rFonts w:cs="Arial"/>
                <w:b/>
                <w:szCs w:val="20"/>
                <w:lang w:eastAsia="sl-SI"/>
              </w:rPr>
            </w:pPr>
            <w:r w:rsidRPr="00E46919">
              <w:rPr>
                <w:rFonts w:cs="Arial"/>
                <w:iCs/>
                <w:szCs w:val="20"/>
                <w:lang w:eastAsia="sl-SI"/>
              </w:rPr>
              <w:t>/</w:t>
            </w:r>
          </w:p>
        </w:tc>
      </w:tr>
      <w:tr w:rsidR="001E5470" w:rsidRPr="00E46919" w:rsidTr="0059629F">
        <w:tc>
          <w:tcPr>
            <w:tcW w:w="9163" w:type="dxa"/>
            <w:gridSpan w:val="4"/>
          </w:tcPr>
          <w:p w:rsidR="001E5470" w:rsidRPr="00E46919" w:rsidRDefault="001E5470" w:rsidP="0059629F">
            <w:pPr>
              <w:suppressAutoHyphens/>
              <w:overflowPunct w:val="0"/>
              <w:autoSpaceDE w:val="0"/>
              <w:autoSpaceDN w:val="0"/>
              <w:adjustRightInd w:val="0"/>
              <w:textAlignment w:val="baseline"/>
              <w:outlineLvl w:val="3"/>
              <w:rPr>
                <w:rFonts w:cs="Arial"/>
                <w:b/>
                <w:szCs w:val="20"/>
                <w:lang w:eastAsia="sl-SI"/>
              </w:rPr>
            </w:pPr>
            <w:r w:rsidRPr="00E46919">
              <w:rPr>
                <w:rFonts w:cs="Arial"/>
                <w:b/>
                <w:szCs w:val="20"/>
                <w:lang w:eastAsia="sl-SI"/>
              </w:rPr>
              <w:t>5</w:t>
            </w:r>
            <w:r w:rsidRPr="00F83386">
              <w:rPr>
                <w:rFonts w:cs="Arial"/>
                <w:b/>
                <w:szCs w:val="20"/>
                <w:lang w:eastAsia="sl-SI"/>
              </w:rPr>
              <w:t>. Kratek povzetek gradiva:</w:t>
            </w:r>
          </w:p>
        </w:tc>
      </w:tr>
      <w:tr w:rsidR="001E5470" w:rsidRPr="00E46919" w:rsidTr="0059629F">
        <w:tc>
          <w:tcPr>
            <w:tcW w:w="9163" w:type="dxa"/>
            <w:gridSpan w:val="4"/>
          </w:tcPr>
          <w:p w:rsidR="00DC548C" w:rsidRDefault="00DC548C" w:rsidP="00DC548C">
            <w:pPr>
              <w:pStyle w:val="Neotevilenodstavek"/>
              <w:spacing w:before="0" w:after="0" w:line="240" w:lineRule="auto"/>
              <w:rPr>
                <w:iCs/>
                <w:sz w:val="20"/>
                <w:szCs w:val="20"/>
              </w:rPr>
            </w:pPr>
          </w:p>
          <w:p w:rsidR="00DC548C" w:rsidRPr="00DC548C" w:rsidRDefault="00DC548C" w:rsidP="00DC548C">
            <w:pPr>
              <w:pStyle w:val="Neotevilenodstavek"/>
              <w:spacing w:before="0" w:after="0" w:line="240" w:lineRule="auto"/>
              <w:rPr>
                <w:iCs/>
                <w:sz w:val="20"/>
                <w:szCs w:val="20"/>
              </w:rPr>
            </w:pPr>
            <w:r w:rsidRPr="00DC548C">
              <w:rPr>
                <w:iCs/>
                <w:sz w:val="20"/>
                <w:szCs w:val="20"/>
              </w:rPr>
              <w:t xml:space="preserve">Vlada RS je s Sklepom o določitvi deležev prevzemanja odpadne embalaže pri izvajalcih javne službe za leto 2018 (Uradni list RS, št. </w:t>
            </w:r>
            <w:hyperlink r:id="rId11" w:tgtFrame="_blank" w:tooltip="Sklep o določitvi deležev prevzemanja odpadne embalaže pri izvajalcih javne službe za leto 2018" w:history="1">
              <w:r w:rsidRPr="00DC548C">
                <w:rPr>
                  <w:iCs/>
                  <w:sz w:val="20"/>
                  <w:szCs w:val="20"/>
                </w:rPr>
                <w:t>44/18</w:t>
              </w:r>
            </w:hyperlink>
            <w:r w:rsidRPr="00DC548C">
              <w:rPr>
                <w:iCs/>
                <w:sz w:val="20"/>
                <w:szCs w:val="20"/>
              </w:rPr>
              <w:t xml:space="preserve">) določila zadevne deleže. </w:t>
            </w:r>
            <w:r w:rsidR="008131E5" w:rsidRPr="00DC548C">
              <w:rPr>
                <w:iCs/>
                <w:sz w:val="20"/>
                <w:szCs w:val="20"/>
              </w:rPr>
              <w:t xml:space="preserve">Deleži prevzemanja odpadne embalaže od izvajalcev javne službe se za tekoče koledarsko leto določijo na podlagi podatkov o </w:t>
            </w:r>
            <w:r w:rsidR="008131E5" w:rsidRPr="00DC548C">
              <w:rPr>
                <w:iCs/>
                <w:sz w:val="20"/>
                <w:szCs w:val="20"/>
              </w:rPr>
              <w:lastRenderedPageBreak/>
              <w:t xml:space="preserve">masi embalaže, dane v promet v prvem četrtletju tega koledarskega leta, ki se pridobijo iz evidence, ki se vodi v skladu z Uredbo o okoljski dajatvi za onesnaževanje okolja zaradi nastajanja odpadne embalaže (Uradni list RS, št. </w:t>
            </w:r>
            <w:hyperlink r:id="rId12" w:tgtFrame="_blank" w:tooltip="Uredba o okoljski dajatvi za onesnaževanje okolja zaradi nastajanja odpadne embalaže" w:history="1">
              <w:r w:rsidR="008131E5" w:rsidRPr="00DC548C">
                <w:rPr>
                  <w:iCs/>
                  <w:sz w:val="20"/>
                  <w:szCs w:val="20"/>
                </w:rPr>
                <w:t>32/06</w:t>
              </w:r>
            </w:hyperlink>
            <w:r w:rsidR="008131E5" w:rsidRPr="00DC548C">
              <w:rPr>
                <w:iCs/>
                <w:sz w:val="20"/>
                <w:szCs w:val="20"/>
              </w:rPr>
              <w:t xml:space="preserve">, </w:t>
            </w:r>
            <w:hyperlink r:id="rId13" w:tgtFrame="_blank" w:tooltip="Uredba o spremembah in dopolnitvah Uredbe o okoljski dajatvi za onesnaževanje okolja zaradi nastajanja odpadne embalaže" w:history="1">
              <w:r w:rsidR="008131E5" w:rsidRPr="00DC548C">
                <w:rPr>
                  <w:iCs/>
                  <w:sz w:val="20"/>
                  <w:szCs w:val="20"/>
                </w:rPr>
                <w:t>65/06</w:t>
              </w:r>
            </w:hyperlink>
            <w:r w:rsidR="008131E5" w:rsidRPr="00DC548C">
              <w:rPr>
                <w:iCs/>
                <w:sz w:val="20"/>
                <w:szCs w:val="20"/>
              </w:rPr>
              <w:t xml:space="preserve">, </w:t>
            </w:r>
            <w:hyperlink r:id="rId14" w:tgtFrame="_blank" w:tooltip="Uredba o spremembah in dopolnitvah Uredbe o okoljski dajatvi za onesnaževanje okolja zaradi nastajanja odpadne embalaže" w:history="1">
              <w:r w:rsidR="008131E5" w:rsidRPr="00DC548C">
                <w:rPr>
                  <w:iCs/>
                  <w:sz w:val="20"/>
                  <w:szCs w:val="20"/>
                </w:rPr>
                <w:t>78/08</w:t>
              </w:r>
            </w:hyperlink>
            <w:r w:rsidR="008131E5" w:rsidRPr="00DC548C">
              <w:rPr>
                <w:iCs/>
                <w:sz w:val="20"/>
                <w:szCs w:val="20"/>
              </w:rPr>
              <w:t xml:space="preserve">, </w:t>
            </w:r>
            <w:hyperlink r:id="rId15" w:tgtFrame="_blank" w:tooltip="Uredba o spremembi in dopolnitvi Uredbe o okoljski dajatvi za onesnaževanje okolja zaradi nastajanja odpadne embalaže" w:history="1">
              <w:r w:rsidR="008131E5" w:rsidRPr="00DC548C">
                <w:rPr>
                  <w:iCs/>
                  <w:sz w:val="20"/>
                  <w:szCs w:val="20"/>
                </w:rPr>
                <w:t>19/10</w:t>
              </w:r>
            </w:hyperlink>
            <w:r w:rsidR="008131E5" w:rsidRPr="00DC548C">
              <w:rPr>
                <w:iCs/>
                <w:sz w:val="20"/>
                <w:szCs w:val="20"/>
              </w:rPr>
              <w:t xml:space="preserve">, </w:t>
            </w:r>
            <w:hyperlink r:id="rId16" w:tgtFrame="_blank" w:tooltip="Uredba o spremembah in dopolnitvah Uredbe o okoljski dajatvi za onesnaževanje okolja zaradi nastajanja odpadne embalaže" w:history="1">
              <w:r w:rsidR="008131E5" w:rsidRPr="00DC548C">
                <w:rPr>
                  <w:iCs/>
                  <w:sz w:val="20"/>
                  <w:szCs w:val="20"/>
                </w:rPr>
                <w:t>68/17</w:t>
              </w:r>
            </w:hyperlink>
            <w:r w:rsidR="008131E5" w:rsidRPr="00DC548C">
              <w:rPr>
                <w:iCs/>
                <w:sz w:val="20"/>
                <w:szCs w:val="20"/>
              </w:rPr>
              <w:t xml:space="preserve"> in </w:t>
            </w:r>
            <w:hyperlink r:id="rId17" w:tgtFrame="_blank" w:tooltip="Uredba o spremembi Uredbe o okoljski dajatvi za onesnaževanje okolja zaradi nastajanja odpadne embalaže" w:history="1">
              <w:r w:rsidR="008131E5" w:rsidRPr="00DC548C">
                <w:rPr>
                  <w:iCs/>
                  <w:sz w:val="20"/>
                  <w:szCs w:val="20"/>
                </w:rPr>
                <w:t>82/18</w:t>
              </w:r>
            </w:hyperlink>
            <w:r w:rsidR="008131E5" w:rsidRPr="00DC548C">
              <w:rPr>
                <w:iCs/>
                <w:sz w:val="20"/>
                <w:szCs w:val="20"/>
              </w:rPr>
              <w:t>; v nadaljnjem besedi</w:t>
            </w:r>
            <w:r w:rsidR="008131E5">
              <w:rPr>
                <w:iCs/>
                <w:sz w:val="20"/>
                <w:szCs w:val="20"/>
              </w:rPr>
              <w:t xml:space="preserve">lu: Uredba o okoljski dajatvi). </w:t>
            </w:r>
            <w:r w:rsidRPr="00DC548C">
              <w:rPr>
                <w:iCs/>
                <w:sz w:val="20"/>
                <w:szCs w:val="20"/>
              </w:rPr>
              <w:t xml:space="preserve">Sklep je bil že enkrat spremenjen s Sklepom o spremembah Sklepa o določitvi deležev prevzemanja odpadne embalaže pri izvajalcih javne službe za leto 2018 (Uradni list RS, št. </w:t>
            </w:r>
            <w:hyperlink r:id="rId18" w:tgtFrame="_blank" w:tooltip="Sklep o spremembah Sklepa o določitvi deležev prevzemanja odpadne embalaže pri izvajalcih javne službe za leto 2018" w:history="1">
              <w:r w:rsidRPr="00DC548C">
                <w:rPr>
                  <w:iCs/>
                  <w:sz w:val="20"/>
                  <w:szCs w:val="20"/>
                </w:rPr>
                <w:t>82/18</w:t>
              </w:r>
            </w:hyperlink>
            <w:r w:rsidRPr="00DC548C">
              <w:rPr>
                <w:iCs/>
                <w:sz w:val="20"/>
                <w:szCs w:val="20"/>
              </w:rPr>
              <w:t>). Po sprejetju tega sklepa pa je zavezanec za plačilo okoljske dajatve za onesnaževanje okolja zaradi nastajanja odpadne embalaže obvestil Ministrstvo za okolje in prostor o tem, da je Finančni upravi RS posredoval popravek obračuna okoljske dajatve za prvo četrtletje leta 2018. Ker popravek obračuna tega zavezanca vpliva na višino deležev prevzemanja odpadne embalaže pri izvajalcih javne službe za leto 2018 kot so bili določeni s prej omenjenim sklepom, je treba navedeni sklep ustrezno spremeniti.</w:t>
            </w:r>
          </w:p>
          <w:p w:rsidR="008D2823" w:rsidRPr="00DC548C" w:rsidRDefault="008D2823" w:rsidP="00DC548C">
            <w:pPr>
              <w:pStyle w:val="Neotevilenodstavek"/>
              <w:spacing w:before="0" w:after="0" w:line="240" w:lineRule="auto"/>
              <w:rPr>
                <w:iCs/>
                <w:sz w:val="20"/>
                <w:szCs w:val="20"/>
              </w:rPr>
            </w:pPr>
          </w:p>
          <w:p w:rsidR="00DC548C" w:rsidRPr="00DC548C" w:rsidRDefault="00DC548C" w:rsidP="00DC548C">
            <w:pPr>
              <w:pStyle w:val="Neotevilenodstavek"/>
              <w:spacing w:before="0" w:after="0" w:line="240" w:lineRule="auto"/>
              <w:rPr>
                <w:iCs/>
                <w:sz w:val="20"/>
                <w:szCs w:val="20"/>
              </w:rPr>
            </w:pPr>
            <w:r w:rsidRPr="00DC548C">
              <w:rPr>
                <w:iCs/>
                <w:sz w:val="20"/>
                <w:szCs w:val="20"/>
              </w:rPr>
              <w:t xml:space="preserve">Na zaprosilo Ministrstva za okolje in prostor je Finančna uprava RS </w:t>
            </w:r>
            <w:r w:rsidR="008131E5">
              <w:rPr>
                <w:iCs/>
                <w:sz w:val="20"/>
                <w:szCs w:val="20"/>
              </w:rPr>
              <w:t>28</w:t>
            </w:r>
            <w:r w:rsidRPr="00DC548C">
              <w:rPr>
                <w:iCs/>
                <w:sz w:val="20"/>
                <w:szCs w:val="20"/>
              </w:rPr>
              <w:t xml:space="preserve">. 1. 2019 posredovala osvežene podatke </w:t>
            </w:r>
            <w:r w:rsidR="008131E5">
              <w:rPr>
                <w:iCs/>
                <w:sz w:val="20"/>
                <w:szCs w:val="20"/>
              </w:rPr>
              <w:t xml:space="preserve">na dan 25. 1. 2019 </w:t>
            </w:r>
            <w:r w:rsidRPr="00DC548C">
              <w:rPr>
                <w:iCs/>
                <w:sz w:val="20"/>
                <w:szCs w:val="20"/>
              </w:rPr>
              <w:t xml:space="preserve">iz obračunov okoljske dajatve za prvo četrtletje leta 2018, ki jih vlagajo zavezanci za plačilo okoljske dajatve na podlagi Uredbe o okoljski dajatvi, iz katerih je razvidno, da </w:t>
            </w:r>
            <w:r w:rsidR="008131E5">
              <w:rPr>
                <w:iCs/>
                <w:sz w:val="20"/>
                <w:szCs w:val="20"/>
              </w:rPr>
              <w:t>je</w:t>
            </w:r>
            <w:r w:rsidRPr="00DC548C">
              <w:rPr>
                <w:iCs/>
                <w:sz w:val="20"/>
                <w:szCs w:val="20"/>
              </w:rPr>
              <w:t xml:space="preserve"> po spreje</w:t>
            </w:r>
            <w:r w:rsidR="00DE50F2">
              <w:rPr>
                <w:iCs/>
                <w:sz w:val="20"/>
                <w:szCs w:val="20"/>
              </w:rPr>
              <w:t>tj</w:t>
            </w:r>
            <w:r w:rsidRPr="00DC548C">
              <w:rPr>
                <w:iCs/>
                <w:sz w:val="20"/>
                <w:szCs w:val="20"/>
              </w:rPr>
              <w:t xml:space="preserve">u </w:t>
            </w:r>
            <w:r w:rsidR="008131E5">
              <w:rPr>
                <w:iCs/>
                <w:sz w:val="20"/>
                <w:szCs w:val="20"/>
              </w:rPr>
              <w:t>Sklepa</w:t>
            </w:r>
            <w:r w:rsidR="008131E5" w:rsidRPr="00DC548C">
              <w:rPr>
                <w:iCs/>
                <w:sz w:val="20"/>
                <w:szCs w:val="20"/>
              </w:rPr>
              <w:t xml:space="preserve"> o spremembah Sklepa o določitvi deležev prevzemanja odpadne embalaže pri izvajalcih javne službe za leto 2018 </w:t>
            </w:r>
            <w:r w:rsidR="008131E5">
              <w:rPr>
                <w:iCs/>
                <w:sz w:val="20"/>
                <w:szCs w:val="20"/>
              </w:rPr>
              <w:t>še pe</w:t>
            </w:r>
            <w:r w:rsidR="00DE50F2">
              <w:rPr>
                <w:iCs/>
                <w:sz w:val="20"/>
                <w:szCs w:val="20"/>
              </w:rPr>
              <w:t>t</w:t>
            </w:r>
            <w:r w:rsidRPr="00DC548C">
              <w:rPr>
                <w:iCs/>
                <w:sz w:val="20"/>
                <w:szCs w:val="20"/>
              </w:rPr>
              <w:t xml:space="preserve"> zavezanc</w:t>
            </w:r>
            <w:r w:rsidR="008131E5">
              <w:rPr>
                <w:iCs/>
                <w:sz w:val="20"/>
                <w:szCs w:val="20"/>
              </w:rPr>
              <w:t>ev</w:t>
            </w:r>
            <w:r w:rsidRPr="00DC548C">
              <w:rPr>
                <w:iCs/>
                <w:sz w:val="20"/>
                <w:szCs w:val="20"/>
              </w:rPr>
              <w:t xml:space="preserve"> vložil</w:t>
            </w:r>
            <w:r w:rsidR="008131E5">
              <w:rPr>
                <w:iCs/>
                <w:sz w:val="20"/>
                <w:szCs w:val="20"/>
              </w:rPr>
              <w:t>o</w:t>
            </w:r>
            <w:r w:rsidRPr="00DC548C">
              <w:rPr>
                <w:iCs/>
                <w:sz w:val="20"/>
                <w:szCs w:val="20"/>
              </w:rPr>
              <w:t xml:space="preserve"> poprav</w:t>
            </w:r>
            <w:r w:rsidR="008131E5">
              <w:rPr>
                <w:iCs/>
                <w:sz w:val="20"/>
                <w:szCs w:val="20"/>
              </w:rPr>
              <w:t>ke</w:t>
            </w:r>
            <w:r w:rsidRPr="00DC548C">
              <w:rPr>
                <w:iCs/>
                <w:sz w:val="20"/>
                <w:szCs w:val="20"/>
              </w:rPr>
              <w:t xml:space="preserve"> svoj</w:t>
            </w:r>
            <w:r w:rsidR="008131E5">
              <w:rPr>
                <w:iCs/>
                <w:sz w:val="20"/>
                <w:szCs w:val="20"/>
              </w:rPr>
              <w:t>ih</w:t>
            </w:r>
            <w:r w:rsidRPr="00DC548C">
              <w:rPr>
                <w:iCs/>
                <w:sz w:val="20"/>
                <w:szCs w:val="20"/>
              </w:rPr>
              <w:t xml:space="preserve"> obračun</w:t>
            </w:r>
            <w:r w:rsidR="008131E5">
              <w:rPr>
                <w:iCs/>
                <w:sz w:val="20"/>
                <w:szCs w:val="20"/>
              </w:rPr>
              <w:t>ov</w:t>
            </w:r>
            <w:r w:rsidRPr="00DC548C">
              <w:rPr>
                <w:iCs/>
                <w:sz w:val="20"/>
                <w:szCs w:val="20"/>
              </w:rPr>
              <w:t xml:space="preserve"> za prvo četrtletje leta 2018, ki </w:t>
            </w:r>
            <w:r w:rsidR="008131E5">
              <w:rPr>
                <w:iCs/>
                <w:sz w:val="20"/>
                <w:szCs w:val="20"/>
              </w:rPr>
              <w:t>so</w:t>
            </w:r>
            <w:r w:rsidRPr="00DC548C">
              <w:rPr>
                <w:iCs/>
                <w:sz w:val="20"/>
                <w:szCs w:val="20"/>
              </w:rPr>
              <w:t xml:space="preserve"> skupaj dal</w:t>
            </w:r>
            <w:r w:rsidR="008131E5">
              <w:rPr>
                <w:iCs/>
                <w:sz w:val="20"/>
                <w:szCs w:val="20"/>
              </w:rPr>
              <w:t>i</w:t>
            </w:r>
            <w:r w:rsidRPr="00DC548C">
              <w:rPr>
                <w:iCs/>
                <w:sz w:val="20"/>
                <w:szCs w:val="20"/>
              </w:rPr>
              <w:t xml:space="preserve"> v promet 1.</w:t>
            </w:r>
            <w:r w:rsidR="008131E5">
              <w:rPr>
                <w:iCs/>
                <w:sz w:val="20"/>
                <w:szCs w:val="20"/>
              </w:rPr>
              <w:t>305.455,00 </w:t>
            </w:r>
            <w:r w:rsidRPr="00DC548C">
              <w:rPr>
                <w:iCs/>
                <w:sz w:val="20"/>
                <w:szCs w:val="20"/>
              </w:rPr>
              <w:t>kg embalaže, kar predstavlja 2</w:t>
            </w:r>
            <w:r w:rsidR="008131E5">
              <w:rPr>
                <w:iCs/>
                <w:sz w:val="20"/>
                <w:szCs w:val="20"/>
              </w:rPr>
              <w:t>,45 </w:t>
            </w:r>
            <w:r w:rsidRPr="00DC548C">
              <w:rPr>
                <w:iCs/>
                <w:sz w:val="20"/>
                <w:szCs w:val="20"/>
              </w:rPr>
              <w:t xml:space="preserve">% embalaže, za katero so bili zavezanci za plačilo okoljske dajatve vključeni v sisteme ravnanja z odpadno embalažo, ki jih upravljajo družbe za ravnanje z odpadno embalažo. Zato so bili ponovno opravljeni vsi izračuni v skladu z metodologijo iz priloge 2B iz </w:t>
            </w:r>
            <w:r w:rsidR="008131E5">
              <w:rPr>
                <w:iCs/>
                <w:sz w:val="20"/>
                <w:szCs w:val="20"/>
              </w:rPr>
              <w:t>U</w:t>
            </w:r>
            <w:r w:rsidRPr="00DC548C">
              <w:rPr>
                <w:iCs/>
                <w:sz w:val="20"/>
                <w:szCs w:val="20"/>
              </w:rPr>
              <w:t>redbe</w:t>
            </w:r>
            <w:r w:rsidR="008131E5">
              <w:rPr>
                <w:iCs/>
                <w:sz w:val="20"/>
                <w:szCs w:val="20"/>
              </w:rPr>
              <w:t xml:space="preserve"> o ravnanju z embalažo in odpadno embalažo (Uradni list RS, št</w:t>
            </w:r>
            <w:r w:rsidRPr="00DC548C">
              <w:rPr>
                <w:iCs/>
                <w:sz w:val="20"/>
                <w:szCs w:val="20"/>
              </w:rPr>
              <w:t xml:space="preserve">. </w:t>
            </w:r>
            <w:r w:rsidR="0090378A" w:rsidRPr="00DC548C">
              <w:rPr>
                <w:iCs/>
                <w:sz w:val="20"/>
                <w:szCs w:val="20"/>
              </w:rPr>
              <w:t xml:space="preserve">84/06, 106/06, 110/07, 67/11, 68/11 – </w:t>
            </w:r>
            <w:proofErr w:type="spellStart"/>
            <w:r w:rsidR="0090378A" w:rsidRPr="00DC548C">
              <w:rPr>
                <w:iCs/>
                <w:sz w:val="20"/>
                <w:szCs w:val="20"/>
              </w:rPr>
              <w:t>popr</w:t>
            </w:r>
            <w:proofErr w:type="spellEnd"/>
            <w:r w:rsidR="0090378A" w:rsidRPr="00DC548C">
              <w:rPr>
                <w:iCs/>
                <w:sz w:val="20"/>
                <w:szCs w:val="20"/>
              </w:rPr>
              <w:t xml:space="preserve">., 18/14, 57/15, 103/15, 2/16 – </w:t>
            </w:r>
            <w:proofErr w:type="spellStart"/>
            <w:r w:rsidR="0090378A" w:rsidRPr="00DC548C">
              <w:rPr>
                <w:iCs/>
                <w:sz w:val="20"/>
                <w:szCs w:val="20"/>
              </w:rPr>
              <w:t>popr</w:t>
            </w:r>
            <w:proofErr w:type="spellEnd"/>
            <w:r w:rsidR="0090378A" w:rsidRPr="00DC548C">
              <w:rPr>
                <w:iCs/>
                <w:sz w:val="20"/>
                <w:szCs w:val="20"/>
              </w:rPr>
              <w:t xml:space="preserve">., 35/17, 68/18 in </w:t>
            </w:r>
            <w:hyperlink r:id="rId19" w:tgtFrame="_blank" w:tooltip="Zakon o interventnih ukrepih pri ravnanju s komunalno odpadno embalažo in z odpadnimi nagrobnimi svečami" w:history="1">
              <w:r w:rsidR="0090378A" w:rsidRPr="00DC548C">
                <w:rPr>
                  <w:iCs/>
                  <w:sz w:val="20"/>
                  <w:szCs w:val="20"/>
                </w:rPr>
                <w:t>84/18</w:t>
              </w:r>
            </w:hyperlink>
            <w:r w:rsidR="0090378A" w:rsidRPr="00DC548C">
              <w:rPr>
                <w:iCs/>
                <w:sz w:val="20"/>
                <w:szCs w:val="20"/>
              </w:rPr>
              <w:t xml:space="preserve"> – ZIURKOE</w:t>
            </w:r>
            <w:r w:rsidR="0090378A">
              <w:rPr>
                <w:iCs/>
                <w:sz w:val="20"/>
                <w:szCs w:val="20"/>
              </w:rPr>
              <w:t>; v nadaljnjem besedilu: Uredba</w:t>
            </w:r>
            <w:r w:rsidR="008131E5">
              <w:rPr>
                <w:iCs/>
                <w:sz w:val="20"/>
                <w:szCs w:val="20"/>
              </w:rPr>
              <w:t xml:space="preserve">). </w:t>
            </w:r>
            <w:r w:rsidRPr="00DC548C">
              <w:rPr>
                <w:iCs/>
                <w:sz w:val="20"/>
                <w:szCs w:val="20"/>
              </w:rPr>
              <w:t>Na podlagi teh izračunov je pripravljen predlog Sklepa o spremembah Slepa o določitvi deležev prevzemanja odpadne embalaže pri izvajalcih javne službe za leto 2018.</w:t>
            </w:r>
          </w:p>
          <w:p w:rsidR="00DC548C" w:rsidRPr="00DC548C" w:rsidRDefault="00DC548C" w:rsidP="00DC548C">
            <w:pPr>
              <w:pStyle w:val="Neotevilenodstavek"/>
              <w:spacing w:before="0" w:after="0" w:line="240" w:lineRule="auto"/>
              <w:rPr>
                <w:iCs/>
                <w:sz w:val="20"/>
                <w:szCs w:val="20"/>
              </w:rPr>
            </w:pPr>
          </w:p>
          <w:p w:rsidR="00DC548C" w:rsidRPr="00DC548C" w:rsidRDefault="00DC548C" w:rsidP="00DC548C">
            <w:pPr>
              <w:pStyle w:val="Neotevilenodstavek"/>
              <w:spacing w:before="0" w:after="0" w:line="240" w:lineRule="auto"/>
              <w:rPr>
                <w:iCs/>
                <w:sz w:val="20"/>
                <w:szCs w:val="20"/>
              </w:rPr>
            </w:pPr>
            <w:r w:rsidRPr="00DC548C">
              <w:rPr>
                <w:iCs/>
                <w:sz w:val="20"/>
                <w:szCs w:val="20"/>
              </w:rPr>
              <w:t xml:space="preserve">Finančna uprava RS je Ministrstvu za okolje in prostor že decembra 2018, za namen priprave gradiva za prvo spremembo Sklepa o določitvi deležev prevzemanja odpadne embalaže pri izvajalcih javne službe za leto 2018 posredovala tudi obračun podjetja, ki je navedlo, da ima sklenjeno </w:t>
            </w:r>
            <w:proofErr w:type="spellStart"/>
            <w:r w:rsidRPr="00DC548C">
              <w:rPr>
                <w:iCs/>
                <w:sz w:val="20"/>
                <w:szCs w:val="20"/>
              </w:rPr>
              <w:t>podgodbo</w:t>
            </w:r>
            <w:proofErr w:type="spellEnd"/>
            <w:r w:rsidRPr="00DC548C">
              <w:rPr>
                <w:iCs/>
                <w:sz w:val="20"/>
                <w:szCs w:val="20"/>
              </w:rPr>
              <w:t xml:space="preserve"> z družbo za ravnanje z odpadno embalažo samo za embalažo nevarnega blaga, ne pa za celotno količino embalaže, ki jo daje v promet v RS, ker skupna količina embalaže ne presega praga 15.000</w:t>
            </w:r>
            <w:r w:rsidR="0090378A">
              <w:rPr>
                <w:iCs/>
                <w:sz w:val="20"/>
                <w:szCs w:val="20"/>
              </w:rPr>
              <w:t> </w:t>
            </w:r>
            <w:r w:rsidRPr="00DC548C">
              <w:rPr>
                <w:iCs/>
                <w:sz w:val="20"/>
                <w:szCs w:val="20"/>
              </w:rPr>
              <w:t>kg, kar je v skladu s 36.</w:t>
            </w:r>
            <w:r w:rsidR="0090378A">
              <w:rPr>
                <w:iCs/>
                <w:sz w:val="20"/>
                <w:szCs w:val="20"/>
              </w:rPr>
              <w:t> </w:t>
            </w:r>
            <w:r w:rsidRPr="00DC548C">
              <w:rPr>
                <w:iCs/>
                <w:sz w:val="20"/>
                <w:szCs w:val="20"/>
              </w:rPr>
              <w:t xml:space="preserve">členom </w:t>
            </w:r>
            <w:r w:rsidR="0090378A">
              <w:rPr>
                <w:iCs/>
                <w:sz w:val="20"/>
                <w:szCs w:val="20"/>
              </w:rPr>
              <w:t>U</w:t>
            </w:r>
            <w:r w:rsidRPr="00DC548C">
              <w:rPr>
                <w:iCs/>
                <w:sz w:val="20"/>
                <w:szCs w:val="20"/>
              </w:rPr>
              <w:t>redbe. Nobeno drugo podjetje ni vložilo takšnega obračuna. Trenutno informacijski sistem Finančne uprave RS ne omogoča vnosa podatkov iz tako pripravljenega obračuna. Ker se podatki iz obračuna tega podjetja o količini embalaže, za katero ima sklenjeno pogodbo z družbo za ravnanje z odpadno embalažo</w:t>
            </w:r>
            <w:r w:rsidR="00DE50F2">
              <w:rPr>
                <w:iCs/>
                <w:sz w:val="20"/>
                <w:szCs w:val="20"/>
              </w:rPr>
              <w:t>,</w:t>
            </w:r>
            <w:r w:rsidRPr="00DC548C">
              <w:rPr>
                <w:iCs/>
                <w:sz w:val="20"/>
                <w:szCs w:val="20"/>
              </w:rPr>
              <w:t xml:space="preserve"> niso spremenili, jih je Ministrstvo za okolje in prostor ustrezno upoštevalo tudi pri izračunu deležev za ta predlog sklepa.</w:t>
            </w:r>
          </w:p>
          <w:p w:rsidR="00DC548C" w:rsidRPr="00DC548C" w:rsidRDefault="00DC548C" w:rsidP="00DC548C">
            <w:pPr>
              <w:pStyle w:val="Neotevilenodstavek"/>
              <w:spacing w:before="0" w:after="0" w:line="240" w:lineRule="auto"/>
              <w:rPr>
                <w:iCs/>
                <w:sz w:val="20"/>
                <w:szCs w:val="20"/>
              </w:rPr>
            </w:pPr>
          </w:p>
          <w:p w:rsidR="004E4AFA" w:rsidRPr="00DC548C" w:rsidRDefault="004E4AFA" w:rsidP="00DC548C">
            <w:pPr>
              <w:pStyle w:val="Neotevilenodstavek"/>
              <w:spacing w:before="0" w:after="0" w:line="240" w:lineRule="auto"/>
              <w:rPr>
                <w:iCs/>
                <w:sz w:val="20"/>
                <w:szCs w:val="20"/>
              </w:rPr>
            </w:pPr>
            <w:r w:rsidRPr="00DC548C">
              <w:rPr>
                <w:iCs/>
                <w:sz w:val="20"/>
                <w:szCs w:val="20"/>
              </w:rPr>
              <w:t xml:space="preserve">Podrobna obrazložitev je v gradivu. </w:t>
            </w:r>
          </w:p>
          <w:p w:rsidR="009C5ED6" w:rsidRPr="00E46919" w:rsidRDefault="009C5ED6" w:rsidP="0059629F">
            <w:pPr>
              <w:overflowPunct w:val="0"/>
              <w:autoSpaceDE w:val="0"/>
              <w:autoSpaceDN w:val="0"/>
              <w:adjustRightInd w:val="0"/>
              <w:jc w:val="both"/>
              <w:textAlignment w:val="baseline"/>
              <w:rPr>
                <w:rFonts w:cs="Arial"/>
                <w:iCs/>
                <w:szCs w:val="20"/>
                <w:lang w:eastAsia="sl-SI"/>
              </w:rPr>
            </w:pPr>
          </w:p>
        </w:tc>
      </w:tr>
      <w:tr w:rsidR="001E5470" w:rsidRPr="00E46919" w:rsidTr="0059629F">
        <w:tc>
          <w:tcPr>
            <w:tcW w:w="9163" w:type="dxa"/>
            <w:gridSpan w:val="4"/>
          </w:tcPr>
          <w:p w:rsidR="001E5470" w:rsidRPr="00E46919" w:rsidRDefault="001E5470" w:rsidP="0059629F">
            <w:pPr>
              <w:suppressAutoHyphens/>
              <w:overflowPunct w:val="0"/>
              <w:autoSpaceDE w:val="0"/>
              <w:autoSpaceDN w:val="0"/>
              <w:adjustRightInd w:val="0"/>
              <w:textAlignment w:val="baseline"/>
              <w:outlineLvl w:val="3"/>
              <w:rPr>
                <w:rFonts w:cs="Arial"/>
                <w:b/>
                <w:szCs w:val="20"/>
                <w:lang w:eastAsia="sl-SI"/>
              </w:rPr>
            </w:pPr>
            <w:r w:rsidRPr="00E46919">
              <w:rPr>
                <w:rFonts w:cs="Arial"/>
                <w:b/>
                <w:szCs w:val="20"/>
                <w:lang w:eastAsia="sl-SI"/>
              </w:rPr>
              <w:lastRenderedPageBreak/>
              <w:t>6. Presoja posledic za:</w:t>
            </w:r>
          </w:p>
        </w:tc>
      </w:tr>
      <w:tr w:rsidR="001E5470" w:rsidRPr="00E46919" w:rsidTr="0059629F">
        <w:tc>
          <w:tcPr>
            <w:tcW w:w="1448" w:type="dxa"/>
          </w:tcPr>
          <w:p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a)</w:t>
            </w:r>
          </w:p>
        </w:tc>
        <w:tc>
          <w:tcPr>
            <w:tcW w:w="5444" w:type="dxa"/>
            <w:gridSpan w:val="2"/>
          </w:tcPr>
          <w:p w:rsidR="001E5470" w:rsidRPr="00E46919" w:rsidRDefault="001E5470" w:rsidP="0059629F">
            <w:pPr>
              <w:overflowPunct w:val="0"/>
              <w:autoSpaceDE w:val="0"/>
              <w:autoSpaceDN w:val="0"/>
              <w:adjustRightInd w:val="0"/>
              <w:jc w:val="both"/>
              <w:textAlignment w:val="baseline"/>
              <w:rPr>
                <w:rFonts w:cs="Arial"/>
                <w:szCs w:val="20"/>
                <w:lang w:eastAsia="sl-SI"/>
              </w:rPr>
            </w:pPr>
            <w:r w:rsidRPr="00E46919">
              <w:rPr>
                <w:rFonts w:cs="Arial"/>
                <w:szCs w:val="20"/>
                <w:lang w:eastAsia="sl-SI"/>
              </w:rPr>
              <w:t>javnofinančna sredstva nad 40.000 EUR v tekočem in naslednjih treh letih</w:t>
            </w:r>
          </w:p>
        </w:tc>
        <w:tc>
          <w:tcPr>
            <w:tcW w:w="2271" w:type="dxa"/>
            <w:vAlign w:val="center"/>
          </w:tcPr>
          <w:p w:rsidR="001E5470" w:rsidRPr="00E46919" w:rsidRDefault="001E5470" w:rsidP="0059629F">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NE</w:t>
            </w:r>
          </w:p>
        </w:tc>
      </w:tr>
      <w:tr w:rsidR="001E5470" w:rsidRPr="00E46919" w:rsidTr="0059629F">
        <w:tc>
          <w:tcPr>
            <w:tcW w:w="1448" w:type="dxa"/>
          </w:tcPr>
          <w:p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b)</w:t>
            </w:r>
          </w:p>
        </w:tc>
        <w:tc>
          <w:tcPr>
            <w:tcW w:w="5444" w:type="dxa"/>
            <w:gridSpan w:val="2"/>
          </w:tcPr>
          <w:p w:rsidR="001E5470" w:rsidRPr="00E46919" w:rsidRDefault="001E5470" w:rsidP="0059629F">
            <w:pPr>
              <w:overflowPunct w:val="0"/>
              <w:autoSpaceDE w:val="0"/>
              <w:autoSpaceDN w:val="0"/>
              <w:adjustRightInd w:val="0"/>
              <w:jc w:val="both"/>
              <w:textAlignment w:val="baseline"/>
              <w:rPr>
                <w:rFonts w:cs="Arial"/>
                <w:iCs/>
                <w:szCs w:val="20"/>
                <w:lang w:eastAsia="sl-SI"/>
              </w:rPr>
            </w:pPr>
            <w:r w:rsidRPr="00E46919">
              <w:rPr>
                <w:rFonts w:cs="Arial"/>
                <w:bCs/>
                <w:szCs w:val="20"/>
                <w:lang w:eastAsia="sl-SI"/>
              </w:rPr>
              <w:t>usklajenost slovenskega pravnega reda s pravnim redom Evropske unije</w:t>
            </w:r>
          </w:p>
        </w:tc>
        <w:tc>
          <w:tcPr>
            <w:tcW w:w="2271" w:type="dxa"/>
            <w:vAlign w:val="center"/>
          </w:tcPr>
          <w:p w:rsidR="001E5470" w:rsidRPr="00E46919" w:rsidRDefault="00FB79CF" w:rsidP="0059629F">
            <w:pPr>
              <w:overflowPunct w:val="0"/>
              <w:autoSpaceDE w:val="0"/>
              <w:autoSpaceDN w:val="0"/>
              <w:adjustRightInd w:val="0"/>
              <w:jc w:val="center"/>
              <w:textAlignment w:val="baseline"/>
              <w:rPr>
                <w:rFonts w:cs="Arial"/>
                <w:iCs/>
                <w:szCs w:val="20"/>
                <w:lang w:eastAsia="sl-SI"/>
              </w:rPr>
            </w:pPr>
            <w:r>
              <w:rPr>
                <w:rFonts w:cs="Arial"/>
                <w:szCs w:val="20"/>
                <w:lang w:eastAsia="sl-SI"/>
              </w:rPr>
              <w:t>NE</w:t>
            </w:r>
          </w:p>
        </w:tc>
      </w:tr>
      <w:tr w:rsidR="001E5470" w:rsidRPr="00E46919" w:rsidTr="0059629F">
        <w:tc>
          <w:tcPr>
            <w:tcW w:w="1448" w:type="dxa"/>
          </w:tcPr>
          <w:p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c)</w:t>
            </w:r>
          </w:p>
        </w:tc>
        <w:tc>
          <w:tcPr>
            <w:tcW w:w="5444" w:type="dxa"/>
            <w:gridSpan w:val="2"/>
          </w:tcPr>
          <w:p w:rsidR="001E5470" w:rsidRPr="00E46919" w:rsidRDefault="001E5470" w:rsidP="0059629F">
            <w:pPr>
              <w:overflowPunct w:val="0"/>
              <w:autoSpaceDE w:val="0"/>
              <w:autoSpaceDN w:val="0"/>
              <w:adjustRightInd w:val="0"/>
              <w:jc w:val="both"/>
              <w:textAlignment w:val="baseline"/>
              <w:rPr>
                <w:rFonts w:cs="Arial"/>
                <w:iCs/>
                <w:szCs w:val="20"/>
                <w:lang w:eastAsia="sl-SI"/>
              </w:rPr>
            </w:pPr>
            <w:r w:rsidRPr="00E46919">
              <w:rPr>
                <w:rFonts w:cs="Arial"/>
                <w:szCs w:val="20"/>
                <w:lang w:eastAsia="sl-SI"/>
              </w:rPr>
              <w:t>administrativne posledice</w:t>
            </w:r>
          </w:p>
        </w:tc>
        <w:tc>
          <w:tcPr>
            <w:tcW w:w="2271" w:type="dxa"/>
            <w:vAlign w:val="center"/>
          </w:tcPr>
          <w:p w:rsidR="001E5470" w:rsidRPr="00E46919" w:rsidRDefault="001E5470" w:rsidP="0059629F">
            <w:pPr>
              <w:overflowPunct w:val="0"/>
              <w:autoSpaceDE w:val="0"/>
              <w:autoSpaceDN w:val="0"/>
              <w:adjustRightInd w:val="0"/>
              <w:jc w:val="center"/>
              <w:textAlignment w:val="baseline"/>
              <w:rPr>
                <w:rFonts w:cs="Arial"/>
                <w:szCs w:val="20"/>
                <w:lang w:eastAsia="sl-SI"/>
              </w:rPr>
            </w:pPr>
            <w:r w:rsidRPr="00E46919">
              <w:rPr>
                <w:rFonts w:cs="Arial"/>
                <w:szCs w:val="20"/>
                <w:lang w:eastAsia="sl-SI"/>
              </w:rPr>
              <w:t>NE</w:t>
            </w:r>
          </w:p>
        </w:tc>
      </w:tr>
      <w:tr w:rsidR="001E5470" w:rsidRPr="00E46919" w:rsidTr="0059629F">
        <w:tc>
          <w:tcPr>
            <w:tcW w:w="1448" w:type="dxa"/>
          </w:tcPr>
          <w:p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č)</w:t>
            </w:r>
          </w:p>
        </w:tc>
        <w:tc>
          <w:tcPr>
            <w:tcW w:w="5444" w:type="dxa"/>
            <w:gridSpan w:val="2"/>
          </w:tcPr>
          <w:p w:rsidR="001E5470" w:rsidRPr="00E46919" w:rsidRDefault="001E5470" w:rsidP="0059629F">
            <w:pPr>
              <w:overflowPunct w:val="0"/>
              <w:autoSpaceDE w:val="0"/>
              <w:autoSpaceDN w:val="0"/>
              <w:adjustRightInd w:val="0"/>
              <w:jc w:val="both"/>
              <w:textAlignment w:val="baseline"/>
              <w:rPr>
                <w:rFonts w:cs="Arial"/>
                <w:bCs/>
                <w:szCs w:val="20"/>
                <w:lang w:eastAsia="sl-SI"/>
              </w:rPr>
            </w:pPr>
            <w:r w:rsidRPr="00E46919">
              <w:rPr>
                <w:rFonts w:cs="Arial"/>
                <w:szCs w:val="20"/>
                <w:lang w:eastAsia="sl-SI"/>
              </w:rPr>
              <w:t>gospodarstvo, zlasti</w:t>
            </w:r>
            <w:r w:rsidRPr="00E46919">
              <w:rPr>
                <w:rFonts w:cs="Arial"/>
                <w:bCs/>
                <w:szCs w:val="20"/>
                <w:lang w:eastAsia="sl-SI"/>
              </w:rPr>
              <w:t xml:space="preserve"> mala in srednja podjetja ter konkurenčnost podjetij</w:t>
            </w:r>
          </w:p>
        </w:tc>
        <w:tc>
          <w:tcPr>
            <w:tcW w:w="2271" w:type="dxa"/>
            <w:vAlign w:val="center"/>
          </w:tcPr>
          <w:p w:rsidR="001E5470" w:rsidRPr="00E46919" w:rsidRDefault="001E5470" w:rsidP="0059629F">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NE</w:t>
            </w:r>
          </w:p>
        </w:tc>
      </w:tr>
      <w:tr w:rsidR="001E5470" w:rsidRPr="00E46919" w:rsidTr="0059629F">
        <w:tc>
          <w:tcPr>
            <w:tcW w:w="1448" w:type="dxa"/>
          </w:tcPr>
          <w:p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d)</w:t>
            </w:r>
          </w:p>
        </w:tc>
        <w:tc>
          <w:tcPr>
            <w:tcW w:w="5444" w:type="dxa"/>
            <w:gridSpan w:val="2"/>
          </w:tcPr>
          <w:p w:rsidR="001E5470" w:rsidRPr="00E46919" w:rsidRDefault="001E5470" w:rsidP="0059629F">
            <w:pPr>
              <w:overflowPunct w:val="0"/>
              <w:autoSpaceDE w:val="0"/>
              <w:autoSpaceDN w:val="0"/>
              <w:adjustRightInd w:val="0"/>
              <w:jc w:val="both"/>
              <w:textAlignment w:val="baseline"/>
              <w:rPr>
                <w:rFonts w:cs="Arial"/>
                <w:bCs/>
                <w:szCs w:val="20"/>
                <w:lang w:eastAsia="sl-SI"/>
              </w:rPr>
            </w:pPr>
            <w:r w:rsidRPr="00E46919">
              <w:rPr>
                <w:rFonts w:cs="Arial"/>
                <w:bCs/>
                <w:szCs w:val="20"/>
                <w:lang w:eastAsia="sl-SI"/>
              </w:rPr>
              <w:t>okolje, vključno s prostorskimi in varstvenimi vidiki</w:t>
            </w:r>
          </w:p>
        </w:tc>
        <w:tc>
          <w:tcPr>
            <w:tcW w:w="2271" w:type="dxa"/>
            <w:vAlign w:val="center"/>
          </w:tcPr>
          <w:p w:rsidR="001E5470" w:rsidRPr="00E46919" w:rsidRDefault="001E5470" w:rsidP="0059629F">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DA</w:t>
            </w:r>
          </w:p>
        </w:tc>
      </w:tr>
      <w:tr w:rsidR="001E5470" w:rsidRPr="00E46919" w:rsidTr="0059629F">
        <w:tc>
          <w:tcPr>
            <w:tcW w:w="1448" w:type="dxa"/>
          </w:tcPr>
          <w:p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e)</w:t>
            </w:r>
          </w:p>
        </w:tc>
        <w:tc>
          <w:tcPr>
            <w:tcW w:w="5444" w:type="dxa"/>
            <w:gridSpan w:val="2"/>
          </w:tcPr>
          <w:p w:rsidR="001E5470" w:rsidRPr="00E46919" w:rsidRDefault="001E5470" w:rsidP="0059629F">
            <w:pPr>
              <w:overflowPunct w:val="0"/>
              <w:autoSpaceDE w:val="0"/>
              <w:autoSpaceDN w:val="0"/>
              <w:adjustRightInd w:val="0"/>
              <w:jc w:val="both"/>
              <w:textAlignment w:val="baseline"/>
              <w:rPr>
                <w:rFonts w:cs="Arial"/>
                <w:bCs/>
                <w:szCs w:val="20"/>
                <w:lang w:eastAsia="sl-SI"/>
              </w:rPr>
            </w:pPr>
            <w:r w:rsidRPr="00E46919">
              <w:rPr>
                <w:rFonts w:cs="Arial"/>
                <w:bCs/>
                <w:szCs w:val="20"/>
                <w:lang w:eastAsia="sl-SI"/>
              </w:rPr>
              <w:t>socialno področje</w:t>
            </w:r>
          </w:p>
        </w:tc>
        <w:tc>
          <w:tcPr>
            <w:tcW w:w="2271" w:type="dxa"/>
            <w:vAlign w:val="center"/>
          </w:tcPr>
          <w:p w:rsidR="001E5470" w:rsidRPr="00E46919" w:rsidRDefault="001E5470" w:rsidP="0059629F">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NE</w:t>
            </w:r>
          </w:p>
        </w:tc>
      </w:tr>
      <w:tr w:rsidR="001E5470" w:rsidRPr="00E46919" w:rsidTr="0059629F">
        <w:tc>
          <w:tcPr>
            <w:tcW w:w="1448" w:type="dxa"/>
            <w:tcBorders>
              <w:bottom w:val="single" w:sz="4" w:space="0" w:color="auto"/>
            </w:tcBorders>
          </w:tcPr>
          <w:p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f)</w:t>
            </w:r>
          </w:p>
        </w:tc>
        <w:tc>
          <w:tcPr>
            <w:tcW w:w="5444" w:type="dxa"/>
            <w:gridSpan w:val="2"/>
            <w:tcBorders>
              <w:bottom w:val="single" w:sz="4" w:space="0" w:color="auto"/>
            </w:tcBorders>
          </w:tcPr>
          <w:p w:rsidR="001E5470" w:rsidRPr="00E46919" w:rsidRDefault="001E5470" w:rsidP="0059629F">
            <w:pPr>
              <w:overflowPunct w:val="0"/>
              <w:autoSpaceDE w:val="0"/>
              <w:autoSpaceDN w:val="0"/>
              <w:adjustRightInd w:val="0"/>
              <w:jc w:val="both"/>
              <w:textAlignment w:val="baseline"/>
              <w:rPr>
                <w:rFonts w:cs="Arial"/>
                <w:bCs/>
                <w:szCs w:val="20"/>
                <w:lang w:eastAsia="sl-SI"/>
              </w:rPr>
            </w:pPr>
            <w:r w:rsidRPr="00E46919">
              <w:rPr>
                <w:rFonts w:cs="Arial"/>
                <w:bCs/>
                <w:szCs w:val="20"/>
                <w:lang w:eastAsia="sl-SI"/>
              </w:rPr>
              <w:t>dokumente razvojnega načrtovanja:</w:t>
            </w:r>
          </w:p>
          <w:p w:rsidR="001E5470" w:rsidRPr="00E46919" w:rsidRDefault="001E5470" w:rsidP="0059629F">
            <w:pPr>
              <w:numPr>
                <w:ilvl w:val="0"/>
                <w:numId w:val="4"/>
              </w:numPr>
              <w:overflowPunct w:val="0"/>
              <w:autoSpaceDE w:val="0"/>
              <w:autoSpaceDN w:val="0"/>
              <w:adjustRightInd w:val="0"/>
              <w:spacing w:after="200" w:line="276" w:lineRule="auto"/>
              <w:jc w:val="both"/>
              <w:textAlignment w:val="baseline"/>
              <w:rPr>
                <w:rFonts w:cs="Arial"/>
                <w:bCs/>
                <w:szCs w:val="20"/>
                <w:lang w:eastAsia="sl-SI"/>
              </w:rPr>
            </w:pPr>
            <w:r w:rsidRPr="00E46919">
              <w:rPr>
                <w:rFonts w:cs="Arial"/>
                <w:bCs/>
                <w:szCs w:val="20"/>
                <w:lang w:eastAsia="sl-SI"/>
              </w:rPr>
              <w:t>nacionalne dokumente razvojnega načrtovanja</w:t>
            </w:r>
          </w:p>
          <w:p w:rsidR="001E5470" w:rsidRPr="00E46919" w:rsidRDefault="001E5470" w:rsidP="0059629F">
            <w:pPr>
              <w:numPr>
                <w:ilvl w:val="0"/>
                <w:numId w:val="4"/>
              </w:numPr>
              <w:overflowPunct w:val="0"/>
              <w:autoSpaceDE w:val="0"/>
              <w:autoSpaceDN w:val="0"/>
              <w:adjustRightInd w:val="0"/>
              <w:spacing w:after="200" w:line="276" w:lineRule="auto"/>
              <w:jc w:val="both"/>
              <w:textAlignment w:val="baseline"/>
              <w:rPr>
                <w:rFonts w:cs="Arial"/>
                <w:bCs/>
                <w:szCs w:val="20"/>
                <w:lang w:eastAsia="sl-SI"/>
              </w:rPr>
            </w:pPr>
            <w:r w:rsidRPr="00E46919">
              <w:rPr>
                <w:rFonts w:cs="Arial"/>
                <w:bCs/>
                <w:szCs w:val="20"/>
                <w:lang w:eastAsia="sl-SI"/>
              </w:rPr>
              <w:t>razvojne politike na ravni programov po strukturi razvojne klasifikacije programskega proračuna</w:t>
            </w:r>
          </w:p>
          <w:p w:rsidR="001E5470" w:rsidRPr="00E46919" w:rsidRDefault="001E5470" w:rsidP="0059629F">
            <w:pPr>
              <w:numPr>
                <w:ilvl w:val="0"/>
                <w:numId w:val="4"/>
              </w:numPr>
              <w:overflowPunct w:val="0"/>
              <w:autoSpaceDE w:val="0"/>
              <w:autoSpaceDN w:val="0"/>
              <w:adjustRightInd w:val="0"/>
              <w:spacing w:after="200" w:line="276" w:lineRule="auto"/>
              <w:jc w:val="both"/>
              <w:textAlignment w:val="baseline"/>
              <w:rPr>
                <w:rFonts w:cs="Arial"/>
                <w:bCs/>
                <w:szCs w:val="20"/>
                <w:lang w:eastAsia="sl-SI"/>
              </w:rPr>
            </w:pPr>
            <w:r w:rsidRPr="00E46919">
              <w:rPr>
                <w:rFonts w:cs="Arial"/>
                <w:bCs/>
                <w:szCs w:val="20"/>
                <w:lang w:eastAsia="sl-SI"/>
              </w:rPr>
              <w:t>razvojne dokumente Evropske unije in mednarodnih organizacij</w:t>
            </w:r>
          </w:p>
        </w:tc>
        <w:tc>
          <w:tcPr>
            <w:tcW w:w="2271" w:type="dxa"/>
            <w:tcBorders>
              <w:bottom w:val="single" w:sz="4" w:space="0" w:color="auto"/>
            </w:tcBorders>
            <w:vAlign w:val="center"/>
          </w:tcPr>
          <w:p w:rsidR="001E5470" w:rsidRPr="00E46919" w:rsidRDefault="001E5470" w:rsidP="0059629F">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NE</w:t>
            </w:r>
          </w:p>
        </w:tc>
      </w:tr>
      <w:tr w:rsidR="001E5470" w:rsidRPr="00E46919" w:rsidTr="0059629F">
        <w:tc>
          <w:tcPr>
            <w:tcW w:w="9163" w:type="dxa"/>
            <w:gridSpan w:val="4"/>
            <w:tcBorders>
              <w:top w:val="single" w:sz="4" w:space="0" w:color="auto"/>
              <w:left w:val="single" w:sz="4" w:space="0" w:color="auto"/>
              <w:bottom w:val="single" w:sz="4" w:space="0" w:color="auto"/>
              <w:right w:val="single" w:sz="4" w:space="0" w:color="auto"/>
            </w:tcBorders>
          </w:tcPr>
          <w:p w:rsidR="001E5470" w:rsidRPr="00E46919" w:rsidRDefault="001E5470" w:rsidP="0059629F">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E46919">
              <w:rPr>
                <w:rFonts w:cs="Arial"/>
                <w:b/>
                <w:szCs w:val="20"/>
                <w:lang w:eastAsia="sl-SI"/>
              </w:rPr>
              <w:lastRenderedPageBreak/>
              <w:t>7.a</w:t>
            </w:r>
            <w:proofErr w:type="spellEnd"/>
            <w:r w:rsidRPr="00E46919">
              <w:rPr>
                <w:rFonts w:cs="Arial"/>
                <w:b/>
                <w:szCs w:val="20"/>
                <w:lang w:eastAsia="sl-SI"/>
              </w:rPr>
              <w:t xml:space="preserve"> Predstavitev ocene finančnih posledic nad 40.000 EUR:</w:t>
            </w:r>
          </w:p>
          <w:p w:rsidR="001E5470" w:rsidRPr="00E46919" w:rsidRDefault="003C6E75" w:rsidP="0059629F">
            <w:pPr>
              <w:widowControl w:val="0"/>
              <w:suppressAutoHyphens/>
              <w:overflowPunct w:val="0"/>
              <w:autoSpaceDE w:val="0"/>
              <w:autoSpaceDN w:val="0"/>
              <w:adjustRightInd w:val="0"/>
              <w:textAlignment w:val="baseline"/>
              <w:outlineLvl w:val="3"/>
              <w:rPr>
                <w:rFonts w:cs="Arial"/>
                <w:szCs w:val="20"/>
                <w:lang w:eastAsia="sl-SI"/>
              </w:rPr>
            </w:pPr>
            <w:r w:rsidRPr="00E46919">
              <w:rPr>
                <w:rFonts w:cs="Arial"/>
                <w:szCs w:val="20"/>
                <w:lang w:eastAsia="sl-SI"/>
              </w:rPr>
              <w:t>/</w:t>
            </w:r>
          </w:p>
        </w:tc>
      </w:tr>
    </w:tbl>
    <w:p w:rsidR="001E5470" w:rsidRPr="00E46919" w:rsidRDefault="001E5470" w:rsidP="001E5470">
      <w:pPr>
        <w:rPr>
          <w:rFonts w:eastAsia="Calibri" w:cs="Arial"/>
          <w:vanish/>
          <w:szCs w:val="20"/>
        </w:rPr>
      </w:pPr>
    </w:p>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9"/>
        <w:gridCol w:w="2431"/>
      </w:tblGrid>
      <w:tr w:rsidR="001E5470" w:rsidRPr="00E46919" w:rsidTr="00B30CAD">
        <w:tc>
          <w:tcPr>
            <w:tcW w:w="9200" w:type="dxa"/>
            <w:gridSpan w:val="2"/>
          </w:tcPr>
          <w:p w:rsidR="001E5470" w:rsidRPr="00E46919"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E46919">
              <w:rPr>
                <w:rFonts w:cs="Arial"/>
                <w:b/>
                <w:szCs w:val="20"/>
                <w:lang w:eastAsia="sl-SI"/>
              </w:rPr>
              <w:t>7.b</w:t>
            </w:r>
            <w:proofErr w:type="spellEnd"/>
            <w:r w:rsidRPr="00E46919">
              <w:rPr>
                <w:rFonts w:cs="Arial"/>
                <w:b/>
                <w:szCs w:val="20"/>
                <w:lang w:eastAsia="sl-SI"/>
              </w:rPr>
              <w:t xml:space="preserve"> Predstavitev ocene finančnih posledic pod 40.000 EUR:</w:t>
            </w:r>
          </w:p>
          <w:p w:rsidR="001E5470" w:rsidRPr="00E46919" w:rsidRDefault="003C6E75" w:rsidP="001E5470">
            <w:pPr>
              <w:widowControl w:val="0"/>
              <w:suppressAutoHyphens/>
              <w:overflowPunct w:val="0"/>
              <w:autoSpaceDE w:val="0"/>
              <w:autoSpaceDN w:val="0"/>
              <w:adjustRightInd w:val="0"/>
              <w:textAlignment w:val="baseline"/>
              <w:outlineLvl w:val="3"/>
              <w:rPr>
                <w:rFonts w:cs="Arial"/>
                <w:bCs/>
                <w:szCs w:val="20"/>
                <w:lang w:eastAsia="sl-SI"/>
              </w:rPr>
            </w:pPr>
            <w:r w:rsidRPr="00E46919">
              <w:rPr>
                <w:rFonts w:cs="Arial"/>
                <w:bCs/>
                <w:szCs w:val="20"/>
                <w:lang w:eastAsia="sl-SI"/>
              </w:rPr>
              <w:t>Gradivo ne vpliva na prilive ali odlive iz državnega proračuna.</w:t>
            </w:r>
          </w:p>
          <w:p w:rsidR="003C6E75" w:rsidRPr="00E46919" w:rsidRDefault="003C6E75" w:rsidP="001E5470">
            <w:pPr>
              <w:widowControl w:val="0"/>
              <w:suppressAutoHyphens/>
              <w:overflowPunct w:val="0"/>
              <w:autoSpaceDE w:val="0"/>
              <w:autoSpaceDN w:val="0"/>
              <w:adjustRightInd w:val="0"/>
              <w:textAlignment w:val="baseline"/>
              <w:outlineLvl w:val="3"/>
              <w:rPr>
                <w:rFonts w:cs="Arial"/>
                <w:szCs w:val="20"/>
                <w:lang w:eastAsia="sl-SI"/>
              </w:rPr>
            </w:pPr>
          </w:p>
        </w:tc>
      </w:tr>
      <w:tr w:rsidR="00015EC5" w:rsidRPr="00E46919" w:rsidTr="00B30CAD">
        <w:tc>
          <w:tcPr>
            <w:tcW w:w="9200" w:type="dxa"/>
            <w:gridSpan w:val="2"/>
          </w:tcPr>
          <w:p w:rsidR="00015EC5" w:rsidRDefault="00015EC5">
            <w:r w:rsidRPr="009F2F84">
              <w:rPr>
                <w:rFonts w:cs="Arial"/>
                <w:b/>
                <w:szCs w:val="20"/>
              </w:rPr>
              <w:t>8. Predstavitev sodelovanja z združenji občin:</w:t>
            </w:r>
          </w:p>
        </w:tc>
      </w:tr>
      <w:tr w:rsidR="00015EC5" w:rsidRPr="00E46919" w:rsidTr="00B30CAD">
        <w:tc>
          <w:tcPr>
            <w:tcW w:w="9200" w:type="dxa"/>
            <w:gridSpan w:val="2"/>
          </w:tcPr>
          <w:p w:rsidR="00015EC5" w:rsidRPr="00015EC5" w:rsidRDefault="00015EC5">
            <w:pPr>
              <w:rPr>
                <w:rFonts w:cs="Arial"/>
                <w:szCs w:val="20"/>
              </w:rPr>
            </w:pPr>
            <w:r w:rsidRPr="00015EC5">
              <w:rPr>
                <w:rFonts w:cs="Arial"/>
                <w:szCs w:val="20"/>
              </w:rPr>
              <w:t>Vsebina predloženega gradiva (predpisa) vpliva na:</w:t>
            </w:r>
          </w:p>
          <w:p w:rsidR="00015EC5" w:rsidRPr="00015EC5" w:rsidRDefault="00C45737">
            <w:pPr>
              <w:rPr>
                <w:rFonts w:cs="Arial"/>
                <w:szCs w:val="20"/>
              </w:rPr>
            </w:pPr>
            <w:r>
              <w:rPr>
                <w:rFonts w:cs="Arial"/>
                <w:szCs w:val="20"/>
              </w:rPr>
              <w:t>–</w:t>
            </w:r>
            <w:r w:rsidRPr="00015EC5">
              <w:rPr>
                <w:rFonts w:cs="Arial"/>
                <w:szCs w:val="20"/>
              </w:rPr>
              <w:t xml:space="preserve"> </w:t>
            </w:r>
            <w:r w:rsidR="00015EC5" w:rsidRPr="00015EC5">
              <w:rPr>
                <w:rFonts w:cs="Arial"/>
                <w:szCs w:val="20"/>
              </w:rPr>
              <w:t>pristojnosti občin,</w:t>
            </w:r>
          </w:p>
          <w:p w:rsidR="00015EC5" w:rsidRPr="00015EC5" w:rsidRDefault="00C45737">
            <w:pPr>
              <w:rPr>
                <w:rFonts w:cs="Arial"/>
                <w:szCs w:val="20"/>
              </w:rPr>
            </w:pPr>
            <w:r>
              <w:rPr>
                <w:rFonts w:cs="Arial"/>
                <w:szCs w:val="20"/>
              </w:rPr>
              <w:t>–</w:t>
            </w:r>
            <w:r w:rsidRPr="00015EC5">
              <w:rPr>
                <w:rFonts w:cs="Arial"/>
                <w:szCs w:val="20"/>
              </w:rPr>
              <w:t xml:space="preserve"> </w:t>
            </w:r>
            <w:r w:rsidR="00015EC5" w:rsidRPr="00015EC5">
              <w:rPr>
                <w:rFonts w:cs="Arial"/>
                <w:szCs w:val="20"/>
              </w:rPr>
              <w:t>delovanje občin,</w:t>
            </w:r>
            <w:r w:rsidR="00E656DD">
              <w:rPr>
                <w:rFonts w:cs="Arial"/>
                <w:szCs w:val="20"/>
              </w:rPr>
              <w:t xml:space="preserve">                                                                                                                 NE</w:t>
            </w:r>
          </w:p>
          <w:p w:rsidR="00015EC5" w:rsidRDefault="00C45737">
            <w:pPr>
              <w:rPr>
                <w:rFonts w:cs="Arial"/>
                <w:b/>
                <w:szCs w:val="20"/>
              </w:rPr>
            </w:pPr>
            <w:r>
              <w:rPr>
                <w:rFonts w:cs="Arial"/>
                <w:szCs w:val="20"/>
              </w:rPr>
              <w:t>–</w:t>
            </w:r>
            <w:r w:rsidRPr="00015EC5">
              <w:rPr>
                <w:rFonts w:cs="Arial"/>
                <w:szCs w:val="20"/>
              </w:rPr>
              <w:t xml:space="preserve"> </w:t>
            </w:r>
            <w:r w:rsidR="00015EC5" w:rsidRPr="00015EC5">
              <w:rPr>
                <w:rFonts w:cs="Arial"/>
                <w:szCs w:val="20"/>
              </w:rPr>
              <w:t>financiranje občin.</w:t>
            </w:r>
          </w:p>
          <w:p w:rsidR="00015EC5" w:rsidRPr="009F2F84" w:rsidRDefault="00015EC5">
            <w:pPr>
              <w:rPr>
                <w:rFonts w:cs="Arial"/>
                <w:b/>
                <w:szCs w:val="20"/>
              </w:rPr>
            </w:pPr>
          </w:p>
        </w:tc>
      </w:tr>
      <w:tr w:rsidR="00015EC5" w:rsidRPr="00E46919" w:rsidTr="00B30CAD">
        <w:tc>
          <w:tcPr>
            <w:tcW w:w="9200" w:type="dxa"/>
            <w:gridSpan w:val="2"/>
          </w:tcPr>
          <w:p w:rsidR="00015EC5" w:rsidRPr="00781563" w:rsidRDefault="00015EC5">
            <w:pPr>
              <w:rPr>
                <w:rFonts w:cs="Arial"/>
                <w:szCs w:val="20"/>
              </w:rPr>
            </w:pPr>
            <w:r w:rsidRPr="00781563">
              <w:rPr>
                <w:rFonts w:cs="Arial"/>
                <w:szCs w:val="20"/>
              </w:rPr>
              <w:t>Gradivo je bilo poslano v mnenje:</w:t>
            </w:r>
          </w:p>
          <w:p w:rsidR="00015EC5" w:rsidRPr="00781563" w:rsidRDefault="00015EC5" w:rsidP="00C12068">
            <w:pPr>
              <w:pStyle w:val="Odstavekseznama"/>
              <w:numPr>
                <w:ilvl w:val="0"/>
                <w:numId w:val="6"/>
              </w:numPr>
              <w:rPr>
                <w:rFonts w:ascii="Arial" w:hAnsi="Arial" w:cs="Arial"/>
                <w:sz w:val="20"/>
              </w:rPr>
            </w:pPr>
            <w:r w:rsidRPr="00781563">
              <w:rPr>
                <w:rFonts w:ascii="Arial" w:hAnsi="Arial" w:cs="Arial"/>
                <w:sz w:val="20"/>
              </w:rPr>
              <w:t>Skupnosti občin Slovenije SOS: NE</w:t>
            </w:r>
          </w:p>
          <w:p w:rsidR="00015EC5" w:rsidRPr="00781563" w:rsidRDefault="00015EC5" w:rsidP="00C12068">
            <w:pPr>
              <w:pStyle w:val="Odstavekseznama"/>
              <w:numPr>
                <w:ilvl w:val="0"/>
                <w:numId w:val="6"/>
              </w:numPr>
              <w:rPr>
                <w:rFonts w:ascii="Arial" w:hAnsi="Arial" w:cs="Arial"/>
                <w:sz w:val="20"/>
              </w:rPr>
            </w:pPr>
            <w:r w:rsidRPr="00781563">
              <w:rPr>
                <w:rFonts w:ascii="Arial" w:hAnsi="Arial" w:cs="Arial"/>
                <w:sz w:val="20"/>
              </w:rPr>
              <w:t>Združenju občin Slovenije ZOS: NE</w:t>
            </w:r>
          </w:p>
          <w:p w:rsidR="00015EC5" w:rsidRPr="00781563" w:rsidRDefault="00015EC5" w:rsidP="00C12068">
            <w:pPr>
              <w:pStyle w:val="Odstavekseznama"/>
              <w:numPr>
                <w:ilvl w:val="0"/>
                <w:numId w:val="6"/>
              </w:numPr>
              <w:rPr>
                <w:rFonts w:ascii="Arial" w:hAnsi="Arial" w:cs="Arial"/>
                <w:sz w:val="20"/>
              </w:rPr>
            </w:pPr>
            <w:r w:rsidRPr="00781563">
              <w:rPr>
                <w:rFonts w:ascii="Arial" w:hAnsi="Arial" w:cs="Arial"/>
                <w:sz w:val="20"/>
              </w:rPr>
              <w:t>Združenju mestnih občin Slovenije: NE</w:t>
            </w:r>
          </w:p>
          <w:p w:rsidR="00E656DD" w:rsidRDefault="00E656DD" w:rsidP="00781563">
            <w:pPr>
              <w:pStyle w:val="Odstavekseznama"/>
              <w:rPr>
                <w:rFonts w:cs="Arial"/>
              </w:rPr>
            </w:pPr>
          </w:p>
          <w:p w:rsidR="00015EC5" w:rsidRDefault="00015EC5" w:rsidP="00E656DD">
            <w:pPr>
              <w:rPr>
                <w:rFonts w:cs="Arial"/>
              </w:rPr>
            </w:pPr>
            <w:r>
              <w:rPr>
                <w:rFonts w:cs="Arial"/>
              </w:rPr>
              <w:t>Gradivo</w:t>
            </w:r>
            <w:r w:rsidR="00E656DD">
              <w:rPr>
                <w:rFonts w:cs="Arial"/>
              </w:rPr>
              <w:t xml:space="preserve"> ni tak</w:t>
            </w:r>
            <w:r>
              <w:rPr>
                <w:rFonts w:cs="Arial"/>
              </w:rPr>
              <w:t xml:space="preserve">o, </w:t>
            </w:r>
            <w:r w:rsidR="00E656DD">
              <w:rPr>
                <w:rFonts w:cs="Arial"/>
              </w:rPr>
              <w:t>da bi ga bilo treba poslati združenjem občin.</w:t>
            </w:r>
          </w:p>
          <w:p w:rsidR="00E656DD" w:rsidRPr="00015EC5" w:rsidRDefault="00E656DD" w:rsidP="00E656DD">
            <w:pPr>
              <w:rPr>
                <w:rFonts w:cs="Arial"/>
              </w:rPr>
            </w:pPr>
          </w:p>
        </w:tc>
      </w:tr>
      <w:tr w:rsidR="001E5470" w:rsidRPr="00E46919" w:rsidTr="00B30CAD">
        <w:tc>
          <w:tcPr>
            <w:tcW w:w="9200" w:type="dxa"/>
            <w:gridSpan w:val="2"/>
          </w:tcPr>
          <w:p w:rsidR="001E5470" w:rsidRPr="00E46919" w:rsidRDefault="00015EC5" w:rsidP="001E5470">
            <w:pPr>
              <w:widowControl w:val="0"/>
              <w:suppressAutoHyphens/>
              <w:overflowPunct w:val="0"/>
              <w:autoSpaceDE w:val="0"/>
              <w:autoSpaceDN w:val="0"/>
              <w:adjustRightInd w:val="0"/>
              <w:textAlignment w:val="baseline"/>
              <w:outlineLvl w:val="3"/>
              <w:rPr>
                <w:rFonts w:cs="Arial"/>
                <w:b/>
                <w:szCs w:val="20"/>
                <w:lang w:eastAsia="sl-SI"/>
              </w:rPr>
            </w:pPr>
            <w:r>
              <w:rPr>
                <w:rFonts w:cs="Arial"/>
                <w:b/>
                <w:szCs w:val="20"/>
                <w:lang w:eastAsia="sl-SI"/>
              </w:rPr>
              <w:t>9</w:t>
            </w:r>
            <w:r w:rsidR="001E5470" w:rsidRPr="00E46919">
              <w:rPr>
                <w:rFonts w:cs="Arial"/>
                <w:b/>
                <w:szCs w:val="20"/>
                <w:lang w:eastAsia="sl-SI"/>
              </w:rPr>
              <w:t>. Predstavitev sodelovanja javnosti:</w:t>
            </w:r>
          </w:p>
        </w:tc>
      </w:tr>
      <w:tr w:rsidR="001E5470" w:rsidRPr="00E46919" w:rsidTr="00B30CAD">
        <w:tc>
          <w:tcPr>
            <w:tcW w:w="6769" w:type="dxa"/>
          </w:tcPr>
          <w:p w:rsidR="001E5470" w:rsidRPr="00E46919" w:rsidRDefault="001E5470" w:rsidP="001E5470">
            <w:pPr>
              <w:widowControl w:val="0"/>
              <w:overflowPunct w:val="0"/>
              <w:autoSpaceDE w:val="0"/>
              <w:autoSpaceDN w:val="0"/>
              <w:adjustRightInd w:val="0"/>
              <w:jc w:val="both"/>
              <w:textAlignment w:val="baseline"/>
              <w:rPr>
                <w:rFonts w:cs="Arial"/>
                <w:szCs w:val="20"/>
                <w:lang w:eastAsia="sl-SI"/>
              </w:rPr>
            </w:pPr>
            <w:r w:rsidRPr="00E46919">
              <w:rPr>
                <w:rFonts w:cs="Arial"/>
                <w:iCs/>
                <w:szCs w:val="20"/>
                <w:lang w:eastAsia="sl-SI"/>
              </w:rPr>
              <w:t>Gradivo je bilo predhodno objavljeno na spletni strani predlagatelja:</w:t>
            </w:r>
          </w:p>
        </w:tc>
        <w:tc>
          <w:tcPr>
            <w:tcW w:w="2431" w:type="dxa"/>
          </w:tcPr>
          <w:p w:rsidR="001E5470" w:rsidRPr="00E46919" w:rsidRDefault="00530672" w:rsidP="001E5470">
            <w:pPr>
              <w:widowControl w:val="0"/>
              <w:overflowPunct w:val="0"/>
              <w:autoSpaceDE w:val="0"/>
              <w:autoSpaceDN w:val="0"/>
              <w:adjustRightInd w:val="0"/>
              <w:jc w:val="center"/>
              <w:textAlignment w:val="baseline"/>
              <w:rPr>
                <w:rFonts w:cs="Arial"/>
                <w:iCs/>
                <w:szCs w:val="20"/>
                <w:lang w:eastAsia="sl-SI"/>
              </w:rPr>
            </w:pPr>
            <w:r>
              <w:rPr>
                <w:rFonts w:cs="Arial"/>
                <w:szCs w:val="20"/>
                <w:lang w:eastAsia="sl-SI"/>
              </w:rPr>
              <w:t>NE</w:t>
            </w:r>
          </w:p>
        </w:tc>
      </w:tr>
      <w:tr w:rsidR="001E5470" w:rsidRPr="00E46919" w:rsidTr="00B30CAD">
        <w:trPr>
          <w:trHeight w:val="274"/>
        </w:trPr>
        <w:tc>
          <w:tcPr>
            <w:tcW w:w="9200" w:type="dxa"/>
            <w:gridSpan w:val="2"/>
          </w:tcPr>
          <w:p w:rsidR="001E5470" w:rsidRPr="00E46919" w:rsidRDefault="001E5470" w:rsidP="00530672">
            <w:pPr>
              <w:widowControl w:val="0"/>
              <w:overflowPunct w:val="0"/>
              <w:autoSpaceDE w:val="0"/>
              <w:autoSpaceDN w:val="0"/>
              <w:adjustRightInd w:val="0"/>
              <w:jc w:val="both"/>
              <w:textAlignment w:val="baseline"/>
              <w:rPr>
                <w:rFonts w:cs="Arial"/>
                <w:iCs/>
                <w:szCs w:val="20"/>
                <w:lang w:eastAsia="sl-SI"/>
              </w:rPr>
            </w:pPr>
          </w:p>
        </w:tc>
      </w:tr>
      <w:tr w:rsidR="001E5470" w:rsidRPr="00E46919" w:rsidTr="00B30CAD">
        <w:tc>
          <w:tcPr>
            <w:tcW w:w="6769" w:type="dxa"/>
            <w:vAlign w:val="center"/>
          </w:tcPr>
          <w:p w:rsidR="001E5470" w:rsidRPr="00E46919" w:rsidRDefault="00015EC5" w:rsidP="001E5470">
            <w:pPr>
              <w:widowControl w:val="0"/>
              <w:overflowPunct w:val="0"/>
              <w:autoSpaceDE w:val="0"/>
              <w:autoSpaceDN w:val="0"/>
              <w:adjustRightInd w:val="0"/>
              <w:textAlignment w:val="baseline"/>
              <w:rPr>
                <w:rFonts w:cs="Arial"/>
                <w:szCs w:val="20"/>
                <w:lang w:eastAsia="sl-SI"/>
              </w:rPr>
            </w:pPr>
            <w:r>
              <w:rPr>
                <w:rFonts w:cs="Arial"/>
                <w:b/>
                <w:szCs w:val="20"/>
                <w:lang w:eastAsia="sl-SI"/>
              </w:rPr>
              <w:t>10</w:t>
            </w:r>
            <w:r w:rsidR="001E5470" w:rsidRPr="00E46919">
              <w:rPr>
                <w:rFonts w:cs="Arial"/>
                <w:b/>
                <w:szCs w:val="20"/>
                <w:lang w:eastAsia="sl-SI"/>
              </w:rPr>
              <w:t>. Pri pripravi gradiva so bile upoštevane zahteve iz Resolucije o normativni dejavnosti:</w:t>
            </w:r>
          </w:p>
        </w:tc>
        <w:tc>
          <w:tcPr>
            <w:tcW w:w="2431" w:type="dxa"/>
            <w:vAlign w:val="center"/>
          </w:tcPr>
          <w:p w:rsidR="001E5470" w:rsidRPr="00E46919" w:rsidRDefault="001E5470" w:rsidP="001E5470">
            <w:pPr>
              <w:widowControl w:val="0"/>
              <w:overflowPunct w:val="0"/>
              <w:autoSpaceDE w:val="0"/>
              <w:autoSpaceDN w:val="0"/>
              <w:adjustRightInd w:val="0"/>
              <w:jc w:val="center"/>
              <w:textAlignment w:val="baseline"/>
              <w:rPr>
                <w:rFonts w:cs="Arial"/>
                <w:iCs/>
                <w:szCs w:val="20"/>
                <w:lang w:eastAsia="sl-SI"/>
              </w:rPr>
            </w:pPr>
            <w:r w:rsidRPr="00E46919">
              <w:rPr>
                <w:rFonts w:cs="Arial"/>
                <w:szCs w:val="20"/>
                <w:lang w:eastAsia="sl-SI"/>
              </w:rPr>
              <w:t>DA</w:t>
            </w:r>
          </w:p>
        </w:tc>
      </w:tr>
      <w:tr w:rsidR="001E5470" w:rsidRPr="00E46919" w:rsidTr="00B30CAD">
        <w:tc>
          <w:tcPr>
            <w:tcW w:w="6769" w:type="dxa"/>
            <w:vAlign w:val="center"/>
          </w:tcPr>
          <w:p w:rsidR="001E5470" w:rsidRPr="00E46919" w:rsidRDefault="00015EC5" w:rsidP="001E5470">
            <w:pPr>
              <w:widowControl w:val="0"/>
              <w:overflowPunct w:val="0"/>
              <w:autoSpaceDE w:val="0"/>
              <w:autoSpaceDN w:val="0"/>
              <w:adjustRightInd w:val="0"/>
              <w:textAlignment w:val="baseline"/>
              <w:rPr>
                <w:rFonts w:cs="Arial"/>
                <w:b/>
                <w:szCs w:val="20"/>
                <w:lang w:eastAsia="sl-SI"/>
              </w:rPr>
            </w:pPr>
            <w:r>
              <w:rPr>
                <w:rFonts w:cs="Arial"/>
                <w:b/>
                <w:szCs w:val="20"/>
                <w:lang w:eastAsia="sl-SI"/>
              </w:rPr>
              <w:t>11</w:t>
            </w:r>
            <w:r w:rsidR="001E5470" w:rsidRPr="00E46919">
              <w:rPr>
                <w:rFonts w:cs="Arial"/>
                <w:b/>
                <w:szCs w:val="20"/>
                <w:lang w:eastAsia="sl-SI"/>
              </w:rPr>
              <w:t>. Gradivo je uvrščeno v delovni program vlade:</w:t>
            </w:r>
          </w:p>
        </w:tc>
        <w:tc>
          <w:tcPr>
            <w:tcW w:w="2431" w:type="dxa"/>
            <w:vAlign w:val="center"/>
          </w:tcPr>
          <w:p w:rsidR="001E5470" w:rsidRPr="00E46919" w:rsidRDefault="00072D9B" w:rsidP="001E5470">
            <w:pPr>
              <w:widowControl w:val="0"/>
              <w:overflowPunct w:val="0"/>
              <w:autoSpaceDE w:val="0"/>
              <w:autoSpaceDN w:val="0"/>
              <w:adjustRightInd w:val="0"/>
              <w:jc w:val="center"/>
              <w:textAlignment w:val="baseline"/>
              <w:rPr>
                <w:rFonts w:cs="Arial"/>
                <w:szCs w:val="20"/>
                <w:lang w:eastAsia="sl-SI"/>
              </w:rPr>
            </w:pPr>
            <w:r w:rsidRPr="00FB79CF">
              <w:rPr>
                <w:rFonts w:cs="Arial"/>
                <w:szCs w:val="20"/>
                <w:lang w:eastAsia="sl-SI"/>
              </w:rPr>
              <w:t>NE</w:t>
            </w:r>
          </w:p>
        </w:tc>
      </w:tr>
      <w:tr w:rsidR="001E5470" w:rsidRPr="00E46919" w:rsidTr="00B30CAD">
        <w:tc>
          <w:tcPr>
            <w:tcW w:w="9200" w:type="dxa"/>
            <w:gridSpan w:val="2"/>
            <w:tcBorders>
              <w:top w:val="single" w:sz="4" w:space="0" w:color="000000"/>
              <w:left w:val="single" w:sz="4" w:space="0" w:color="000000"/>
              <w:bottom w:val="single" w:sz="4" w:space="0" w:color="000000"/>
              <w:right w:val="single" w:sz="4" w:space="0" w:color="000000"/>
            </w:tcBorders>
          </w:tcPr>
          <w:p w:rsidR="001E5470" w:rsidRPr="00E46919"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p w:rsidR="00621C51" w:rsidRPr="00E46919" w:rsidRDefault="00621C51" w:rsidP="001E5470">
            <w:pPr>
              <w:widowControl w:val="0"/>
              <w:suppressAutoHyphens/>
              <w:overflowPunct w:val="0"/>
              <w:autoSpaceDE w:val="0"/>
              <w:autoSpaceDN w:val="0"/>
              <w:adjustRightInd w:val="0"/>
              <w:ind w:left="3400"/>
              <w:textAlignment w:val="baseline"/>
              <w:outlineLvl w:val="3"/>
              <w:rPr>
                <w:rFonts w:cs="Arial"/>
                <w:szCs w:val="20"/>
                <w:lang w:eastAsia="sl-SI"/>
              </w:rPr>
            </w:pPr>
          </w:p>
          <w:p w:rsidR="001E5470" w:rsidRPr="00E46919" w:rsidRDefault="00447105" w:rsidP="00761FC1">
            <w:pPr>
              <w:widowControl w:val="0"/>
              <w:suppressAutoHyphens/>
              <w:overflowPunct w:val="0"/>
              <w:autoSpaceDE w:val="0"/>
              <w:autoSpaceDN w:val="0"/>
              <w:adjustRightInd w:val="0"/>
              <w:ind w:left="4320"/>
              <w:jc w:val="center"/>
              <w:textAlignment w:val="baseline"/>
              <w:outlineLvl w:val="3"/>
              <w:rPr>
                <w:rFonts w:cs="Arial"/>
                <w:szCs w:val="20"/>
                <w:lang w:eastAsia="sl-SI"/>
              </w:rPr>
            </w:pPr>
            <w:r>
              <w:rPr>
                <w:rFonts w:cs="Arial"/>
                <w:szCs w:val="20"/>
                <w:lang w:eastAsia="sl-SI"/>
              </w:rPr>
              <w:t>Simon ZAJC</w:t>
            </w:r>
          </w:p>
          <w:p w:rsidR="00621C51" w:rsidRPr="00E46919" w:rsidRDefault="00447105" w:rsidP="00761FC1">
            <w:pPr>
              <w:widowControl w:val="0"/>
              <w:suppressAutoHyphens/>
              <w:overflowPunct w:val="0"/>
              <w:autoSpaceDE w:val="0"/>
              <w:autoSpaceDN w:val="0"/>
              <w:adjustRightInd w:val="0"/>
              <w:ind w:left="4320"/>
              <w:jc w:val="center"/>
              <w:textAlignment w:val="baseline"/>
              <w:outlineLvl w:val="3"/>
              <w:rPr>
                <w:rFonts w:cs="Arial"/>
                <w:szCs w:val="20"/>
                <w:lang w:eastAsia="sl-SI"/>
              </w:rPr>
            </w:pPr>
            <w:r>
              <w:rPr>
                <w:rFonts w:cs="Arial"/>
                <w:szCs w:val="20"/>
                <w:lang w:eastAsia="sl-SI"/>
              </w:rPr>
              <w:t>državni sekretar</w:t>
            </w:r>
          </w:p>
          <w:p w:rsidR="001E5470" w:rsidRPr="00E46919"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0C6525" w:rsidRPr="00E46919" w:rsidRDefault="000C6525" w:rsidP="00125C05">
      <w:pPr>
        <w:pStyle w:val="Poglavje"/>
        <w:spacing w:before="0" w:after="0" w:line="240" w:lineRule="auto"/>
        <w:ind w:left="3400"/>
        <w:jc w:val="left"/>
        <w:rPr>
          <w:b w:val="0"/>
          <w:sz w:val="20"/>
          <w:szCs w:val="20"/>
        </w:rPr>
      </w:pPr>
    </w:p>
    <w:p w:rsidR="00125C05" w:rsidRPr="00E46919" w:rsidRDefault="00125C05" w:rsidP="000C6525">
      <w:pPr>
        <w:pStyle w:val="Poglavje"/>
        <w:spacing w:before="0" w:after="0" w:line="240" w:lineRule="auto"/>
        <w:ind w:left="3400"/>
        <w:rPr>
          <w:b w:val="0"/>
          <w:sz w:val="20"/>
          <w:szCs w:val="20"/>
        </w:rPr>
      </w:pPr>
    </w:p>
    <w:p w:rsidR="00125C05" w:rsidRPr="00E46919" w:rsidRDefault="00125C05" w:rsidP="000C6525">
      <w:pPr>
        <w:pStyle w:val="Poglavje"/>
        <w:spacing w:before="0" w:after="0" w:line="240" w:lineRule="auto"/>
        <w:ind w:left="3400"/>
        <w:rPr>
          <w:b w:val="0"/>
          <w:sz w:val="20"/>
          <w:szCs w:val="20"/>
        </w:rPr>
      </w:pPr>
      <w:bookmarkStart w:id="0" w:name="_GoBack"/>
      <w:bookmarkEnd w:id="0"/>
    </w:p>
    <w:p w:rsidR="00125C05" w:rsidRPr="00E46919" w:rsidRDefault="00125C05" w:rsidP="00125C05">
      <w:pPr>
        <w:pStyle w:val="Poglavje"/>
        <w:spacing w:before="0" w:after="0" w:line="240" w:lineRule="auto"/>
        <w:jc w:val="left"/>
        <w:rPr>
          <w:b w:val="0"/>
          <w:sz w:val="20"/>
          <w:szCs w:val="20"/>
        </w:rPr>
      </w:pPr>
    </w:p>
    <w:p w:rsidR="00125C05" w:rsidRPr="00E46919" w:rsidRDefault="00125C05" w:rsidP="000C6525">
      <w:pPr>
        <w:pStyle w:val="Poglavje"/>
        <w:spacing w:before="0" w:after="0" w:line="240" w:lineRule="auto"/>
        <w:ind w:left="3400"/>
        <w:rPr>
          <w:b w:val="0"/>
          <w:sz w:val="20"/>
          <w:szCs w:val="20"/>
        </w:rPr>
      </w:pPr>
    </w:p>
    <w:p w:rsidR="000C6525" w:rsidRPr="00E46919" w:rsidRDefault="000C6525" w:rsidP="006C1C49">
      <w:pPr>
        <w:spacing w:line="240" w:lineRule="atLeast"/>
        <w:ind w:left="6372" w:firstLine="708"/>
        <w:rPr>
          <w:rFonts w:cs="Arial"/>
          <w:b/>
          <w:iCs/>
          <w:szCs w:val="20"/>
        </w:rPr>
        <w:sectPr w:rsidR="000C6525" w:rsidRPr="00E46919" w:rsidSect="00990D2C">
          <w:headerReference w:type="default" r:id="rId20"/>
          <w:footerReference w:type="even" r:id="rId21"/>
          <w:footerReference w:type="default" r:id="rId22"/>
          <w:headerReference w:type="first" r:id="rId23"/>
          <w:pgSz w:w="11900" w:h="16840" w:code="9"/>
          <w:pgMar w:top="1701" w:right="1701" w:bottom="851" w:left="1701" w:header="993" w:footer="794" w:gutter="0"/>
          <w:cols w:space="708"/>
          <w:titlePg/>
          <w:docGrid w:linePitch="272"/>
        </w:sectPr>
      </w:pPr>
    </w:p>
    <w:p w:rsidR="0071454F" w:rsidRPr="00E46919" w:rsidRDefault="0071454F" w:rsidP="00A253A4">
      <w:pPr>
        <w:tabs>
          <w:tab w:val="left" w:pos="708"/>
          <w:tab w:val="right" w:pos="8498"/>
        </w:tabs>
        <w:jc w:val="right"/>
        <w:rPr>
          <w:rFonts w:cs="Arial"/>
          <w:b/>
          <w:szCs w:val="20"/>
        </w:rPr>
      </w:pPr>
      <w:r w:rsidRPr="00E46919">
        <w:rPr>
          <w:rFonts w:cs="Arial"/>
          <w:b/>
          <w:szCs w:val="20"/>
        </w:rPr>
        <w:lastRenderedPageBreak/>
        <w:t>PREDLOG</w:t>
      </w:r>
    </w:p>
    <w:p w:rsidR="0071454F" w:rsidRPr="00E46919" w:rsidRDefault="000C3EB0" w:rsidP="00A253A4">
      <w:pPr>
        <w:tabs>
          <w:tab w:val="left" w:pos="708"/>
          <w:tab w:val="right" w:pos="8498"/>
        </w:tabs>
        <w:jc w:val="right"/>
        <w:rPr>
          <w:rFonts w:cs="Arial"/>
          <w:szCs w:val="20"/>
        </w:rPr>
      </w:pPr>
      <w:r>
        <w:rPr>
          <w:rFonts w:cs="Arial"/>
          <w:b/>
          <w:szCs w:val="20"/>
        </w:rPr>
        <w:t>EVA</w:t>
      </w:r>
      <w:r w:rsidR="00AC7663">
        <w:rPr>
          <w:rFonts w:cs="Arial"/>
          <w:b/>
          <w:szCs w:val="20"/>
        </w:rPr>
        <w:t xml:space="preserve">: </w:t>
      </w:r>
      <w:r w:rsidR="0090378A" w:rsidRPr="0090378A">
        <w:rPr>
          <w:rFonts w:cs="Arial"/>
          <w:szCs w:val="20"/>
          <w:lang w:eastAsia="sl-SI"/>
        </w:rPr>
        <w:t>2019-2550-0007</w:t>
      </w:r>
    </w:p>
    <w:p w:rsidR="002B71E4" w:rsidRPr="00A97C89" w:rsidRDefault="002B71E4" w:rsidP="00A97C89">
      <w:pPr>
        <w:pStyle w:val="Neotevilenodstavek"/>
        <w:spacing w:before="0" w:after="0" w:line="240" w:lineRule="auto"/>
        <w:rPr>
          <w:iCs/>
          <w:sz w:val="20"/>
          <w:szCs w:val="20"/>
        </w:rPr>
      </w:pPr>
    </w:p>
    <w:p w:rsidR="00BD4A0E" w:rsidRPr="00A97C89" w:rsidRDefault="00BD4A0E" w:rsidP="00A97C89">
      <w:pPr>
        <w:pStyle w:val="Neotevilenodstavek"/>
        <w:spacing w:before="0" w:after="0" w:line="240" w:lineRule="auto"/>
        <w:rPr>
          <w:iCs/>
          <w:sz w:val="20"/>
          <w:szCs w:val="20"/>
        </w:rPr>
      </w:pPr>
      <w:r w:rsidRPr="00A97C89">
        <w:rPr>
          <w:iCs/>
          <w:sz w:val="20"/>
          <w:szCs w:val="20"/>
        </w:rPr>
        <w:t xml:space="preserve">Na podlagi petega odstavka 19. člena Uredbe o ravnanju z embalažo in odpadno embalažo (Uradni list RS, št. 84/06, 106/06, 110/07, 67/11, 68/11 – </w:t>
      </w:r>
      <w:proofErr w:type="spellStart"/>
      <w:r w:rsidRPr="00A97C89">
        <w:rPr>
          <w:iCs/>
          <w:sz w:val="20"/>
          <w:szCs w:val="20"/>
        </w:rPr>
        <w:t>popr</w:t>
      </w:r>
      <w:proofErr w:type="spellEnd"/>
      <w:r w:rsidRPr="00A97C89">
        <w:rPr>
          <w:iCs/>
          <w:sz w:val="20"/>
          <w:szCs w:val="20"/>
        </w:rPr>
        <w:t xml:space="preserve">., 18/14, 57/15, 103/15, 2/16 – </w:t>
      </w:r>
      <w:proofErr w:type="spellStart"/>
      <w:r w:rsidRPr="00A97C89">
        <w:rPr>
          <w:iCs/>
          <w:sz w:val="20"/>
          <w:szCs w:val="20"/>
        </w:rPr>
        <w:t>popr</w:t>
      </w:r>
      <w:proofErr w:type="spellEnd"/>
      <w:r w:rsidRPr="00A97C89">
        <w:rPr>
          <w:iCs/>
          <w:sz w:val="20"/>
          <w:szCs w:val="20"/>
        </w:rPr>
        <w:t>., 35/17, 60/18</w:t>
      </w:r>
      <w:r w:rsidR="00FD4947" w:rsidRPr="00A97C89">
        <w:rPr>
          <w:iCs/>
          <w:sz w:val="20"/>
          <w:szCs w:val="20"/>
        </w:rPr>
        <w:t xml:space="preserve">, </w:t>
      </w:r>
      <w:r w:rsidRPr="00A97C89">
        <w:rPr>
          <w:iCs/>
          <w:sz w:val="20"/>
          <w:szCs w:val="20"/>
        </w:rPr>
        <w:t>68/18</w:t>
      </w:r>
      <w:r w:rsidR="00FD4947" w:rsidRPr="00A97C89">
        <w:rPr>
          <w:iCs/>
          <w:sz w:val="20"/>
          <w:szCs w:val="20"/>
        </w:rPr>
        <w:t xml:space="preserve"> in </w:t>
      </w:r>
      <w:hyperlink r:id="rId24" w:tgtFrame="_blank" w:tooltip="Zakon o interventnih ukrepih pri ravnanju s komunalno odpadno embalažo in z odpadnimi nagrobnimi svečami" w:history="1">
        <w:r w:rsidR="00FD4947" w:rsidRPr="001F7566">
          <w:rPr>
            <w:iCs/>
            <w:sz w:val="20"/>
            <w:szCs w:val="20"/>
          </w:rPr>
          <w:t>84/18</w:t>
        </w:r>
      </w:hyperlink>
      <w:r w:rsidR="00FD4947" w:rsidRPr="001F7566">
        <w:rPr>
          <w:iCs/>
          <w:sz w:val="20"/>
          <w:szCs w:val="20"/>
        </w:rPr>
        <w:t xml:space="preserve"> – ZIURKOE</w:t>
      </w:r>
      <w:r w:rsidRPr="00A97C89">
        <w:rPr>
          <w:iCs/>
          <w:sz w:val="20"/>
          <w:szCs w:val="20"/>
        </w:rPr>
        <w:t xml:space="preserve">) </w:t>
      </w:r>
      <w:r w:rsidR="00DE50F2">
        <w:rPr>
          <w:iCs/>
          <w:sz w:val="20"/>
          <w:szCs w:val="20"/>
        </w:rPr>
        <w:t xml:space="preserve">je </w:t>
      </w:r>
      <w:r w:rsidRPr="00A97C89">
        <w:rPr>
          <w:iCs/>
          <w:sz w:val="20"/>
          <w:szCs w:val="20"/>
        </w:rPr>
        <w:t>Vlada Republike Slovenije</w:t>
      </w:r>
      <w:r w:rsidR="00DE50F2">
        <w:rPr>
          <w:iCs/>
          <w:sz w:val="20"/>
          <w:szCs w:val="20"/>
        </w:rPr>
        <w:t xml:space="preserve"> sprejela</w:t>
      </w:r>
    </w:p>
    <w:p w:rsidR="00BD4A0E" w:rsidRPr="00A97C89" w:rsidRDefault="00BD4A0E" w:rsidP="00A97C89">
      <w:pPr>
        <w:pStyle w:val="Neotevilenodstavek"/>
        <w:spacing w:before="0" w:after="0" w:line="240" w:lineRule="auto"/>
        <w:rPr>
          <w:iCs/>
          <w:sz w:val="20"/>
          <w:szCs w:val="20"/>
        </w:rPr>
      </w:pPr>
    </w:p>
    <w:p w:rsidR="00BD4A0E" w:rsidRPr="00A97C89" w:rsidRDefault="00BD4A0E" w:rsidP="00A97C89">
      <w:pPr>
        <w:pStyle w:val="Neotevilenodstavek"/>
        <w:spacing w:before="0" w:after="0" w:line="240" w:lineRule="auto"/>
        <w:rPr>
          <w:iCs/>
          <w:sz w:val="20"/>
          <w:szCs w:val="20"/>
        </w:rPr>
      </w:pPr>
    </w:p>
    <w:p w:rsidR="00BD4A0E" w:rsidRPr="00A97C89" w:rsidRDefault="00BD4A0E" w:rsidP="00A97C89">
      <w:pPr>
        <w:pStyle w:val="Neotevilenodstavek"/>
        <w:spacing w:before="0" w:after="0" w:line="240" w:lineRule="auto"/>
        <w:jc w:val="center"/>
        <w:rPr>
          <w:b/>
          <w:iCs/>
          <w:sz w:val="20"/>
          <w:szCs w:val="20"/>
        </w:rPr>
      </w:pPr>
      <w:r w:rsidRPr="00A97C89">
        <w:rPr>
          <w:b/>
          <w:iCs/>
          <w:sz w:val="20"/>
          <w:szCs w:val="20"/>
        </w:rPr>
        <w:t>SKLEP</w:t>
      </w:r>
    </w:p>
    <w:p w:rsidR="00BD4A0E" w:rsidRPr="00A97C89" w:rsidRDefault="00BD4A0E" w:rsidP="00A97C89">
      <w:pPr>
        <w:pStyle w:val="Neotevilenodstavek"/>
        <w:spacing w:before="0" w:after="0" w:line="240" w:lineRule="auto"/>
        <w:jc w:val="center"/>
        <w:rPr>
          <w:b/>
          <w:iCs/>
          <w:sz w:val="20"/>
          <w:szCs w:val="20"/>
        </w:rPr>
      </w:pPr>
    </w:p>
    <w:p w:rsidR="00BD4A0E" w:rsidRPr="00A97C89" w:rsidRDefault="00BD4A0E" w:rsidP="00A97C89">
      <w:pPr>
        <w:pStyle w:val="Neotevilenodstavek"/>
        <w:spacing w:before="0" w:after="0" w:line="240" w:lineRule="auto"/>
        <w:jc w:val="center"/>
        <w:rPr>
          <w:b/>
          <w:iCs/>
          <w:sz w:val="20"/>
          <w:szCs w:val="20"/>
        </w:rPr>
      </w:pPr>
      <w:r w:rsidRPr="00A97C89">
        <w:rPr>
          <w:b/>
          <w:iCs/>
          <w:sz w:val="20"/>
          <w:szCs w:val="20"/>
        </w:rPr>
        <w:t>o spremembah Sklepa o določitvi deležev prevzemanja odpadne embalaže pri izvajalcih javne službe za leto 2018</w:t>
      </w:r>
    </w:p>
    <w:p w:rsidR="00BD4A0E" w:rsidRPr="00A97C89" w:rsidRDefault="00BD4A0E" w:rsidP="00A97C89">
      <w:pPr>
        <w:pStyle w:val="Neotevilenodstavek"/>
        <w:spacing w:before="0" w:after="0" w:line="240" w:lineRule="auto"/>
        <w:jc w:val="center"/>
        <w:rPr>
          <w:b/>
          <w:iCs/>
          <w:sz w:val="20"/>
          <w:szCs w:val="20"/>
        </w:rPr>
      </w:pPr>
    </w:p>
    <w:p w:rsidR="00BD4A0E" w:rsidRPr="00A97C89" w:rsidRDefault="00BD4A0E" w:rsidP="00A97C89">
      <w:pPr>
        <w:pStyle w:val="Neotevilenodstavek"/>
        <w:spacing w:before="0" w:after="0" w:line="240" w:lineRule="auto"/>
        <w:jc w:val="center"/>
        <w:rPr>
          <w:b/>
          <w:iCs/>
          <w:sz w:val="20"/>
          <w:szCs w:val="20"/>
        </w:rPr>
      </w:pPr>
      <w:r w:rsidRPr="00A97C89">
        <w:rPr>
          <w:b/>
          <w:iCs/>
          <w:sz w:val="20"/>
          <w:szCs w:val="20"/>
        </w:rPr>
        <w:t>I</w:t>
      </w:r>
    </w:p>
    <w:p w:rsidR="00BD4A0E" w:rsidRDefault="00BD4A0E" w:rsidP="00A97C89">
      <w:pPr>
        <w:pStyle w:val="Neotevilenodstavek"/>
        <w:spacing w:before="0" w:after="0" w:line="240" w:lineRule="auto"/>
        <w:rPr>
          <w:iCs/>
          <w:sz w:val="20"/>
          <w:szCs w:val="20"/>
        </w:rPr>
      </w:pPr>
      <w:r w:rsidRPr="00A304D3">
        <w:rPr>
          <w:iCs/>
          <w:sz w:val="20"/>
          <w:szCs w:val="20"/>
        </w:rPr>
        <w:t xml:space="preserve">V Sklepu o določitvi deležev prevzemanja odpadne embalaže pri izvajalcih javne službe za leto </w:t>
      </w:r>
      <w:r w:rsidRPr="002B71E4">
        <w:rPr>
          <w:iCs/>
          <w:sz w:val="20"/>
          <w:szCs w:val="20"/>
        </w:rPr>
        <w:t>2018 (Uradni list RS št. 44/18</w:t>
      </w:r>
      <w:r w:rsidR="00FD4947">
        <w:rPr>
          <w:iCs/>
          <w:sz w:val="20"/>
          <w:szCs w:val="20"/>
        </w:rPr>
        <w:t xml:space="preserve"> in 82/18</w:t>
      </w:r>
      <w:r w:rsidRPr="002B71E4">
        <w:rPr>
          <w:iCs/>
          <w:sz w:val="20"/>
          <w:szCs w:val="20"/>
        </w:rPr>
        <w:t>) se pod</w:t>
      </w:r>
      <w:r w:rsidRPr="00A304D3">
        <w:rPr>
          <w:iCs/>
          <w:sz w:val="20"/>
          <w:szCs w:val="20"/>
        </w:rPr>
        <w:t xml:space="preserve"> I </w:t>
      </w:r>
      <w:r w:rsidR="00DE50F2">
        <w:rPr>
          <w:iCs/>
          <w:sz w:val="20"/>
          <w:szCs w:val="20"/>
        </w:rPr>
        <w:t>2</w:t>
      </w:r>
      <w:r w:rsidRPr="00A304D3">
        <w:rPr>
          <w:iCs/>
          <w:sz w:val="20"/>
          <w:szCs w:val="20"/>
        </w:rPr>
        <w:t>. do 4. točka spremenijo tako, da se glasijo:</w:t>
      </w:r>
    </w:p>
    <w:p w:rsidR="00BD4A0E" w:rsidRPr="00AC074F" w:rsidRDefault="00BD4A0E" w:rsidP="00B77E0B">
      <w:pPr>
        <w:pStyle w:val="Neotevilenodstavek"/>
        <w:spacing w:line="260" w:lineRule="exact"/>
        <w:rPr>
          <w:iCs/>
          <w:sz w:val="20"/>
          <w:szCs w:val="20"/>
        </w:rPr>
      </w:pPr>
    </w:p>
    <w:p w:rsidR="00BD4A0E" w:rsidRPr="00AC074F" w:rsidRDefault="00DE50F2" w:rsidP="00BD4A0E">
      <w:pPr>
        <w:pStyle w:val="Neotevilenodstavek"/>
        <w:spacing w:before="120" w:line="240" w:lineRule="auto"/>
        <w:ind w:left="142"/>
        <w:rPr>
          <w:iCs/>
          <w:sz w:val="20"/>
          <w:szCs w:val="20"/>
        </w:rPr>
      </w:pPr>
      <w:r>
        <w:rPr>
          <w:iCs/>
          <w:sz w:val="20"/>
          <w:szCs w:val="20"/>
        </w:rPr>
        <w:t>»</w:t>
      </w:r>
      <w:r w:rsidR="00BD4A0E">
        <w:rPr>
          <w:iCs/>
          <w:sz w:val="20"/>
          <w:szCs w:val="20"/>
        </w:rPr>
        <w:t xml:space="preserve">2. </w:t>
      </w:r>
      <w:r w:rsidR="00BD4A0E" w:rsidRPr="00AC074F">
        <w:rPr>
          <w:iCs/>
          <w:sz w:val="20"/>
          <w:szCs w:val="20"/>
        </w:rPr>
        <w:t>za odpadno embalažo iz embalažnega materiala – STEKLO:</w:t>
      </w:r>
    </w:p>
    <w:p w:rsidR="00BD4A0E" w:rsidRPr="00AC074F" w:rsidRDefault="00BD4A0E" w:rsidP="00BD4A0E">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Dinos, d. d., </w:t>
      </w:r>
      <w:r w:rsidRPr="00A304D3">
        <w:rPr>
          <w:iCs/>
          <w:sz w:val="20"/>
          <w:szCs w:val="20"/>
        </w:rPr>
        <w:tab/>
      </w:r>
      <w:r w:rsidR="00FD4947">
        <w:rPr>
          <w:iCs/>
          <w:sz w:val="20"/>
          <w:szCs w:val="20"/>
        </w:rPr>
        <w:t>25,93</w:t>
      </w:r>
      <w:r w:rsidRPr="00AC074F">
        <w:rPr>
          <w:iCs/>
          <w:sz w:val="20"/>
          <w:szCs w:val="20"/>
        </w:rPr>
        <w:t> %,</w:t>
      </w:r>
    </w:p>
    <w:p w:rsidR="00BD4A0E" w:rsidRPr="00AC074F" w:rsidRDefault="00BD4A0E" w:rsidP="00BD4A0E">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w:t>
      </w:r>
      <w:proofErr w:type="spellStart"/>
      <w:r w:rsidRPr="00AC074F">
        <w:rPr>
          <w:iCs/>
          <w:sz w:val="20"/>
          <w:szCs w:val="20"/>
        </w:rPr>
        <w:t>Embakom</w:t>
      </w:r>
      <w:proofErr w:type="spellEnd"/>
      <w:r w:rsidRPr="00AC074F">
        <w:rPr>
          <w:iCs/>
          <w:sz w:val="20"/>
          <w:szCs w:val="20"/>
        </w:rPr>
        <w:t xml:space="preserve">, d. o. o., </w:t>
      </w:r>
      <w:r w:rsidRPr="00A304D3">
        <w:rPr>
          <w:iCs/>
          <w:sz w:val="20"/>
          <w:szCs w:val="20"/>
        </w:rPr>
        <w:tab/>
      </w:r>
      <w:r w:rsidR="00FD4947">
        <w:rPr>
          <w:iCs/>
          <w:sz w:val="20"/>
          <w:szCs w:val="20"/>
        </w:rPr>
        <w:t xml:space="preserve">  3,97</w:t>
      </w:r>
      <w:r w:rsidRPr="00AC074F">
        <w:rPr>
          <w:iCs/>
          <w:sz w:val="20"/>
          <w:szCs w:val="20"/>
        </w:rPr>
        <w:t> %,</w:t>
      </w:r>
    </w:p>
    <w:p w:rsidR="00BD4A0E" w:rsidRPr="00AC074F" w:rsidRDefault="00BD4A0E" w:rsidP="00BD4A0E">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Gorenje Surovina, d. o. o., </w:t>
      </w:r>
      <w:r w:rsidRPr="00A304D3">
        <w:rPr>
          <w:iCs/>
          <w:sz w:val="20"/>
          <w:szCs w:val="20"/>
        </w:rPr>
        <w:tab/>
      </w:r>
      <w:r w:rsidR="00FD4947">
        <w:rPr>
          <w:iCs/>
          <w:sz w:val="20"/>
          <w:szCs w:val="20"/>
        </w:rPr>
        <w:t xml:space="preserve">  8,58</w:t>
      </w:r>
      <w:r w:rsidRPr="00AC074F">
        <w:rPr>
          <w:iCs/>
          <w:sz w:val="20"/>
          <w:szCs w:val="20"/>
        </w:rPr>
        <w:t> %,</w:t>
      </w:r>
    </w:p>
    <w:p w:rsidR="00BD4A0E" w:rsidRPr="00AC074F" w:rsidRDefault="00BD4A0E" w:rsidP="00BD4A0E">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w:t>
      </w:r>
      <w:proofErr w:type="spellStart"/>
      <w:r w:rsidRPr="00AC074F">
        <w:rPr>
          <w:iCs/>
          <w:sz w:val="20"/>
          <w:szCs w:val="20"/>
        </w:rPr>
        <w:t>Interseroh</w:t>
      </w:r>
      <w:proofErr w:type="spellEnd"/>
      <w:r w:rsidRPr="00AC074F">
        <w:rPr>
          <w:iCs/>
          <w:sz w:val="20"/>
          <w:szCs w:val="20"/>
        </w:rPr>
        <w:t xml:space="preserve">, d. o. o., </w:t>
      </w:r>
      <w:r w:rsidRPr="00A304D3">
        <w:rPr>
          <w:iCs/>
          <w:sz w:val="20"/>
          <w:szCs w:val="20"/>
        </w:rPr>
        <w:tab/>
      </w:r>
      <w:r w:rsidR="00FD4947">
        <w:rPr>
          <w:iCs/>
          <w:sz w:val="20"/>
          <w:szCs w:val="20"/>
        </w:rPr>
        <w:t xml:space="preserve">  5,35</w:t>
      </w:r>
      <w:r w:rsidRPr="00AC074F">
        <w:rPr>
          <w:iCs/>
          <w:sz w:val="20"/>
          <w:szCs w:val="20"/>
        </w:rPr>
        <w:t> %,</w:t>
      </w:r>
    </w:p>
    <w:p w:rsidR="00BD4A0E" w:rsidRPr="00AC074F" w:rsidRDefault="00BD4A0E" w:rsidP="00BD4A0E">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w:t>
      </w:r>
      <w:proofErr w:type="spellStart"/>
      <w:r w:rsidRPr="00AC074F">
        <w:rPr>
          <w:iCs/>
          <w:sz w:val="20"/>
          <w:szCs w:val="20"/>
        </w:rPr>
        <w:t>Recikel</w:t>
      </w:r>
      <w:proofErr w:type="spellEnd"/>
      <w:r w:rsidRPr="00AC074F">
        <w:rPr>
          <w:iCs/>
          <w:sz w:val="20"/>
          <w:szCs w:val="20"/>
        </w:rPr>
        <w:t xml:space="preserve">, d. o. o., </w:t>
      </w:r>
      <w:r w:rsidRPr="00A304D3">
        <w:rPr>
          <w:iCs/>
          <w:sz w:val="20"/>
          <w:szCs w:val="20"/>
        </w:rPr>
        <w:tab/>
      </w:r>
      <w:r w:rsidR="00FD4947">
        <w:rPr>
          <w:iCs/>
          <w:sz w:val="20"/>
          <w:szCs w:val="20"/>
        </w:rPr>
        <w:t>43,40</w:t>
      </w:r>
      <w:r w:rsidRPr="00AC074F">
        <w:rPr>
          <w:iCs/>
          <w:sz w:val="20"/>
          <w:szCs w:val="20"/>
        </w:rPr>
        <w:t> % in</w:t>
      </w:r>
    </w:p>
    <w:p w:rsidR="00BD4A0E" w:rsidRPr="00AC074F" w:rsidRDefault="00BD4A0E" w:rsidP="00BD4A0E">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w:t>
      </w:r>
      <w:proofErr w:type="spellStart"/>
      <w:r w:rsidRPr="00AC074F">
        <w:rPr>
          <w:iCs/>
          <w:sz w:val="20"/>
          <w:szCs w:val="20"/>
        </w:rPr>
        <w:t>Slopak</w:t>
      </w:r>
      <w:proofErr w:type="spellEnd"/>
      <w:r w:rsidRPr="00AC074F">
        <w:rPr>
          <w:iCs/>
          <w:sz w:val="20"/>
          <w:szCs w:val="20"/>
        </w:rPr>
        <w:t xml:space="preserve">, d. o. o., </w:t>
      </w:r>
      <w:r w:rsidRPr="00A304D3">
        <w:rPr>
          <w:iCs/>
          <w:sz w:val="20"/>
          <w:szCs w:val="20"/>
        </w:rPr>
        <w:tab/>
      </w:r>
      <w:r w:rsidR="00FD4947">
        <w:rPr>
          <w:iCs/>
          <w:sz w:val="20"/>
          <w:szCs w:val="20"/>
        </w:rPr>
        <w:t>12,77</w:t>
      </w:r>
      <w:r w:rsidRPr="00AC074F">
        <w:rPr>
          <w:iCs/>
          <w:sz w:val="20"/>
          <w:szCs w:val="20"/>
        </w:rPr>
        <w:t> %;</w:t>
      </w:r>
    </w:p>
    <w:p w:rsidR="00BD4A0E" w:rsidRPr="00AC074F" w:rsidRDefault="00BD4A0E" w:rsidP="00BD4A0E">
      <w:pPr>
        <w:pStyle w:val="Neotevilenodstavek"/>
        <w:spacing w:before="120" w:line="240" w:lineRule="auto"/>
        <w:ind w:left="142"/>
        <w:rPr>
          <w:iCs/>
          <w:sz w:val="20"/>
          <w:szCs w:val="20"/>
        </w:rPr>
      </w:pPr>
      <w:r>
        <w:rPr>
          <w:iCs/>
          <w:sz w:val="20"/>
          <w:szCs w:val="20"/>
        </w:rPr>
        <w:t xml:space="preserve">3. </w:t>
      </w:r>
      <w:r w:rsidRPr="00AC074F">
        <w:rPr>
          <w:iCs/>
          <w:sz w:val="20"/>
          <w:szCs w:val="20"/>
        </w:rPr>
        <w:t>za odpadno embalažo iz embalažnega materiala – PLASTIKA IN KOVINE (mešana embalaža):</w:t>
      </w:r>
    </w:p>
    <w:p w:rsidR="00BD4A0E" w:rsidRPr="00AC074F" w:rsidRDefault="00BD4A0E" w:rsidP="00BD4A0E">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Dinos, d. d., </w:t>
      </w:r>
      <w:r w:rsidRPr="00A304D3">
        <w:rPr>
          <w:iCs/>
          <w:sz w:val="20"/>
          <w:szCs w:val="20"/>
        </w:rPr>
        <w:tab/>
      </w:r>
      <w:r>
        <w:rPr>
          <w:iCs/>
          <w:sz w:val="20"/>
          <w:szCs w:val="20"/>
        </w:rPr>
        <w:t>22</w:t>
      </w:r>
      <w:r w:rsidRPr="00A304D3">
        <w:rPr>
          <w:iCs/>
          <w:sz w:val="20"/>
          <w:szCs w:val="20"/>
        </w:rPr>
        <w:t>,</w:t>
      </w:r>
      <w:r w:rsidR="00FD4947">
        <w:rPr>
          <w:iCs/>
          <w:sz w:val="20"/>
          <w:szCs w:val="20"/>
        </w:rPr>
        <w:t>6</w:t>
      </w:r>
      <w:r w:rsidR="0090378A">
        <w:rPr>
          <w:iCs/>
          <w:sz w:val="20"/>
          <w:szCs w:val="20"/>
        </w:rPr>
        <w:t>0</w:t>
      </w:r>
      <w:r w:rsidRPr="00AC074F">
        <w:rPr>
          <w:iCs/>
          <w:sz w:val="20"/>
          <w:szCs w:val="20"/>
        </w:rPr>
        <w:t> %,</w:t>
      </w:r>
    </w:p>
    <w:p w:rsidR="00BD4A0E" w:rsidRPr="00AC074F" w:rsidRDefault="00BD4A0E" w:rsidP="00BD4A0E">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w:t>
      </w:r>
      <w:proofErr w:type="spellStart"/>
      <w:r w:rsidRPr="00AC074F">
        <w:rPr>
          <w:iCs/>
          <w:sz w:val="20"/>
          <w:szCs w:val="20"/>
        </w:rPr>
        <w:t>Embakom</w:t>
      </w:r>
      <w:proofErr w:type="spellEnd"/>
      <w:r w:rsidRPr="00AC074F">
        <w:rPr>
          <w:iCs/>
          <w:sz w:val="20"/>
          <w:szCs w:val="20"/>
        </w:rPr>
        <w:t xml:space="preserve">, d. o. o., </w:t>
      </w:r>
      <w:r w:rsidRPr="00A304D3">
        <w:rPr>
          <w:iCs/>
          <w:sz w:val="20"/>
          <w:szCs w:val="20"/>
        </w:rPr>
        <w:tab/>
      </w:r>
      <w:r w:rsidR="00FD4947">
        <w:rPr>
          <w:iCs/>
          <w:sz w:val="20"/>
          <w:szCs w:val="20"/>
        </w:rPr>
        <w:t xml:space="preserve">  </w:t>
      </w:r>
      <w:r>
        <w:rPr>
          <w:iCs/>
          <w:sz w:val="20"/>
          <w:szCs w:val="20"/>
        </w:rPr>
        <w:t>4,</w:t>
      </w:r>
      <w:r w:rsidR="00FD4947">
        <w:rPr>
          <w:iCs/>
          <w:sz w:val="20"/>
          <w:szCs w:val="20"/>
        </w:rPr>
        <w:t>16</w:t>
      </w:r>
      <w:r w:rsidRPr="00AC074F">
        <w:rPr>
          <w:iCs/>
          <w:sz w:val="20"/>
          <w:szCs w:val="20"/>
        </w:rPr>
        <w:t> %,</w:t>
      </w:r>
    </w:p>
    <w:p w:rsidR="00BD4A0E" w:rsidRPr="00AC074F" w:rsidRDefault="00BD4A0E" w:rsidP="00BD4A0E">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Gorenje Surovina, d. o. o., </w:t>
      </w:r>
      <w:r w:rsidRPr="00A304D3">
        <w:rPr>
          <w:iCs/>
          <w:sz w:val="20"/>
          <w:szCs w:val="20"/>
        </w:rPr>
        <w:tab/>
      </w:r>
      <w:r>
        <w:rPr>
          <w:iCs/>
          <w:sz w:val="20"/>
          <w:szCs w:val="20"/>
        </w:rPr>
        <w:t>20,</w:t>
      </w:r>
      <w:r w:rsidR="00FD4947">
        <w:rPr>
          <w:iCs/>
          <w:sz w:val="20"/>
          <w:szCs w:val="20"/>
        </w:rPr>
        <w:t>4</w:t>
      </w:r>
      <w:r w:rsidR="0090378A">
        <w:rPr>
          <w:iCs/>
          <w:sz w:val="20"/>
          <w:szCs w:val="20"/>
        </w:rPr>
        <w:t>2</w:t>
      </w:r>
      <w:r w:rsidRPr="00AC074F">
        <w:rPr>
          <w:iCs/>
          <w:sz w:val="20"/>
          <w:szCs w:val="20"/>
        </w:rPr>
        <w:t> %,</w:t>
      </w:r>
    </w:p>
    <w:p w:rsidR="00BD4A0E" w:rsidRPr="00AC074F" w:rsidRDefault="00BD4A0E" w:rsidP="00BD4A0E">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w:t>
      </w:r>
      <w:proofErr w:type="spellStart"/>
      <w:r w:rsidRPr="00AC074F">
        <w:rPr>
          <w:iCs/>
          <w:sz w:val="20"/>
          <w:szCs w:val="20"/>
        </w:rPr>
        <w:t>Interseroh</w:t>
      </w:r>
      <w:proofErr w:type="spellEnd"/>
      <w:r w:rsidRPr="00AC074F">
        <w:rPr>
          <w:iCs/>
          <w:sz w:val="20"/>
          <w:szCs w:val="20"/>
        </w:rPr>
        <w:t xml:space="preserve">, d. o. o., </w:t>
      </w:r>
      <w:r w:rsidRPr="00A304D3">
        <w:rPr>
          <w:iCs/>
          <w:sz w:val="20"/>
          <w:szCs w:val="20"/>
        </w:rPr>
        <w:tab/>
      </w:r>
      <w:r>
        <w:rPr>
          <w:iCs/>
          <w:sz w:val="20"/>
          <w:szCs w:val="20"/>
        </w:rPr>
        <w:t>11,</w:t>
      </w:r>
      <w:r w:rsidR="0018250F">
        <w:rPr>
          <w:iCs/>
          <w:sz w:val="20"/>
          <w:szCs w:val="20"/>
        </w:rPr>
        <w:t>4</w:t>
      </w:r>
      <w:r w:rsidR="0090378A">
        <w:rPr>
          <w:iCs/>
          <w:sz w:val="20"/>
          <w:szCs w:val="20"/>
        </w:rPr>
        <w:t>9</w:t>
      </w:r>
      <w:r w:rsidRPr="00AC074F">
        <w:rPr>
          <w:iCs/>
          <w:sz w:val="20"/>
          <w:szCs w:val="20"/>
        </w:rPr>
        <w:t> %,</w:t>
      </w:r>
    </w:p>
    <w:p w:rsidR="00BD4A0E" w:rsidRPr="00AC074F" w:rsidRDefault="00BD4A0E" w:rsidP="00BD4A0E">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w:t>
      </w:r>
      <w:proofErr w:type="spellStart"/>
      <w:r w:rsidRPr="00AC074F">
        <w:rPr>
          <w:iCs/>
          <w:sz w:val="20"/>
          <w:szCs w:val="20"/>
        </w:rPr>
        <w:t>Recikel</w:t>
      </w:r>
      <w:proofErr w:type="spellEnd"/>
      <w:r w:rsidRPr="00AC074F">
        <w:rPr>
          <w:iCs/>
          <w:sz w:val="20"/>
          <w:szCs w:val="20"/>
        </w:rPr>
        <w:t xml:space="preserve">, d. o. o., </w:t>
      </w:r>
      <w:r w:rsidRPr="00A304D3">
        <w:rPr>
          <w:iCs/>
          <w:sz w:val="20"/>
          <w:szCs w:val="20"/>
        </w:rPr>
        <w:tab/>
      </w:r>
      <w:r>
        <w:rPr>
          <w:iCs/>
          <w:sz w:val="20"/>
          <w:szCs w:val="20"/>
        </w:rPr>
        <w:t>25,</w:t>
      </w:r>
      <w:r w:rsidR="0018250F">
        <w:rPr>
          <w:iCs/>
          <w:sz w:val="20"/>
          <w:szCs w:val="20"/>
        </w:rPr>
        <w:t>96</w:t>
      </w:r>
      <w:r w:rsidRPr="00AC074F">
        <w:rPr>
          <w:iCs/>
          <w:sz w:val="20"/>
          <w:szCs w:val="20"/>
        </w:rPr>
        <w:t> % in</w:t>
      </w:r>
    </w:p>
    <w:p w:rsidR="00BD4A0E" w:rsidRPr="00AC074F" w:rsidRDefault="00BD4A0E" w:rsidP="00BD4A0E">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w:t>
      </w:r>
      <w:proofErr w:type="spellStart"/>
      <w:r w:rsidRPr="00AC074F">
        <w:rPr>
          <w:iCs/>
          <w:sz w:val="20"/>
          <w:szCs w:val="20"/>
        </w:rPr>
        <w:t>Slopak</w:t>
      </w:r>
      <w:proofErr w:type="spellEnd"/>
      <w:r w:rsidRPr="00AC074F">
        <w:rPr>
          <w:iCs/>
          <w:sz w:val="20"/>
          <w:szCs w:val="20"/>
        </w:rPr>
        <w:t xml:space="preserve">, d. o. o., </w:t>
      </w:r>
      <w:r w:rsidRPr="00A304D3">
        <w:rPr>
          <w:iCs/>
          <w:sz w:val="20"/>
          <w:szCs w:val="20"/>
        </w:rPr>
        <w:tab/>
      </w:r>
      <w:r>
        <w:rPr>
          <w:iCs/>
          <w:sz w:val="20"/>
          <w:szCs w:val="20"/>
        </w:rPr>
        <w:t>1</w:t>
      </w:r>
      <w:r w:rsidR="0018250F">
        <w:rPr>
          <w:iCs/>
          <w:sz w:val="20"/>
          <w:szCs w:val="20"/>
        </w:rPr>
        <w:t>5</w:t>
      </w:r>
      <w:r>
        <w:rPr>
          <w:iCs/>
          <w:sz w:val="20"/>
          <w:szCs w:val="20"/>
        </w:rPr>
        <w:t>,</w:t>
      </w:r>
      <w:r w:rsidR="0018250F">
        <w:rPr>
          <w:iCs/>
          <w:sz w:val="20"/>
          <w:szCs w:val="20"/>
        </w:rPr>
        <w:t>3</w:t>
      </w:r>
      <w:r w:rsidR="0090378A">
        <w:rPr>
          <w:iCs/>
          <w:sz w:val="20"/>
          <w:szCs w:val="20"/>
        </w:rPr>
        <w:t>7</w:t>
      </w:r>
      <w:r w:rsidRPr="00AC074F">
        <w:rPr>
          <w:iCs/>
          <w:sz w:val="20"/>
          <w:szCs w:val="20"/>
        </w:rPr>
        <w:t> %;</w:t>
      </w:r>
    </w:p>
    <w:p w:rsidR="00BD4A0E" w:rsidRPr="00AC074F" w:rsidRDefault="00BD4A0E" w:rsidP="00BD4A0E">
      <w:pPr>
        <w:pStyle w:val="Neotevilenodstavek"/>
        <w:spacing w:before="120" w:line="240" w:lineRule="auto"/>
        <w:ind w:left="142"/>
        <w:rPr>
          <w:iCs/>
          <w:sz w:val="20"/>
          <w:szCs w:val="20"/>
        </w:rPr>
      </w:pPr>
      <w:r>
        <w:rPr>
          <w:iCs/>
          <w:sz w:val="20"/>
          <w:szCs w:val="20"/>
        </w:rPr>
        <w:t xml:space="preserve">4. </w:t>
      </w:r>
      <w:r w:rsidRPr="00AC074F">
        <w:rPr>
          <w:iCs/>
          <w:sz w:val="20"/>
          <w:szCs w:val="20"/>
        </w:rPr>
        <w:t>za odpadno embalažo iz embalažnega materiala – LES:</w:t>
      </w:r>
    </w:p>
    <w:p w:rsidR="00BD4A0E" w:rsidRPr="00AC074F" w:rsidRDefault="00BD4A0E" w:rsidP="00BD4A0E">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Dinos, d. d., </w:t>
      </w:r>
      <w:r w:rsidRPr="00A304D3">
        <w:rPr>
          <w:iCs/>
          <w:sz w:val="20"/>
          <w:szCs w:val="20"/>
        </w:rPr>
        <w:tab/>
      </w:r>
      <w:r>
        <w:rPr>
          <w:iCs/>
          <w:sz w:val="20"/>
          <w:szCs w:val="20"/>
        </w:rPr>
        <w:t>3</w:t>
      </w:r>
      <w:r w:rsidR="0018250F">
        <w:rPr>
          <w:iCs/>
          <w:sz w:val="20"/>
          <w:szCs w:val="20"/>
        </w:rPr>
        <w:t>1</w:t>
      </w:r>
      <w:r>
        <w:rPr>
          <w:iCs/>
          <w:sz w:val="20"/>
          <w:szCs w:val="20"/>
        </w:rPr>
        <w:t>,</w:t>
      </w:r>
      <w:r w:rsidR="0018250F">
        <w:rPr>
          <w:iCs/>
          <w:sz w:val="20"/>
          <w:szCs w:val="20"/>
        </w:rPr>
        <w:t>02</w:t>
      </w:r>
      <w:r w:rsidRPr="00AC074F">
        <w:rPr>
          <w:iCs/>
          <w:sz w:val="20"/>
          <w:szCs w:val="20"/>
        </w:rPr>
        <w:t> %,</w:t>
      </w:r>
    </w:p>
    <w:p w:rsidR="00BD4A0E" w:rsidRPr="00AC074F" w:rsidRDefault="00BD4A0E" w:rsidP="00BD4A0E">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w:t>
      </w:r>
      <w:proofErr w:type="spellStart"/>
      <w:r w:rsidRPr="00AC074F">
        <w:rPr>
          <w:iCs/>
          <w:sz w:val="20"/>
          <w:szCs w:val="20"/>
        </w:rPr>
        <w:t>Embakom</w:t>
      </w:r>
      <w:proofErr w:type="spellEnd"/>
      <w:r w:rsidRPr="00AC074F">
        <w:rPr>
          <w:iCs/>
          <w:sz w:val="20"/>
          <w:szCs w:val="20"/>
        </w:rPr>
        <w:t xml:space="preserve">, d. o. o., </w:t>
      </w:r>
      <w:r w:rsidRPr="00A304D3">
        <w:rPr>
          <w:iCs/>
          <w:sz w:val="20"/>
          <w:szCs w:val="20"/>
        </w:rPr>
        <w:tab/>
      </w:r>
      <w:r w:rsidR="0018250F">
        <w:rPr>
          <w:iCs/>
          <w:sz w:val="20"/>
          <w:szCs w:val="20"/>
        </w:rPr>
        <w:t xml:space="preserve">  </w:t>
      </w:r>
      <w:r>
        <w:rPr>
          <w:iCs/>
          <w:sz w:val="20"/>
          <w:szCs w:val="20"/>
        </w:rPr>
        <w:t>5,</w:t>
      </w:r>
      <w:r w:rsidR="0018250F">
        <w:rPr>
          <w:iCs/>
          <w:sz w:val="20"/>
          <w:szCs w:val="20"/>
        </w:rPr>
        <w:t>75</w:t>
      </w:r>
      <w:r w:rsidRPr="00AC074F">
        <w:rPr>
          <w:iCs/>
          <w:sz w:val="20"/>
          <w:szCs w:val="20"/>
        </w:rPr>
        <w:t> %,</w:t>
      </w:r>
    </w:p>
    <w:p w:rsidR="00BD4A0E" w:rsidRPr="00AC074F" w:rsidRDefault="00BD4A0E" w:rsidP="00BD4A0E">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Gorenje Surovina, d. o. o., </w:t>
      </w:r>
      <w:r w:rsidRPr="00A304D3">
        <w:rPr>
          <w:iCs/>
          <w:sz w:val="20"/>
          <w:szCs w:val="20"/>
        </w:rPr>
        <w:tab/>
      </w:r>
      <w:r>
        <w:rPr>
          <w:iCs/>
          <w:sz w:val="20"/>
          <w:szCs w:val="20"/>
        </w:rPr>
        <w:t>29,</w:t>
      </w:r>
      <w:r w:rsidR="0018250F">
        <w:rPr>
          <w:iCs/>
          <w:sz w:val="20"/>
          <w:szCs w:val="20"/>
        </w:rPr>
        <w:t>49</w:t>
      </w:r>
      <w:r w:rsidRPr="00AC074F">
        <w:rPr>
          <w:iCs/>
          <w:sz w:val="20"/>
          <w:szCs w:val="20"/>
        </w:rPr>
        <w:t> %,</w:t>
      </w:r>
    </w:p>
    <w:p w:rsidR="00BD4A0E" w:rsidRPr="00AC074F" w:rsidRDefault="00BD4A0E" w:rsidP="00BD4A0E">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w:t>
      </w:r>
      <w:proofErr w:type="spellStart"/>
      <w:r w:rsidRPr="00AC074F">
        <w:rPr>
          <w:iCs/>
          <w:sz w:val="20"/>
          <w:szCs w:val="20"/>
        </w:rPr>
        <w:t>Interseroh</w:t>
      </w:r>
      <w:proofErr w:type="spellEnd"/>
      <w:r w:rsidRPr="00AC074F">
        <w:rPr>
          <w:iCs/>
          <w:sz w:val="20"/>
          <w:szCs w:val="20"/>
        </w:rPr>
        <w:t xml:space="preserve">, d. o. o., </w:t>
      </w:r>
      <w:r w:rsidRPr="00A304D3">
        <w:rPr>
          <w:iCs/>
          <w:sz w:val="20"/>
          <w:szCs w:val="20"/>
        </w:rPr>
        <w:tab/>
      </w:r>
      <w:r>
        <w:rPr>
          <w:iCs/>
          <w:sz w:val="20"/>
          <w:szCs w:val="20"/>
        </w:rPr>
        <w:t>1</w:t>
      </w:r>
      <w:r w:rsidR="0018250F">
        <w:rPr>
          <w:iCs/>
          <w:sz w:val="20"/>
          <w:szCs w:val="20"/>
        </w:rPr>
        <w:t>0</w:t>
      </w:r>
      <w:r>
        <w:rPr>
          <w:iCs/>
          <w:sz w:val="20"/>
          <w:szCs w:val="20"/>
        </w:rPr>
        <w:t>,</w:t>
      </w:r>
      <w:r w:rsidR="0018250F">
        <w:rPr>
          <w:iCs/>
          <w:sz w:val="20"/>
          <w:szCs w:val="20"/>
        </w:rPr>
        <w:t>98</w:t>
      </w:r>
      <w:r w:rsidRPr="00AC074F">
        <w:rPr>
          <w:iCs/>
          <w:sz w:val="20"/>
          <w:szCs w:val="20"/>
        </w:rPr>
        <w:t> %,</w:t>
      </w:r>
    </w:p>
    <w:p w:rsidR="00BD4A0E" w:rsidRPr="00AC074F" w:rsidRDefault="00BD4A0E" w:rsidP="00BD4A0E">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w:t>
      </w:r>
      <w:proofErr w:type="spellStart"/>
      <w:r w:rsidRPr="00AC074F">
        <w:rPr>
          <w:iCs/>
          <w:sz w:val="20"/>
          <w:szCs w:val="20"/>
        </w:rPr>
        <w:t>Recikel</w:t>
      </w:r>
      <w:proofErr w:type="spellEnd"/>
      <w:r w:rsidRPr="00AC074F">
        <w:rPr>
          <w:iCs/>
          <w:sz w:val="20"/>
          <w:szCs w:val="20"/>
        </w:rPr>
        <w:t xml:space="preserve">, d. o. o., </w:t>
      </w:r>
      <w:r w:rsidRPr="00A304D3">
        <w:rPr>
          <w:iCs/>
          <w:sz w:val="20"/>
          <w:szCs w:val="20"/>
        </w:rPr>
        <w:tab/>
        <w:t>13,</w:t>
      </w:r>
      <w:r w:rsidR="0018250F">
        <w:rPr>
          <w:iCs/>
          <w:sz w:val="20"/>
          <w:szCs w:val="20"/>
        </w:rPr>
        <w:t>28</w:t>
      </w:r>
      <w:r w:rsidRPr="00AC074F">
        <w:rPr>
          <w:iCs/>
          <w:sz w:val="20"/>
          <w:szCs w:val="20"/>
        </w:rPr>
        <w:t> % in</w:t>
      </w:r>
    </w:p>
    <w:p w:rsidR="00BD4A0E" w:rsidRPr="00AC074F" w:rsidRDefault="00BD4A0E" w:rsidP="00BD4A0E">
      <w:pPr>
        <w:pStyle w:val="Neotevilenodstavek"/>
        <w:numPr>
          <w:ilvl w:val="0"/>
          <w:numId w:val="21"/>
        </w:numPr>
        <w:tabs>
          <w:tab w:val="left" w:pos="709"/>
          <w:tab w:val="left" w:pos="4111"/>
        </w:tabs>
        <w:spacing w:line="240" w:lineRule="auto"/>
        <w:ind w:left="714" w:hanging="357"/>
        <w:rPr>
          <w:iCs/>
          <w:sz w:val="20"/>
          <w:szCs w:val="20"/>
        </w:rPr>
      </w:pPr>
      <w:r w:rsidRPr="00AC074F">
        <w:rPr>
          <w:iCs/>
          <w:sz w:val="20"/>
          <w:szCs w:val="20"/>
        </w:rPr>
        <w:t xml:space="preserve">za družbo </w:t>
      </w:r>
      <w:proofErr w:type="spellStart"/>
      <w:r w:rsidRPr="00AC074F">
        <w:rPr>
          <w:iCs/>
          <w:sz w:val="20"/>
          <w:szCs w:val="20"/>
        </w:rPr>
        <w:t>Slopak</w:t>
      </w:r>
      <w:proofErr w:type="spellEnd"/>
      <w:r w:rsidRPr="00AC074F">
        <w:rPr>
          <w:iCs/>
          <w:sz w:val="20"/>
          <w:szCs w:val="20"/>
        </w:rPr>
        <w:t xml:space="preserve">, d. o. o., </w:t>
      </w:r>
      <w:r w:rsidRPr="00A304D3">
        <w:rPr>
          <w:iCs/>
          <w:sz w:val="20"/>
          <w:szCs w:val="20"/>
        </w:rPr>
        <w:tab/>
      </w:r>
      <w:r w:rsidR="0018250F">
        <w:rPr>
          <w:iCs/>
          <w:sz w:val="20"/>
          <w:szCs w:val="20"/>
        </w:rPr>
        <w:t xml:space="preserve">  </w:t>
      </w:r>
      <w:r>
        <w:rPr>
          <w:iCs/>
          <w:sz w:val="20"/>
          <w:szCs w:val="20"/>
        </w:rPr>
        <w:t>9,</w:t>
      </w:r>
      <w:r w:rsidR="0018250F">
        <w:rPr>
          <w:iCs/>
          <w:sz w:val="20"/>
          <w:szCs w:val="20"/>
        </w:rPr>
        <w:t>48</w:t>
      </w:r>
      <w:r w:rsidRPr="00AC074F">
        <w:rPr>
          <w:iCs/>
          <w:sz w:val="20"/>
          <w:szCs w:val="20"/>
        </w:rPr>
        <w:t> %.</w:t>
      </w:r>
      <w:r>
        <w:rPr>
          <w:iCs/>
          <w:sz w:val="20"/>
          <w:szCs w:val="20"/>
        </w:rPr>
        <w:t>«.</w:t>
      </w:r>
    </w:p>
    <w:p w:rsidR="00797D9E" w:rsidRDefault="00797D9E" w:rsidP="00BD4A0E">
      <w:pPr>
        <w:spacing w:line="240" w:lineRule="auto"/>
        <w:jc w:val="both"/>
        <w:rPr>
          <w:rFonts w:cs="Arial"/>
          <w:bCs/>
          <w:szCs w:val="20"/>
        </w:rPr>
      </w:pPr>
    </w:p>
    <w:p w:rsidR="00BD4A0E" w:rsidRPr="00A97C89" w:rsidRDefault="00BD4A0E" w:rsidP="00A97C89">
      <w:pPr>
        <w:pStyle w:val="Neotevilenodstavek"/>
        <w:spacing w:before="0" w:after="0" w:line="240" w:lineRule="auto"/>
        <w:rPr>
          <w:b/>
          <w:iCs/>
          <w:sz w:val="20"/>
          <w:szCs w:val="20"/>
        </w:rPr>
      </w:pPr>
      <w:r w:rsidRPr="00A97C89">
        <w:rPr>
          <w:b/>
          <w:iCs/>
          <w:sz w:val="20"/>
          <w:szCs w:val="20"/>
        </w:rPr>
        <w:t>KONČNA DOLOČBA</w:t>
      </w:r>
    </w:p>
    <w:p w:rsidR="00BD4A0E" w:rsidRPr="00AC074F" w:rsidRDefault="00BD4A0E" w:rsidP="00BD4A0E">
      <w:pPr>
        <w:spacing w:line="240" w:lineRule="auto"/>
        <w:jc w:val="both"/>
        <w:rPr>
          <w:rFonts w:cs="Arial"/>
          <w:bCs/>
          <w:szCs w:val="20"/>
        </w:rPr>
      </w:pPr>
    </w:p>
    <w:p w:rsidR="00BD4A0E" w:rsidRPr="00A97C89" w:rsidRDefault="00BD4A0E" w:rsidP="00A97C89">
      <w:pPr>
        <w:pStyle w:val="Neotevilenodstavek"/>
        <w:spacing w:before="0" w:after="0" w:line="240" w:lineRule="auto"/>
        <w:jc w:val="center"/>
        <w:rPr>
          <w:b/>
          <w:iCs/>
          <w:sz w:val="20"/>
          <w:szCs w:val="20"/>
        </w:rPr>
      </w:pPr>
      <w:r w:rsidRPr="00A97C89">
        <w:rPr>
          <w:b/>
          <w:iCs/>
          <w:sz w:val="20"/>
          <w:szCs w:val="20"/>
        </w:rPr>
        <w:t>II</w:t>
      </w:r>
    </w:p>
    <w:p w:rsidR="00BD4A0E" w:rsidRPr="00A97C89" w:rsidRDefault="00BD4A0E" w:rsidP="00A97C89">
      <w:pPr>
        <w:pStyle w:val="Neotevilenodstavek"/>
        <w:spacing w:before="0" w:after="0" w:line="240" w:lineRule="auto"/>
        <w:rPr>
          <w:iCs/>
          <w:sz w:val="20"/>
          <w:szCs w:val="20"/>
        </w:rPr>
      </w:pPr>
    </w:p>
    <w:p w:rsidR="00BD4A0E" w:rsidRPr="00A97C89" w:rsidRDefault="00BD4A0E" w:rsidP="00A97C89">
      <w:pPr>
        <w:pStyle w:val="Neotevilenodstavek"/>
        <w:spacing w:before="0" w:after="0" w:line="240" w:lineRule="auto"/>
        <w:rPr>
          <w:iCs/>
          <w:sz w:val="20"/>
          <w:szCs w:val="20"/>
        </w:rPr>
      </w:pPr>
      <w:r w:rsidRPr="00A97C89">
        <w:rPr>
          <w:iCs/>
          <w:sz w:val="20"/>
          <w:szCs w:val="20"/>
        </w:rPr>
        <w:t>Ta sklep začne veljati naslednji dan po objavi v Uradnem listu Republike Slovenije.</w:t>
      </w:r>
    </w:p>
    <w:p w:rsidR="00BD4A0E" w:rsidRPr="00A97C89" w:rsidRDefault="00BD4A0E" w:rsidP="00A97C89">
      <w:pPr>
        <w:pStyle w:val="Neotevilenodstavek"/>
        <w:spacing w:before="0" w:after="0" w:line="240" w:lineRule="auto"/>
        <w:rPr>
          <w:iCs/>
          <w:sz w:val="20"/>
          <w:szCs w:val="20"/>
        </w:rPr>
      </w:pPr>
    </w:p>
    <w:p w:rsidR="00BD4A0E" w:rsidRPr="00A97C89" w:rsidRDefault="00BD4A0E" w:rsidP="00A97C89">
      <w:pPr>
        <w:pStyle w:val="Neotevilenodstavek"/>
        <w:spacing w:before="0" w:after="0" w:line="240" w:lineRule="auto"/>
        <w:rPr>
          <w:iCs/>
          <w:sz w:val="20"/>
          <w:szCs w:val="20"/>
        </w:rPr>
      </w:pPr>
    </w:p>
    <w:p w:rsidR="00BD4A0E" w:rsidRPr="00A97C89" w:rsidRDefault="00BD4A0E" w:rsidP="00A97C89">
      <w:pPr>
        <w:pStyle w:val="Neotevilenodstavek"/>
        <w:spacing w:before="0" w:after="0" w:line="240" w:lineRule="auto"/>
        <w:rPr>
          <w:iCs/>
          <w:sz w:val="20"/>
          <w:szCs w:val="20"/>
        </w:rPr>
      </w:pPr>
    </w:p>
    <w:p w:rsidR="00BD4A0E" w:rsidRPr="00A97C89" w:rsidRDefault="00BD4A0E" w:rsidP="00A97C89">
      <w:pPr>
        <w:pStyle w:val="Neotevilenodstavek"/>
        <w:spacing w:before="0" w:after="0" w:line="240" w:lineRule="auto"/>
        <w:rPr>
          <w:iCs/>
          <w:sz w:val="20"/>
          <w:szCs w:val="20"/>
        </w:rPr>
      </w:pPr>
      <w:r w:rsidRPr="00A97C89">
        <w:rPr>
          <w:iCs/>
          <w:sz w:val="20"/>
          <w:szCs w:val="20"/>
        </w:rPr>
        <w:t xml:space="preserve">Št. </w:t>
      </w:r>
      <w:r w:rsidR="0090378A" w:rsidRPr="0090378A">
        <w:rPr>
          <w:iCs/>
          <w:sz w:val="20"/>
          <w:szCs w:val="20"/>
        </w:rPr>
        <w:t>007-16/2019</w:t>
      </w:r>
    </w:p>
    <w:p w:rsidR="00BD4A0E" w:rsidRPr="00A97C89" w:rsidRDefault="00BD4A0E" w:rsidP="00A97C89">
      <w:pPr>
        <w:pStyle w:val="Neotevilenodstavek"/>
        <w:spacing w:before="0" w:after="0" w:line="240" w:lineRule="auto"/>
        <w:rPr>
          <w:iCs/>
          <w:sz w:val="20"/>
          <w:szCs w:val="20"/>
        </w:rPr>
      </w:pPr>
      <w:r w:rsidRPr="00A97C89">
        <w:rPr>
          <w:iCs/>
          <w:sz w:val="20"/>
          <w:szCs w:val="20"/>
        </w:rPr>
        <w:t xml:space="preserve">Ljubljana, </w:t>
      </w:r>
      <w:proofErr w:type="spellStart"/>
      <w:r w:rsidRPr="00A97C89">
        <w:rPr>
          <w:iCs/>
          <w:sz w:val="20"/>
          <w:szCs w:val="20"/>
        </w:rPr>
        <w:t>xx</w:t>
      </w:r>
      <w:proofErr w:type="spellEnd"/>
      <w:r w:rsidRPr="00A97C89">
        <w:rPr>
          <w:iCs/>
          <w:sz w:val="20"/>
          <w:szCs w:val="20"/>
        </w:rPr>
        <w:t>. </w:t>
      </w:r>
      <w:r w:rsidR="0090378A">
        <w:rPr>
          <w:iCs/>
          <w:sz w:val="20"/>
          <w:szCs w:val="20"/>
        </w:rPr>
        <w:t>februarja</w:t>
      </w:r>
      <w:r w:rsidRPr="00A97C89">
        <w:rPr>
          <w:iCs/>
          <w:sz w:val="20"/>
          <w:szCs w:val="20"/>
        </w:rPr>
        <w:t> 201</w:t>
      </w:r>
      <w:r w:rsidR="0090378A">
        <w:rPr>
          <w:iCs/>
          <w:sz w:val="20"/>
          <w:szCs w:val="20"/>
        </w:rPr>
        <w:t>9</w:t>
      </w:r>
    </w:p>
    <w:p w:rsidR="00BD4A0E" w:rsidRPr="00A97C89" w:rsidRDefault="00BD4A0E" w:rsidP="00A97C89">
      <w:pPr>
        <w:pStyle w:val="Neotevilenodstavek"/>
        <w:spacing w:before="0" w:after="0" w:line="240" w:lineRule="auto"/>
        <w:rPr>
          <w:iCs/>
          <w:sz w:val="20"/>
          <w:szCs w:val="20"/>
        </w:rPr>
      </w:pPr>
      <w:r w:rsidRPr="00A97C89">
        <w:rPr>
          <w:iCs/>
          <w:sz w:val="20"/>
          <w:szCs w:val="20"/>
        </w:rPr>
        <w:lastRenderedPageBreak/>
        <w:t xml:space="preserve">EVA </w:t>
      </w:r>
      <w:r w:rsidR="0090378A" w:rsidRPr="0090378A">
        <w:rPr>
          <w:iCs/>
          <w:sz w:val="20"/>
          <w:szCs w:val="20"/>
        </w:rPr>
        <w:t>2019-2550-0007</w:t>
      </w:r>
    </w:p>
    <w:p w:rsidR="00BD4A0E" w:rsidRPr="0090378A" w:rsidRDefault="00BD4A0E" w:rsidP="0090378A">
      <w:pPr>
        <w:pStyle w:val="Neotevilenodstavek"/>
        <w:spacing w:before="0" w:after="0" w:line="240" w:lineRule="auto"/>
        <w:rPr>
          <w:iCs/>
          <w:sz w:val="20"/>
          <w:szCs w:val="20"/>
        </w:rPr>
      </w:pPr>
    </w:p>
    <w:p w:rsidR="00BD4A0E" w:rsidRPr="000349D8" w:rsidRDefault="00BD4A0E" w:rsidP="00BD4A0E">
      <w:pPr>
        <w:spacing w:line="240" w:lineRule="auto"/>
        <w:jc w:val="both"/>
        <w:rPr>
          <w:rFonts w:cs="Arial"/>
          <w:bCs/>
          <w:szCs w:val="20"/>
        </w:rPr>
      </w:pPr>
    </w:p>
    <w:p w:rsidR="00BD4A0E" w:rsidRPr="000349D8" w:rsidRDefault="00BD4A0E" w:rsidP="00BD4A0E">
      <w:pPr>
        <w:tabs>
          <w:tab w:val="center" w:pos="7088"/>
        </w:tabs>
        <w:spacing w:line="240" w:lineRule="auto"/>
        <w:jc w:val="both"/>
        <w:rPr>
          <w:rFonts w:cs="Arial"/>
          <w:bCs/>
          <w:szCs w:val="20"/>
        </w:rPr>
      </w:pPr>
    </w:p>
    <w:p w:rsidR="00BD4A0E" w:rsidRPr="000349D8" w:rsidRDefault="00BD4A0E" w:rsidP="00BD4A0E">
      <w:pPr>
        <w:tabs>
          <w:tab w:val="center" w:pos="7088"/>
        </w:tabs>
        <w:spacing w:line="240" w:lineRule="auto"/>
        <w:rPr>
          <w:rFonts w:cs="Arial"/>
          <w:b/>
          <w:bCs/>
          <w:szCs w:val="20"/>
        </w:rPr>
      </w:pPr>
      <w:r>
        <w:rPr>
          <w:rFonts w:cs="Arial"/>
          <w:b/>
          <w:bCs/>
          <w:szCs w:val="20"/>
        </w:rPr>
        <w:tab/>
      </w:r>
      <w:r w:rsidRPr="000349D8">
        <w:rPr>
          <w:rFonts w:cs="Arial"/>
          <w:b/>
          <w:bCs/>
          <w:szCs w:val="20"/>
        </w:rPr>
        <w:t>Vlada Republike Slovenije</w:t>
      </w:r>
    </w:p>
    <w:p w:rsidR="00BD4A0E" w:rsidRPr="000349D8" w:rsidRDefault="00BD4A0E" w:rsidP="00BD4A0E">
      <w:pPr>
        <w:tabs>
          <w:tab w:val="center" w:pos="7088"/>
        </w:tabs>
        <w:spacing w:line="240" w:lineRule="auto"/>
        <w:rPr>
          <w:rFonts w:cs="Arial"/>
          <w:b/>
          <w:bCs/>
          <w:szCs w:val="20"/>
        </w:rPr>
      </w:pPr>
      <w:r>
        <w:rPr>
          <w:rFonts w:cs="Arial"/>
          <w:b/>
          <w:bCs/>
          <w:szCs w:val="20"/>
        </w:rPr>
        <w:tab/>
      </w:r>
      <w:r w:rsidRPr="00CC60B8">
        <w:rPr>
          <w:rFonts w:cs="Arial"/>
          <w:b/>
          <w:bCs/>
          <w:szCs w:val="20"/>
        </w:rPr>
        <w:t>Marjan Šarec</w:t>
      </w:r>
    </w:p>
    <w:p w:rsidR="00BD4A0E" w:rsidRPr="000349D8" w:rsidRDefault="00BD4A0E" w:rsidP="00BD4A0E">
      <w:pPr>
        <w:tabs>
          <w:tab w:val="center" w:pos="7088"/>
        </w:tabs>
        <w:spacing w:line="240" w:lineRule="auto"/>
        <w:rPr>
          <w:rFonts w:cs="Arial"/>
          <w:b/>
          <w:bCs/>
          <w:szCs w:val="20"/>
        </w:rPr>
      </w:pPr>
      <w:r>
        <w:rPr>
          <w:rFonts w:cs="Arial"/>
          <w:b/>
          <w:bCs/>
          <w:szCs w:val="20"/>
        </w:rPr>
        <w:tab/>
      </w:r>
      <w:r w:rsidRPr="000349D8">
        <w:rPr>
          <w:rFonts w:cs="Arial"/>
          <w:b/>
          <w:bCs/>
          <w:szCs w:val="20"/>
        </w:rPr>
        <w:t>predsednik</w:t>
      </w:r>
    </w:p>
    <w:p w:rsidR="00BD4A0E" w:rsidRPr="00E46919" w:rsidRDefault="00BD4A0E" w:rsidP="00BD4A0E">
      <w:pPr>
        <w:spacing w:line="240" w:lineRule="auto"/>
        <w:rPr>
          <w:rFonts w:cs="Arial"/>
          <w:szCs w:val="20"/>
        </w:rPr>
      </w:pPr>
      <w:r w:rsidRPr="00E46919">
        <w:rPr>
          <w:rFonts w:cs="Arial"/>
          <w:szCs w:val="20"/>
        </w:rPr>
        <w:br w:type="page"/>
      </w:r>
    </w:p>
    <w:p w:rsidR="00BD4A0E" w:rsidRPr="005F2C64" w:rsidRDefault="00BD4A0E" w:rsidP="00BD4A0E">
      <w:pPr>
        <w:tabs>
          <w:tab w:val="left" w:pos="708"/>
        </w:tabs>
        <w:rPr>
          <w:rFonts w:cs="Arial"/>
          <w:b/>
          <w:szCs w:val="20"/>
        </w:rPr>
      </w:pPr>
      <w:r w:rsidRPr="005F2C64">
        <w:rPr>
          <w:rFonts w:cs="Arial"/>
          <w:b/>
          <w:szCs w:val="20"/>
        </w:rPr>
        <w:lastRenderedPageBreak/>
        <w:t>OBRAZLOŽITEV</w:t>
      </w:r>
    </w:p>
    <w:p w:rsidR="00BD4A0E" w:rsidRPr="00A97C89" w:rsidRDefault="00BD4A0E" w:rsidP="00A97C89">
      <w:pPr>
        <w:pStyle w:val="Neotevilenodstavek"/>
        <w:spacing w:before="0" w:after="0" w:line="240" w:lineRule="auto"/>
        <w:rPr>
          <w:iCs/>
          <w:sz w:val="20"/>
          <w:szCs w:val="20"/>
        </w:rPr>
      </w:pPr>
    </w:p>
    <w:p w:rsidR="00BD4A0E" w:rsidRPr="00A97C89" w:rsidRDefault="00BD4A0E" w:rsidP="00A97C89">
      <w:pPr>
        <w:pStyle w:val="Neotevilenodstavek"/>
        <w:spacing w:before="0" w:after="0" w:line="240" w:lineRule="auto"/>
        <w:rPr>
          <w:iCs/>
          <w:sz w:val="20"/>
          <w:szCs w:val="20"/>
        </w:rPr>
      </w:pPr>
      <w:r w:rsidRPr="00A97C89">
        <w:rPr>
          <w:iCs/>
          <w:sz w:val="20"/>
          <w:szCs w:val="20"/>
        </w:rPr>
        <w:t>I. UVOD</w:t>
      </w:r>
    </w:p>
    <w:p w:rsidR="00BD4A0E" w:rsidRPr="00A97C89" w:rsidRDefault="00BD4A0E" w:rsidP="00A97C89">
      <w:pPr>
        <w:pStyle w:val="Neotevilenodstavek"/>
        <w:spacing w:before="0" w:after="0" w:line="240" w:lineRule="auto"/>
        <w:rPr>
          <w:iCs/>
          <w:sz w:val="20"/>
          <w:szCs w:val="20"/>
        </w:rPr>
      </w:pPr>
    </w:p>
    <w:p w:rsidR="00BD4A0E" w:rsidRPr="00A97C89" w:rsidRDefault="00BD4A0E" w:rsidP="00A97C89">
      <w:pPr>
        <w:pStyle w:val="Neotevilenodstavek"/>
        <w:spacing w:before="0" w:after="0" w:line="240" w:lineRule="auto"/>
        <w:rPr>
          <w:iCs/>
          <w:sz w:val="20"/>
          <w:szCs w:val="20"/>
        </w:rPr>
      </w:pPr>
      <w:r w:rsidRPr="00A97C89">
        <w:rPr>
          <w:iCs/>
          <w:sz w:val="20"/>
          <w:szCs w:val="20"/>
        </w:rPr>
        <w:t>Pravna podlaga:</w:t>
      </w:r>
    </w:p>
    <w:p w:rsidR="00BD4A0E" w:rsidRPr="00A97C89" w:rsidRDefault="00BD4A0E" w:rsidP="00A97C89">
      <w:pPr>
        <w:pStyle w:val="Neotevilenodstavek"/>
        <w:spacing w:before="0" w:after="0" w:line="240" w:lineRule="auto"/>
        <w:rPr>
          <w:iCs/>
          <w:sz w:val="20"/>
          <w:szCs w:val="20"/>
        </w:rPr>
      </w:pPr>
    </w:p>
    <w:p w:rsidR="00BD4A0E" w:rsidRPr="00A97C89" w:rsidRDefault="00BD4A0E" w:rsidP="00A97C89">
      <w:pPr>
        <w:pStyle w:val="Neotevilenodstavek"/>
        <w:spacing w:before="0" w:after="0" w:line="240" w:lineRule="auto"/>
        <w:rPr>
          <w:iCs/>
          <w:sz w:val="20"/>
          <w:szCs w:val="20"/>
        </w:rPr>
      </w:pPr>
      <w:r w:rsidRPr="00A97C89">
        <w:rPr>
          <w:iCs/>
          <w:sz w:val="20"/>
          <w:szCs w:val="20"/>
        </w:rPr>
        <w:t xml:space="preserve">Pravna podlaga za določitev deležev prevzemanja odpadne embalaže pri izvajalcih javne službe za leto 2018 je peti odstavek 19. člena Uredbe o ravnanju z embalažo in odpadno embalažo (Uradni list RS, št. 84/06, 106/06, 110/07, 67/11, 68/11 – </w:t>
      </w:r>
      <w:proofErr w:type="spellStart"/>
      <w:r w:rsidRPr="00A97C89">
        <w:rPr>
          <w:iCs/>
          <w:sz w:val="20"/>
          <w:szCs w:val="20"/>
        </w:rPr>
        <w:t>popr</w:t>
      </w:r>
      <w:proofErr w:type="spellEnd"/>
      <w:r w:rsidRPr="00A97C89">
        <w:rPr>
          <w:iCs/>
          <w:sz w:val="20"/>
          <w:szCs w:val="20"/>
        </w:rPr>
        <w:t>., 18/14, 57/15</w:t>
      </w:r>
      <w:r w:rsidR="0018250F" w:rsidRPr="00A97C89">
        <w:rPr>
          <w:iCs/>
          <w:sz w:val="20"/>
          <w:szCs w:val="20"/>
        </w:rPr>
        <w:t xml:space="preserve">, 103/15, 2/16 – </w:t>
      </w:r>
      <w:proofErr w:type="spellStart"/>
      <w:r w:rsidR="0018250F" w:rsidRPr="00A97C89">
        <w:rPr>
          <w:iCs/>
          <w:sz w:val="20"/>
          <w:szCs w:val="20"/>
        </w:rPr>
        <w:t>popr</w:t>
      </w:r>
      <w:proofErr w:type="spellEnd"/>
      <w:r w:rsidR="0018250F" w:rsidRPr="00A97C89">
        <w:rPr>
          <w:iCs/>
          <w:sz w:val="20"/>
          <w:szCs w:val="20"/>
        </w:rPr>
        <w:t>., 35/17,</w:t>
      </w:r>
      <w:r w:rsidRPr="00A97C89">
        <w:rPr>
          <w:iCs/>
          <w:sz w:val="20"/>
          <w:szCs w:val="20"/>
        </w:rPr>
        <w:t xml:space="preserve"> 68/18</w:t>
      </w:r>
      <w:r w:rsidR="0018250F" w:rsidRPr="00A97C89">
        <w:rPr>
          <w:iCs/>
          <w:sz w:val="20"/>
          <w:szCs w:val="20"/>
        </w:rPr>
        <w:t xml:space="preserve"> in </w:t>
      </w:r>
      <w:hyperlink r:id="rId25" w:tgtFrame="_blank" w:tooltip="Zakon o interventnih ukrepih pri ravnanju s komunalno odpadno embalažo in z odpadnimi nagrobnimi svečami" w:history="1">
        <w:r w:rsidR="0018250F" w:rsidRPr="001F7566">
          <w:rPr>
            <w:iCs/>
            <w:sz w:val="20"/>
            <w:szCs w:val="20"/>
          </w:rPr>
          <w:t>84/18</w:t>
        </w:r>
      </w:hyperlink>
      <w:r w:rsidR="0018250F" w:rsidRPr="001F7566">
        <w:rPr>
          <w:iCs/>
          <w:sz w:val="20"/>
          <w:szCs w:val="20"/>
        </w:rPr>
        <w:t xml:space="preserve"> – ZIURKOE</w:t>
      </w:r>
      <w:r w:rsidRPr="00A97C89">
        <w:rPr>
          <w:iCs/>
          <w:sz w:val="20"/>
          <w:szCs w:val="20"/>
        </w:rPr>
        <w:t xml:space="preserve">; v nadaljnjem besedilu: </w:t>
      </w:r>
      <w:r w:rsidR="0090378A">
        <w:rPr>
          <w:iCs/>
          <w:sz w:val="20"/>
          <w:szCs w:val="20"/>
        </w:rPr>
        <w:t>u</w:t>
      </w:r>
      <w:r w:rsidRPr="00A97C89">
        <w:rPr>
          <w:iCs/>
          <w:sz w:val="20"/>
          <w:szCs w:val="20"/>
        </w:rPr>
        <w:t>redba).</w:t>
      </w:r>
    </w:p>
    <w:p w:rsidR="00BD4A0E" w:rsidRPr="00A97C89" w:rsidRDefault="00BD4A0E" w:rsidP="00A97C89">
      <w:pPr>
        <w:pStyle w:val="Neotevilenodstavek"/>
        <w:spacing w:before="0" w:after="0" w:line="240" w:lineRule="auto"/>
        <w:rPr>
          <w:iCs/>
          <w:sz w:val="20"/>
          <w:szCs w:val="20"/>
        </w:rPr>
      </w:pPr>
    </w:p>
    <w:p w:rsidR="00BD4A0E" w:rsidRPr="00A97C89" w:rsidRDefault="00BD4A0E" w:rsidP="00A97C89">
      <w:pPr>
        <w:pStyle w:val="Neotevilenodstavek"/>
        <w:spacing w:before="0" w:after="0" w:line="240" w:lineRule="auto"/>
        <w:rPr>
          <w:iCs/>
          <w:sz w:val="20"/>
          <w:szCs w:val="20"/>
        </w:rPr>
      </w:pPr>
    </w:p>
    <w:p w:rsidR="00BD4A0E" w:rsidRPr="00A97C89" w:rsidRDefault="00BD4A0E" w:rsidP="00A97C89">
      <w:pPr>
        <w:pStyle w:val="Neotevilenodstavek"/>
        <w:spacing w:before="0" w:after="0" w:line="240" w:lineRule="auto"/>
        <w:rPr>
          <w:iCs/>
          <w:sz w:val="20"/>
          <w:szCs w:val="20"/>
        </w:rPr>
      </w:pPr>
      <w:r w:rsidRPr="00A97C89">
        <w:rPr>
          <w:iCs/>
          <w:sz w:val="20"/>
          <w:szCs w:val="20"/>
        </w:rPr>
        <w:t>II. VSEBINSKA OBRAZLOŽITEV</w:t>
      </w:r>
    </w:p>
    <w:p w:rsidR="00BD4A0E" w:rsidRPr="00A97C89" w:rsidRDefault="00BD4A0E" w:rsidP="00A97C89">
      <w:pPr>
        <w:pStyle w:val="Neotevilenodstavek"/>
        <w:spacing w:before="0" w:after="0" w:line="240" w:lineRule="auto"/>
        <w:rPr>
          <w:iCs/>
          <w:sz w:val="20"/>
          <w:szCs w:val="20"/>
        </w:rPr>
      </w:pPr>
    </w:p>
    <w:p w:rsidR="00BD4A0E" w:rsidRPr="00A97C89" w:rsidRDefault="00BD4A0E" w:rsidP="00A97C89">
      <w:pPr>
        <w:pStyle w:val="Neotevilenodstavek"/>
        <w:spacing w:before="0" w:after="0" w:line="240" w:lineRule="auto"/>
        <w:rPr>
          <w:iCs/>
          <w:sz w:val="20"/>
          <w:szCs w:val="20"/>
        </w:rPr>
      </w:pPr>
      <w:r w:rsidRPr="00A97C89">
        <w:rPr>
          <w:iCs/>
          <w:sz w:val="20"/>
          <w:szCs w:val="20"/>
        </w:rPr>
        <w:t>V skladu z drugim odstavkom 18. člena uredbe mora izvajalec javne službe omogočiti družbi za ravnanje z odpadno embalažo, da redno prevzema odpadno embalažo v zbirnem centru in centru za ravnanje s komunalnimi odpadki. Če ravnanje z odpadno embalažo, ki je komunalni odpadek, ureja več družb za ravnanje z odpadno embalažo, mora izvajalec javne službe zagotoviti vsaki od družb za ravnanje z odpadno embalažo prevzem odpadne embalaže v deležih iz petega odstavka 19. člena te uredbe. Od 1. januarja do 30. junija tekočega koledarskega leta mora izvajalec javne službe vsaki od družb za ravnanje z odpadno embalažo zagotoviti prevzem odpadne embalaže v deležih, določenih za preteklo koledarsko leto. Od 1. julija do 31. decembra tekočega koledarskega leta mora izvajalec javne službe vsaki od družb za ravnanje z odpadno embalažo zagotoviti prevzem odpadne embalaže v deležih, določenih za to tekoče koledarsko leto, pri čemer mora upoštevati, da mora v posameznem koledarskem letu vsaki od družb za ravnanje z odpadno embalažo zagotoviti prevzem odpadne embalaže v deležih, določenih za zadevno koledarsko leto.</w:t>
      </w:r>
    </w:p>
    <w:p w:rsidR="00BD4A0E" w:rsidRPr="00A97C89" w:rsidRDefault="00BD4A0E" w:rsidP="00A97C89">
      <w:pPr>
        <w:pStyle w:val="Neotevilenodstavek"/>
        <w:spacing w:before="0" w:after="0" w:line="240" w:lineRule="auto"/>
        <w:rPr>
          <w:iCs/>
          <w:sz w:val="20"/>
          <w:szCs w:val="20"/>
        </w:rPr>
      </w:pPr>
    </w:p>
    <w:p w:rsidR="00BD4A0E" w:rsidRPr="00A97C89" w:rsidRDefault="00BD4A0E" w:rsidP="00A97C89">
      <w:pPr>
        <w:pStyle w:val="Neotevilenodstavek"/>
        <w:spacing w:before="0" w:after="0" w:line="240" w:lineRule="auto"/>
        <w:rPr>
          <w:iCs/>
          <w:sz w:val="20"/>
          <w:szCs w:val="20"/>
        </w:rPr>
      </w:pPr>
      <w:r w:rsidRPr="00A97C89">
        <w:rPr>
          <w:iCs/>
          <w:sz w:val="20"/>
          <w:szCs w:val="20"/>
        </w:rPr>
        <w:t xml:space="preserve">Drugi odstavek 19. člena uredbe določa, da mora družba za ravnanje z odpadno embalažo prevzeti vso odpadno embalažo, ki je komunalni odpadek, od izvajalca javne službe brezplačno ne glede na morebitne stroške, ki nastanejo pri nadaljnji predelavi ali odstranjevanju prevzete odpadne embalaže. </w:t>
      </w:r>
    </w:p>
    <w:p w:rsidR="00BD4A0E" w:rsidRPr="00A97C89" w:rsidRDefault="00BD4A0E" w:rsidP="00A97C89">
      <w:pPr>
        <w:pStyle w:val="Neotevilenodstavek"/>
        <w:spacing w:before="0" w:after="0" w:line="240" w:lineRule="auto"/>
        <w:rPr>
          <w:iCs/>
          <w:sz w:val="20"/>
          <w:szCs w:val="20"/>
        </w:rPr>
      </w:pPr>
    </w:p>
    <w:p w:rsidR="00BD4A0E" w:rsidRPr="00A97C89" w:rsidRDefault="00BD4A0E" w:rsidP="00A97C89">
      <w:pPr>
        <w:pStyle w:val="Neotevilenodstavek"/>
        <w:spacing w:before="0" w:after="0" w:line="240" w:lineRule="auto"/>
        <w:rPr>
          <w:iCs/>
          <w:sz w:val="20"/>
          <w:szCs w:val="20"/>
        </w:rPr>
      </w:pPr>
      <w:r w:rsidRPr="00A97C89">
        <w:rPr>
          <w:iCs/>
          <w:sz w:val="20"/>
          <w:szCs w:val="20"/>
        </w:rPr>
        <w:t>V skladu s tretjim odstavkom 39. člena uredbe mora družba za ravnanje z odpadno embalažo od izvajalcev javne službe redno prevzemati odpadno embalažo iz prejšnjega odstavka v zbirnih centrih in centrih za ravnanje s komunalnimi odpadki. Če ravnanje z odpadno embalažo, ki je komunalni odpadek, ureja več družb za ravnanje z odpadno embalažo, mora družba za ravnanje z odpadno embalažo od vsakega izvajalca javne službe zagotoviti prevzem odpadne embalaže v deležih iz petega odstavka 19. člena te uredbe. Od 1. januarja do 30. junija tekočega koledarskega leta mora družba za ravnanje z odpadno embalažo od vsakega izvajalca javne službe prevzemati odpadno embalažo v deležih, določenih za preteklo koledarsko leto. Od 1. julija do 31. decembra tekočega koledarskega leta mora družba za ravnanje z odpadno embalažo od vsakega izvajalca javne službe prevzemati odpadno embalažo v deležih, določenih za to tekoče koledarsko leto, pri čemer mora upoštevati, da mora v posameznem koledarskem letu od vsakega izvajalca javne službe prevzeti odpadno embalažo v deležih, določenih za zadevno koledarsko leto.</w:t>
      </w:r>
    </w:p>
    <w:p w:rsidR="00BD4A0E" w:rsidRPr="00A97C89" w:rsidRDefault="00BD4A0E" w:rsidP="00A97C89">
      <w:pPr>
        <w:pStyle w:val="Neotevilenodstavek"/>
        <w:spacing w:before="0" w:after="0" w:line="240" w:lineRule="auto"/>
        <w:rPr>
          <w:iCs/>
          <w:sz w:val="20"/>
          <w:szCs w:val="20"/>
        </w:rPr>
      </w:pPr>
    </w:p>
    <w:p w:rsidR="00BD4A0E" w:rsidRPr="00A97C89" w:rsidRDefault="00BD4A0E" w:rsidP="00A97C89">
      <w:pPr>
        <w:pStyle w:val="Neotevilenodstavek"/>
        <w:spacing w:before="0" w:after="0" w:line="240" w:lineRule="auto"/>
        <w:rPr>
          <w:iCs/>
          <w:sz w:val="20"/>
          <w:szCs w:val="20"/>
        </w:rPr>
      </w:pPr>
      <w:r w:rsidRPr="00A97C89">
        <w:rPr>
          <w:iCs/>
          <w:sz w:val="20"/>
          <w:szCs w:val="20"/>
        </w:rPr>
        <w:t>Če ravnanje z odpadno embalažo, ki je komunalni odpadek, ureja več družb za ravnanje z odpadno embalažo, Vlada Republike Slovenije v skladu s petim odstavkom 19. člena uredbe do 30. junija tekočega koledarskega leta s sklepom določi deleže prevzemanja odpadne embalaže pri izvajalcih javne službe za tekoče koledarsko leto po metodologiji iz priloge 2B, ki je sestavni del te uredbe, sklep pa se objavi v Uradnem listu Republike Slovenije.</w:t>
      </w:r>
    </w:p>
    <w:p w:rsidR="00BD4A0E" w:rsidRPr="00A97C89" w:rsidRDefault="00BD4A0E" w:rsidP="00A97C89">
      <w:pPr>
        <w:pStyle w:val="Neotevilenodstavek"/>
        <w:spacing w:before="0" w:after="0" w:line="240" w:lineRule="auto"/>
        <w:rPr>
          <w:iCs/>
          <w:sz w:val="20"/>
          <w:szCs w:val="20"/>
        </w:rPr>
      </w:pPr>
    </w:p>
    <w:p w:rsidR="0090378A" w:rsidRPr="00DC548C" w:rsidRDefault="0090378A" w:rsidP="0090378A">
      <w:pPr>
        <w:pStyle w:val="Neotevilenodstavek"/>
        <w:spacing w:before="0" w:after="0" w:line="240" w:lineRule="auto"/>
        <w:rPr>
          <w:iCs/>
          <w:sz w:val="20"/>
          <w:szCs w:val="20"/>
        </w:rPr>
      </w:pPr>
      <w:r w:rsidRPr="00DC548C">
        <w:rPr>
          <w:iCs/>
          <w:sz w:val="20"/>
          <w:szCs w:val="20"/>
        </w:rPr>
        <w:t xml:space="preserve">Vlada RS je s Sklepom o določitvi deležev prevzemanja odpadne embalaže pri izvajalcih javne službe za leto 2018 (Uradni list RS, št. </w:t>
      </w:r>
      <w:hyperlink r:id="rId26" w:tgtFrame="_blank" w:tooltip="Sklep o določitvi deležev prevzemanja odpadne embalaže pri izvajalcih javne službe za leto 2018" w:history="1">
        <w:r w:rsidRPr="00DC548C">
          <w:rPr>
            <w:iCs/>
            <w:sz w:val="20"/>
            <w:szCs w:val="20"/>
          </w:rPr>
          <w:t>44/18</w:t>
        </w:r>
      </w:hyperlink>
      <w:r w:rsidRPr="00DC548C">
        <w:rPr>
          <w:iCs/>
          <w:sz w:val="20"/>
          <w:szCs w:val="20"/>
        </w:rPr>
        <w:t xml:space="preserve">) določila zadevne deleže. Deleži prevzemanja odpadne embalaže od izvajalcev javne službe se za tekoče koledarsko leto določijo na podlagi podatkov o masi embalaže, dane v promet v prvem četrtletju tega koledarskega leta, ki se pridobijo iz evidence, ki se vodi v skladu z Uredbo o okoljski dajatvi za onesnaževanje okolja </w:t>
      </w:r>
      <w:r w:rsidRPr="00DC548C">
        <w:rPr>
          <w:iCs/>
          <w:sz w:val="20"/>
          <w:szCs w:val="20"/>
        </w:rPr>
        <w:lastRenderedPageBreak/>
        <w:t xml:space="preserve">zaradi nastajanja odpadne embalaže (Uradni list RS, št. </w:t>
      </w:r>
      <w:hyperlink r:id="rId27" w:tgtFrame="_blank" w:tooltip="Uredba o okoljski dajatvi za onesnaževanje okolja zaradi nastajanja odpadne embalaže" w:history="1">
        <w:r w:rsidRPr="00DC548C">
          <w:rPr>
            <w:iCs/>
            <w:sz w:val="20"/>
            <w:szCs w:val="20"/>
          </w:rPr>
          <w:t>32/06</w:t>
        </w:r>
      </w:hyperlink>
      <w:r w:rsidRPr="00DC548C">
        <w:rPr>
          <w:iCs/>
          <w:sz w:val="20"/>
          <w:szCs w:val="20"/>
        </w:rPr>
        <w:t xml:space="preserve">, </w:t>
      </w:r>
      <w:hyperlink r:id="rId28" w:tgtFrame="_blank" w:tooltip="Uredba o spremembah in dopolnitvah Uredbe o okoljski dajatvi za onesnaževanje okolja zaradi nastajanja odpadne embalaže" w:history="1">
        <w:r w:rsidRPr="00DC548C">
          <w:rPr>
            <w:iCs/>
            <w:sz w:val="20"/>
            <w:szCs w:val="20"/>
          </w:rPr>
          <w:t>65/06</w:t>
        </w:r>
      </w:hyperlink>
      <w:r w:rsidRPr="00DC548C">
        <w:rPr>
          <w:iCs/>
          <w:sz w:val="20"/>
          <w:szCs w:val="20"/>
        </w:rPr>
        <w:t xml:space="preserve">, </w:t>
      </w:r>
      <w:hyperlink r:id="rId29" w:tgtFrame="_blank" w:tooltip="Uredba o spremembah in dopolnitvah Uredbe o okoljski dajatvi za onesnaževanje okolja zaradi nastajanja odpadne embalaže" w:history="1">
        <w:r w:rsidRPr="00DC548C">
          <w:rPr>
            <w:iCs/>
            <w:sz w:val="20"/>
            <w:szCs w:val="20"/>
          </w:rPr>
          <w:t>78/08</w:t>
        </w:r>
      </w:hyperlink>
      <w:r w:rsidRPr="00DC548C">
        <w:rPr>
          <w:iCs/>
          <w:sz w:val="20"/>
          <w:szCs w:val="20"/>
        </w:rPr>
        <w:t xml:space="preserve">, </w:t>
      </w:r>
      <w:hyperlink r:id="rId30" w:tgtFrame="_blank" w:tooltip="Uredba o spremembi in dopolnitvi Uredbe o okoljski dajatvi za onesnaževanje okolja zaradi nastajanja odpadne embalaže" w:history="1">
        <w:r w:rsidRPr="00DC548C">
          <w:rPr>
            <w:iCs/>
            <w:sz w:val="20"/>
            <w:szCs w:val="20"/>
          </w:rPr>
          <w:t>19/10</w:t>
        </w:r>
      </w:hyperlink>
      <w:r w:rsidRPr="00DC548C">
        <w:rPr>
          <w:iCs/>
          <w:sz w:val="20"/>
          <w:szCs w:val="20"/>
        </w:rPr>
        <w:t xml:space="preserve">, </w:t>
      </w:r>
      <w:hyperlink r:id="rId31" w:tgtFrame="_blank" w:tooltip="Uredba o spremembah in dopolnitvah Uredbe o okoljski dajatvi za onesnaževanje okolja zaradi nastajanja odpadne embalaže" w:history="1">
        <w:r w:rsidRPr="00DC548C">
          <w:rPr>
            <w:iCs/>
            <w:sz w:val="20"/>
            <w:szCs w:val="20"/>
          </w:rPr>
          <w:t>68/17</w:t>
        </w:r>
      </w:hyperlink>
      <w:r w:rsidRPr="00DC548C">
        <w:rPr>
          <w:iCs/>
          <w:sz w:val="20"/>
          <w:szCs w:val="20"/>
        </w:rPr>
        <w:t xml:space="preserve"> in </w:t>
      </w:r>
      <w:hyperlink r:id="rId32" w:tgtFrame="_blank" w:tooltip="Uredba o spremembi Uredbe o okoljski dajatvi za onesnaževanje okolja zaradi nastajanja odpadne embalaže" w:history="1">
        <w:r w:rsidRPr="00DC548C">
          <w:rPr>
            <w:iCs/>
            <w:sz w:val="20"/>
            <w:szCs w:val="20"/>
          </w:rPr>
          <w:t>82/18</w:t>
        </w:r>
      </w:hyperlink>
      <w:r w:rsidRPr="00DC548C">
        <w:rPr>
          <w:iCs/>
          <w:sz w:val="20"/>
          <w:szCs w:val="20"/>
        </w:rPr>
        <w:t>; v nadaljnjem besedi</w:t>
      </w:r>
      <w:r>
        <w:rPr>
          <w:iCs/>
          <w:sz w:val="20"/>
          <w:szCs w:val="20"/>
        </w:rPr>
        <w:t xml:space="preserve">lu: Uredba o okoljski dajatvi). </w:t>
      </w:r>
      <w:r w:rsidRPr="00DC548C">
        <w:rPr>
          <w:iCs/>
          <w:sz w:val="20"/>
          <w:szCs w:val="20"/>
        </w:rPr>
        <w:t xml:space="preserve">Sklep je bil že enkrat spremenjen s Sklepom o spremembah Sklepa o določitvi deležev prevzemanja odpadne embalaže pri izvajalcih javne službe za leto 2018 (Uradni list RS, št. </w:t>
      </w:r>
      <w:hyperlink r:id="rId33" w:tgtFrame="_blank" w:tooltip="Sklep o spremembah Sklepa o določitvi deležev prevzemanja odpadne embalaže pri izvajalcih javne službe za leto 2018" w:history="1">
        <w:r w:rsidRPr="00DC548C">
          <w:rPr>
            <w:iCs/>
            <w:sz w:val="20"/>
            <w:szCs w:val="20"/>
          </w:rPr>
          <w:t>82/18</w:t>
        </w:r>
      </w:hyperlink>
      <w:r w:rsidRPr="00DC548C">
        <w:rPr>
          <w:iCs/>
          <w:sz w:val="20"/>
          <w:szCs w:val="20"/>
        </w:rPr>
        <w:t>). Po sprejetju tega sklepa pa je zavezanec za plačilo okoljske dajatve za onesnaževanje okolja zaradi nastajanja odpadne embalaže obvestil Ministrstvo za okolje in prostor o tem, da je Finančni upravi RS posredoval popravek obračuna okoljske dajatve za prvo četrtletje leta 2018. Ker popravek obračuna tega zavezanca vpliva na višino deležev prevzemanja odpadne embalaže pri izvajalcih javne službe za leto 2018 kot so bili določeni s prej omenjenim sklepom, je treba navedeni sklep ustrezno spremeniti.</w:t>
      </w:r>
    </w:p>
    <w:p w:rsidR="0018250F" w:rsidRPr="00A97C89" w:rsidRDefault="0018250F" w:rsidP="00A97C89">
      <w:pPr>
        <w:pStyle w:val="Neotevilenodstavek"/>
        <w:spacing w:before="0" w:after="0" w:line="240" w:lineRule="auto"/>
        <w:rPr>
          <w:iCs/>
          <w:sz w:val="20"/>
          <w:szCs w:val="20"/>
        </w:rPr>
      </w:pPr>
    </w:p>
    <w:p w:rsidR="0090378A" w:rsidRPr="00DC548C" w:rsidRDefault="0090378A" w:rsidP="0090378A">
      <w:pPr>
        <w:pStyle w:val="Neotevilenodstavek"/>
        <w:spacing w:before="0" w:after="0" w:line="240" w:lineRule="auto"/>
        <w:rPr>
          <w:iCs/>
          <w:sz w:val="20"/>
          <w:szCs w:val="20"/>
        </w:rPr>
      </w:pPr>
      <w:r w:rsidRPr="00DC548C">
        <w:rPr>
          <w:iCs/>
          <w:sz w:val="20"/>
          <w:szCs w:val="20"/>
        </w:rPr>
        <w:t xml:space="preserve">Na zaprosilo Ministrstva za okolje in prostor je Finančna uprava RS </w:t>
      </w:r>
      <w:r>
        <w:rPr>
          <w:iCs/>
          <w:sz w:val="20"/>
          <w:szCs w:val="20"/>
        </w:rPr>
        <w:t>28</w:t>
      </w:r>
      <w:r w:rsidRPr="00DC548C">
        <w:rPr>
          <w:iCs/>
          <w:sz w:val="20"/>
          <w:szCs w:val="20"/>
        </w:rPr>
        <w:t xml:space="preserve">. 1. 2019 posredovala osvežene podatke </w:t>
      </w:r>
      <w:r>
        <w:rPr>
          <w:iCs/>
          <w:sz w:val="20"/>
          <w:szCs w:val="20"/>
        </w:rPr>
        <w:t xml:space="preserve">na dan 25. 1. 2019 </w:t>
      </w:r>
      <w:r w:rsidRPr="00DC548C">
        <w:rPr>
          <w:iCs/>
          <w:sz w:val="20"/>
          <w:szCs w:val="20"/>
        </w:rPr>
        <w:t xml:space="preserve">iz obračunov okoljske dajatve za prvo četrtletje leta 2018, ki jih vlagajo zavezanci za plačilo okoljske dajatve na podlagi Uredbe o okoljski dajatvi, iz katerih je razvidno, da </w:t>
      </w:r>
      <w:r>
        <w:rPr>
          <w:iCs/>
          <w:sz w:val="20"/>
          <w:szCs w:val="20"/>
        </w:rPr>
        <w:t>je</w:t>
      </w:r>
      <w:r w:rsidRPr="00DC548C">
        <w:rPr>
          <w:iCs/>
          <w:sz w:val="20"/>
          <w:szCs w:val="20"/>
        </w:rPr>
        <w:t xml:space="preserve"> po sprejemu </w:t>
      </w:r>
      <w:r>
        <w:rPr>
          <w:iCs/>
          <w:sz w:val="20"/>
          <w:szCs w:val="20"/>
        </w:rPr>
        <w:t>Sklepa</w:t>
      </w:r>
      <w:r w:rsidRPr="00DC548C">
        <w:rPr>
          <w:iCs/>
          <w:sz w:val="20"/>
          <w:szCs w:val="20"/>
        </w:rPr>
        <w:t xml:space="preserve"> o spremembah Sklepa o določitvi deležev prevzemanja odpadne embalaže pri izvajalcih javne službe za leto 2018 </w:t>
      </w:r>
      <w:r>
        <w:rPr>
          <w:iCs/>
          <w:sz w:val="20"/>
          <w:szCs w:val="20"/>
        </w:rPr>
        <w:t>še pez</w:t>
      </w:r>
      <w:r w:rsidRPr="00DC548C">
        <w:rPr>
          <w:iCs/>
          <w:sz w:val="20"/>
          <w:szCs w:val="20"/>
        </w:rPr>
        <w:t xml:space="preserve"> zavezanc</w:t>
      </w:r>
      <w:r>
        <w:rPr>
          <w:iCs/>
          <w:sz w:val="20"/>
          <w:szCs w:val="20"/>
        </w:rPr>
        <w:t>ev</w:t>
      </w:r>
      <w:r w:rsidRPr="00DC548C">
        <w:rPr>
          <w:iCs/>
          <w:sz w:val="20"/>
          <w:szCs w:val="20"/>
        </w:rPr>
        <w:t xml:space="preserve"> vložil</w:t>
      </w:r>
      <w:r>
        <w:rPr>
          <w:iCs/>
          <w:sz w:val="20"/>
          <w:szCs w:val="20"/>
        </w:rPr>
        <w:t>o</w:t>
      </w:r>
      <w:r w:rsidRPr="00DC548C">
        <w:rPr>
          <w:iCs/>
          <w:sz w:val="20"/>
          <w:szCs w:val="20"/>
        </w:rPr>
        <w:t xml:space="preserve"> poprav</w:t>
      </w:r>
      <w:r>
        <w:rPr>
          <w:iCs/>
          <w:sz w:val="20"/>
          <w:szCs w:val="20"/>
        </w:rPr>
        <w:t>ke</w:t>
      </w:r>
      <w:r w:rsidRPr="00DC548C">
        <w:rPr>
          <w:iCs/>
          <w:sz w:val="20"/>
          <w:szCs w:val="20"/>
        </w:rPr>
        <w:t xml:space="preserve"> svoj</w:t>
      </w:r>
      <w:r>
        <w:rPr>
          <w:iCs/>
          <w:sz w:val="20"/>
          <w:szCs w:val="20"/>
        </w:rPr>
        <w:t>ih</w:t>
      </w:r>
      <w:r w:rsidRPr="00DC548C">
        <w:rPr>
          <w:iCs/>
          <w:sz w:val="20"/>
          <w:szCs w:val="20"/>
        </w:rPr>
        <w:t xml:space="preserve"> obračun</w:t>
      </w:r>
      <w:r>
        <w:rPr>
          <w:iCs/>
          <w:sz w:val="20"/>
          <w:szCs w:val="20"/>
        </w:rPr>
        <w:t>ov</w:t>
      </w:r>
      <w:r w:rsidRPr="00DC548C">
        <w:rPr>
          <w:iCs/>
          <w:sz w:val="20"/>
          <w:szCs w:val="20"/>
        </w:rPr>
        <w:t xml:space="preserve"> za prvo četrtletje leta 2018, ki </w:t>
      </w:r>
      <w:r>
        <w:rPr>
          <w:iCs/>
          <w:sz w:val="20"/>
          <w:szCs w:val="20"/>
        </w:rPr>
        <w:t>so</w:t>
      </w:r>
      <w:r w:rsidRPr="00DC548C">
        <w:rPr>
          <w:iCs/>
          <w:sz w:val="20"/>
          <w:szCs w:val="20"/>
        </w:rPr>
        <w:t xml:space="preserve"> skupaj dal</w:t>
      </w:r>
      <w:r>
        <w:rPr>
          <w:iCs/>
          <w:sz w:val="20"/>
          <w:szCs w:val="20"/>
        </w:rPr>
        <w:t>i</w:t>
      </w:r>
      <w:r w:rsidRPr="00DC548C">
        <w:rPr>
          <w:iCs/>
          <w:sz w:val="20"/>
          <w:szCs w:val="20"/>
        </w:rPr>
        <w:t xml:space="preserve"> v promet 1.</w:t>
      </w:r>
      <w:r>
        <w:rPr>
          <w:iCs/>
          <w:sz w:val="20"/>
          <w:szCs w:val="20"/>
        </w:rPr>
        <w:t>305.455,00 </w:t>
      </w:r>
      <w:r w:rsidRPr="00DC548C">
        <w:rPr>
          <w:iCs/>
          <w:sz w:val="20"/>
          <w:szCs w:val="20"/>
        </w:rPr>
        <w:t>kg embalaže, kar predstavlja 2</w:t>
      </w:r>
      <w:r>
        <w:rPr>
          <w:iCs/>
          <w:sz w:val="20"/>
          <w:szCs w:val="20"/>
        </w:rPr>
        <w:t>,45 </w:t>
      </w:r>
      <w:r w:rsidRPr="00DC548C">
        <w:rPr>
          <w:iCs/>
          <w:sz w:val="20"/>
          <w:szCs w:val="20"/>
        </w:rPr>
        <w:t xml:space="preserve">% embalaže, za katero so bili zavezanci za plačilo okoljske dajatve vključeni v sisteme ravnanja z odpadno embalažo, ki jih upravljajo družbe za ravnanje z odpadno embalažo. Zato so bili ponovno opravljeni vsi izračuni v skladu z metodologijo iz priloge 2B iz </w:t>
      </w:r>
      <w:r>
        <w:rPr>
          <w:iCs/>
          <w:sz w:val="20"/>
          <w:szCs w:val="20"/>
        </w:rPr>
        <w:t>u</w:t>
      </w:r>
      <w:r w:rsidRPr="00DC548C">
        <w:rPr>
          <w:iCs/>
          <w:sz w:val="20"/>
          <w:szCs w:val="20"/>
        </w:rPr>
        <w:t>redbe</w:t>
      </w:r>
      <w:r>
        <w:rPr>
          <w:iCs/>
          <w:sz w:val="20"/>
          <w:szCs w:val="20"/>
        </w:rPr>
        <w:t xml:space="preserve">. </w:t>
      </w:r>
      <w:r w:rsidRPr="00DC548C">
        <w:rPr>
          <w:iCs/>
          <w:sz w:val="20"/>
          <w:szCs w:val="20"/>
        </w:rPr>
        <w:t>Na podlagi teh izračunov je pripravljen predlog Sklepa o spremembah Slepa o določitvi deležev prevzemanja odpadne embalaže pri izvajalcih javne službe za leto 2018.</w:t>
      </w:r>
    </w:p>
    <w:p w:rsidR="00BD4A0E" w:rsidRPr="00A97C89" w:rsidRDefault="00BD4A0E" w:rsidP="00A97C89">
      <w:pPr>
        <w:pStyle w:val="Neotevilenodstavek"/>
        <w:spacing w:before="0" w:after="0" w:line="240" w:lineRule="auto"/>
        <w:rPr>
          <w:iCs/>
          <w:sz w:val="20"/>
          <w:szCs w:val="20"/>
        </w:rPr>
      </w:pPr>
    </w:p>
    <w:p w:rsidR="0090378A" w:rsidRPr="00DC548C" w:rsidRDefault="0090378A" w:rsidP="0090378A">
      <w:pPr>
        <w:pStyle w:val="Neotevilenodstavek"/>
        <w:spacing w:before="0" w:after="0" w:line="240" w:lineRule="auto"/>
        <w:rPr>
          <w:iCs/>
          <w:sz w:val="20"/>
          <w:szCs w:val="20"/>
        </w:rPr>
      </w:pPr>
      <w:r w:rsidRPr="00DC548C">
        <w:rPr>
          <w:iCs/>
          <w:sz w:val="20"/>
          <w:szCs w:val="20"/>
        </w:rPr>
        <w:t xml:space="preserve">Finančna uprava RS je Ministrstvu za okolje in prostor že decembra 2018, za namen priprave gradiva za prvo spremembo Sklepa o določitvi deležev prevzemanja odpadne embalaže pri izvajalcih javne službe za leto 2018 posredovala tudi obračun podjetja, ki je navedlo, da ima sklenjeno </w:t>
      </w:r>
      <w:proofErr w:type="spellStart"/>
      <w:r w:rsidRPr="00DC548C">
        <w:rPr>
          <w:iCs/>
          <w:sz w:val="20"/>
          <w:szCs w:val="20"/>
        </w:rPr>
        <w:t>podgodbo</w:t>
      </w:r>
      <w:proofErr w:type="spellEnd"/>
      <w:r w:rsidRPr="00DC548C">
        <w:rPr>
          <w:iCs/>
          <w:sz w:val="20"/>
          <w:szCs w:val="20"/>
        </w:rPr>
        <w:t xml:space="preserve"> z družbo za ravnanje z odpadno embalažo samo za embalažo nevarnega blaga, ne pa za celotno količino embalaže, ki jo daje v promet v RS, ker skupna količina embalaže ne presega praga 15.000</w:t>
      </w:r>
      <w:r>
        <w:rPr>
          <w:iCs/>
          <w:sz w:val="20"/>
          <w:szCs w:val="20"/>
        </w:rPr>
        <w:t> </w:t>
      </w:r>
      <w:r w:rsidRPr="00DC548C">
        <w:rPr>
          <w:iCs/>
          <w:sz w:val="20"/>
          <w:szCs w:val="20"/>
        </w:rPr>
        <w:t>kg, kar je v skladu s 36.</w:t>
      </w:r>
      <w:r>
        <w:rPr>
          <w:iCs/>
          <w:sz w:val="20"/>
          <w:szCs w:val="20"/>
        </w:rPr>
        <w:t> </w:t>
      </w:r>
      <w:r w:rsidRPr="00DC548C">
        <w:rPr>
          <w:iCs/>
          <w:sz w:val="20"/>
          <w:szCs w:val="20"/>
        </w:rPr>
        <w:t xml:space="preserve">členom </w:t>
      </w:r>
      <w:r w:rsidR="000B57E8">
        <w:rPr>
          <w:iCs/>
          <w:sz w:val="20"/>
          <w:szCs w:val="20"/>
        </w:rPr>
        <w:t>u</w:t>
      </w:r>
      <w:r w:rsidRPr="00DC548C">
        <w:rPr>
          <w:iCs/>
          <w:sz w:val="20"/>
          <w:szCs w:val="20"/>
        </w:rPr>
        <w:t>redbe. Nobeno drugo podjetje ni vložilo takšnega obračuna. Trenutno informacijski sistem Finančne uprave RS ne omogoča vnosa podatkov iz tako pripravljenega obračuna. Ker se podatki iz obračuna tega podjetja o količini embalaže, za katero ima sklenjeno pogodbo z družbo za ravnanje z odpadno embalažo niso spremenili, jih je Ministrstvo za okolje in prostor ustrezno upoštevalo tudi pri izračunu deležev za ta predlog sklepa.</w:t>
      </w:r>
    </w:p>
    <w:p w:rsidR="009C7D37" w:rsidRPr="00A97C89" w:rsidRDefault="009C7D37" w:rsidP="00A97C89">
      <w:pPr>
        <w:pStyle w:val="Neotevilenodstavek"/>
        <w:spacing w:before="0" w:after="0" w:line="240" w:lineRule="auto"/>
        <w:rPr>
          <w:iCs/>
          <w:sz w:val="20"/>
          <w:szCs w:val="20"/>
        </w:rPr>
      </w:pPr>
    </w:p>
    <w:p w:rsidR="00BD4A0E" w:rsidRPr="00A97C89" w:rsidRDefault="00BD4A0E" w:rsidP="00A97C89">
      <w:pPr>
        <w:pStyle w:val="Neotevilenodstavek"/>
        <w:spacing w:before="0" w:after="0" w:line="240" w:lineRule="auto"/>
        <w:rPr>
          <w:iCs/>
          <w:sz w:val="20"/>
          <w:szCs w:val="20"/>
        </w:rPr>
      </w:pPr>
      <w:r w:rsidRPr="00A97C89">
        <w:rPr>
          <w:iCs/>
          <w:sz w:val="20"/>
          <w:szCs w:val="20"/>
        </w:rPr>
        <w:t>Izvajalci javne službe in družbe za ravnanje z odpadno embalažo izpolnjujejo svojo obveznost glede oddaje oziroma prevzema odpadne embalaže na podlag</w:t>
      </w:r>
      <w:r w:rsidR="000B57E8">
        <w:rPr>
          <w:iCs/>
          <w:sz w:val="20"/>
          <w:szCs w:val="20"/>
        </w:rPr>
        <w:t>i 18. oziroma 19. in 39. člena uredbe</w:t>
      </w:r>
      <w:r w:rsidRPr="00A97C89">
        <w:rPr>
          <w:iCs/>
          <w:sz w:val="20"/>
          <w:szCs w:val="20"/>
        </w:rPr>
        <w:t xml:space="preserve">, in ne na podlagi sklepa. S sklepom tako ni odločeno o pravicah in obveznostih posameznega izvajalca javne službe in posamezne družbe za ravnanje z odpadno embalažo; izdani sklep tako tudi ni bil </w:t>
      </w:r>
      <w:proofErr w:type="spellStart"/>
      <w:r w:rsidR="0018250F" w:rsidRPr="00A97C89">
        <w:rPr>
          <w:iCs/>
          <w:sz w:val="20"/>
          <w:szCs w:val="20"/>
        </w:rPr>
        <w:t>konzumiran</w:t>
      </w:r>
      <w:proofErr w:type="spellEnd"/>
      <w:r w:rsidRPr="00A97C89">
        <w:rPr>
          <w:iCs/>
          <w:sz w:val="20"/>
          <w:szCs w:val="20"/>
        </w:rPr>
        <w:t>.</w:t>
      </w:r>
    </w:p>
    <w:p w:rsidR="00BD4A0E" w:rsidRPr="00A97C89" w:rsidRDefault="00BD4A0E" w:rsidP="00A97C89">
      <w:pPr>
        <w:pStyle w:val="Neotevilenodstavek"/>
        <w:spacing w:before="0" w:after="0" w:line="240" w:lineRule="auto"/>
        <w:rPr>
          <w:iCs/>
          <w:sz w:val="20"/>
          <w:szCs w:val="20"/>
        </w:rPr>
      </w:pPr>
    </w:p>
    <w:p w:rsidR="00BD4A0E" w:rsidRPr="00A97C89" w:rsidRDefault="00BD4A0E" w:rsidP="00A97C89">
      <w:pPr>
        <w:pStyle w:val="Neotevilenodstavek"/>
        <w:spacing w:before="0" w:after="0" w:line="240" w:lineRule="auto"/>
        <w:rPr>
          <w:iCs/>
          <w:sz w:val="20"/>
          <w:szCs w:val="20"/>
        </w:rPr>
      </w:pPr>
      <w:r w:rsidRPr="00A97C89">
        <w:rPr>
          <w:iCs/>
          <w:sz w:val="20"/>
          <w:szCs w:val="20"/>
        </w:rPr>
        <w:t xml:space="preserve">Osnovni namen določitve deležev prevzemanja odpadne embalaže pri izvajalcih javne službe s sklepom je zagotovitev podlag za usklajeno ravnanje družb za ravnanje z odpadno embalažo in izvajalcev javne službe ter za preverjanje in nadziranje izpolnjevanja predpisanih obveznosti prevzema in oddaje odpadne embalaže, ki jih družbam za ravnanje z odpadno embalažo in </w:t>
      </w:r>
      <w:r w:rsidR="000B57E8">
        <w:rPr>
          <w:iCs/>
          <w:sz w:val="20"/>
          <w:szCs w:val="20"/>
        </w:rPr>
        <w:t>izvajalcem javne službe nalaga u</w:t>
      </w:r>
      <w:r w:rsidRPr="00A97C89">
        <w:rPr>
          <w:iCs/>
          <w:sz w:val="20"/>
          <w:szCs w:val="20"/>
        </w:rPr>
        <w:t>redba.</w:t>
      </w:r>
    </w:p>
    <w:p w:rsidR="00BD4A0E" w:rsidRPr="00A97C89" w:rsidRDefault="00BD4A0E" w:rsidP="00A97C89">
      <w:pPr>
        <w:pStyle w:val="Neotevilenodstavek"/>
        <w:spacing w:before="0" w:after="0" w:line="240" w:lineRule="auto"/>
        <w:rPr>
          <w:iCs/>
          <w:sz w:val="20"/>
          <w:szCs w:val="20"/>
        </w:rPr>
      </w:pPr>
    </w:p>
    <w:p w:rsidR="00BD4A0E" w:rsidRPr="00A97C89" w:rsidRDefault="00BD4A0E" w:rsidP="00A97C89">
      <w:pPr>
        <w:pStyle w:val="Neotevilenodstavek"/>
        <w:spacing w:before="0" w:after="0" w:line="240" w:lineRule="auto"/>
        <w:rPr>
          <w:iCs/>
          <w:sz w:val="20"/>
          <w:szCs w:val="20"/>
        </w:rPr>
      </w:pPr>
      <w:r w:rsidRPr="00A97C89">
        <w:rPr>
          <w:iCs/>
          <w:sz w:val="20"/>
          <w:szCs w:val="20"/>
        </w:rPr>
        <w:t xml:space="preserve">Za </w:t>
      </w:r>
      <w:r w:rsidR="009C7D37" w:rsidRPr="00A97C89">
        <w:rPr>
          <w:iCs/>
          <w:sz w:val="20"/>
          <w:szCs w:val="20"/>
        </w:rPr>
        <w:t xml:space="preserve">ta </w:t>
      </w:r>
      <w:r w:rsidRPr="00A97C89">
        <w:rPr>
          <w:iCs/>
          <w:sz w:val="20"/>
          <w:szCs w:val="20"/>
        </w:rPr>
        <w:t xml:space="preserve">predlog Sklepa o spremembah o določitvi deležev prevzemanja odpadne embalaže pri izvajalcih javne službe za leto 2018 so tako uporabljeni podatki o masi embalaže, dane v promet v prvem četrtletju leta 2018, na dan </w:t>
      </w:r>
      <w:r w:rsidR="009C7D37" w:rsidRPr="00A97C89">
        <w:rPr>
          <w:iCs/>
          <w:sz w:val="20"/>
          <w:szCs w:val="20"/>
        </w:rPr>
        <w:t>7. 1. 2019</w:t>
      </w:r>
      <w:r w:rsidRPr="00A97C89">
        <w:rPr>
          <w:iCs/>
          <w:sz w:val="20"/>
          <w:szCs w:val="20"/>
        </w:rPr>
        <w:t xml:space="preserve">, za katero je bila obračunana okoljska dajatev za onesnaževanje okolja zaradi nastajanja odpadne embalaže in za katero so zavezanci za plačilo okoljske dajatve v obrazcu za njen obračun navedli, da so vključeni v sistem ravnanja z odpadno embalažo ene izmed družb za ravnanje z odpadno embalažo ter podatki iz obračuna zavezanca, ki ima sklenjeno </w:t>
      </w:r>
      <w:proofErr w:type="spellStart"/>
      <w:r w:rsidRPr="00A97C89">
        <w:rPr>
          <w:iCs/>
          <w:sz w:val="20"/>
          <w:szCs w:val="20"/>
        </w:rPr>
        <w:t>podgodbo</w:t>
      </w:r>
      <w:proofErr w:type="spellEnd"/>
      <w:r w:rsidRPr="00A97C89">
        <w:rPr>
          <w:iCs/>
          <w:sz w:val="20"/>
          <w:szCs w:val="20"/>
        </w:rPr>
        <w:t xml:space="preserve"> z družbo za ravnanje z odpadno embalažo samo za embalažo nevarnega blaga, ne pa za celotno količino embalaže, ki jo daje v promet v RS, ker skupna količina embalaže ne presega praga 15.000 kg, kar je v skladu s 36. členom uredbe.</w:t>
      </w:r>
    </w:p>
    <w:p w:rsidR="00BD4A0E" w:rsidRPr="00A97C89" w:rsidRDefault="00BD4A0E" w:rsidP="00A97C89">
      <w:pPr>
        <w:pStyle w:val="Neotevilenodstavek"/>
        <w:spacing w:before="0" w:after="0" w:line="240" w:lineRule="auto"/>
        <w:rPr>
          <w:iCs/>
          <w:sz w:val="20"/>
          <w:szCs w:val="20"/>
        </w:rPr>
      </w:pPr>
    </w:p>
    <w:p w:rsidR="00BD4A0E" w:rsidRPr="00A97C89" w:rsidRDefault="00BD4A0E" w:rsidP="00A97C89">
      <w:pPr>
        <w:pStyle w:val="Neotevilenodstavek"/>
        <w:spacing w:before="0" w:after="0" w:line="240" w:lineRule="auto"/>
        <w:rPr>
          <w:iCs/>
          <w:sz w:val="20"/>
          <w:szCs w:val="20"/>
        </w:rPr>
      </w:pPr>
      <w:r w:rsidRPr="00A97C89">
        <w:rPr>
          <w:iCs/>
          <w:sz w:val="20"/>
          <w:szCs w:val="20"/>
        </w:rPr>
        <w:t xml:space="preserve">V prvem četrtletju leta 2018 je bilo v promet dane </w:t>
      </w:r>
      <w:r w:rsidRPr="00A97C89">
        <w:rPr>
          <w:b/>
          <w:iCs/>
          <w:sz w:val="20"/>
          <w:szCs w:val="20"/>
        </w:rPr>
        <w:t>55.3</w:t>
      </w:r>
      <w:r w:rsidR="000B57E8">
        <w:rPr>
          <w:b/>
          <w:iCs/>
          <w:sz w:val="20"/>
          <w:szCs w:val="20"/>
        </w:rPr>
        <w:t>49</w:t>
      </w:r>
      <w:r w:rsidRPr="00A97C89">
        <w:rPr>
          <w:b/>
          <w:iCs/>
          <w:sz w:val="20"/>
          <w:szCs w:val="20"/>
        </w:rPr>
        <w:t>.</w:t>
      </w:r>
      <w:r w:rsidR="000B57E8">
        <w:rPr>
          <w:b/>
          <w:iCs/>
          <w:sz w:val="20"/>
          <w:szCs w:val="20"/>
        </w:rPr>
        <w:t>48</w:t>
      </w:r>
      <w:r w:rsidRPr="00A97C89">
        <w:rPr>
          <w:b/>
          <w:iCs/>
          <w:sz w:val="20"/>
          <w:szCs w:val="20"/>
        </w:rPr>
        <w:t>5,75 kg</w:t>
      </w:r>
      <w:r w:rsidRPr="00A97C89">
        <w:rPr>
          <w:iCs/>
          <w:sz w:val="20"/>
          <w:szCs w:val="20"/>
        </w:rPr>
        <w:t xml:space="preserve"> embalaže, za katero je bila plačana okoljska dajatev, od tega </w:t>
      </w:r>
      <w:r w:rsidRPr="00A97C89">
        <w:rPr>
          <w:b/>
          <w:iCs/>
          <w:sz w:val="20"/>
          <w:szCs w:val="20"/>
        </w:rPr>
        <w:t>53.3</w:t>
      </w:r>
      <w:r w:rsidR="000B57E8">
        <w:rPr>
          <w:b/>
          <w:iCs/>
          <w:sz w:val="20"/>
          <w:szCs w:val="20"/>
        </w:rPr>
        <w:t>25</w:t>
      </w:r>
      <w:r w:rsidRPr="00A97C89">
        <w:rPr>
          <w:b/>
          <w:iCs/>
          <w:sz w:val="20"/>
          <w:szCs w:val="20"/>
        </w:rPr>
        <w:t>.</w:t>
      </w:r>
      <w:r w:rsidR="000B57E8">
        <w:rPr>
          <w:b/>
          <w:iCs/>
          <w:sz w:val="20"/>
          <w:szCs w:val="20"/>
        </w:rPr>
        <w:t>577</w:t>
      </w:r>
      <w:r w:rsidRPr="00A97C89">
        <w:rPr>
          <w:b/>
          <w:iCs/>
          <w:sz w:val="20"/>
          <w:szCs w:val="20"/>
        </w:rPr>
        <w:t>,39 kg</w:t>
      </w:r>
      <w:r w:rsidRPr="00A97C89">
        <w:rPr>
          <w:iCs/>
          <w:sz w:val="20"/>
          <w:szCs w:val="20"/>
        </w:rPr>
        <w:t xml:space="preserve"> embalaže, za katero so bili zavezanci za plačilo okoljske dajatve vključeni v sistem ravnanja z odpadno embalažo ene izmed družb za ravnanje z odpadno embalažo, oziroma razdeljeno po embalažnih materialih:</w:t>
      </w:r>
    </w:p>
    <w:p w:rsidR="00BD4A0E" w:rsidRPr="00A97C89" w:rsidRDefault="00BD4A0E" w:rsidP="00A97C89">
      <w:pPr>
        <w:pStyle w:val="Neotevilenodstavek"/>
        <w:numPr>
          <w:ilvl w:val="0"/>
          <w:numId w:val="24"/>
        </w:numPr>
        <w:spacing w:before="120" w:after="0" w:line="240" w:lineRule="auto"/>
        <w:ind w:left="425" w:hanging="425"/>
        <w:rPr>
          <w:iCs/>
          <w:sz w:val="20"/>
          <w:szCs w:val="20"/>
        </w:rPr>
      </w:pPr>
      <w:r w:rsidRPr="00A97C89">
        <w:rPr>
          <w:b/>
          <w:iCs/>
          <w:sz w:val="20"/>
          <w:szCs w:val="20"/>
        </w:rPr>
        <w:t>22.881.940,05 kg</w:t>
      </w:r>
      <w:r w:rsidR="001166AB" w:rsidRPr="00A97C89">
        <w:rPr>
          <w:iCs/>
          <w:sz w:val="20"/>
          <w:szCs w:val="20"/>
        </w:rPr>
        <w:t xml:space="preserve"> </w:t>
      </w:r>
      <w:r w:rsidRPr="00A97C89">
        <w:rPr>
          <w:iCs/>
          <w:sz w:val="20"/>
          <w:szCs w:val="20"/>
        </w:rPr>
        <w:t>embalaže A1 (papir),</w:t>
      </w:r>
    </w:p>
    <w:p w:rsidR="00BD4A0E" w:rsidRPr="00A97C89" w:rsidRDefault="00BD4A0E" w:rsidP="00A97C89">
      <w:pPr>
        <w:pStyle w:val="Neotevilenodstavek"/>
        <w:numPr>
          <w:ilvl w:val="0"/>
          <w:numId w:val="24"/>
        </w:numPr>
        <w:spacing w:before="0" w:after="0" w:line="240" w:lineRule="auto"/>
        <w:ind w:left="426" w:hanging="426"/>
        <w:rPr>
          <w:iCs/>
          <w:sz w:val="20"/>
          <w:szCs w:val="20"/>
        </w:rPr>
      </w:pPr>
      <w:r w:rsidRPr="00A97C89">
        <w:rPr>
          <w:b/>
          <w:iCs/>
          <w:sz w:val="20"/>
          <w:szCs w:val="20"/>
        </w:rPr>
        <w:t>7.</w:t>
      </w:r>
      <w:r w:rsidR="009C7D37" w:rsidRPr="00A97C89">
        <w:rPr>
          <w:b/>
          <w:iCs/>
          <w:sz w:val="20"/>
          <w:szCs w:val="20"/>
        </w:rPr>
        <w:t>175</w:t>
      </w:r>
      <w:r w:rsidRPr="00A97C89">
        <w:rPr>
          <w:b/>
          <w:iCs/>
          <w:sz w:val="20"/>
          <w:szCs w:val="20"/>
        </w:rPr>
        <w:t>.</w:t>
      </w:r>
      <w:r w:rsidR="009C7D37" w:rsidRPr="00A97C89">
        <w:rPr>
          <w:b/>
          <w:iCs/>
          <w:sz w:val="20"/>
          <w:szCs w:val="20"/>
        </w:rPr>
        <w:t>310</w:t>
      </w:r>
      <w:r w:rsidRPr="00A97C89">
        <w:rPr>
          <w:b/>
          <w:iCs/>
          <w:sz w:val="20"/>
          <w:szCs w:val="20"/>
        </w:rPr>
        <w:t>,27 kg</w:t>
      </w:r>
      <w:r w:rsidR="001166AB" w:rsidRPr="00A97C89">
        <w:rPr>
          <w:iCs/>
          <w:sz w:val="20"/>
          <w:szCs w:val="20"/>
        </w:rPr>
        <w:t xml:space="preserve"> </w:t>
      </w:r>
      <w:r w:rsidRPr="00A97C89">
        <w:rPr>
          <w:iCs/>
          <w:sz w:val="20"/>
          <w:szCs w:val="20"/>
        </w:rPr>
        <w:t>embalaže A6 (steklo),</w:t>
      </w:r>
    </w:p>
    <w:p w:rsidR="00BD4A0E" w:rsidRPr="00A97C89" w:rsidRDefault="00BD4A0E" w:rsidP="00A97C89">
      <w:pPr>
        <w:pStyle w:val="Neotevilenodstavek"/>
        <w:numPr>
          <w:ilvl w:val="0"/>
          <w:numId w:val="24"/>
        </w:numPr>
        <w:spacing w:before="0" w:after="0" w:line="240" w:lineRule="auto"/>
        <w:ind w:left="426" w:hanging="426"/>
        <w:rPr>
          <w:iCs/>
          <w:sz w:val="20"/>
          <w:szCs w:val="20"/>
        </w:rPr>
      </w:pPr>
      <w:r w:rsidRPr="00A97C89">
        <w:rPr>
          <w:b/>
          <w:iCs/>
          <w:sz w:val="20"/>
          <w:szCs w:val="20"/>
        </w:rPr>
        <w:t>1</w:t>
      </w:r>
      <w:r w:rsidR="009C7D37" w:rsidRPr="00A97C89">
        <w:rPr>
          <w:b/>
          <w:iCs/>
          <w:sz w:val="20"/>
          <w:szCs w:val="20"/>
        </w:rPr>
        <w:t>4</w:t>
      </w:r>
      <w:r w:rsidRPr="00A97C89">
        <w:rPr>
          <w:b/>
          <w:iCs/>
          <w:sz w:val="20"/>
          <w:szCs w:val="20"/>
        </w:rPr>
        <w:t>.</w:t>
      </w:r>
      <w:r w:rsidR="009C7D37" w:rsidRPr="00A97C89">
        <w:rPr>
          <w:b/>
          <w:iCs/>
          <w:sz w:val="20"/>
          <w:szCs w:val="20"/>
        </w:rPr>
        <w:t>9</w:t>
      </w:r>
      <w:r w:rsidR="000B57E8">
        <w:rPr>
          <w:b/>
          <w:iCs/>
          <w:sz w:val="20"/>
          <w:szCs w:val="20"/>
        </w:rPr>
        <w:t>19</w:t>
      </w:r>
      <w:r w:rsidRPr="00A97C89">
        <w:rPr>
          <w:b/>
          <w:iCs/>
          <w:sz w:val="20"/>
          <w:szCs w:val="20"/>
        </w:rPr>
        <w:t>.</w:t>
      </w:r>
      <w:r w:rsidR="000B57E8">
        <w:rPr>
          <w:b/>
          <w:iCs/>
          <w:sz w:val="20"/>
          <w:szCs w:val="20"/>
        </w:rPr>
        <w:t>218</w:t>
      </w:r>
      <w:r w:rsidRPr="00A97C89">
        <w:rPr>
          <w:b/>
          <w:iCs/>
          <w:sz w:val="20"/>
          <w:szCs w:val="20"/>
        </w:rPr>
        <w:t>,78 kg</w:t>
      </w:r>
      <w:r w:rsidR="001166AB" w:rsidRPr="00A97C89">
        <w:rPr>
          <w:iCs/>
          <w:sz w:val="20"/>
          <w:szCs w:val="20"/>
        </w:rPr>
        <w:t xml:space="preserve"> </w:t>
      </w:r>
      <w:r w:rsidRPr="00A97C89">
        <w:rPr>
          <w:iCs/>
          <w:sz w:val="20"/>
          <w:szCs w:val="20"/>
        </w:rPr>
        <w:t>embalaže A2, A3, A5 in B (plastika in kovine: mešana embalaža),</w:t>
      </w:r>
    </w:p>
    <w:p w:rsidR="00BD4A0E" w:rsidRPr="00A97C89" w:rsidRDefault="00BD4A0E" w:rsidP="00A97C89">
      <w:pPr>
        <w:pStyle w:val="Neotevilenodstavek"/>
        <w:numPr>
          <w:ilvl w:val="0"/>
          <w:numId w:val="24"/>
        </w:numPr>
        <w:spacing w:before="0" w:after="0" w:line="240" w:lineRule="auto"/>
        <w:ind w:left="426" w:hanging="426"/>
        <w:rPr>
          <w:iCs/>
          <w:sz w:val="20"/>
          <w:szCs w:val="20"/>
        </w:rPr>
      </w:pPr>
      <w:r w:rsidRPr="00A97C89">
        <w:rPr>
          <w:b/>
          <w:iCs/>
          <w:sz w:val="20"/>
          <w:szCs w:val="20"/>
        </w:rPr>
        <w:t>8.</w:t>
      </w:r>
      <w:r w:rsidR="009C7D37" w:rsidRPr="00A97C89">
        <w:rPr>
          <w:b/>
          <w:iCs/>
          <w:sz w:val="20"/>
          <w:szCs w:val="20"/>
        </w:rPr>
        <w:t>217</w:t>
      </w:r>
      <w:r w:rsidRPr="00A97C89">
        <w:rPr>
          <w:b/>
          <w:iCs/>
          <w:sz w:val="20"/>
          <w:szCs w:val="20"/>
        </w:rPr>
        <w:t>.</w:t>
      </w:r>
      <w:r w:rsidR="009C7D37" w:rsidRPr="00A97C89">
        <w:rPr>
          <w:b/>
          <w:iCs/>
          <w:sz w:val="20"/>
          <w:szCs w:val="20"/>
        </w:rPr>
        <w:t>569</w:t>
      </w:r>
      <w:r w:rsidRPr="00A97C89">
        <w:rPr>
          <w:b/>
          <w:iCs/>
          <w:sz w:val="20"/>
          <w:szCs w:val="20"/>
        </w:rPr>
        <w:t>,30 kg</w:t>
      </w:r>
      <w:r w:rsidR="001166AB" w:rsidRPr="00A97C89">
        <w:rPr>
          <w:iCs/>
          <w:sz w:val="20"/>
          <w:szCs w:val="20"/>
        </w:rPr>
        <w:t xml:space="preserve"> </w:t>
      </w:r>
      <w:r w:rsidRPr="00A97C89">
        <w:rPr>
          <w:iCs/>
          <w:sz w:val="20"/>
          <w:szCs w:val="20"/>
        </w:rPr>
        <w:t>embalaže A4 (les),</w:t>
      </w:r>
    </w:p>
    <w:p w:rsidR="00BD4A0E" w:rsidRPr="00A97C89" w:rsidRDefault="00BD4A0E" w:rsidP="00A97C89">
      <w:pPr>
        <w:pStyle w:val="Neotevilenodstavek"/>
        <w:numPr>
          <w:ilvl w:val="0"/>
          <w:numId w:val="24"/>
        </w:numPr>
        <w:spacing w:before="0" w:after="0" w:line="240" w:lineRule="auto"/>
        <w:ind w:left="426" w:hanging="426"/>
        <w:rPr>
          <w:iCs/>
          <w:sz w:val="20"/>
          <w:szCs w:val="20"/>
        </w:rPr>
      </w:pPr>
      <w:r w:rsidRPr="00A97C89">
        <w:rPr>
          <w:b/>
          <w:iCs/>
          <w:sz w:val="20"/>
          <w:szCs w:val="20"/>
        </w:rPr>
        <w:t>131.538,99 kg</w:t>
      </w:r>
      <w:r w:rsidR="001166AB" w:rsidRPr="00A97C89">
        <w:rPr>
          <w:iCs/>
          <w:sz w:val="20"/>
          <w:szCs w:val="20"/>
        </w:rPr>
        <w:t xml:space="preserve"> </w:t>
      </w:r>
      <w:r w:rsidRPr="00A97C89">
        <w:rPr>
          <w:iCs/>
          <w:sz w:val="20"/>
          <w:szCs w:val="20"/>
        </w:rPr>
        <w:t>embalaže A7 (drugi materiali).</w:t>
      </w:r>
    </w:p>
    <w:p w:rsidR="00BD4A0E" w:rsidRPr="00A97C89" w:rsidRDefault="00BD4A0E" w:rsidP="00A97C89">
      <w:pPr>
        <w:pStyle w:val="Neotevilenodstavek"/>
        <w:spacing w:before="0" w:after="0" w:line="240" w:lineRule="auto"/>
        <w:rPr>
          <w:iCs/>
          <w:sz w:val="20"/>
          <w:szCs w:val="20"/>
        </w:rPr>
      </w:pPr>
    </w:p>
    <w:p w:rsidR="00BD4A0E" w:rsidRPr="00A97C89" w:rsidRDefault="00BD4A0E" w:rsidP="00A97C89">
      <w:pPr>
        <w:pStyle w:val="Neotevilenodstavek"/>
        <w:spacing w:before="0" w:after="0" w:line="240" w:lineRule="auto"/>
        <w:rPr>
          <w:iCs/>
          <w:sz w:val="20"/>
          <w:szCs w:val="20"/>
        </w:rPr>
      </w:pPr>
      <w:r w:rsidRPr="00A97C89">
        <w:rPr>
          <w:iCs/>
          <w:sz w:val="20"/>
          <w:szCs w:val="20"/>
        </w:rPr>
        <w:t>Porazdelitev mase embalaže med posamezne družbe za ravnanje z odpadno embalažo in po posameznih embalažnih materialih je razvidna iz preglednice 1.</w:t>
      </w:r>
    </w:p>
    <w:p w:rsidR="00BD4A0E" w:rsidRDefault="00BD4A0E" w:rsidP="00A97C89">
      <w:pPr>
        <w:pStyle w:val="Neotevilenodstavek"/>
        <w:spacing w:before="0" w:after="0" w:line="240" w:lineRule="auto"/>
        <w:rPr>
          <w:iCs/>
          <w:sz w:val="20"/>
          <w:szCs w:val="20"/>
        </w:rPr>
      </w:pPr>
    </w:p>
    <w:p w:rsidR="00A97C89" w:rsidRPr="00A97C89" w:rsidRDefault="00A97C89" w:rsidP="00A97C89">
      <w:pPr>
        <w:pStyle w:val="Neotevilenodstavek"/>
        <w:spacing w:before="0" w:after="0" w:line="240" w:lineRule="auto"/>
        <w:rPr>
          <w:iCs/>
          <w:sz w:val="20"/>
          <w:szCs w:val="20"/>
        </w:rPr>
      </w:pPr>
    </w:p>
    <w:p w:rsidR="00BD4A0E" w:rsidRPr="00A97C89" w:rsidRDefault="00BD4A0E" w:rsidP="00A97C89">
      <w:pPr>
        <w:pStyle w:val="Neotevilenodstavek"/>
        <w:spacing w:before="0" w:after="0" w:line="240" w:lineRule="auto"/>
        <w:rPr>
          <w:iCs/>
          <w:sz w:val="20"/>
          <w:szCs w:val="20"/>
        </w:rPr>
      </w:pPr>
      <w:r w:rsidRPr="00A97C89">
        <w:rPr>
          <w:iCs/>
          <w:sz w:val="20"/>
          <w:szCs w:val="20"/>
        </w:rPr>
        <w:t>Preglednica 1: Porazdelitev mase embalaže med posamezne družbe za ravnanje z odpadno embalažo, po embalažnih materialih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1780"/>
        <w:gridCol w:w="1780"/>
        <w:gridCol w:w="1780"/>
        <w:gridCol w:w="1770"/>
        <w:gridCol w:w="10"/>
      </w:tblGrid>
      <w:tr w:rsidR="000B57E8" w:rsidRPr="00034649" w:rsidTr="00624AD8">
        <w:trPr>
          <w:gridAfter w:val="1"/>
          <w:wAfter w:w="10" w:type="dxa"/>
        </w:trPr>
        <w:tc>
          <w:tcPr>
            <w:tcW w:w="1528" w:type="dxa"/>
            <w:vMerge w:val="restart"/>
            <w:tcBorders>
              <w:top w:val="single" w:sz="12" w:space="0" w:color="auto"/>
              <w:left w:val="single" w:sz="12" w:space="0" w:color="auto"/>
              <w:right w:val="single" w:sz="12" w:space="0" w:color="auto"/>
            </w:tcBorders>
            <w:shd w:val="clear" w:color="auto" w:fill="FFFFFF" w:themeFill="background1"/>
            <w:vAlign w:val="center"/>
          </w:tcPr>
          <w:p w:rsidR="000B57E8" w:rsidRPr="00034649" w:rsidRDefault="000B57E8" w:rsidP="00624AD8">
            <w:pPr>
              <w:spacing w:line="240" w:lineRule="auto"/>
              <w:jc w:val="center"/>
            </w:pPr>
            <w:r w:rsidRPr="00034649">
              <w:t>DROE</w:t>
            </w:r>
          </w:p>
        </w:tc>
        <w:tc>
          <w:tcPr>
            <w:tcW w:w="711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0B57E8" w:rsidRPr="00034649" w:rsidRDefault="000B57E8" w:rsidP="00624AD8">
            <w:pPr>
              <w:spacing w:line="240" w:lineRule="auto"/>
              <w:jc w:val="center"/>
            </w:pPr>
            <w:r w:rsidRPr="00034649">
              <w:t>Masa embalaže po vrsti embalaže (v kg)</w:t>
            </w:r>
          </w:p>
        </w:tc>
      </w:tr>
      <w:tr w:rsidR="000B57E8" w:rsidRPr="00034649" w:rsidTr="00624AD8">
        <w:tc>
          <w:tcPr>
            <w:tcW w:w="1528" w:type="dxa"/>
            <w:vMerge/>
            <w:tcBorders>
              <w:left w:val="single" w:sz="12" w:space="0" w:color="auto"/>
              <w:bottom w:val="single" w:sz="12" w:space="0" w:color="auto"/>
              <w:right w:val="single" w:sz="12" w:space="0" w:color="auto"/>
            </w:tcBorders>
            <w:shd w:val="clear" w:color="auto" w:fill="FFFFFF" w:themeFill="background1"/>
          </w:tcPr>
          <w:p w:rsidR="000B57E8" w:rsidRPr="00034649" w:rsidRDefault="000B57E8" w:rsidP="00624AD8">
            <w:pPr>
              <w:spacing w:line="240" w:lineRule="auto"/>
              <w:jc w:val="both"/>
            </w:pPr>
          </w:p>
        </w:tc>
        <w:tc>
          <w:tcPr>
            <w:tcW w:w="178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0B57E8" w:rsidRPr="00034649" w:rsidRDefault="000B57E8" w:rsidP="00624AD8">
            <w:pPr>
              <w:spacing w:line="240" w:lineRule="auto"/>
              <w:jc w:val="center"/>
            </w:pPr>
            <w:r w:rsidRPr="00034649">
              <w:t>A1</w:t>
            </w:r>
          </w:p>
        </w:tc>
        <w:tc>
          <w:tcPr>
            <w:tcW w:w="178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0B57E8" w:rsidRPr="00034649" w:rsidRDefault="000B57E8" w:rsidP="00624AD8">
            <w:pPr>
              <w:spacing w:line="240" w:lineRule="auto"/>
              <w:jc w:val="center"/>
            </w:pPr>
            <w:r w:rsidRPr="00034649">
              <w:t>A6</w:t>
            </w:r>
          </w:p>
        </w:tc>
        <w:tc>
          <w:tcPr>
            <w:tcW w:w="178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0B57E8" w:rsidRPr="00034649" w:rsidRDefault="000B57E8" w:rsidP="00624AD8">
            <w:pPr>
              <w:spacing w:line="240" w:lineRule="auto"/>
              <w:jc w:val="center"/>
            </w:pPr>
            <w:r w:rsidRPr="00034649">
              <w:t>A2+A3+A5+B</w:t>
            </w:r>
          </w:p>
        </w:tc>
        <w:tc>
          <w:tcPr>
            <w:tcW w:w="178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0B57E8" w:rsidRPr="00034649" w:rsidRDefault="000B57E8" w:rsidP="00624AD8">
            <w:pPr>
              <w:spacing w:line="240" w:lineRule="auto"/>
              <w:jc w:val="center"/>
            </w:pPr>
            <w:r w:rsidRPr="00034649">
              <w:t>A4</w:t>
            </w:r>
          </w:p>
        </w:tc>
      </w:tr>
      <w:tr w:rsidR="000B57E8" w:rsidRPr="001166AB" w:rsidTr="00624AD8">
        <w:tc>
          <w:tcPr>
            <w:tcW w:w="1528" w:type="dxa"/>
            <w:tcBorders>
              <w:top w:val="single" w:sz="12" w:space="0" w:color="auto"/>
              <w:left w:val="single" w:sz="12" w:space="0" w:color="auto"/>
              <w:right w:val="single" w:sz="12" w:space="0" w:color="auto"/>
            </w:tcBorders>
            <w:shd w:val="clear" w:color="auto" w:fill="FFFFFF" w:themeFill="background1"/>
            <w:vAlign w:val="center"/>
          </w:tcPr>
          <w:p w:rsidR="000B57E8" w:rsidRPr="00034649" w:rsidRDefault="000B57E8" w:rsidP="00624AD8">
            <w:pPr>
              <w:spacing w:line="240" w:lineRule="auto"/>
            </w:pPr>
            <w:r w:rsidRPr="00034649">
              <w:t>DINOS</w:t>
            </w:r>
          </w:p>
        </w:tc>
        <w:tc>
          <w:tcPr>
            <w:tcW w:w="1780" w:type="dxa"/>
            <w:tcBorders>
              <w:top w:val="single" w:sz="12" w:space="0" w:color="auto"/>
              <w:left w:val="single" w:sz="12" w:space="0" w:color="auto"/>
              <w:right w:val="single" w:sz="12" w:space="0" w:color="auto"/>
            </w:tcBorders>
            <w:shd w:val="clear" w:color="auto" w:fill="FFFFFF" w:themeFill="background1"/>
            <w:vAlign w:val="bottom"/>
          </w:tcPr>
          <w:p w:rsidR="000B57E8" w:rsidRPr="001166AB" w:rsidRDefault="000B57E8" w:rsidP="00624AD8">
            <w:pPr>
              <w:jc w:val="right"/>
            </w:pPr>
            <w:r w:rsidRPr="001166AB">
              <w:t>5.582.484,57</w:t>
            </w:r>
          </w:p>
        </w:tc>
        <w:tc>
          <w:tcPr>
            <w:tcW w:w="1780" w:type="dxa"/>
            <w:tcBorders>
              <w:top w:val="single" w:sz="12" w:space="0" w:color="auto"/>
              <w:left w:val="single" w:sz="12" w:space="0" w:color="auto"/>
              <w:right w:val="single" w:sz="12" w:space="0" w:color="auto"/>
            </w:tcBorders>
            <w:shd w:val="clear" w:color="auto" w:fill="FFFFFF" w:themeFill="background1"/>
            <w:vAlign w:val="bottom"/>
          </w:tcPr>
          <w:p w:rsidR="000B57E8" w:rsidRPr="001166AB" w:rsidRDefault="000B57E8" w:rsidP="00624AD8">
            <w:pPr>
              <w:jc w:val="right"/>
            </w:pPr>
            <w:r w:rsidRPr="001166AB">
              <w:t>1.860.389,37</w:t>
            </w:r>
          </w:p>
        </w:tc>
        <w:tc>
          <w:tcPr>
            <w:tcW w:w="1780" w:type="dxa"/>
            <w:tcBorders>
              <w:top w:val="single" w:sz="12" w:space="0" w:color="auto"/>
              <w:left w:val="single" w:sz="12" w:space="0" w:color="auto"/>
              <w:right w:val="single" w:sz="12" w:space="0" w:color="auto"/>
            </w:tcBorders>
            <w:shd w:val="clear" w:color="auto" w:fill="FFFFFF" w:themeFill="background1"/>
            <w:vAlign w:val="bottom"/>
          </w:tcPr>
          <w:p w:rsidR="000B57E8" w:rsidRPr="000B57E8" w:rsidRDefault="000B57E8" w:rsidP="000B57E8">
            <w:pPr>
              <w:jc w:val="right"/>
            </w:pPr>
            <w:r w:rsidRPr="000B57E8">
              <w:t>3.371.547,15</w:t>
            </w:r>
          </w:p>
        </w:tc>
        <w:tc>
          <w:tcPr>
            <w:tcW w:w="1780" w:type="dxa"/>
            <w:gridSpan w:val="2"/>
            <w:tcBorders>
              <w:top w:val="single" w:sz="12" w:space="0" w:color="auto"/>
              <w:left w:val="single" w:sz="12" w:space="0" w:color="auto"/>
              <w:right w:val="single" w:sz="12" w:space="0" w:color="auto"/>
            </w:tcBorders>
            <w:shd w:val="clear" w:color="auto" w:fill="FFFFFF" w:themeFill="background1"/>
            <w:vAlign w:val="bottom"/>
          </w:tcPr>
          <w:p w:rsidR="000B57E8" w:rsidRPr="001166AB" w:rsidRDefault="000B57E8" w:rsidP="00624AD8">
            <w:pPr>
              <w:jc w:val="right"/>
            </w:pPr>
            <w:r w:rsidRPr="001166AB">
              <w:t>2.549.435,93</w:t>
            </w:r>
          </w:p>
        </w:tc>
      </w:tr>
      <w:tr w:rsidR="000B57E8" w:rsidRPr="001166AB" w:rsidTr="00624AD8">
        <w:trPr>
          <w:trHeight w:val="472"/>
        </w:trPr>
        <w:tc>
          <w:tcPr>
            <w:tcW w:w="1528" w:type="dxa"/>
            <w:tcBorders>
              <w:left w:val="single" w:sz="12" w:space="0" w:color="auto"/>
              <w:right w:val="single" w:sz="12" w:space="0" w:color="auto"/>
            </w:tcBorders>
            <w:shd w:val="clear" w:color="auto" w:fill="FFFFFF" w:themeFill="background1"/>
            <w:vAlign w:val="center"/>
          </w:tcPr>
          <w:p w:rsidR="000B57E8" w:rsidRPr="00034649" w:rsidRDefault="000B57E8" w:rsidP="00624AD8">
            <w:pPr>
              <w:spacing w:line="240" w:lineRule="auto"/>
            </w:pPr>
            <w:r w:rsidRPr="00034649">
              <w:t>EMBAKOM</w:t>
            </w:r>
          </w:p>
        </w:tc>
        <w:tc>
          <w:tcPr>
            <w:tcW w:w="1780" w:type="dxa"/>
            <w:tcBorders>
              <w:left w:val="single" w:sz="12" w:space="0" w:color="auto"/>
              <w:right w:val="single" w:sz="12" w:space="0" w:color="auto"/>
            </w:tcBorders>
            <w:shd w:val="clear" w:color="auto" w:fill="FFFFFF" w:themeFill="background1"/>
            <w:vAlign w:val="bottom"/>
          </w:tcPr>
          <w:p w:rsidR="000B57E8" w:rsidRPr="001166AB" w:rsidRDefault="000B57E8" w:rsidP="00624AD8">
            <w:pPr>
              <w:jc w:val="right"/>
            </w:pPr>
            <w:r w:rsidRPr="001166AB">
              <w:t>1.197.807,85</w:t>
            </w:r>
          </w:p>
        </w:tc>
        <w:tc>
          <w:tcPr>
            <w:tcW w:w="1780" w:type="dxa"/>
            <w:tcBorders>
              <w:left w:val="single" w:sz="12" w:space="0" w:color="auto"/>
              <w:right w:val="single" w:sz="12" w:space="0" w:color="auto"/>
            </w:tcBorders>
            <w:shd w:val="clear" w:color="auto" w:fill="FFFFFF" w:themeFill="background1"/>
            <w:vAlign w:val="bottom"/>
          </w:tcPr>
          <w:p w:rsidR="000B57E8" w:rsidRPr="001166AB" w:rsidRDefault="000B57E8" w:rsidP="00624AD8">
            <w:pPr>
              <w:jc w:val="right"/>
            </w:pPr>
            <w:r w:rsidRPr="001166AB">
              <w:t>284.733,01</w:t>
            </w:r>
          </w:p>
        </w:tc>
        <w:tc>
          <w:tcPr>
            <w:tcW w:w="1780" w:type="dxa"/>
            <w:tcBorders>
              <w:left w:val="single" w:sz="12" w:space="0" w:color="auto"/>
              <w:right w:val="single" w:sz="12" w:space="0" w:color="auto"/>
            </w:tcBorders>
            <w:shd w:val="clear" w:color="auto" w:fill="FFFFFF" w:themeFill="background1"/>
            <w:vAlign w:val="bottom"/>
          </w:tcPr>
          <w:p w:rsidR="000B57E8" w:rsidRPr="001166AB" w:rsidRDefault="000B57E8" w:rsidP="00624AD8">
            <w:pPr>
              <w:jc w:val="right"/>
            </w:pPr>
            <w:r w:rsidRPr="001166AB">
              <w:t>621.428,50</w:t>
            </w:r>
          </w:p>
        </w:tc>
        <w:tc>
          <w:tcPr>
            <w:tcW w:w="1780" w:type="dxa"/>
            <w:gridSpan w:val="2"/>
            <w:tcBorders>
              <w:left w:val="single" w:sz="12" w:space="0" w:color="auto"/>
              <w:right w:val="single" w:sz="12" w:space="0" w:color="auto"/>
            </w:tcBorders>
            <w:shd w:val="clear" w:color="auto" w:fill="FFFFFF" w:themeFill="background1"/>
            <w:vAlign w:val="bottom"/>
          </w:tcPr>
          <w:p w:rsidR="000B57E8" w:rsidRPr="001166AB" w:rsidRDefault="000B57E8" w:rsidP="00624AD8">
            <w:pPr>
              <w:jc w:val="right"/>
            </w:pPr>
            <w:r w:rsidRPr="001166AB">
              <w:t>472.244,59</w:t>
            </w:r>
          </w:p>
        </w:tc>
      </w:tr>
      <w:tr w:rsidR="000B57E8" w:rsidRPr="001166AB" w:rsidTr="00624AD8">
        <w:tc>
          <w:tcPr>
            <w:tcW w:w="1528" w:type="dxa"/>
            <w:tcBorders>
              <w:left w:val="single" w:sz="12" w:space="0" w:color="auto"/>
              <w:right w:val="single" w:sz="12" w:space="0" w:color="auto"/>
            </w:tcBorders>
            <w:shd w:val="clear" w:color="auto" w:fill="FFFFFF" w:themeFill="background1"/>
            <w:vAlign w:val="center"/>
          </w:tcPr>
          <w:p w:rsidR="000B57E8" w:rsidRPr="00034649" w:rsidRDefault="000B57E8" w:rsidP="00624AD8">
            <w:pPr>
              <w:spacing w:line="240" w:lineRule="auto"/>
            </w:pPr>
            <w:r w:rsidRPr="00034649">
              <w:t>GORENJE SUROVINA</w:t>
            </w:r>
          </w:p>
        </w:tc>
        <w:tc>
          <w:tcPr>
            <w:tcW w:w="1780" w:type="dxa"/>
            <w:tcBorders>
              <w:left w:val="single" w:sz="12" w:space="0" w:color="auto"/>
              <w:right w:val="single" w:sz="12" w:space="0" w:color="auto"/>
            </w:tcBorders>
            <w:shd w:val="clear" w:color="auto" w:fill="FFFFFF" w:themeFill="background1"/>
            <w:vAlign w:val="bottom"/>
          </w:tcPr>
          <w:p w:rsidR="000B57E8" w:rsidRPr="001166AB" w:rsidRDefault="000B57E8" w:rsidP="00624AD8">
            <w:pPr>
              <w:jc w:val="right"/>
            </w:pPr>
            <w:r w:rsidRPr="001166AB">
              <w:t>4.746.881,91</w:t>
            </w:r>
          </w:p>
        </w:tc>
        <w:tc>
          <w:tcPr>
            <w:tcW w:w="1780" w:type="dxa"/>
            <w:tcBorders>
              <w:left w:val="single" w:sz="12" w:space="0" w:color="auto"/>
              <w:right w:val="single" w:sz="12" w:space="0" w:color="auto"/>
            </w:tcBorders>
            <w:shd w:val="clear" w:color="auto" w:fill="FFFFFF" w:themeFill="background1"/>
            <w:vAlign w:val="bottom"/>
          </w:tcPr>
          <w:p w:rsidR="000B57E8" w:rsidRPr="001166AB" w:rsidRDefault="000B57E8" w:rsidP="00624AD8">
            <w:pPr>
              <w:jc w:val="right"/>
            </w:pPr>
            <w:r w:rsidRPr="001166AB">
              <w:t>615.897,60</w:t>
            </w:r>
          </w:p>
        </w:tc>
        <w:tc>
          <w:tcPr>
            <w:tcW w:w="1780" w:type="dxa"/>
            <w:tcBorders>
              <w:left w:val="single" w:sz="12" w:space="0" w:color="auto"/>
              <w:right w:val="single" w:sz="12" w:space="0" w:color="auto"/>
            </w:tcBorders>
            <w:shd w:val="clear" w:color="auto" w:fill="FFFFFF" w:themeFill="background1"/>
            <w:vAlign w:val="bottom"/>
          </w:tcPr>
          <w:p w:rsidR="000B57E8" w:rsidRPr="001166AB" w:rsidRDefault="000B57E8" w:rsidP="00624AD8">
            <w:pPr>
              <w:jc w:val="right"/>
            </w:pPr>
            <w:r w:rsidRPr="001166AB">
              <w:t>3.045.789,26</w:t>
            </w:r>
          </w:p>
        </w:tc>
        <w:tc>
          <w:tcPr>
            <w:tcW w:w="1780" w:type="dxa"/>
            <w:gridSpan w:val="2"/>
            <w:tcBorders>
              <w:left w:val="single" w:sz="12" w:space="0" w:color="auto"/>
              <w:right w:val="single" w:sz="12" w:space="0" w:color="auto"/>
            </w:tcBorders>
            <w:shd w:val="clear" w:color="auto" w:fill="FFFFFF" w:themeFill="background1"/>
            <w:vAlign w:val="bottom"/>
          </w:tcPr>
          <w:p w:rsidR="000B57E8" w:rsidRPr="001166AB" w:rsidRDefault="000B57E8" w:rsidP="00624AD8">
            <w:pPr>
              <w:jc w:val="right"/>
            </w:pPr>
            <w:r w:rsidRPr="001166AB">
              <w:t>2.423.031,96</w:t>
            </w:r>
          </w:p>
        </w:tc>
      </w:tr>
      <w:tr w:rsidR="000B57E8" w:rsidRPr="001166AB" w:rsidTr="00624AD8">
        <w:tc>
          <w:tcPr>
            <w:tcW w:w="1528" w:type="dxa"/>
            <w:tcBorders>
              <w:left w:val="single" w:sz="12" w:space="0" w:color="auto"/>
              <w:right w:val="single" w:sz="12" w:space="0" w:color="auto"/>
            </w:tcBorders>
            <w:shd w:val="clear" w:color="auto" w:fill="FFFFFF" w:themeFill="background1"/>
            <w:vAlign w:val="center"/>
          </w:tcPr>
          <w:p w:rsidR="000B57E8" w:rsidRPr="00034649" w:rsidRDefault="000B57E8" w:rsidP="00624AD8">
            <w:pPr>
              <w:spacing w:line="240" w:lineRule="auto"/>
            </w:pPr>
            <w:r w:rsidRPr="00034649">
              <w:t>INTERSEROH</w:t>
            </w:r>
          </w:p>
        </w:tc>
        <w:tc>
          <w:tcPr>
            <w:tcW w:w="1780" w:type="dxa"/>
            <w:tcBorders>
              <w:left w:val="single" w:sz="12" w:space="0" w:color="auto"/>
              <w:right w:val="single" w:sz="12" w:space="0" w:color="auto"/>
            </w:tcBorders>
            <w:shd w:val="clear" w:color="auto" w:fill="FFFFFF" w:themeFill="background1"/>
            <w:vAlign w:val="bottom"/>
          </w:tcPr>
          <w:p w:rsidR="000B57E8" w:rsidRPr="001166AB" w:rsidRDefault="000B57E8" w:rsidP="00624AD8">
            <w:pPr>
              <w:jc w:val="right"/>
            </w:pPr>
            <w:r w:rsidRPr="001166AB">
              <w:t>3.096.028,00</w:t>
            </w:r>
          </w:p>
        </w:tc>
        <w:tc>
          <w:tcPr>
            <w:tcW w:w="1780" w:type="dxa"/>
            <w:tcBorders>
              <w:left w:val="single" w:sz="12" w:space="0" w:color="auto"/>
              <w:right w:val="single" w:sz="12" w:space="0" w:color="auto"/>
            </w:tcBorders>
            <w:shd w:val="clear" w:color="auto" w:fill="FFFFFF" w:themeFill="background1"/>
            <w:vAlign w:val="bottom"/>
          </w:tcPr>
          <w:p w:rsidR="000B57E8" w:rsidRPr="001166AB" w:rsidRDefault="000B57E8" w:rsidP="00624AD8">
            <w:pPr>
              <w:jc w:val="right"/>
            </w:pPr>
            <w:r w:rsidRPr="001166AB">
              <w:t>384.108,65</w:t>
            </w:r>
          </w:p>
        </w:tc>
        <w:tc>
          <w:tcPr>
            <w:tcW w:w="1780" w:type="dxa"/>
            <w:tcBorders>
              <w:left w:val="single" w:sz="12" w:space="0" w:color="auto"/>
              <w:right w:val="single" w:sz="12" w:space="0" w:color="auto"/>
            </w:tcBorders>
            <w:shd w:val="clear" w:color="auto" w:fill="FFFFFF" w:themeFill="background1"/>
            <w:vAlign w:val="bottom"/>
          </w:tcPr>
          <w:p w:rsidR="000B57E8" w:rsidRPr="001166AB" w:rsidRDefault="000B57E8" w:rsidP="00624AD8">
            <w:pPr>
              <w:jc w:val="right"/>
            </w:pPr>
            <w:r w:rsidRPr="001166AB">
              <w:t>1.713.618,85</w:t>
            </w:r>
          </w:p>
        </w:tc>
        <w:tc>
          <w:tcPr>
            <w:tcW w:w="1780" w:type="dxa"/>
            <w:gridSpan w:val="2"/>
            <w:tcBorders>
              <w:left w:val="single" w:sz="12" w:space="0" w:color="auto"/>
              <w:right w:val="single" w:sz="12" w:space="0" w:color="auto"/>
            </w:tcBorders>
            <w:shd w:val="clear" w:color="auto" w:fill="FFFFFF" w:themeFill="background1"/>
            <w:vAlign w:val="bottom"/>
          </w:tcPr>
          <w:p w:rsidR="000B57E8" w:rsidRPr="001166AB" w:rsidRDefault="000B57E8" w:rsidP="00624AD8">
            <w:pPr>
              <w:jc w:val="right"/>
            </w:pPr>
            <w:r w:rsidRPr="001166AB">
              <w:t>902.063,91</w:t>
            </w:r>
          </w:p>
        </w:tc>
      </w:tr>
      <w:tr w:rsidR="000B57E8" w:rsidRPr="001166AB" w:rsidTr="00624AD8">
        <w:tc>
          <w:tcPr>
            <w:tcW w:w="1528" w:type="dxa"/>
            <w:tcBorders>
              <w:left w:val="single" w:sz="12" w:space="0" w:color="auto"/>
              <w:right w:val="single" w:sz="12" w:space="0" w:color="auto"/>
            </w:tcBorders>
            <w:shd w:val="clear" w:color="auto" w:fill="FFFFFF" w:themeFill="background1"/>
            <w:vAlign w:val="center"/>
          </w:tcPr>
          <w:p w:rsidR="000B57E8" w:rsidRPr="00034649" w:rsidRDefault="000B57E8" w:rsidP="00624AD8">
            <w:pPr>
              <w:spacing w:line="240" w:lineRule="auto"/>
            </w:pPr>
            <w:r w:rsidRPr="00034649">
              <w:t>RECIKEL</w:t>
            </w:r>
          </w:p>
        </w:tc>
        <w:tc>
          <w:tcPr>
            <w:tcW w:w="1780" w:type="dxa"/>
            <w:tcBorders>
              <w:left w:val="single" w:sz="12" w:space="0" w:color="auto"/>
              <w:right w:val="single" w:sz="12" w:space="0" w:color="auto"/>
            </w:tcBorders>
            <w:shd w:val="clear" w:color="auto" w:fill="FFFFFF" w:themeFill="background1"/>
            <w:vAlign w:val="bottom"/>
          </w:tcPr>
          <w:p w:rsidR="000B57E8" w:rsidRPr="001166AB" w:rsidRDefault="000B57E8" w:rsidP="00624AD8">
            <w:pPr>
              <w:jc w:val="right"/>
            </w:pPr>
            <w:r w:rsidRPr="001166AB">
              <w:t>6.676.408,23</w:t>
            </w:r>
          </w:p>
        </w:tc>
        <w:tc>
          <w:tcPr>
            <w:tcW w:w="1780" w:type="dxa"/>
            <w:tcBorders>
              <w:left w:val="single" w:sz="12" w:space="0" w:color="auto"/>
              <w:right w:val="single" w:sz="12" w:space="0" w:color="auto"/>
            </w:tcBorders>
            <w:shd w:val="clear" w:color="auto" w:fill="FFFFFF" w:themeFill="background1"/>
            <w:vAlign w:val="bottom"/>
          </w:tcPr>
          <w:p w:rsidR="000B57E8" w:rsidRPr="001166AB" w:rsidRDefault="000B57E8" w:rsidP="00624AD8">
            <w:pPr>
              <w:jc w:val="right"/>
            </w:pPr>
            <w:r w:rsidRPr="001166AB">
              <w:t>3.113.583,77</w:t>
            </w:r>
          </w:p>
        </w:tc>
        <w:tc>
          <w:tcPr>
            <w:tcW w:w="1780" w:type="dxa"/>
            <w:tcBorders>
              <w:left w:val="single" w:sz="12" w:space="0" w:color="auto"/>
              <w:right w:val="single" w:sz="12" w:space="0" w:color="auto"/>
            </w:tcBorders>
            <w:shd w:val="clear" w:color="auto" w:fill="FFFFFF" w:themeFill="background1"/>
            <w:vAlign w:val="bottom"/>
          </w:tcPr>
          <w:p w:rsidR="000B57E8" w:rsidRPr="001166AB" w:rsidRDefault="000B57E8" w:rsidP="00624AD8">
            <w:pPr>
              <w:jc w:val="right"/>
            </w:pPr>
            <w:r w:rsidRPr="001166AB">
              <w:t>3.873.703,23</w:t>
            </w:r>
          </w:p>
        </w:tc>
        <w:tc>
          <w:tcPr>
            <w:tcW w:w="1780" w:type="dxa"/>
            <w:gridSpan w:val="2"/>
            <w:tcBorders>
              <w:left w:val="single" w:sz="12" w:space="0" w:color="auto"/>
              <w:right w:val="single" w:sz="12" w:space="0" w:color="auto"/>
            </w:tcBorders>
            <w:shd w:val="clear" w:color="auto" w:fill="FFFFFF" w:themeFill="background1"/>
            <w:vAlign w:val="bottom"/>
          </w:tcPr>
          <w:p w:rsidR="000B57E8" w:rsidRPr="001166AB" w:rsidRDefault="000B57E8" w:rsidP="00624AD8">
            <w:pPr>
              <w:jc w:val="right"/>
            </w:pPr>
            <w:r w:rsidRPr="001166AB">
              <w:t>1.091.482,48</w:t>
            </w:r>
          </w:p>
        </w:tc>
      </w:tr>
      <w:tr w:rsidR="000B57E8" w:rsidRPr="001166AB" w:rsidTr="00624AD8">
        <w:tc>
          <w:tcPr>
            <w:tcW w:w="1528" w:type="dxa"/>
            <w:tcBorders>
              <w:left w:val="single" w:sz="12" w:space="0" w:color="auto"/>
              <w:bottom w:val="single" w:sz="12" w:space="0" w:color="auto"/>
              <w:right w:val="single" w:sz="12" w:space="0" w:color="auto"/>
            </w:tcBorders>
            <w:shd w:val="clear" w:color="auto" w:fill="FFFFFF" w:themeFill="background1"/>
            <w:vAlign w:val="center"/>
          </w:tcPr>
          <w:p w:rsidR="000B57E8" w:rsidRPr="00034649" w:rsidRDefault="000B57E8" w:rsidP="00624AD8">
            <w:pPr>
              <w:spacing w:line="240" w:lineRule="auto"/>
            </w:pPr>
            <w:r w:rsidRPr="00034649">
              <w:t>SLOPAK</w:t>
            </w:r>
          </w:p>
        </w:tc>
        <w:tc>
          <w:tcPr>
            <w:tcW w:w="1780" w:type="dxa"/>
            <w:tcBorders>
              <w:left w:val="single" w:sz="12" w:space="0" w:color="auto"/>
              <w:bottom w:val="single" w:sz="12" w:space="0" w:color="auto"/>
              <w:right w:val="single" w:sz="12" w:space="0" w:color="auto"/>
            </w:tcBorders>
            <w:shd w:val="clear" w:color="auto" w:fill="FFFFFF" w:themeFill="background1"/>
            <w:vAlign w:val="bottom"/>
          </w:tcPr>
          <w:p w:rsidR="000B57E8" w:rsidRPr="001166AB" w:rsidRDefault="000B57E8" w:rsidP="00624AD8">
            <w:pPr>
              <w:jc w:val="right"/>
            </w:pPr>
            <w:r w:rsidRPr="001166AB">
              <w:t>1.582.329,49</w:t>
            </w:r>
          </w:p>
        </w:tc>
        <w:tc>
          <w:tcPr>
            <w:tcW w:w="1780" w:type="dxa"/>
            <w:tcBorders>
              <w:left w:val="single" w:sz="12" w:space="0" w:color="auto"/>
              <w:bottom w:val="single" w:sz="12" w:space="0" w:color="auto"/>
              <w:right w:val="single" w:sz="12" w:space="0" w:color="auto"/>
            </w:tcBorders>
            <w:shd w:val="clear" w:color="auto" w:fill="FFFFFF" w:themeFill="background1"/>
            <w:vAlign w:val="bottom"/>
          </w:tcPr>
          <w:p w:rsidR="000B57E8" w:rsidRPr="001166AB" w:rsidRDefault="000B57E8" w:rsidP="00624AD8">
            <w:pPr>
              <w:jc w:val="right"/>
            </w:pPr>
            <w:r w:rsidRPr="001166AB">
              <w:t>916.597,87</w:t>
            </w:r>
          </w:p>
        </w:tc>
        <w:tc>
          <w:tcPr>
            <w:tcW w:w="1780" w:type="dxa"/>
            <w:tcBorders>
              <w:left w:val="single" w:sz="12" w:space="0" w:color="auto"/>
              <w:bottom w:val="single" w:sz="12" w:space="0" w:color="auto"/>
              <w:right w:val="single" w:sz="12" w:space="0" w:color="auto"/>
            </w:tcBorders>
            <w:shd w:val="clear" w:color="auto" w:fill="FFFFFF" w:themeFill="background1"/>
            <w:vAlign w:val="bottom"/>
          </w:tcPr>
          <w:p w:rsidR="000B57E8" w:rsidRPr="001166AB" w:rsidRDefault="000B57E8" w:rsidP="00624AD8">
            <w:pPr>
              <w:jc w:val="right"/>
            </w:pPr>
            <w:r w:rsidRPr="001166AB">
              <w:t>2.293.131,79</w:t>
            </w:r>
          </w:p>
        </w:tc>
        <w:tc>
          <w:tcPr>
            <w:tcW w:w="1780" w:type="dxa"/>
            <w:gridSpan w:val="2"/>
            <w:tcBorders>
              <w:left w:val="single" w:sz="12" w:space="0" w:color="auto"/>
              <w:bottom w:val="single" w:sz="12" w:space="0" w:color="auto"/>
              <w:right w:val="single" w:sz="12" w:space="0" w:color="auto"/>
            </w:tcBorders>
            <w:shd w:val="clear" w:color="auto" w:fill="FFFFFF" w:themeFill="background1"/>
            <w:vAlign w:val="bottom"/>
          </w:tcPr>
          <w:p w:rsidR="000B57E8" w:rsidRPr="001166AB" w:rsidRDefault="000B57E8" w:rsidP="00624AD8">
            <w:pPr>
              <w:jc w:val="right"/>
            </w:pPr>
            <w:r w:rsidRPr="001166AB">
              <w:t>779.310,43</w:t>
            </w:r>
          </w:p>
        </w:tc>
      </w:tr>
      <w:tr w:rsidR="000B57E8" w:rsidRPr="001166AB" w:rsidTr="00624AD8">
        <w:tc>
          <w:tcPr>
            <w:tcW w:w="152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0B57E8" w:rsidRPr="00034649" w:rsidRDefault="000B57E8" w:rsidP="00624AD8">
            <w:pPr>
              <w:spacing w:line="240" w:lineRule="auto"/>
            </w:pPr>
            <w:r w:rsidRPr="00034649">
              <w:t>Skupaj</w:t>
            </w:r>
          </w:p>
        </w:tc>
        <w:tc>
          <w:tcPr>
            <w:tcW w:w="1780"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rsidR="000B57E8" w:rsidRPr="001166AB" w:rsidRDefault="000B57E8" w:rsidP="00624AD8">
            <w:pPr>
              <w:jc w:val="right"/>
            </w:pPr>
            <w:r w:rsidRPr="001166AB">
              <w:t>22.881.940,05</w:t>
            </w:r>
          </w:p>
        </w:tc>
        <w:tc>
          <w:tcPr>
            <w:tcW w:w="1780"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rsidR="000B57E8" w:rsidRPr="001166AB" w:rsidRDefault="000B57E8" w:rsidP="00624AD8">
            <w:pPr>
              <w:jc w:val="right"/>
            </w:pPr>
            <w:r w:rsidRPr="001166AB">
              <w:t>7.175.310,27</w:t>
            </w:r>
          </w:p>
        </w:tc>
        <w:tc>
          <w:tcPr>
            <w:tcW w:w="1780"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rsidR="000B57E8" w:rsidRPr="000B57E8" w:rsidRDefault="000B57E8" w:rsidP="000B57E8">
            <w:pPr>
              <w:jc w:val="right"/>
            </w:pPr>
            <w:r w:rsidRPr="000B57E8">
              <w:t>14.919.218,78</w:t>
            </w:r>
          </w:p>
        </w:tc>
        <w:tc>
          <w:tcPr>
            <w:tcW w:w="178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rsidR="000B57E8" w:rsidRPr="001166AB" w:rsidRDefault="000B57E8" w:rsidP="00624AD8">
            <w:pPr>
              <w:jc w:val="right"/>
            </w:pPr>
            <w:r w:rsidRPr="001166AB">
              <w:t>8.217.569,30</w:t>
            </w:r>
          </w:p>
        </w:tc>
      </w:tr>
    </w:tbl>
    <w:p w:rsidR="000B57E8" w:rsidRPr="00A97C89" w:rsidRDefault="000B57E8" w:rsidP="00A97C89">
      <w:pPr>
        <w:pStyle w:val="Neotevilenodstavek"/>
        <w:spacing w:before="0" w:after="0" w:line="240" w:lineRule="auto"/>
        <w:rPr>
          <w:iCs/>
          <w:sz w:val="20"/>
          <w:szCs w:val="20"/>
        </w:rPr>
      </w:pPr>
    </w:p>
    <w:p w:rsidR="00BD4A0E" w:rsidRPr="00A97C89" w:rsidRDefault="00BD4A0E" w:rsidP="00A97C89">
      <w:pPr>
        <w:pStyle w:val="Neotevilenodstavek"/>
        <w:spacing w:before="0" w:after="0" w:line="240" w:lineRule="auto"/>
        <w:rPr>
          <w:iCs/>
          <w:sz w:val="20"/>
          <w:szCs w:val="20"/>
        </w:rPr>
      </w:pPr>
      <w:r w:rsidRPr="00A97C89">
        <w:rPr>
          <w:iCs/>
          <w:sz w:val="20"/>
          <w:szCs w:val="20"/>
        </w:rPr>
        <w:t>Na podlagi teh podatkov so za posamezno družbo za ravnanje z odpadno embalažo določeni popravljeni deleži prevzemanja odpadne embalaže od izvajalcev javne službe za leto 2018, za vsak posamezni embalažni material posebej z uporabo enačbe iz priloge 2B, ki je sestavni del Uredbe o ravnanju z embalažo in odpadno embalažo:</w:t>
      </w:r>
    </w:p>
    <w:p w:rsidR="001166AB" w:rsidRPr="00A97C89" w:rsidRDefault="001166AB" w:rsidP="00A97C89">
      <w:pPr>
        <w:pStyle w:val="Neotevilenodstavek"/>
        <w:spacing w:before="0" w:after="0" w:line="240" w:lineRule="auto"/>
        <w:rPr>
          <w:iCs/>
          <w:sz w:val="20"/>
          <w:szCs w:val="20"/>
        </w:rPr>
      </w:pPr>
    </w:p>
    <w:p w:rsidR="00BD4A0E" w:rsidRPr="00A97C89" w:rsidRDefault="00BD4A0E" w:rsidP="00A97C89">
      <w:pPr>
        <w:pStyle w:val="Neotevilenodstavek"/>
        <w:spacing w:before="0" w:after="0" w:line="240" w:lineRule="auto"/>
        <w:jc w:val="center"/>
        <w:rPr>
          <w:iCs/>
          <w:sz w:val="20"/>
          <w:szCs w:val="20"/>
        </w:rPr>
      </w:pPr>
      <w:r w:rsidRPr="00A97C89">
        <w:rPr>
          <w:iCs/>
          <w:sz w:val="20"/>
          <w:szCs w:val="20"/>
        </w:rPr>
        <w:t>W (</w:t>
      </w:r>
      <w:proofErr w:type="spellStart"/>
      <w:r w:rsidRPr="00A97C89">
        <w:rPr>
          <w:iCs/>
          <w:sz w:val="20"/>
          <w:szCs w:val="20"/>
        </w:rPr>
        <w:t>DROEx</w:t>
      </w:r>
      <w:proofErr w:type="spellEnd"/>
      <w:r w:rsidRPr="00A97C89">
        <w:rPr>
          <w:iCs/>
          <w:sz w:val="20"/>
          <w:szCs w:val="20"/>
        </w:rPr>
        <w:t>,</w:t>
      </w:r>
      <w:proofErr w:type="spellStart"/>
      <w:r w:rsidRPr="00A97C89">
        <w:rPr>
          <w:iCs/>
          <w:sz w:val="20"/>
          <w:szCs w:val="20"/>
        </w:rPr>
        <w:t>emb.mat.x</w:t>
      </w:r>
      <w:proofErr w:type="spellEnd"/>
      <w:r w:rsidRPr="00A97C89">
        <w:rPr>
          <w:iCs/>
          <w:sz w:val="20"/>
          <w:szCs w:val="20"/>
        </w:rPr>
        <w:t>) = m (</w:t>
      </w:r>
      <w:proofErr w:type="spellStart"/>
      <w:r w:rsidRPr="00A97C89">
        <w:rPr>
          <w:iCs/>
          <w:sz w:val="20"/>
          <w:szCs w:val="20"/>
        </w:rPr>
        <w:t>DROEx</w:t>
      </w:r>
      <w:proofErr w:type="spellEnd"/>
      <w:r w:rsidRPr="00A97C89">
        <w:rPr>
          <w:iCs/>
          <w:sz w:val="20"/>
          <w:szCs w:val="20"/>
        </w:rPr>
        <w:t>,</w:t>
      </w:r>
      <w:proofErr w:type="spellStart"/>
      <w:r w:rsidRPr="00A97C89">
        <w:rPr>
          <w:iCs/>
          <w:sz w:val="20"/>
          <w:szCs w:val="20"/>
        </w:rPr>
        <w:t>emb.mat.x</w:t>
      </w:r>
      <w:proofErr w:type="spellEnd"/>
      <w:r w:rsidRPr="00A97C89">
        <w:rPr>
          <w:iCs/>
          <w:sz w:val="20"/>
          <w:szCs w:val="20"/>
        </w:rPr>
        <w:t>) / m (</w:t>
      </w:r>
      <w:proofErr w:type="spellStart"/>
      <w:r w:rsidRPr="00A97C89">
        <w:rPr>
          <w:iCs/>
          <w:sz w:val="20"/>
          <w:szCs w:val="20"/>
        </w:rPr>
        <w:t>emb.mat.x</w:t>
      </w:r>
      <w:proofErr w:type="spellEnd"/>
      <w:r w:rsidRPr="00A97C89">
        <w:rPr>
          <w:iCs/>
          <w:sz w:val="20"/>
          <w:szCs w:val="20"/>
        </w:rPr>
        <w:t>),</w:t>
      </w:r>
    </w:p>
    <w:p w:rsidR="00BD4A0E" w:rsidRPr="00A97C89" w:rsidRDefault="00BD4A0E" w:rsidP="00A97C89">
      <w:pPr>
        <w:pStyle w:val="Neotevilenodstavek"/>
        <w:spacing w:before="0" w:after="0" w:line="240" w:lineRule="auto"/>
        <w:rPr>
          <w:iCs/>
          <w:sz w:val="20"/>
          <w:szCs w:val="20"/>
        </w:rPr>
      </w:pPr>
    </w:p>
    <w:p w:rsidR="00BD4A0E" w:rsidRPr="00A97C89" w:rsidRDefault="00BD4A0E" w:rsidP="00A97C89">
      <w:pPr>
        <w:pStyle w:val="Neotevilenodstavek"/>
        <w:spacing w:before="0" w:after="0" w:line="240" w:lineRule="auto"/>
        <w:rPr>
          <w:iCs/>
          <w:sz w:val="20"/>
          <w:szCs w:val="20"/>
        </w:rPr>
      </w:pPr>
      <w:r w:rsidRPr="00A97C89">
        <w:rPr>
          <w:iCs/>
          <w:sz w:val="20"/>
          <w:szCs w:val="20"/>
        </w:rPr>
        <w:t>pri čemer je:</w:t>
      </w:r>
    </w:p>
    <w:p w:rsidR="00BD4A0E" w:rsidRPr="00A97C89" w:rsidRDefault="00BD4A0E" w:rsidP="00A97C89">
      <w:pPr>
        <w:pStyle w:val="Neotevilenodstavek"/>
        <w:spacing w:before="120" w:after="0" w:line="240" w:lineRule="auto"/>
        <w:rPr>
          <w:iCs/>
          <w:sz w:val="20"/>
          <w:szCs w:val="20"/>
        </w:rPr>
      </w:pPr>
      <w:r w:rsidRPr="00A97C89">
        <w:rPr>
          <w:iCs/>
          <w:sz w:val="20"/>
          <w:szCs w:val="20"/>
        </w:rPr>
        <w:t>–</w:t>
      </w:r>
      <w:r w:rsidRPr="00A97C89">
        <w:rPr>
          <w:iCs/>
          <w:sz w:val="20"/>
          <w:szCs w:val="20"/>
        </w:rPr>
        <w:tab/>
        <w:t>W (</w:t>
      </w:r>
      <w:proofErr w:type="spellStart"/>
      <w:r w:rsidRPr="00A97C89">
        <w:rPr>
          <w:iCs/>
          <w:sz w:val="20"/>
          <w:szCs w:val="20"/>
        </w:rPr>
        <w:t>DROEx</w:t>
      </w:r>
      <w:proofErr w:type="spellEnd"/>
      <w:r w:rsidRPr="00A97C89">
        <w:rPr>
          <w:iCs/>
          <w:sz w:val="20"/>
          <w:szCs w:val="20"/>
        </w:rPr>
        <w:t>,</w:t>
      </w:r>
      <w:proofErr w:type="spellStart"/>
      <w:r w:rsidRPr="00A97C89">
        <w:rPr>
          <w:iCs/>
          <w:sz w:val="20"/>
          <w:szCs w:val="20"/>
        </w:rPr>
        <w:t>emb.mat.x</w:t>
      </w:r>
      <w:proofErr w:type="spellEnd"/>
      <w:r w:rsidRPr="00A97C89">
        <w:rPr>
          <w:iCs/>
          <w:sz w:val="20"/>
          <w:szCs w:val="20"/>
        </w:rPr>
        <w:t>): delež prevzemanja odpadne embalaže iz posameznega embalažnega materiala, ki ga mora posamezna družba za ravnanje z odpadno embalažo prevzeti od vsakega izvajalca javne službe v tekočem koledarskem letu,</w:t>
      </w:r>
    </w:p>
    <w:p w:rsidR="00BD4A0E" w:rsidRPr="00A97C89" w:rsidRDefault="00BD4A0E" w:rsidP="00A97C89">
      <w:pPr>
        <w:pStyle w:val="Neotevilenodstavek"/>
        <w:spacing w:before="120" w:after="0" w:line="240" w:lineRule="auto"/>
        <w:rPr>
          <w:iCs/>
          <w:sz w:val="20"/>
          <w:szCs w:val="20"/>
        </w:rPr>
      </w:pPr>
      <w:r w:rsidRPr="00A97C89">
        <w:rPr>
          <w:iCs/>
          <w:sz w:val="20"/>
          <w:szCs w:val="20"/>
        </w:rPr>
        <w:t>–</w:t>
      </w:r>
      <w:r w:rsidRPr="00A97C89">
        <w:rPr>
          <w:iCs/>
          <w:sz w:val="20"/>
          <w:szCs w:val="20"/>
        </w:rPr>
        <w:tab/>
        <w:t>m (</w:t>
      </w:r>
      <w:proofErr w:type="spellStart"/>
      <w:r w:rsidRPr="00A97C89">
        <w:rPr>
          <w:iCs/>
          <w:sz w:val="20"/>
          <w:szCs w:val="20"/>
        </w:rPr>
        <w:t>DROEx</w:t>
      </w:r>
      <w:proofErr w:type="spellEnd"/>
      <w:r w:rsidRPr="00A97C89">
        <w:rPr>
          <w:iCs/>
          <w:sz w:val="20"/>
          <w:szCs w:val="20"/>
        </w:rPr>
        <w:t>,</w:t>
      </w:r>
      <w:proofErr w:type="spellStart"/>
      <w:r w:rsidRPr="00A97C89">
        <w:rPr>
          <w:iCs/>
          <w:sz w:val="20"/>
          <w:szCs w:val="20"/>
        </w:rPr>
        <w:t>emb.mat.x</w:t>
      </w:r>
      <w:proofErr w:type="spellEnd"/>
      <w:r w:rsidRPr="00A97C89">
        <w:rPr>
          <w:iCs/>
          <w:sz w:val="20"/>
          <w:szCs w:val="20"/>
        </w:rPr>
        <w:t>): masa embalaže iz posameznega embalažnega materiala, za katero je posamezna družba za ravnanje z odpadno embalažo zagotavljala ravnanje v prvem četrtletju tekočega koledarskega leta,</w:t>
      </w:r>
    </w:p>
    <w:p w:rsidR="00BD4A0E" w:rsidRPr="00A97C89" w:rsidRDefault="00BD4A0E" w:rsidP="00A97C89">
      <w:pPr>
        <w:pStyle w:val="Neotevilenodstavek"/>
        <w:spacing w:before="120" w:after="0" w:line="240" w:lineRule="auto"/>
        <w:rPr>
          <w:iCs/>
          <w:sz w:val="20"/>
          <w:szCs w:val="20"/>
        </w:rPr>
      </w:pPr>
      <w:r w:rsidRPr="00A97C89">
        <w:rPr>
          <w:iCs/>
          <w:sz w:val="20"/>
          <w:szCs w:val="20"/>
        </w:rPr>
        <w:t>–</w:t>
      </w:r>
      <w:r w:rsidRPr="00A97C89">
        <w:rPr>
          <w:iCs/>
          <w:sz w:val="20"/>
          <w:szCs w:val="20"/>
        </w:rPr>
        <w:tab/>
        <w:t>m (</w:t>
      </w:r>
      <w:proofErr w:type="spellStart"/>
      <w:r w:rsidRPr="00A97C89">
        <w:rPr>
          <w:iCs/>
          <w:sz w:val="20"/>
          <w:szCs w:val="20"/>
        </w:rPr>
        <w:t>emb.mat.x</w:t>
      </w:r>
      <w:proofErr w:type="spellEnd"/>
      <w:r w:rsidRPr="00A97C89">
        <w:rPr>
          <w:iCs/>
          <w:sz w:val="20"/>
          <w:szCs w:val="20"/>
        </w:rPr>
        <w:t>) skupna masa embalaže iz posameznega embalažnega materiala, za katero so ravnanje v prvem četrtletju tekočega koledarskega leta zagotavljale vse družbe za ravnanje z odpadno embalažo.</w:t>
      </w:r>
    </w:p>
    <w:p w:rsidR="00BD4A0E" w:rsidRDefault="00BD4A0E" w:rsidP="00A97C89">
      <w:pPr>
        <w:pStyle w:val="Neotevilenodstavek"/>
        <w:spacing w:before="0" w:after="0" w:line="240" w:lineRule="auto"/>
        <w:rPr>
          <w:iCs/>
          <w:sz w:val="20"/>
          <w:szCs w:val="20"/>
        </w:rPr>
      </w:pPr>
    </w:p>
    <w:p w:rsidR="00A97C89" w:rsidRPr="00A97C89" w:rsidRDefault="00A97C89" w:rsidP="00A97C89">
      <w:pPr>
        <w:pStyle w:val="Neotevilenodstavek"/>
        <w:spacing w:before="0" w:after="0" w:line="240" w:lineRule="auto"/>
        <w:rPr>
          <w:iCs/>
          <w:sz w:val="20"/>
          <w:szCs w:val="20"/>
        </w:rPr>
      </w:pPr>
      <w:r>
        <w:rPr>
          <w:iCs/>
          <w:sz w:val="20"/>
          <w:szCs w:val="20"/>
        </w:rPr>
        <w:t>Po</w:t>
      </w:r>
      <w:r w:rsidRPr="00A97C89">
        <w:rPr>
          <w:iCs/>
          <w:sz w:val="20"/>
          <w:szCs w:val="20"/>
        </w:rPr>
        <w:t xml:space="preserve">pravljeni deleži prevzemanja odpadne embalaže od izvajalcev javne službe za leto 2018 </w:t>
      </w:r>
      <w:r>
        <w:rPr>
          <w:iCs/>
          <w:sz w:val="20"/>
          <w:szCs w:val="20"/>
        </w:rPr>
        <w:t>so r</w:t>
      </w:r>
      <w:r w:rsidRPr="00A97C89">
        <w:rPr>
          <w:iCs/>
          <w:sz w:val="20"/>
          <w:szCs w:val="20"/>
        </w:rPr>
        <w:t>azvidn</w:t>
      </w:r>
      <w:r>
        <w:rPr>
          <w:iCs/>
          <w:sz w:val="20"/>
          <w:szCs w:val="20"/>
        </w:rPr>
        <w:t>i</w:t>
      </w:r>
      <w:r w:rsidRPr="00A97C89">
        <w:rPr>
          <w:iCs/>
          <w:sz w:val="20"/>
          <w:szCs w:val="20"/>
        </w:rPr>
        <w:t xml:space="preserve"> iz preglednice </w:t>
      </w:r>
      <w:r>
        <w:rPr>
          <w:iCs/>
          <w:sz w:val="20"/>
          <w:szCs w:val="20"/>
        </w:rPr>
        <w:t>2</w:t>
      </w:r>
      <w:r w:rsidRPr="00A97C89">
        <w:rPr>
          <w:iCs/>
          <w:sz w:val="20"/>
          <w:szCs w:val="20"/>
        </w:rPr>
        <w:t>.</w:t>
      </w:r>
    </w:p>
    <w:p w:rsidR="00A97C89" w:rsidRDefault="00A97C89" w:rsidP="00A97C89">
      <w:pPr>
        <w:pStyle w:val="Neotevilenodstavek"/>
        <w:spacing w:before="0" w:after="0" w:line="240" w:lineRule="auto"/>
        <w:rPr>
          <w:iCs/>
          <w:sz w:val="20"/>
          <w:szCs w:val="20"/>
        </w:rPr>
      </w:pPr>
    </w:p>
    <w:p w:rsidR="000B57E8" w:rsidRDefault="000B57E8" w:rsidP="00A97C89">
      <w:pPr>
        <w:pStyle w:val="Neotevilenodstavek"/>
        <w:spacing w:before="0" w:after="0" w:line="240" w:lineRule="auto"/>
        <w:rPr>
          <w:iCs/>
          <w:sz w:val="20"/>
          <w:szCs w:val="20"/>
        </w:rPr>
      </w:pPr>
    </w:p>
    <w:p w:rsidR="000B57E8" w:rsidRDefault="000B57E8" w:rsidP="00A97C89">
      <w:pPr>
        <w:pStyle w:val="Neotevilenodstavek"/>
        <w:spacing w:before="0" w:after="0" w:line="240" w:lineRule="auto"/>
        <w:rPr>
          <w:iCs/>
          <w:sz w:val="20"/>
          <w:szCs w:val="20"/>
        </w:rPr>
      </w:pPr>
    </w:p>
    <w:p w:rsidR="000B57E8" w:rsidRDefault="000B57E8" w:rsidP="00A97C89">
      <w:pPr>
        <w:pStyle w:val="Neotevilenodstavek"/>
        <w:spacing w:before="0" w:after="0" w:line="240" w:lineRule="auto"/>
        <w:rPr>
          <w:iCs/>
          <w:sz w:val="20"/>
          <w:szCs w:val="20"/>
        </w:rPr>
      </w:pPr>
    </w:p>
    <w:p w:rsidR="000B57E8" w:rsidRDefault="000B57E8" w:rsidP="00A97C89">
      <w:pPr>
        <w:pStyle w:val="Neotevilenodstavek"/>
        <w:spacing w:before="0" w:after="0" w:line="240" w:lineRule="auto"/>
        <w:rPr>
          <w:iCs/>
          <w:sz w:val="20"/>
          <w:szCs w:val="20"/>
        </w:rPr>
      </w:pPr>
    </w:p>
    <w:p w:rsidR="00BD4A0E" w:rsidRPr="00A97C89" w:rsidRDefault="00BD4A0E" w:rsidP="00A97C89">
      <w:pPr>
        <w:pStyle w:val="Neotevilenodstavek"/>
        <w:spacing w:before="0" w:after="0" w:line="240" w:lineRule="auto"/>
        <w:rPr>
          <w:iCs/>
          <w:sz w:val="20"/>
          <w:szCs w:val="20"/>
        </w:rPr>
      </w:pPr>
      <w:r w:rsidRPr="00A97C89">
        <w:rPr>
          <w:iCs/>
          <w:sz w:val="20"/>
          <w:szCs w:val="20"/>
        </w:rPr>
        <w:lastRenderedPageBreak/>
        <w:t>Preglednica 2: Deleži prevzemanja odpadne embalaže od izvajalcev javne službe za leto 2018 (v %)</w:t>
      </w:r>
    </w:p>
    <w:p w:rsidR="000B57E8" w:rsidRPr="00A97C89" w:rsidRDefault="000B57E8" w:rsidP="00A97C89">
      <w:pPr>
        <w:pStyle w:val="Neotevilenodstavek"/>
        <w:spacing w:before="0" w:after="0" w:line="240" w:lineRule="auto"/>
        <w:rPr>
          <w:i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576"/>
        <w:gridCol w:w="1576"/>
        <w:gridCol w:w="1576"/>
        <w:gridCol w:w="1576"/>
      </w:tblGrid>
      <w:tr w:rsidR="00BD4A0E" w:rsidRPr="002D7300" w:rsidTr="001166AB">
        <w:tc>
          <w:tcPr>
            <w:tcW w:w="23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D4A0E" w:rsidRPr="002D7300" w:rsidRDefault="00BD4A0E" w:rsidP="00070028">
            <w:pPr>
              <w:spacing w:before="20" w:after="20" w:line="240" w:lineRule="auto"/>
              <w:jc w:val="both"/>
            </w:pPr>
          </w:p>
        </w:tc>
        <w:tc>
          <w:tcPr>
            <w:tcW w:w="6299"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D4A0E" w:rsidRPr="002D7300" w:rsidRDefault="00BD4A0E" w:rsidP="00070028">
            <w:pPr>
              <w:spacing w:before="20" w:after="20" w:line="240" w:lineRule="auto"/>
              <w:jc w:val="center"/>
            </w:pPr>
            <w:r w:rsidRPr="002D7300">
              <w:rPr>
                <w:rFonts w:cs="Arial"/>
                <w:bCs/>
                <w:szCs w:val="20"/>
              </w:rPr>
              <w:t>Deleži prevzemanja odpadne embalaže od izvajalcev javne službe za leto 2018 (v %)</w:t>
            </w:r>
          </w:p>
        </w:tc>
      </w:tr>
      <w:tr w:rsidR="00BD4A0E" w:rsidRPr="002D7300" w:rsidTr="001166AB">
        <w:tc>
          <w:tcPr>
            <w:tcW w:w="237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D4A0E" w:rsidRPr="002D7300" w:rsidRDefault="00BD4A0E" w:rsidP="00070028">
            <w:pPr>
              <w:spacing w:before="20" w:after="20" w:line="240" w:lineRule="auto"/>
            </w:pPr>
            <w:r w:rsidRPr="002D7300">
              <w:t>DROE</w:t>
            </w:r>
          </w:p>
        </w:tc>
        <w:tc>
          <w:tcPr>
            <w:tcW w:w="157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D4A0E" w:rsidRPr="002D7300" w:rsidRDefault="00BD4A0E" w:rsidP="00070028">
            <w:pPr>
              <w:spacing w:before="20" w:after="20" w:line="240" w:lineRule="auto"/>
              <w:jc w:val="center"/>
              <w:rPr>
                <w:b/>
              </w:rPr>
            </w:pPr>
            <w:r w:rsidRPr="002D7300">
              <w:rPr>
                <w:b/>
              </w:rPr>
              <w:t>A1</w:t>
            </w:r>
          </w:p>
        </w:tc>
        <w:tc>
          <w:tcPr>
            <w:tcW w:w="157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D4A0E" w:rsidRPr="002D7300" w:rsidRDefault="00BD4A0E" w:rsidP="00070028">
            <w:pPr>
              <w:spacing w:before="20" w:after="20" w:line="240" w:lineRule="auto"/>
              <w:jc w:val="center"/>
              <w:rPr>
                <w:b/>
              </w:rPr>
            </w:pPr>
            <w:r w:rsidRPr="002D7300">
              <w:rPr>
                <w:b/>
              </w:rPr>
              <w:t>A6</w:t>
            </w:r>
          </w:p>
        </w:tc>
        <w:tc>
          <w:tcPr>
            <w:tcW w:w="157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D4A0E" w:rsidRPr="002D7300" w:rsidRDefault="00BD4A0E" w:rsidP="00070028">
            <w:pPr>
              <w:spacing w:before="20" w:after="20" w:line="240" w:lineRule="auto"/>
              <w:jc w:val="center"/>
              <w:rPr>
                <w:b/>
              </w:rPr>
            </w:pPr>
            <w:r w:rsidRPr="002D7300">
              <w:rPr>
                <w:b/>
              </w:rPr>
              <w:t>A2+A3+A5+B</w:t>
            </w:r>
          </w:p>
        </w:tc>
        <w:tc>
          <w:tcPr>
            <w:tcW w:w="157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D4A0E" w:rsidRPr="002D7300" w:rsidRDefault="00BD4A0E" w:rsidP="00070028">
            <w:pPr>
              <w:spacing w:before="20" w:after="20" w:line="240" w:lineRule="auto"/>
              <w:jc w:val="center"/>
              <w:rPr>
                <w:b/>
              </w:rPr>
            </w:pPr>
            <w:r w:rsidRPr="002D7300">
              <w:rPr>
                <w:b/>
              </w:rPr>
              <w:t>A4</w:t>
            </w:r>
          </w:p>
        </w:tc>
      </w:tr>
      <w:tr w:rsidR="001166AB" w:rsidRPr="002D7300" w:rsidTr="001166AB">
        <w:tc>
          <w:tcPr>
            <w:tcW w:w="2376" w:type="dxa"/>
            <w:tcBorders>
              <w:top w:val="single" w:sz="12" w:space="0" w:color="auto"/>
              <w:left w:val="single" w:sz="12" w:space="0" w:color="auto"/>
              <w:right w:val="single" w:sz="12" w:space="0" w:color="auto"/>
            </w:tcBorders>
            <w:shd w:val="clear" w:color="auto" w:fill="FFFFFF" w:themeFill="background1"/>
            <w:vAlign w:val="center"/>
          </w:tcPr>
          <w:p w:rsidR="001166AB" w:rsidRPr="002D7300" w:rsidRDefault="001166AB" w:rsidP="00070028">
            <w:pPr>
              <w:spacing w:before="20" w:after="20" w:line="240" w:lineRule="auto"/>
            </w:pPr>
            <w:r w:rsidRPr="002D7300">
              <w:t>DINOS</w:t>
            </w:r>
          </w:p>
        </w:tc>
        <w:tc>
          <w:tcPr>
            <w:tcW w:w="1576" w:type="dxa"/>
            <w:tcBorders>
              <w:top w:val="single" w:sz="12" w:space="0" w:color="auto"/>
              <w:left w:val="single" w:sz="12" w:space="0" w:color="auto"/>
              <w:right w:val="single" w:sz="12" w:space="0" w:color="auto"/>
            </w:tcBorders>
            <w:shd w:val="clear" w:color="auto" w:fill="FFFFFF" w:themeFill="background1"/>
            <w:vAlign w:val="center"/>
          </w:tcPr>
          <w:p w:rsidR="001166AB" w:rsidRPr="002D7300" w:rsidRDefault="001166AB" w:rsidP="007D0465">
            <w:pPr>
              <w:spacing w:before="20" w:after="20" w:line="240" w:lineRule="auto"/>
              <w:jc w:val="right"/>
            </w:pPr>
            <w:r w:rsidRPr="002D7300">
              <w:t>24,40</w:t>
            </w:r>
          </w:p>
        </w:tc>
        <w:tc>
          <w:tcPr>
            <w:tcW w:w="1576" w:type="dxa"/>
            <w:tcBorders>
              <w:top w:val="single" w:sz="12" w:space="0" w:color="auto"/>
              <w:left w:val="single" w:sz="12" w:space="0" w:color="auto"/>
              <w:right w:val="single" w:sz="12" w:space="0" w:color="auto"/>
            </w:tcBorders>
            <w:shd w:val="clear" w:color="auto" w:fill="FFFFFF" w:themeFill="background1"/>
            <w:vAlign w:val="center"/>
          </w:tcPr>
          <w:p w:rsidR="001166AB" w:rsidRPr="002D7300" w:rsidRDefault="000B57E8" w:rsidP="007D0465">
            <w:pPr>
              <w:spacing w:before="20" w:after="20" w:line="240" w:lineRule="auto"/>
              <w:jc w:val="right"/>
            </w:pPr>
            <w:r>
              <w:t>25,93</w:t>
            </w:r>
          </w:p>
        </w:tc>
        <w:tc>
          <w:tcPr>
            <w:tcW w:w="1576" w:type="dxa"/>
            <w:tcBorders>
              <w:top w:val="single" w:sz="12" w:space="0" w:color="auto"/>
              <w:left w:val="single" w:sz="12" w:space="0" w:color="auto"/>
              <w:right w:val="single" w:sz="12" w:space="0" w:color="auto"/>
            </w:tcBorders>
            <w:shd w:val="clear" w:color="auto" w:fill="FFFFFF" w:themeFill="background1"/>
            <w:vAlign w:val="center"/>
          </w:tcPr>
          <w:p w:rsidR="001166AB" w:rsidRPr="002D7300" w:rsidRDefault="001166AB" w:rsidP="000B57E8">
            <w:pPr>
              <w:spacing w:before="20" w:after="20" w:line="240" w:lineRule="auto"/>
              <w:jc w:val="right"/>
            </w:pPr>
            <w:r w:rsidRPr="002D7300">
              <w:t>22,</w:t>
            </w:r>
            <w:r w:rsidR="000B57E8">
              <w:t>60</w:t>
            </w:r>
          </w:p>
        </w:tc>
        <w:tc>
          <w:tcPr>
            <w:tcW w:w="1576" w:type="dxa"/>
            <w:tcBorders>
              <w:top w:val="single" w:sz="12" w:space="0" w:color="auto"/>
              <w:left w:val="single" w:sz="12" w:space="0" w:color="auto"/>
              <w:right w:val="single" w:sz="12" w:space="0" w:color="auto"/>
            </w:tcBorders>
            <w:shd w:val="clear" w:color="auto" w:fill="FFFFFF" w:themeFill="background1"/>
            <w:vAlign w:val="center"/>
          </w:tcPr>
          <w:p w:rsidR="001166AB" w:rsidRPr="002D7300" w:rsidRDefault="000B57E8" w:rsidP="007D0465">
            <w:pPr>
              <w:spacing w:before="20" w:after="20" w:line="240" w:lineRule="auto"/>
              <w:jc w:val="right"/>
            </w:pPr>
            <w:r>
              <w:t>31,02</w:t>
            </w:r>
          </w:p>
        </w:tc>
      </w:tr>
      <w:tr w:rsidR="001166AB" w:rsidRPr="002D7300" w:rsidTr="001166AB">
        <w:tc>
          <w:tcPr>
            <w:tcW w:w="2376" w:type="dxa"/>
            <w:tcBorders>
              <w:left w:val="single" w:sz="12" w:space="0" w:color="auto"/>
              <w:right w:val="single" w:sz="12" w:space="0" w:color="auto"/>
            </w:tcBorders>
            <w:shd w:val="clear" w:color="auto" w:fill="FFFFFF" w:themeFill="background1"/>
            <w:vAlign w:val="center"/>
          </w:tcPr>
          <w:p w:rsidR="001166AB" w:rsidRPr="002D7300" w:rsidRDefault="001166AB" w:rsidP="00070028">
            <w:pPr>
              <w:spacing w:before="20" w:after="20" w:line="240" w:lineRule="auto"/>
            </w:pPr>
            <w:r w:rsidRPr="002D7300">
              <w:t>EMBAKOM</w:t>
            </w:r>
          </w:p>
        </w:tc>
        <w:tc>
          <w:tcPr>
            <w:tcW w:w="1576" w:type="dxa"/>
            <w:tcBorders>
              <w:left w:val="single" w:sz="12" w:space="0" w:color="auto"/>
              <w:right w:val="single" w:sz="12" w:space="0" w:color="auto"/>
            </w:tcBorders>
            <w:shd w:val="clear" w:color="auto" w:fill="FFFFFF" w:themeFill="background1"/>
            <w:vAlign w:val="center"/>
          </w:tcPr>
          <w:p w:rsidR="001166AB" w:rsidRPr="002D7300" w:rsidRDefault="001166AB" w:rsidP="007D0465">
            <w:pPr>
              <w:spacing w:before="20" w:after="20" w:line="240" w:lineRule="auto"/>
              <w:jc w:val="right"/>
            </w:pPr>
            <w:r w:rsidRPr="002D7300">
              <w:t>5,23</w:t>
            </w:r>
          </w:p>
        </w:tc>
        <w:tc>
          <w:tcPr>
            <w:tcW w:w="1576" w:type="dxa"/>
            <w:tcBorders>
              <w:left w:val="single" w:sz="12" w:space="0" w:color="auto"/>
              <w:right w:val="single" w:sz="12" w:space="0" w:color="auto"/>
            </w:tcBorders>
            <w:shd w:val="clear" w:color="auto" w:fill="FFFFFF" w:themeFill="background1"/>
            <w:vAlign w:val="center"/>
          </w:tcPr>
          <w:p w:rsidR="001166AB" w:rsidRPr="002D7300" w:rsidRDefault="000B57E8" w:rsidP="007D0465">
            <w:pPr>
              <w:spacing w:before="20" w:after="20" w:line="240" w:lineRule="auto"/>
              <w:jc w:val="right"/>
            </w:pPr>
            <w:r>
              <w:t>3,97</w:t>
            </w:r>
          </w:p>
        </w:tc>
        <w:tc>
          <w:tcPr>
            <w:tcW w:w="1576" w:type="dxa"/>
            <w:tcBorders>
              <w:left w:val="single" w:sz="12" w:space="0" w:color="auto"/>
              <w:right w:val="single" w:sz="12" w:space="0" w:color="auto"/>
            </w:tcBorders>
            <w:shd w:val="clear" w:color="auto" w:fill="FFFFFF" w:themeFill="background1"/>
            <w:vAlign w:val="center"/>
          </w:tcPr>
          <w:p w:rsidR="001166AB" w:rsidRPr="002D7300" w:rsidRDefault="001166AB" w:rsidP="000B57E8">
            <w:pPr>
              <w:spacing w:before="20" w:after="20" w:line="240" w:lineRule="auto"/>
              <w:jc w:val="right"/>
            </w:pPr>
            <w:r w:rsidRPr="002D7300">
              <w:t>4,</w:t>
            </w:r>
            <w:r w:rsidR="000B57E8">
              <w:t>16</w:t>
            </w:r>
          </w:p>
        </w:tc>
        <w:tc>
          <w:tcPr>
            <w:tcW w:w="1576" w:type="dxa"/>
            <w:tcBorders>
              <w:left w:val="single" w:sz="12" w:space="0" w:color="auto"/>
              <w:right w:val="single" w:sz="12" w:space="0" w:color="auto"/>
            </w:tcBorders>
            <w:shd w:val="clear" w:color="auto" w:fill="FFFFFF" w:themeFill="background1"/>
            <w:vAlign w:val="center"/>
          </w:tcPr>
          <w:p w:rsidR="001166AB" w:rsidRPr="002D7300" w:rsidRDefault="001166AB" w:rsidP="000B57E8">
            <w:pPr>
              <w:spacing w:before="20" w:after="20" w:line="240" w:lineRule="auto"/>
              <w:jc w:val="right"/>
            </w:pPr>
            <w:r w:rsidRPr="002D7300">
              <w:t>5,</w:t>
            </w:r>
            <w:r w:rsidR="000B57E8">
              <w:t>75</w:t>
            </w:r>
          </w:p>
        </w:tc>
      </w:tr>
      <w:tr w:rsidR="001166AB" w:rsidRPr="002D7300" w:rsidTr="001166AB">
        <w:tc>
          <w:tcPr>
            <w:tcW w:w="2376" w:type="dxa"/>
            <w:tcBorders>
              <w:left w:val="single" w:sz="12" w:space="0" w:color="auto"/>
              <w:right w:val="single" w:sz="12" w:space="0" w:color="auto"/>
            </w:tcBorders>
            <w:shd w:val="clear" w:color="auto" w:fill="FFFFFF" w:themeFill="background1"/>
            <w:vAlign w:val="center"/>
          </w:tcPr>
          <w:p w:rsidR="001166AB" w:rsidRPr="002D7300" w:rsidRDefault="001166AB" w:rsidP="00070028">
            <w:pPr>
              <w:spacing w:before="20" w:after="20" w:line="240" w:lineRule="auto"/>
            </w:pPr>
            <w:r w:rsidRPr="002D7300">
              <w:t>GORENJE SUROVINA</w:t>
            </w:r>
          </w:p>
        </w:tc>
        <w:tc>
          <w:tcPr>
            <w:tcW w:w="1576" w:type="dxa"/>
            <w:tcBorders>
              <w:left w:val="single" w:sz="12" w:space="0" w:color="auto"/>
              <w:right w:val="single" w:sz="12" w:space="0" w:color="auto"/>
            </w:tcBorders>
            <w:shd w:val="clear" w:color="auto" w:fill="FFFFFF" w:themeFill="background1"/>
            <w:vAlign w:val="center"/>
          </w:tcPr>
          <w:p w:rsidR="001166AB" w:rsidRPr="002D7300" w:rsidRDefault="001166AB" w:rsidP="007D0465">
            <w:pPr>
              <w:spacing w:before="20" w:after="20" w:line="240" w:lineRule="auto"/>
              <w:jc w:val="right"/>
            </w:pPr>
            <w:r w:rsidRPr="002D7300">
              <w:t>20,75</w:t>
            </w:r>
          </w:p>
        </w:tc>
        <w:tc>
          <w:tcPr>
            <w:tcW w:w="1576" w:type="dxa"/>
            <w:tcBorders>
              <w:left w:val="single" w:sz="12" w:space="0" w:color="auto"/>
              <w:right w:val="single" w:sz="12" w:space="0" w:color="auto"/>
            </w:tcBorders>
            <w:shd w:val="clear" w:color="auto" w:fill="FFFFFF" w:themeFill="background1"/>
            <w:vAlign w:val="center"/>
          </w:tcPr>
          <w:p w:rsidR="001166AB" w:rsidRPr="002D7300" w:rsidRDefault="001166AB" w:rsidP="000B57E8">
            <w:pPr>
              <w:spacing w:before="20" w:after="20" w:line="240" w:lineRule="auto"/>
              <w:jc w:val="right"/>
            </w:pPr>
            <w:r w:rsidRPr="002D7300">
              <w:t>8,</w:t>
            </w:r>
            <w:r w:rsidR="000B57E8">
              <w:t>58</w:t>
            </w:r>
          </w:p>
        </w:tc>
        <w:tc>
          <w:tcPr>
            <w:tcW w:w="1576" w:type="dxa"/>
            <w:tcBorders>
              <w:left w:val="single" w:sz="12" w:space="0" w:color="auto"/>
              <w:right w:val="single" w:sz="12" w:space="0" w:color="auto"/>
            </w:tcBorders>
            <w:shd w:val="clear" w:color="auto" w:fill="FFFFFF" w:themeFill="background1"/>
            <w:vAlign w:val="center"/>
          </w:tcPr>
          <w:p w:rsidR="001166AB" w:rsidRPr="002D7300" w:rsidRDefault="001166AB" w:rsidP="000B57E8">
            <w:pPr>
              <w:spacing w:before="20" w:after="20" w:line="240" w:lineRule="auto"/>
              <w:jc w:val="right"/>
            </w:pPr>
            <w:r w:rsidRPr="002D7300">
              <w:t>20,</w:t>
            </w:r>
            <w:r w:rsidR="000B57E8">
              <w:t>42</w:t>
            </w:r>
          </w:p>
        </w:tc>
        <w:tc>
          <w:tcPr>
            <w:tcW w:w="1576" w:type="dxa"/>
            <w:tcBorders>
              <w:left w:val="single" w:sz="12" w:space="0" w:color="auto"/>
              <w:right w:val="single" w:sz="12" w:space="0" w:color="auto"/>
            </w:tcBorders>
            <w:shd w:val="clear" w:color="auto" w:fill="FFFFFF" w:themeFill="background1"/>
            <w:vAlign w:val="center"/>
          </w:tcPr>
          <w:p w:rsidR="001166AB" w:rsidRPr="002D7300" w:rsidRDefault="001166AB" w:rsidP="000B57E8">
            <w:pPr>
              <w:spacing w:before="20" w:after="20" w:line="240" w:lineRule="auto"/>
              <w:jc w:val="right"/>
            </w:pPr>
            <w:r w:rsidRPr="002D7300">
              <w:t>29,</w:t>
            </w:r>
            <w:r w:rsidR="000B57E8">
              <w:t>49</w:t>
            </w:r>
          </w:p>
        </w:tc>
      </w:tr>
      <w:tr w:rsidR="001166AB" w:rsidRPr="002D7300" w:rsidTr="001166AB">
        <w:tc>
          <w:tcPr>
            <w:tcW w:w="2376" w:type="dxa"/>
            <w:tcBorders>
              <w:left w:val="single" w:sz="12" w:space="0" w:color="auto"/>
              <w:right w:val="single" w:sz="12" w:space="0" w:color="auto"/>
            </w:tcBorders>
            <w:shd w:val="clear" w:color="auto" w:fill="FFFFFF" w:themeFill="background1"/>
            <w:vAlign w:val="center"/>
          </w:tcPr>
          <w:p w:rsidR="001166AB" w:rsidRPr="002D7300" w:rsidRDefault="001166AB" w:rsidP="00070028">
            <w:pPr>
              <w:spacing w:before="20" w:after="20" w:line="240" w:lineRule="auto"/>
            </w:pPr>
            <w:r w:rsidRPr="002D7300">
              <w:t>INTERSEROH</w:t>
            </w:r>
          </w:p>
        </w:tc>
        <w:tc>
          <w:tcPr>
            <w:tcW w:w="1576" w:type="dxa"/>
            <w:tcBorders>
              <w:left w:val="single" w:sz="12" w:space="0" w:color="auto"/>
              <w:right w:val="single" w:sz="12" w:space="0" w:color="auto"/>
            </w:tcBorders>
            <w:shd w:val="clear" w:color="auto" w:fill="FFFFFF" w:themeFill="background1"/>
            <w:vAlign w:val="center"/>
          </w:tcPr>
          <w:p w:rsidR="001166AB" w:rsidRPr="002D7300" w:rsidRDefault="001166AB" w:rsidP="007D0465">
            <w:pPr>
              <w:spacing w:before="20" w:after="20" w:line="240" w:lineRule="auto"/>
              <w:jc w:val="right"/>
            </w:pPr>
            <w:r w:rsidRPr="002D7300">
              <w:t>13,53</w:t>
            </w:r>
          </w:p>
        </w:tc>
        <w:tc>
          <w:tcPr>
            <w:tcW w:w="1576" w:type="dxa"/>
            <w:tcBorders>
              <w:left w:val="single" w:sz="12" w:space="0" w:color="auto"/>
              <w:right w:val="single" w:sz="12" w:space="0" w:color="auto"/>
            </w:tcBorders>
            <w:shd w:val="clear" w:color="auto" w:fill="FFFFFF" w:themeFill="background1"/>
            <w:vAlign w:val="center"/>
          </w:tcPr>
          <w:p w:rsidR="001166AB" w:rsidRPr="002D7300" w:rsidRDefault="001166AB" w:rsidP="000B57E8">
            <w:pPr>
              <w:spacing w:before="20" w:after="20" w:line="240" w:lineRule="auto"/>
              <w:jc w:val="right"/>
            </w:pPr>
            <w:r w:rsidRPr="002D7300">
              <w:t>5,</w:t>
            </w:r>
            <w:r w:rsidR="000B57E8">
              <w:t>35</w:t>
            </w:r>
          </w:p>
        </w:tc>
        <w:tc>
          <w:tcPr>
            <w:tcW w:w="1576" w:type="dxa"/>
            <w:tcBorders>
              <w:left w:val="single" w:sz="12" w:space="0" w:color="auto"/>
              <w:right w:val="single" w:sz="12" w:space="0" w:color="auto"/>
            </w:tcBorders>
            <w:shd w:val="clear" w:color="auto" w:fill="FFFFFF" w:themeFill="background1"/>
            <w:vAlign w:val="center"/>
          </w:tcPr>
          <w:p w:rsidR="001166AB" w:rsidRPr="002D7300" w:rsidRDefault="001166AB" w:rsidP="000B57E8">
            <w:pPr>
              <w:spacing w:before="20" w:after="20" w:line="240" w:lineRule="auto"/>
              <w:jc w:val="right"/>
            </w:pPr>
            <w:r w:rsidRPr="002D7300">
              <w:t>11,</w:t>
            </w:r>
            <w:r w:rsidR="000B57E8">
              <w:t>49</w:t>
            </w:r>
          </w:p>
        </w:tc>
        <w:tc>
          <w:tcPr>
            <w:tcW w:w="1576" w:type="dxa"/>
            <w:tcBorders>
              <w:left w:val="single" w:sz="12" w:space="0" w:color="auto"/>
              <w:right w:val="single" w:sz="12" w:space="0" w:color="auto"/>
            </w:tcBorders>
            <w:shd w:val="clear" w:color="auto" w:fill="FFFFFF" w:themeFill="background1"/>
            <w:vAlign w:val="center"/>
          </w:tcPr>
          <w:p w:rsidR="001166AB" w:rsidRPr="002D7300" w:rsidRDefault="000B57E8" w:rsidP="007D0465">
            <w:pPr>
              <w:spacing w:before="20" w:after="20" w:line="240" w:lineRule="auto"/>
              <w:jc w:val="right"/>
            </w:pPr>
            <w:r>
              <w:t>10,98</w:t>
            </w:r>
          </w:p>
        </w:tc>
      </w:tr>
      <w:tr w:rsidR="001166AB" w:rsidRPr="002D7300" w:rsidTr="001166AB">
        <w:tc>
          <w:tcPr>
            <w:tcW w:w="2376" w:type="dxa"/>
            <w:tcBorders>
              <w:left w:val="single" w:sz="12" w:space="0" w:color="auto"/>
              <w:right w:val="single" w:sz="12" w:space="0" w:color="auto"/>
            </w:tcBorders>
            <w:shd w:val="clear" w:color="auto" w:fill="FFFFFF" w:themeFill="background1"/>
            <w:vAlign w:val="center"/>
          </w:tcPr>
          <w:p w:rsidR="001166AB" w:rsidRPr="002D7300" w:rsidRDefault="001166AB" w:rsidP="00070028">
            <w:pPr>
              <w:spacing w:before="20" w:after="20" w:line="240" w:lineRule="auto"/>
            </w:pPr>
            <w:r w:rsidRPr="002D7300">
              <w:t>RECIKEL</w:t>
            </w:r>
          </w:p>
        </w:tc>
        <w:tc>
          <w:tcPr>
            <w:tcW w:w="1576" w:type="dxa"/>
            <w:tcBorders>
              <w:left w:val="single" w:sz="12" w:space="0" w:color="auto"/>
              <w:right w:val="single" w:sz="12" w:space="0" w:color="auto"/>
            </w:tcBorders>
            <w:shd w:val="clear" w:color="auto" w:fill="FFFFFF" w:themeFill="background1"/>
            <w:vAlign w:val="center"/>
          </w:tcPr>
          <w:p w:rsidR="001166AB" w:rsidRPr="002D7300" w:rsidRDefault="001166AB" w:rsidP="007D0465">
            <w:pPr>
              <w:spacing w:before="20" w:after="20" w:line="240" w:lineRule="auto"/>
              <w:jc w:val="right"/>
            </w:pPr>
            <w:r w:rsidRPr="002D7300">
              <w:t>29,18</w:t>
            </w:r>
          </w:p>
        </w:tc>
        <w:tc>
          <w:tcPr>
            <w:tcW w:w="1576" w:type="dxa"/>
            <w:tcBorders>
              <w:left w:val="single" w:sz="12" w:space="0" w:color="auto"/>
              <w:right w:val="single" w:sz="12" w:space="0" w:color="auto"/>
            </w:tcBorders>
            <w:shd w:val="clear" w:color="auto" w:fill="FFFFFF" w:themeFill="background1"/>
            <w:vAlign w:val="center"/>
          </w:tcPr>
          <w:p w:rsidR="001166AB" w:rsidRPr="002D7300" w:rsidRDefault="000B57E8" w:rsidP="007D0465">
            <w:pPr>
              <w:spacing w:before="20" w:after="20" w:line="240" w:lineRule="auto"/>
              <w:jc w:val="right"/>
            </w:pPr>
            <w:r>
              <w:t>43,40</w:t>
            </w:r>
          </w:p>
        </w:tc>
        <w:tc>
          <w:tcPr>
            <w:tcW w:w="1576" w:type="dxa"/>
            <w:tcBorders>
              <w:left w:val="single" w:sz="12" w:space="0" w:color="auto"/>
              <w:right w:val="single" w:sz="12" w:space="0" w:color="auto"/>
            </w:tcBorders>
            <w:shd w:val="clear" w:color="auto" w:fill="FFFFFF" w:themeFill="background1"/>
            <w:vAlign w:val="center"/>
          </w:tcPr>
          <w:p w:rsidR="001166AB" w:rsidRPr="002D7300" w:rsidRDefault="001166AB" w:rsidP="000B57E8">
            <w:pPr>
              <w:spacing w:before="20" w:after="20" w:line="240" w:lineRule="auto"/>
              <w:jc w:val="right"/>
            </w:pPr>
            <w:r w:rsidRPr="002D7300">
              <w:t>25,</w:t>
            </w:r>
            <w:r w:rsidR="000B57E8">
              <w:t>96</w:t>
            </w:r>
          </w:p>
        </w:tc>
        <w:tc>
          <w:tcPr>
            <w:tcW w:w="1576" w:type="dxa"/>
            <w:tcBorders>
              <w:left w:val="single" w:sz="12" w:space="0" w:color="auto"/>
              <w:right w:val="single" w:sz="12" w:space="0" w:color="auto"/>
            </w:tcBorders>
            <w:shd w:val="clear" w:color="auto" w:fill="FFFFFF" w:themeFill="background1"/>
            <w:vAlign w:val="center"/>
          </w:tcPr>
          <w:p w:rsidR="001166AB" w:rsidRPr="002D7300" w:rsidRDefault="001166AB" w:rsidP="000B57E8">
            <w:pPr>
              <w:spacing w:before="20" w:after="20" w:line="240" w:lineRule="auto"/>
              <w:jc w:val="right"/>
            </w:pPr>
            <w:r w:rsidRPr="002D7300">
              <w:t>13,</w:t>
            </w:r>
            <w:r w:rsidR="000B57E8">
              <w:t>28</w:t>
            </w:r>
          </w:p>
        </w:tc>
      </w:tr>
      <w:tr w:rsidR="001166AB" w:rsidRPr="002D7300" w:rsidTr="001166AB">
        <w:tc>
          <w:tcPr>
            <w:tcW w:w="2376" w:type="dxa"/>
            <w:tcBorders>
              <w:left w:val="single" w:sz="12" w:space="0" w:color="auto"/>
              <w:bottom w:val="single" w:sz="12" w:space="0" w:color="auto"/>
              <w:right w:val="single" w:sz="12" w:space="0" w:color="auto"/>
            </w:tcBorders>
            <w:shd w:val="clear" w:color="auto" w:fill="FFFFFF" w:themeFill="background1"/>
            <w:vAlign w:val="center"/>
          </w:tcPr>
          <w:p w:rsidR="001166AB" w:rsidRPr="002D7300" w:rsidRDefault="001166AB" w:rsidP="00070028">
            <w:pPr>
              <w:spacing w:before="20" w:after="20" w:line="240" w:lineRule="auto"/>
            </w:pPr>
            <w:r w:rsidRPr="002D7300">
              <w:t>SLOPAK</w:t>
            </w:r>
          </w:p>
        </w:tc>
        <w:tc>
          <w:tcPr>
            <w:tcW w:w="1576" w:type="dxa"/>
            <w:tcBorders>
              <w:left w:val="single" w:sz="12" w:space="0" w:color="auto"/>
              <w:bottom w:val="single" w:sz="12" w:space="0" w:color="auto"/>
              <w:right w:val="single" w:sz="12" w:space="0" w:color="auto"/>
            </w:tcBorders>
            <w:shd w:val="clear" w:color="auto" w:fill="FFFFFF" w:themeFill="background1"/>
            <w:vAlign w:val="center"/>
          </w:tcPr>
          <w:p w:rsidR="001166AB" w:rsidRPr="002D7300" w:rsidRDefault="001166AB" w:rsidP="007D0465">
            <w:pPr>
              <w:spacing w:before="20" w:after="20" w:line="240" w:lineRule="auto"/>
              <w:jc w:val="right"/>
            </w:pPr>
            <w:r w:rsidRPr="002D7300">
              <w:t>6,9</w:t>
            </w:r>
            <w:r>
              <w:t>1</w:t>
            </w:r>
          </w:p>
        </w:tc>
        <w:tc>
          <w:tcPr>
            <w:tcW w:w="1576" w:type="dxa"/>
            <w:tcBorders>
              <w:left w:val="single" w:sz="12" w:space="0" w:color="auto"/>
              <w:bottom w:val="single" w:sz="12" w:space="0" w:color="auto"/>
              <w:right w:val="single" w:sz="12" w:space="0" w:color="auto"/>
            </w:tcBorders>
            <w:shd w:val="clear" w:color="auto" w:fill="FFFFFF" w:themeFill="background1"/>
            <w:vAlign w:val="center"/>
          </w:tcPr>
          <w:p w:rsidR="001166AB" w:rsidRPr="002D7300" w:rsidRDefault="000B57E8" w:rsidP="000B57E8">
            <w:pPr>
              <w:spacing w:before="20" w:after="20" w:line="240" w:lineRule="auto"/>
              <w:jc w:val="right"/>
            </w:pPr>
            <w:r>
              <w:t>12,77</w:t>
            </w:r>
          </w:p>
        </w:tc>
        <w:tc>
          <w:tcPr>
            <w:tcW w:w="1576" w:type="dxa"/>
            <w:tcBorders>
              <w:left w:val="single" w:sz="12" w:space="0" w:color="auto"/>
              <w:bottom w:val="single" w:sz="12" w:space="0" w:color="auto"/>
              <w:right w:val="single" w:sz="12" w:space="0" w:color="auto"/>
            </w:tcBorders>
            <w:shd w:val="clear" w:color="auto" w:fill="FFFFFF" w:themeFill="background1"/>
            <w:vAlign w:val="center"/>
          </w:tcPr>
          <w:p w:rsidR="001166AB" w:rsidRPr="002D7300" w:rsidRDefault="000B57E8" w:rsidP="007D0465">
            <w:pPr>
              <w:spacing w:before="20" w:after="20" w:line="240" w:lineRule="auto"/>
              <w:jc w:val="right"/>
            </w:pPr>
            <w:r>
              <w:t>15,37</w:t>
            </w:r>
          </w:p>
        </w:tc>
        <w:tc>
          <w:tcPr>
            <w:tcW w:w="1576" w:type="dxa"/>
            <w:tcBorders>
              <w:left w:val="single" w:sz="12" w:space="0" w:color="auto"/>
              <w:bottom w:val="single" w:sz="12" w:space="0" w:color="auto"/>
              <w:right w:val="single" w:sz="12" w:space="0" w:color="auto"/>
            </w:tcBorders>
            <w:shd w:val="clear" w:color="auto" w:fill="FFFFFF" w:themeFill="background1"/>
            <w:vAlign w:val="center"/>
          </w:tcPr>
          <w:p w:rsidR="001166AB" w:rsidRPr="002D7300" w:rsidRDefault="001166AB" w:rsidP="000B57E8">
            <w:pPr>
              <w:spacing w:before="20" w:after="20" w:line="240" w:lineRule="auto"/>
              <w:jc w:val="right"/>
            </w:pPr>
            <w:r w:rsidRPr="002D7300">
              <w:t>9,</w:t>
            </w:r>
            <w:r w:rsidR="000B57E8">
              <w:t>48</w:t>
            </w:r>
          </w:p>
        </w:tc>
      </w:tr>
      <w:tr w:rsidR="001166AB" w:rsidRPr="000349D8" w:rsidTr="001166AB">
        <w:tc>
          <w:tcPr>
            <w:tcW w:w="237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166AB" w:rsidRPr="002D7300" w:rsidRDefault="001166AB" w:rsidP="00070028">
            <w:pPr>
              <w:spacing w:before="20" w:after="20" w:line="240" w:lineRule="auto"/>
            </w:pPr>
            <w:r w:rsidRPr="002D7300">
              <w:t>skupaj</w:t>
            </w:r>
          </w:p>
        </w:tc>
        <w:tc>
          <w:tcPr>
            <w:tcW w:w="157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166AB" w:rsidRPr="002D7300" w:rsidRDefault="001166AB" w:rsidP="007D0465">
            <w:pPr>
              <w:spacing w:before="20" w:after="20" w:line="240" w:lineRule="auto"/>
              <w:jc w:val="right"/>
            </w:pPr>
            <w:r w:rsidRPr="002D7300">
              <w:t>100,00</w:t>
            </w:r>
          </w:p>
        </w:tc>
        <w:tc>
          <w:tcPr>
            <w:tcW w:w="157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166AB" w:rsidRPr="002D7300" w:rsidRDefault="001166AB" w:rsidP="007D0465">
            <w:pPr>
              <w:spacing w:before="20" w:after="20" w:line="240" w:lineRule="auto"/>
              <w:jc w:val="right"/>
            </w:pPr>
            <w:r w:rsidRPr="002D7300">
              <w:t>100,00</w:t>
            </w:r>
          </w:p>
        </w:tc>
        <w:tc>
          <w:tcPr>
            <w:tcW w:w="157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166AB" w:rsidRPr="002D7300" w:rsidRDefault="001166AB" w:rsidP="007D0465">
            <w:pPr>
              <w:spacing w:before="20" w:after="20" w:line="240" w:lineRule="auto"/>
              <w:jc w:val="right"/>
            </w:pPr>
            <w:r w:rsidRPr="002D7300">
              <w:t>100,00</w:t>
            </w:r>
          </w:p>
        </w:tc>
        <w:tc>
          <w:tcPr>
            <w:tcW w:w="157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166AB" w:rsidRPr="002D7300" w:rsidRDefault="001166AB" w:rsidP="007D0465">
            <w:pPr>
              <w:spacing w:before="20" w:after="20" w:line="240" w:lineRule="auto"/>
              <w:jc w:val="right"/>
            </w:pPr>
            <w:r w:rsidRPr="002D7300">
              <w:t>100,00</w:t>
            </w:r>
          </w:p>
        </w:tc>
      </w:tr>
    </w:tbl>
    <w:p w:rsidR="00BD4A0E" w:rsidRDefault="00BD4A0E" w:rsidP="00BD4A0E">
      <w:pPr>
        <w:spacing w:line="240" w:lineRule="auto"/>
        <w:rPr>
          <w:b/>
        </w:rPr>
      </w:pPr>
    </w:p>
    <w:p w:rsidR="00BD4A0E" w:rsidRDefault="00BD4A0E" w:rsidP="00BD4A0E">
      <w:pPr>
        <w:spacing w:line="240" w:lineRule="auto"/>
        <w:jc w:val="both"/>
        <w:rPr>
          <w:rFonts w:cs="Arial"/>
          <w:bCs/>
          <w:szCs w:val="20"/>
        </w:rPr>
      </w:pPr>
    </w:p>
    <w:sectPr w:rsidR="00BD4A0E" w:rsidSect="00C7784C">
      <w:headerReference w:type="default" r:id="rId34"/>
      <w:footerReference w:type="default" r:id="rId35"/>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DF3" w:rsidRDefault="006E3DF3">
      <w:r>
        <w:separator/>
      </w:r>
    </w:p>
  </w:endnote>
  <w:endnote w:type="continuationSeparator" w:id="0">
    <w:p w:rsidR="006E3DF3" w:rsidRDefault="006E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58" w:rsidRDefault="008A2BAE" w:rsidP="00EC7A6D">
    <w:pPr>
      <w:pStyle w:val="Noga"/>
      <w:framePr w:wrap="around" w:vAnchor="text" w:hAnchor="margin" w:xAlign="right" w:y="1"/>
      <w:rPr>
        <w:rStyle w:val="tevilkastrani"/>
      </w:rPr>
    </w:pPr>
    <w:r>
      <w:rPr>
        <w:rStyle w:val="tevilkastrani"/>
      </w:rPr>
      <w:fldChar w:fldCharType="begin"/>
    </w:r>
    <w:r w:rsidR="00E97E58">
      <w:rPr>
        <w:rStyle w:val="tevilkastrani"/>
      </w:rPr>
      <w:instrText xml:space="preserve">PAGE  </w:instrText>
    </w:r>
    <w:r>
      <w:rPr>
        <w:rStyle w:val="tevilkastrani"/>
      </w:rPr>
      <w:fldChar w:fldCharType="end"/>
    </w:r>
  </w:p>
  <w:p w:rsidR="00E97E58" w:rsidRDefault="00E97E58"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58" w:rsidRDefault="008A2BAE" w:rsidP="002936C3">
    <w:pPr>
      <w:pStyle w:val="Noga"/>
      <w:framePr w:wrap="around" w:vAnchor="text" w:hAnchor="margin" w:xAlign="right" w:y="1"/>
      <w:rPr>
        <w:rStyle w:val="tevilkastrani"/>
      </w:rPr>
    </w:pPr>
    <w:r>
      <w:rPr>
        <w:rStyle w:val="tevilkastrani"/>
      </w:rPr>
      <w:fldChar w:fldCharType="begin"/>
    </w:r>
    <w:r w:rsidR="00E97E58">
      <w:rPr>
        <w:rStyle w:val="tevilkastrani"/>
      </w:rPr>
      <w:instrText xml:space="preserve">PAGE  </w:instrText>
    </w:r>
    <w:r>
      <w:rPr>
        <w:rStyle w:val="tevilkastrani"/>
      </w:rPr>
      <w:fldChar w:fldCharType="separate"/>
    </w:r>
    <w:r w:rsidR="00447105">
      <w:rPr>
        <w:rStyle w:val="tevilkastrani"/>
        <w:noProof/>
      </w:rPr>
      <w:t>3</w:t>
    </w:r>
    <w:r>
      <w:rPr>
        <w:rStyle w:val="tevilkastrani"/>
      </w:rPr>
      <w:fldChar w:fldCharType="end"/>
    </w:r>
  </w:p>
  <w:p w:rsidR="00E97E58" w:rsidRDefault="00E97E58" w:rsidP="00AC2363">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58" w:rsidRDefault="008A2BAE">
    <w:pPr>
      <w:pStyle w:val="Noga"/>
      <w:jc w:val="right"/>
    </w:pPr>
    <w:r>
      <w:fldChar w:fldCharType="begin"/>
    </w:r>
    <w:r w:rsidR="00E97E58">
      <w:instrText>PAGE   \* MERGEFORMAT</w:instrText>
    </w:r>
    <w:r>
      <w:fldChar w:fldCharType="separate"/>
    </w:r>
    <w:r w:rsidR="00447105">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DF3" w:rsidRDefault="006E3DF3">
      <w:r>
        <w:separator/>
      </w:r>
    </w:p>
  </w:footnote>
  <w:footnote w:type="continuationSeparator" w:id="0">
    <w:p w:rsidR="006E3DF3" w:rsidRDefault="006E3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58" w:rsidRPr="00110CBD" w:rsidRDefault="00E97E58"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97E58" w:rsidRPr="008F3500" w:rsidTr="00D00FA4">
      <w:trPr>
        <w:cantSplit/>
        <w:trHeight w:hRule="exact" w:val="847"/>
      </w:trPr>
      <w:tc>
        <w:tcPr>
          <w:tcW w:w="649" w:type="dxa"/>
        </w:tcPr>
        <w:p w:rsidR="00E97E58" w:rsidRDefault="00E97E58" w:rsidP="00ED2E0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E97E58" w:rsidRPr="006D42D9" w:rsidRDefault="00E97E58" w:rsidP="00ED2E04">
          <w:pPr>
            <w:rPr>
              <w:rFonts w:ascii="Republika" w:hAnsi="Republika"/>
              <w:sz w:val="60"/>
              <w:szCs w:val="60"/>
            </w:rPr>
          </w:pPr>
        </w:p>
        <w:p w:rsidR="00E97E58" w:rsidRPr="006D42D9" w:rsidRDefault="00E97E58" w:rsidP="00ED2E04">
          <w:pPr>
            <w:rPr>
              <w:rFonts w:ascii="Republika" w:hAnsi="Republika"/>
              <w:sz w:val="60"/>
              <w:szCs w:val="60"/>
            </w:rPr>
          </w:pPr>
        </w:p>
        <w:p w:rsidR="00E97E58" w:rsidRPr="006D42D9" w:rsidRDefault="00E97E58" w:rsidP="00ED2E04">
          <w:pPr>
            <w:rPr>
              <w:rFonts w:ascii="Republika" w:hAnsi="Republika"/>
              <w:sz w:val="60"/>
              <w:szCs w:val="60"/>
            </w:rPr>
          </w:pPr>
        </w:p>
        <w:p w:rsidR="00E97E58" w:rsidRPr="006D42D9" w:rsidRDefault="00E97E58" w:rsidP="00ED2E04">
          <w:pPr>
            <w:rPr>
              <w:rFonts w:ascii="Republika" w:hAnsi="Republika"/>
              <w:sz w:val="60"/>
              <w:szCs w:val="60"/>
            </w:rPr>
          </w:pPr>
        </w:p>
        <w:p w:rsidR="00E97E58" w:rsidRPr="006D42D9" w:rsidRDefault="00E97E58" w:rsidP="00ED2E04">
          <w:pPr>
            <w:rPr>
              <w:rFonts w:ascii="Republika" w:hAnsi="Republika"/>
              <w:sz w:val="60"/>
              <w:szCs w:val="60"/>
            </w:rPr>
          </w:pPr>
        </w:p>
        <w:p w:rsidR="00E97E58" w:rsidRPr="006D42D9" w:rsidRDefault="00E97E58" w:rsidP="00ED2E04">
          <w:pPr>
            <w:rPr>
              <w:rFonts w:ascii="Republika" w:hAnsi="Republika"/>
              <w:sz w:val="60"/>
              <w:szCs w:val="60"/>
            </w:rPr>
          </w:pPr>
        </w:p>
        <w:p w:rsidR="00E97E58" w:rsidRPr="006D42D9" w:rsidRDefault="00E97E58" w:rsidP="00ED2E04">
          <w:pPr>
            <w:rPr>
              <w:rFonts w:ascii="Republika" w:hAnsi="Republika"/>
              <w:sz w:val="60"/>
              <w:szCs w:val="60"/>
            </w:rPr>
          </w:pPr>
        </w:p>
        <w:p w:rsidR="00E97E58" w:rsidRPr="006D42D9" w:rsidRDefault="00E97E58" w:rsidP="00ED2E04">
          <w:pPr>
            <w:rPr>
              <w:rFonts w:ascii="Republika" w:hAnsi="Republika"/>
              <w:sz w:val="60"/>
              <w:szCs w:val="60"/>
            </w:rPr>
          </w:pPr>
        </w:p>
        <w:p w:rsidR="00E97E58" w:rsidRPr="006D42D9" w:rsidRDefault="00E97E58" w:rsidP="00ED2E04">
          <w:pPr>
            <w:rPr>
              <w:rFonts w:ascii="Republika" w:hAnsi="Republika"/>
              <w:sz w:val="60"/>
              <w:szCs w:val="60"/>
            </w:rPr>
          </w:pPr>
        </w:p>
        <w:p w:rsidR="00E97E58" w:rsidRPr="006D42D9" w:rsidRDefault="00E97E58" w:rsidP="00ED2E04">
          <w:pPr>
            <w:rPr>
              <w:rFonts w:ascii="Republika" w:hAnsi="Republika"/>
              <w:sz w:val="60"/>
              <w:szCs w:val="60"/>
            </w:rPr>
          </w:pPr>
        </w:p>
        <w:p w:rsidR="00E97E58" w:rsidRPr="006D42D9" w:rsidRDefault="00E97E58" w:rsidP="00ED2E04">
          <w:pPr>
            <w:rPr>
              <w:rFonts w:ascii="Republika" w:hAnsi="Republika"/>
              <w:sz w:val="60"/>
              <w:szCs w:val="60"/>
            </w:rPr>
          </w:pPr>
        </w:p>
        <w:p w:rsidR="00E97E58" w:rsidRPr="006D42D9" w:rsidRDefault="00E97E58" w:rsidP="00ED2E04">
          <w:pPr>
            <w:rPr>
              <w:rFonts w:ascii="Republika" w:hAnsi="Republika"/>
              <w:sz w:val="60"/>
              <w:szCs w:val="60"/>
            </w:rPr>
          </w:pPr>
        </w:p>
        <w:p w:rsidR="00E97E58" w:rsidRPr="006D42D9" w:rsidRDefault="00E97E58" w:rsidP="00ED2E04">
          <w:pPr>
            <w:rPr>
              <w:rFonts w:ascii="Republika" w:hAnsi="Republika"/>
              <w:sz w:val="60"/>
              <w:szCs w:val="60"/>
            </w:rPr>
          </w:pPr>
        </w:p>
        <w:p w:rsidR="00E97E58" w:rsidRPr="006D42D9" w:rsidRDefault="00E97E58" w:rsidP="00ED2E04">
          <w:pPr>
            <w:rPr>
              <w:rFonts w:ascii="Republika" w:hAnsi="Republika"/>
              <w:sz w:val="60"/>
              <w:szCs w:val="60"/>
            </w:rPr>
          </w:pPr>
        </w:p>
        <w:p w:rsidR="00E97E58" w:rsidRPr="006D42D9" w:rsidRDefault="00E97E58" w:rsidP="00ED2E04">
          <w:pPr>
            <w:rPr>
              <w:rFonts w:ascii="Republika" w:hAnsi="Republika"/>
              <w:sz w:val="60"/>
              <w:szCs w:val="60"/>
            </w:rPr>
          </w:pPr>
        </w:p>
        <w:p w:rsidR="00E97E58" w:rsidRPr="006D42D9" w:rsidRDefault="00E97E58" w:rsidP="00ED2E04">
          <w:pPr>
            <w:rPr>
              <w:rFonts w:ascii="Republika" w:hAnsi="Republika"/>
              <w:sz w:val="60"/>
              <w:szCs w:val="60"/>
            </w:rPr>
          </w:pPr>
        </w:p>
      </w:tc>
    </w:tr>
  </w:tbl>
  <w:p w:rsidR="00E97E58" w:rsidRPr="00B95595" w:rsidRDefault="00A33E2B" w:rsidP="00D00FA4">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1" distB="4294967291"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i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2uP6o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E97E58" w:rsidRPr="00B95595">
      <w:rPr>
        <w:rFonts w:ascii="Republika" w:hAnsi="Republika"/>
      </w:rPr>
      <w:t>REPUBLIKA SLOVENIJA</w:t>
    </w:r>
  </w:p>
  <w:p w:rsidR="00E97E58" w:rsidRPr="00B95595" w:rsidRDefault="00E97E58" w:rsidP="00D00FA4">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E97E58" w:rsidRDefault="00E97E58" w:rsidP="00D00FA4">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74 00</w:t>
    </w:r>
  </w:p>
  <w:p w:rsidR="00E97E58" w:rsidRDefault="00E97E58" w:rsidP="00D00FA4">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E97E58" w:rsidRDefault="00E97E58" w:rsidP="00D00FA4">
    <w:pPr>
      <w:pStyle w:val="Glava"/>
      <w:tabs>
        <w:tab w:val="clear" w:pos="4320"/>
        <w:tab w:val="left" w:pos="5112"/>
      </w:tabs>
      <w:spacing w:line="240" w:lineRule="exact"/>
      <w:rPr>
        <w:rFonts w:cs="Arial"/>
        <w:sz w:val="16"/>
        <w:lang w:val="sl-SI"/>
      </w:rPr>
    </w:pPr>
    <w:r>
      <w:rPr>
        <w:rFonts w:cs="Arial"/>
        <w:sz w:val="16"/>
        <w:lang w:val="sl-SI"/>
      </w:rPr>
      <w:tab/>
      <w:t>E: gp.mop@gov.si</w:t>
    </w:r>
  </w:p>
  <w:p w:rsidR="00E97E58" w:rsidRDefault="00E97E58" w:rsidP="00D00FA4">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rsidR="00E97E58" w:rsidRPr="008F3500" w:rsidRDefault="00E97E58"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58" w:rsidRPr="00A510D0" w:rsidRDefault="00E97E58" w:rsidP="00A510D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CCD34AA"/>
    <w:multiLevelType w:val="hybridMultilevel"/>
    <w:tmpl w:val="EF0432BE"/>
    <w:lvl w:ilvl="0" w:tplc="EBE43EF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DD0055A"/>
    <w:multiLevelType w:val="hybridMultilevel"/>
    <w:tmpl w:val="5906D6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0CE6F04"/>
    <w:multiLevelType w:val="hybridMultilevel"/>
    <w:tmpl w:val="69600A44"/>
    <w:lvl w:ilvl="0" w:tplc="8A348A8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0DB45DA"/>
    <w:multiLevelType w:val="hybridMultilevel"/>
    <w:tmpl w:val="22FC78A4"/>
    <w:lvl w:ilvl="0" w:tplc="A08C84B2">
      <w:start w:val="2"/>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5">
    <w:nsid w:val="12446B0A"/>
    <w:multiLevelType w:val="hybridMultilevel"/>
    <w:tmpl w:val="CE8ECCB2"/>
    <w:lvl w:ilvl="0" w:tplc="DB6417F8">
      <w:start w:val="2"/>
      <w:numFmt w:val="decimal"/>
      <w:lvlText w:val="%1."/>
      <w:lvlJc w:val="left"/>
      <w:pPr>
        <w:ind w:left="810" w:hanging="360"/>
      </w:pPr>
      <w:rPr>
        <w:rFonts w:hint="default"/>
      </w:rPr>
    </w:lvl>
    <w:lvl w:ilvl="1" w:tplc="04240019" w:tentative="1">
      <w:start w:val="1"/>
      <w:numFmt w:val="lowerLetter"/>
      <w:lvlText w:val="%2."/>
      <w:lvlJc w:val="left"/>
      <w:pPr>
        <w:ind w:left="1530" w:hanging="360"/>
      </w:pPr>
    </w:lvl>
    <w:lvl w:ilvl="2" w:tplc="0424001B" w:tentative="1">
      <w:start w:val="1"/>
      <w:numFmt w:val="lowerRoman"/>
      <w:lvlText w:val="%3."/>
      <w:lvlJc w:val="right"/>
      <w:pPr>
        <w:ind w:left="2250" w:hanging="180"/>
      </w:pPr>
    </w:lvl>
    <w:lvl w:ilvl="3" w:tplc="0424000F" w:tentative="1">
      <w:start w:val="1"/>
      <w:numFmt w:val="decimal"/>
      <w:lvlText w:val="%4."/>
      <w:lvlJc w:val="left"/>
      <w:pPr>
        <w:ind w:left="2970" w:hanging="360"/>
      </w:pPr>
    </w:lvl>
    <w:lvl w:ilvl="4" w:tplc="04240019" w:tentative="1">
      <w:start w:val="1"/>
      <w:numFmt w:val="lowerLetter"/>
      <w:lvlText w:val="%5."/>
      <w:lvlJc w:val="left"/>
      <w:pPr>
        <w:ind w:left="3690" w:hanging="360"/>
      </w:pPr>
    </w:lvl>
    <w:lvl w:ilvl="5" w:tplc="0424001B" w:tentative="1">
      <w:start w:val="1"/>
      <w:numFmt w:val="lowerRoman"/>
      <w:lvlText w:val="%6."/>
      <w:lvlJc w:val="right"/>
      <w:pPr>
        <w:ind w:left="4410" w:hanging="180"/>
      </w:pPr>
    </w:lvl>
    <w:lvl w:ilvl="6" w:tplc="0424000F" w:tentative="1">
      <w:start w:val="1"/>
      <w:numFmt w:val="decimal"/>
      <w:lvlText w:val="%7."/>
      <w:lvlJc w:val="left"/>
      <w:pPr>
        <w:ind w:left="5130" w:hanging="360"/>
      </w:pPr>
    </w:lvl>
    <w:lvl w:ilvl="7" w:tplc="04240019" w:tentative="1">
      <w:start w:val="1"/>
      <w:numFmt w:val="lowerLetter"/>
      <w:lvlText w:val="%8."/>
      <w:lvlJc w:val="left"/>
      <w:pPr>
        <w:ind w:left="5850" w:hanging="360"/>
      </w:pPr>
    </w:lvl>
    <w:lvl w:ilvl="8" w:tplc="0424001B" w:tentative="1">
      <w:start w:val="1"/>
      <w:numFmt w:val="lowerRoman"/>
      <w:lvlText w:val="%9."/>
      <w:lvlJc w:val="right"/>
      <w:pPr>
        <w:ind w:left="6570" w:hanging="180"/>
      </w:pPr>
    </w:lvl>
  </w:abstractNum>
  <w:abstractNum w:abstractNumId="6">
    <w:nsid w:val="13D051AB"/>
    <w:multiLevelType w:val="hybridMultilevel"/>
    <w:tmpl w:val="C6E4D5E2"/>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0244675"/>
    <w:multiLevelType w:val="hybridMultilevel"/>
    <w:tmpl w:val="59B8646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18A54CA"/>
    <w:multiLevelType w:val="hybridMultilevel"/>
    <w:tmpl w:val="234C6EAC"/>
    <w:lvl w:ilvl="0" w:tplc="16CE662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2B70F22"/>
    <w:multiLevelType w:val="hybridMultilevel"/>
    <w:tmpl w:val="FD14A1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AA6612B"/>
    <w:multiLevelType w:val="hybridMultilevel"/>
    <w:tmpl w:val="0E60D618"/>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DD74BC2"/>
    <w:multiLevelType w:val="hybridMultilevel"/>
    <w:tmpl w:val="A476EC14"/>
    <w:lvl w:ilvl="0" w:tplc="EE3E8228">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nsid w:val="34460C57"/>
    <w:multiLevelType w:val="hybridMultilevel"/>
    <w:tmpl w:val="F840489C"/>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C0F46B5"/>
    <w:multiLevelType w:val="hybridMultilevel"/>
    <w:tmpl w:val="6126681C"/>
    <w:lvl w:ilvl="0" w:tplc="5F70C34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EDD5D1F"/>
    <w:multiLevelType w:val="hybridMultilevel"/>
    <w:tmpl w:val="0A141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090355E"/>
    <w:multiLevelType w:val="hybridMultilevel"/>
    <w:tmpl w:val="1A326EB2"/>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3AC6EC5"/>
    <w:multiLevelType w:val="hybridMultilevel"/>
    <w:tmpl w:val="374EF246"/>
    <w:lvl w:ilvl="0" w:tplc="6A280258">
      <w:start w:val="2"/>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0">
    <w:nsid w:val="781F7C77"/>
    <w:multiLevelType w:val="hybridMultilevel"/>
    <w:tmpl w:val="EF8EAD8E"/>
    <w:lvl w:ilvl="0" w:tplc="5FD61552">
      <w:start w:val="12"/>
      <w:numFmt w:val="bullet"/>
      <w:lvlText w:val=""/>
      <w:lvlJc w:val="left"/>
      <w:pPr>
        <w:tabs>
          <w:tab w:val="num" w:pos="360"/>
        </w:tabs>
        <w:ind w:left="360" w:hanging="360"/>
      </w:pPr>
      <w:rPr>
        <w:rFonts w:ascii="Symbol" w:eastAsia="Times New Roman" w:hAnsi="Symbol" w:hint="default"/>
      </w:rPr>
    </w:lvl>
    <w:lvl w:ilvl="1" w:tplc="04240019"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21">
    <w:nsid w:val="7B4F4FB3"/>
    <w:multiLevelType w:val="hybridMultilevel"/>
    <w:tmpl w:val="AF666A62"/>
    <w:lvl w:ilvl="0" w:tplc="8A50892A">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16"/>
  </w:num>
  <w:num w:numId="5">
    <w:abstractNumId w:val="20"/>
  </w:num>
  <w:num w:numId="6">
    <w:abstractNumId w:val="13"/>
  </w:num>
  <w:num w:numId="7">
    <w:abstractNumId w:val="2"/>
  </w:num>
  <w:num w:numId="8">
    <w:abstractNumId w:val="8"/>
  </w:num>
  <w:num w:numId="9">
    <w:abstractNumId w:val="9"/>
  </w:num>
  <w:num w:numId="10">
    <w:abstractNumId w:val="1"/>
  </w:num>
  <w:num w:numId="11">
    <w:abstractNumId w:val="21"/>
  </w:num>
  <w:num w:numId="12">
    <w:abstractNumId w:val="1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19"/>
  </w:num>
  <w:num w:numId="17">
    <w:abstractNumId w:val="5"/>
  </w:num>
  <w:num w:numId="18">
    <w:abstractNumId w:val="4"/>
  </w:num>
  <w:num w:numId="19">
    <w:abstractNumId w:val="3"/>
  </w:num>
  <w:num w:numId="20">
    <w:abstractNumId w:val="15"/>
  </w:num>
  <w:num w:numId="21">
    <w:abstractNumId w:val="7"/>
  </w:num>
  <w:num w:numId="22">
    <w:abstractNumId w:val="17"/>
  </w:num>
  <w:num w:numId="23">
    <w:abstractNumId w:val="10"/>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1E6F"/>
    <w:rsid w:val="000042C4"/>
    <w:rsid w:val="00004AC2"/>
    <w:rsid w:val="00004E52"/>
    <w:rsid w:val="000056B8"/>
    <w:rsid w:val="00006E1F"/>
    <w:rsid w:val="0001341A"/>
    <w:rsid w:val="000135AA"/>
    <w:rsid w:val="00014B69"/>
    <w:rsid w:val="00014FA6"/>
    <w:rsid w:val="00014FA8"/>
    <w:rsid w:val="0001582C"/>
    <w:rsid w:val="00015EC5"/>
    <w:rsid w:val="00017082"/>
    <w:rsid w:val="00021985"/>
    <w:rsid w:val="00022CEA"/>
    <w:rsid w:val="00023A88"/>
    <w:rsid w:val="0002457D"/>
    <w:rsid w:val="00025B7D"/>
    <w:rsid w:val="00027075"/>
    <w:rsid w:val="000326EC"/>
    <w:rsid w:val="000333BC"/>
    <w:rsid w:val="000333DA"/>
    <w:rsid w:val="00033FB6"/>
    <w:rsid w:val="00035136"/>
    <w:rsid w:val="00035A22"/>
    <w:rsid w:val="00036742"/>
    <w:rsid w:val="000369FC"/>
    <w:rsid w:val="000426D2"/>
    <w:rsid w:val="00043926"/>
    <w:rsid w:val="00043AD0"/>
    <w:rsid w:val="00047FCC"/>
    <w:rsid w:val="00054378"/>
    <w:rsid w:val="0005605E"/>
    <w:rsid w:val="00056164"/>
    <w:rsid w:val="00056977"/>
    <w:rsid w:val="000569BC"/>
    <w:rsid w:val="00063FFF"/>
    <w:rsid w:val="0006442E"/>
    <w:rsid w:val="00065971"/>
    <w:rsid w:val="00067441"/>
    <w:rsid w:val="00072735"/>
    <w:rsid w:val="00072D9B"/>
    <w:rsid w:val="00073A28"/>
    <w:rsid w:val="000808D8"/>
    <w:rsid w:val="00080F4C"/>
    <w:rsid w:val="00080F6C"/>
    <w:rsid w:val="0008387A"/>
    <w:rsid w:val="00084169"/>
    <w:rsid w:val="00084BD0"/>
    <w:rsid w:val="00084C89"/>
    <w:rsid w:val="00084DCE"/>
    <w:rsid w:val="00085183"/>
    <w:rsid w:val="000853C5"/>
    <w:rsid w:val="0009085D"/>
    <w:rsid w:val="00091EA7"/>
    <w:rsid w:val="0009245A"/>
    <w:rsid w:val="00094174"/>
    <w:rsid w:val="00096ECD"/>
    <w:rsid w:val="00097DFD"/>
    <w:rsid w:val="000A14DF"/>
    <w:rsid w:val="000A15F8"/>
    <w:rsid w:val="000A264B"/>
    <w:rsid w:val="000A3BB0"/>
    <w:rsid w:val="000A7238"/>
    <w:rsid w:val="000B05CB"/>
    <w:rsid w:val="000B0F69"/>
    <w:rsid w:val="000B4E84"/>
    <w:rsid w:val="000B4FCD"/>
    <w:rsid w:val="000B57E8"/>
    <w:rsid w:val="000B6BB0"/>
    <w:rsid w:val="000B7AF2"/>
    <w:rsid w:val="000B7C3D"/>
    <w:rsid w:val="000B7DCD"/>
    <w:rsid w:val="000C086F"/>
    <w:rsid w:val="000C2C40"/>
    <w:rsid w:val="000C3E10"/>
    <w:rsid w:val="000C3EB0"/>
    <w:rsid w:val="000C4D1D"/>
    <w:rsid w:val="000C6525"/>
    <w:rsid w:val="000C6F46"/>
    <w:rsid w:val="000D1328"/>
    <w:rsid w:val="000D3B24"/>
    <w:rsid w:val="000D4477"/>
    <w:rsid w:val="000D6AB0"/>
    <w:rsid w:val="000D78FE"/>
    <w:rsid w:val="000E0FFB"/>
    <w:rsid w:val="000E2D54"/>
    <w:rsid w:val="000E447C"/>
    <w:rsid w:val="000E4C6F"/>
    <w:rsid w:val="000E5266"/>
    <w:rsid w:val="000E5BB3"/>
    <w:rsid w:val="000F0B8E"/>
    <w:rsid w:val="000F17AE"/>
    <w:rsid w:val="000F1D7F"/>
    <w:rsid w:val="000F2E84"/>
    <w:rsid w:val="000F3329"/>
    <w:rsid w:val="000F5559"/>
    <w:rsid w:val="000F6030"/>
    <w:rsid w:val="000F6215"/>
    <w:rsid w:val="000F762A"/>
    <w:rsid w:val="000F7D24"/>
    <w:rsid w:val="001012F1"/>
    <w:rsid w:val="001036CE"/>
    <w:rsid w:val="00104727"/>
    <w:rsid w:val="00105782"/>
    <w:rsid w:val="00106128"/>
    <w:rsid w:val="001066B7"/>
    <w:rsid w:val="00107555"/>
    <w:rsid w:val="0011396C"/>
    <w:rsid w:val="001166AB"/>
    <w:rsid w:val="001179AC"/>
    <w:rsid w:val="00122D8F"/>
    <w:rsid w:val="00123938"/>
    <w:rsid w:val="00124F21"/>
    <w:rsid w:val="001252E3"/>
    <w:rsid w:val="00125C05"/>
    <w:rsid w:val="001311A3"/>
    <w:rsid w:val="00132E3A"/>
    <w:rsid w:val="0013350F"/>
    <w:rsid w:val="001345E8"/>
    <w:rsid w:val="001357B2"/>
    <w:rsid w:val="00136768"/>
    <w:rsid w:val="00137307"/>
    <w:rsid w:val="00137B31"/>
    <w:rsid w:val="00140CBA"/>
    <w:rsid w:val="0014114E"/>
    <w:rsid w:val="00144024"/>
    <w:rsid w:val="001441D9"/>
    <w:rsid w:val="00146CDD"/>
    <w:rsid w:val="00147005"/>
    <w:rsid w:val="0014717A"/>
    <w:rsid w:val="00147FA1"/>
    <w:rsid w:val="0015027B"/>
    <w:rsid w:val="00150835"/>
    <w:rsid w:val="00150F90"/>
    <w:rsid w:val="00151075"/>
    <w:rsid w:val="00151F3D"/>
    <w:rsid w:val="001529BD"/>
    <w:rsid w:val="00152F53"/>
    <w:rsid w:val="0015323B"/>
    <w:rsid w:val="0016029C"/>
    <w:rsid w:val="001619E6"/>
    <w:rsid w:val="001631C3"/>
    <w:rsid w:val="001634FC"/>
    <w:rsid w:val="00165DE1"/>
    <w:rsid w:val="00167408"/>
    <w:rsid w:val="001710A0"/>
    <w:rsid w:val="0017477B"/>
    <w:rsid w:val="0017478F"/>
    <w:rsid w:val="0017619A"/>
    <w:rsid w:val="00176DF7"/>
    <w:rsid w:val="001778B3"/>
    <w:rsid w:val="00177A3F"/>
    <w:rsid w:val="0018250F"/>
    <w:rsid w:val="00183FFB"/>
    <w:rsid w:val="001862D4"/>
    <w:rsid w:val="00186C36"/>
    <w:rsid w:val="00187435"/>
    <w:rsid w:val="00190B60"/>
    <w:rsid w:val="00191CC6"/>
    <w:rsid w:val="001957A7"/>
    <w:rsid w:val="00196978"/>
    <w:rsid w:val="0019768A"/>
    <w:rsid w:val="001A1FD7"/>
    <w:rsid w:val="001A27E8"/>
    <w:rsid w:val="001A3297"/>
    <w:rsid w:val="001A3973"/>
    <w:rsid w:val="001A4A3D"/>
    <w:rsid w:val="001A6C65"/>
    <w:rsid w:val="001B0AE5"/>
    <w:rsid w:val="001B3157"/>
    <w:rsid w:val="001B46DC"/>
    <w:rsid w:val="001C1758"/>
    <w:rsid w:val="001C1962"/>
    <w:rsid w:val="001C1BDB"/>
    <w:rsid w:val="001C27F8"/>
    <w:rsid w:val="001C32DC"/>
    <w:rsid w:val="001C593E"/>
    <w:rsid w:val="001C63E4"/>
    <w:rsid w:val="001C7C25"/>
    <w:rsid w:val="001D2971"/>
    <w:rsid w:val="001D2D87"/>
    <w:rsid w:val="001D31B2"/>
    <w:rsid w:val="001D62CA"/>
    <w:rsid w:val="001D7E7F"/>
    <w:rsid w:val="001E026D"/>
    <w:rsid w:val="001E086E"/>
    <w:rsid w:val="001E1A53"/>
    <w:rsid w:val="001E1B4F"/>
    <w:rsid w:val="001E2261"/>
    <w:rsid w:val="001E4335"/>
    <w:rsid w:val="001E4436"/>
    <w:rsid w:val="001E45F4"/>
    <w:rsid w:val="001E4802"/>
    <w:rsid w:val="001E5470"/>
    <w:rsid w:val="001F0EC4"/>
    <w:rsid w:val="001F378C"/>
    <w:rsid w:val="001F3DEE"/>
    <w:rsid w:val="001F49BC"/>
    <w:rsid w:val="001F7566"/>
    <w:rsid w:val="00200A32"/>
    <w:rsid w:val="00202A77"/>
    <w:rsid w:val="0020318D"/>
    <w:rsid w:val="00203FC9"/>
    <w:rsid w:val="00204C69"/>
    <w:rsid w:val="00205276"/>
    <w:rsid w:val="00205D7C"/>
    <w:rsid w:val="002066AA"/>
    <w:rsid w:val="00207323"/>
    <w:rsid w:val="0020757B"/>
    <w:rsid w:val="002078A8"/>
    <w:rsid w:val="002117BB"/>
    <w:rsid w:val="002118FB"/>
    <w:rsid w:val="00212444"/>
    <w:rsid w:val="00215152"/>
    <w:rsid w:val="00216291"/>
    <w:rsid w:val="00216F1E"/>
    <w:rsid w:val="00217FEA"/>
    <w:rsid w:val="002217E1"/>
    <w:rsid w:val="00221A1F"/>
    <w:rsid w:val="00222C20"/>
    <w:rsid w:val="00225E41"/>
    <w:rsid w:val="00226E3A"/>
    <w:rsid w:val="00226F7F"/>
    <w:rsid w:val="002310EC"/>
    <w:rsid w:val="00232935"/>
    <w:rsid w:val="00233BCD"/>
    <w:rsid w:val="00233E0F"/>
    <w:rsid w:val="002428EF"/>
    <w:rsid w:val="002502A3"/>
    <w:rsid w:val="00250563"/>
    <w:rsid w:val="002526C0"/>
    <w:rsid w:val="002529DF"/>
    <w:rsid w:val="002530C0"/>
    <w:rsid w:val="002545E7"/>
    <w:rsid w:val="002572AF"/>
    <w:rsid w:val="0025783A"/>
    <w:rsid w:val="002578C3"/>
    <w:rsid w:val="00257BCF"/>
    <w:rsid w:val="00261E64"/>
    <w:rsid w:val="00261F4C"/>
    <w:rsid w:val="00261FA1"/>
    <w:rsid w:val="00262864"/>
    <w:rsid w:val="00264B05"/>
    <w:rsid w:val="00264ECD"/>
    <w:rsid w:val="002650AA"/>
    <w:rsid w:val="00266062"/>
    <w:rsid w:val="00270DA3"/>
    <w:rsid w:val="0027117B"/>
    <w:rsid w:val="00271CE5"/>
    <w:rsid w:val="002771B6"/>
    <w:rsid w:val="002772C4"/>
    <w:rsid w:val="00281B44"/>
    <w:rsid w:val="00282020"/>
    <w:rsid w:val="00284DDB"/>
    <w:rsid w:val="0028781E"/>
    <w:rsid w:val="002905E6"/>
    <w:rsid w:val="002936C3"/>
    <w:rsid w:val="00293C6F"/>
    <w:rsid w:val="00294550"/>
    <w:rsid w:val="00295A8A"/>
    <w:rsid w:val="00295B35"/>
    <w:rsid w:val="0029602A"/>
    <w:rsid w:val="002979D5"/>
    <w:rsid w:val="002A0472"/>
    <w:rsid w:val="002A2949"/>
    <w:rsid w:val="002A2B69"/>
    <w:rsid w:val="002A2DD1"/>
    <w:rsid w:val="002A65F6"/>
    <w:rsid w:val="002A7033"/>
    <w:rsid w:val="002B3286"/>
    <w:rsid w:val="002B6D3E"/>
    <w:rsid w:val="002B6DBE"/>
    <w:rsid w:val="002B71E4"/>
    <w:rsid w:val="002C0239"/>
    <w:rsid w:val="002C135C"/>
    <w:rsid w:val="002C2F36"/>
    <w:rsid w:val="002C3A5E"/>
    <w:rsid w:val="002C75F1"/>
    <w:rsid w:val="002D42F0"/>
    <w:rsid w:val="002D5176"/>
    <w:rsid w:val="002D6D29"/>
    <w:rsid w:val="002D7300"/>
    <w:rsid w:val="002D7C7E"/>
    <w:rsid w:val="002D7FC9"/>
    <w:rsid w:val="002E0C5C"/>
    <w:rsid w:val="002E1344"/>
    <w:rsid w:val="002E172C"/>
    <w:rsid w:val="002F25AE"/>
    <w:rsid w:val="002F25F1"/>
    <w:rsid w:val="002F2742"/>
    <w:rsid w:val="002F28C0"/>
    <w:rsid w:val="002F4300"/>
    <w:rsid w:val="002F4D92"/>
    <w:rsid w:val="002F7BE4"/>
    <w:rsid w:val="00303675"/>
    <w:rsid w:val="00303ADA"/>
    <w:rsid w:val="00304106"/>
    <w:rsid w:val="003043A5"/>
    <w:rsid w:val="0030447A"/>
    <w:rsid w:val="00311C70"/>
    <w:rsid w:val="00312E5C"/>
    <w:rsid w:val="0031360B"/>
    <w:rsid w:val="003139D3"/>
    <w:rsid w:val="0031464F"/>
    <w:rsid w:val="00314BB9"/>
    <w:rsid w:val="00314CAA"/>
    <w:rsid w:val="003159F9"/>
    <w:rsid w:val="0031663A"/>
    <w:rsid w:val="00316AF9"/>
    <w:rsid w:val="00317AF8"/>
    <w:rsid w:val="00320C9E"/>
    <w:rsid w:val="00321A4C"/>
    <w:rsid w:val="00323233"/>
    <w:rsid w:val="00324DF6"/>
    <w:rsid w:val="003276AE"/>
    <w:rsid w:val="003301E9"/>
    <w:rsid w:val="00330B72"/>
    <w:rsid w:val="00330F0F"/>
    <w:rsid w:val="00331042"/>
    <w:rsid w:val="00332C09"/>
    <w:rsid w:val="00333363"/>
    <w:rsid w:val="00333A1D"/>
    <w:rsid w:val="00334141"/>
    <w:rsid w:val="00335950"/>
    <w:rsid w:val="003367E5"/>
    <w:rsid w:val="003405D1"/>
    <w:rsid w:val="00342B1F"/>
    <w:rsid w:val="00343F15"/>
    <w:rsid w:val="003459F9"/>
    <w:rsid w:val="003466CB"/>
    <w:rsid w:val="003553E6"/>
    <w:rsid w:val="00357C90"/>
    <w:rsid w:val="00357FAC"/>
    <w:rsid w:val="00360819"/>
    <w:rsid w:val="003614D7"/>
    <w:rsid w:val="00362005"/>
    <w:rsid w:val="0036299A"/>
    <w:rsid w:val="00362A59"/>
    <w:rsid w:val="003636BF"/>
    <w:rsid w:val="003637AC"/>
    <w:rsid w:val="00363FF4"/>
    <w:rsid w:val="003644C3"/>
    <w:rsid w:val="00366B26"/>
    <w:rsid w:val="003674F0"/>
    <w:rsid w:val="00371442"/>
    <w:rsid w:val="003715D6"/>
    <w:rsid w:val="00373CEE"/>
    <w:rsid w:val="003746E8"/>
    <w:rsid w:val="0037562A"/>
    <w:rsid w:val="00375CA5"/>
    <w:rsid w:val="0037674B"/>
    <w:rsid w:val="00380B6A"/>
    <w:rsid w:val="00381432"/>
    <w:rsid w:val="003845B4"/>
    <w:rsid w:val="00384E4D"/>
    <w:rsid w:val="00384F0F"/>
    <w:rsid w:val="00386214"/>
    <w:rsid w:val="00386C4B"/>
    <w:rsid w:val="00387B1A"/>
    <w:rsid w:val="00392AAE"/>
    <w:rsid w:val="003942A5"/>
    <w:rsid w:val="00395B37"/>
    <w:rsid w:val="00395B73"/>
    <w:rsid w:val="003A00F3"/>
    <w:rsid w:val="003A0384"/>
    <w:rsid w:val="003A2C31"/>
    <w:rsid w:val="003A35F7"/>
    <w:rsid w:val="003A5299"/>
    <w:rsid w:val="003A5DCD"/>
    <w:rsid w:val="003A7877"/>
    <w:rsid w:val="003B0925"/>
    <w:rsid w:val="003B1099"/>
    <w:rsid w:val="003B2483"/>
    <w:rsid w:val="003B356C"/>
    <w:rsid w:val="003B371A"/>
    <w:rsid w:val="003B3F8B"/>
    <w:rsid w:val="003B4BC5"/>
    <w:rsid w:val="003B4E0D"/>
    <w:rsid w:val="003B689D"/>
    <w:rsid w:val="003B6B5B"/>
    <w:rsid w:val="003C36BA"/>
    <w:rsid w:val="003C5145"/>
    <w:rsid w:val="003C5836"/>
    <w:rsid w:val="003C5EE5"/>
    <w:rsid w:val="003C6E75"/>
    <w:rsid w:val="003D0965"/>
    <w:rsid w:val="003D096A"/>
    <w:rsid w:val="003D166A"/>
    <w:rsid w:val="003D31D4"/>
    <w:rsid w:val="003D501D"/>
    <w:rsid w:val="003D5AF5"/>
    <w:rsid w:val="003D5B02"/>
    <w:rsid w:val="003E00C4"/>
    <w:rsid w:val="003E0ADD"/>
    <w:rsid w:val="003E0E26"/>
    <w:rsid w:val="003E0FD8"/>
    <w:rsid w:val="003E1C74"/>
    <w:rsid w:val="003E26C4"/>
    <w:rsid w:val="003E2B73"/>
    <w:rsid w:val="003E4134"/>
    <w:rsid w:val="003E7CB4"/>
    <w:rsid w:val="003F0359"/>
    <w:rsid w:val="003F185F"/>
    <w:rsid w:val="003F245C"/>
    <w:rsid w:val="003F296D"/>
    <w:rsid w:val="003F3375"/>
    <w:rsid w:val="003F388C"/>
    <w:rsid w:val="003F3D26"/>
    <w:rsid w:val="003F4A9B"/>
    <w:rsid w:val="003F53F8"/>
    <w:rsid w:val="003F54A7"/>
    <w:rsid w:val="003F5F1A"/>
    <w:rsid w:val="003F5F4A"/>
    <w:rsid w:val="004006EF"/>
    <w:rsid w:val="00400983"/>
    <w:rsid w:val="00401586"/>
    <w:rsid w:val="00402B1D"/>
    <w:rsid w:val="00404072"/>
    <w:rsid w:val="00406E68"/>
    <w:rsid w:val="00413299"/>
    <w:rsid w:val="00414253"/>
    <w:rsid w:val="004155FE"/>
    <w:rsid w:val="00415CEE"/>
    <w:rsid w:val="00416BA6"/>
    <w:rsid w:val="00416CD0"/>
    <w:rsid w:val="0041709E"/>
    <w:rsid w:val="004174E4"/>
    <w:rsid w:val="00421DF7"/>
    <w:rsid w:val="004221AA"/>
    <w:rsid w:val="004221B9"/>
    <w:rsid w:val="00423AE5"/>
    <w:rsid w:val="00425789"/>
    <w:rsid w:val="00425F5E"/>
    <w:rsid w:val="00427607"/>
    <w:rsid w:val="00427A45"/>
    <w:rsid w:val="004329FC"/>
    <w:rsid w:val="004375C1"/>
    <w:rsid w:val="004431C3"/>
    <w:rsid w:val="00445BBB"/>
    <w:rsid w:val="00446EC3"/>
    <w:rsid w:val="00447105"/>
    <w:rsid w:val="00447708"/>
    <w:rsid w:val="00454846"/>
    <w:rsid w:val="004551D8"/>
    <w:rsid w:val="00456296"/>
    <w:rsid w:val="00457A8A"/>
    <w:rsid w:val="0046004A"/>
    <w:rsid w:val="0046039D"/>
    <w:rsid w:val="0046043C"/>
    <w:rsid w:val="00462897"/>
    <w:rsid w:val="00462F42"/>
    <w:rsid w:val="004635D3"/>
    <w:rsid w:val="0046559D"/>
    <w:rsid w:val="004657EE"/>
    <w:rsid w:val="004670F0"/>
    <w:rsid w:val="00467233"/>
    <w:rsid w:val="004679B6"/>
    <w:rsid w:val="004706A4"/>
    <w:rsid w:val="0047174F"/>
    <w:rsid w:val="004721C8"/>
    <w:rsid w:val="0047328F"/>
    <w:rsid w:val="00473ED5"/>
    <w:rsid w:val="00474CFC"/>
    <w:rsid w:val="00474D48"/>
    <w:rsid w:val="00480BC1"/>
    <w:rsid w:val="00480F89"/>
    <w:rsid w:val="00481063"/>
    <w:rsid w:val="004817AF"/>
    <w:rsid w:val="004825C4"/>
    <w:rsid w:val="0048296C"/>
    <w:rsid w:val="00483AB0"/>
    <w:rsid w:val="0048427A"/>
    <w:rsid w:val="004842B2"/>
    <w:rsid w:val="00485D5B"/>
    <w:rsid w:val="00485EC9"/>
    <w:rsid w:val="0048601C"/>
    <w:rsid w:val="00486C5B"/>
    <w:rsid w:val="00486F3E"/>
    <w:rsid w:val="004872C0"/>
    <w:rsid w:val="004877D3"/>
    <w:rsid w:val="00492C97"/>
    <w:rsid w:val="00493261"/>
    <w:rsid w:val="004946FF"/>
    <w:rsid w:val="00495425"/>
    <w:rsid w:val="004A03D2"/>
    <w:rsid w:val="004A0628"/>
    <w:rsid w:val="004A12E7"/>
    <w:rsid w:val="004A150C"/>
    <w:rsid w:val="004A3403"/>
    <w:rsid w:val="004A3DA6"/>
    <w:rsid w:val="004A3F55"/>
    <w:rsid w:val="004A609B"/>
    <w:rsid w:val="004A60A1"/>
    <w:rsid w:val="004B03C6"/>
    <w:rsid w:val="004B11CD"/>
    <w:rsid w:val="004B1897"/>
    <w:rsid w:val="004B296E"/>
    <w:rsid w:val="004B3129"/>
    <w:rsid w:val="004B4756"/>
    <w:rsid w:val="004B58C2"/>
    <w:rsid w:val="004B7DA1"/>
    <w:rsid w:val="004C0D48"/>
    <w:rsid w:val="004C1B0C"/>
    <w:rsid w:val="004C20F0"/>
    <w:rsid w:val="004C311F"/>
    <w:rsid w:val="004C537C"/>
    <w:rsid w:val="004C7989"/>
    <w:rsid w:val="004D0554"/>
    <w:rsid w:val="004D10CD"/>
    <w:rsid w:val="004D1515"/>
    <w:rsid w:val="004D705F"/>
    <w:rsid w:val="004D7637"/>
    <w:rsid w:val="004E0217"/>
    <w:rsid w:val="004E1647"/>
    <w:rsid w:val="004E1CA1"/>
    <w:rsid w:val="004E2A32"/>
    <w:rsid w:val="004E2A5D"/>
    <w:rsid w:val="004E3253"/>
    <w:rsid w:val="004E37D3"/>
    <w:rsid w:val="004E3F67"/>
    <w:rsid w:val="004E4AFA"/>
    <w:rsid w:val="004E5291"/>
    <w:rsid w:val="004F0AD2"/>
    <w:rsid w:val="004F13F5"/>
    <w:rsid w:val="004F2897"/>
    <w:rsid w:val="004F549F"/>
    <w:rsid w:val="004F6240"/>
    <w:rsid w:val="004F7FE5"/>
    <w:rsid w:val="00500147"/>
    <w:rsid w:val="00502016"/>
    <w:rsid w:val="00503B94"/>
    <w:rsid w:val="005122E7"/>
    <w:rsid w:val="005161D5"/>
    <w:rsid w:val="00517697"/>
    <w:rsid w:val="00517A7B"/>
    <w:rsid w:val="00521ABD"/>
    <w:rsid w:val="0052221D"/>
    <w:rsid w:val="00522E1B"/>
    <w:rsid w:val="00524F20"/>
    <w:rsid w:val="005254FF"/>
    <w:rsid w:val="00525A4D"/>
    <w:rsid w:val="00525E24"/>
    <w:rsid w:val="00526246"/>
    <w:rsid w:val="005279A2"/>
    <w:rsid w:val="00530183"/>
    <w:rsid w:val="00530672"/>
    <w:rsid w:val="00533488"/>
    <w:rsid w:val="00534197"/>
    <w:rsid w:val="005354E3"/>
    <w:rsid w:val="005357B9"/>
    <w:rsid w:val="00535A1A"/>
    <w:rsid w:val="00536F4F"/>
    <w:rsid w:val="0053790A"/>
    <w:rsid w:val="00537AD6"/>
    <w:rsid w:val="00540099"/>
    <w:rsid w:val="00542297"/>
    <w:rsid w:val="00542700"/>
    <w:rsid w:val="005439F1"/>
    <w:rsid w:val="0054523F"/>
    <w:rsid w:val="00547E61"/>
    <w:rsid w:val="00551D2C"/>
    <w:rsid w:val="00551EBD"/>
    <w:rsid w:val="005531DA"/>
    <w:rsid w:val="00556858"/>
    <w:rsid w:val="00556FDA"/>
    <w:rsid w:val="00562C9E"/>
    <w:rsid w:val="0056354B"/>
    <w:rsid w:val="00566AF4"/>
    <w:rsid w:val="00566FC1"/>
    <w:rsid w:val="00567106"/>
    <w:rsid w:val="005678FF"/>
    <w:rsid w:val="00570A6D"/>
    <w:rsid w:val="00570C6C"/>
    <w:rsid w:val="00571A35"/>
    <w:rsid w:val="00571F17"/>
    <w:rsid w:val="00573E98"/>
    <w:rsid w:val="00575343"/>
    <w:rsid w:val="005754D0"/>
    <w:rsid w:val="0057727B"/>
    <w:rsid w:val="00580EBE"/>
    <w:rsid w:val="0058170C"/>
    <w:rsid w:val="00586B1F"/>
    <w:rsid w:val="00590629"/>
    <w:rsid w:val="0059089C"/>
    <w:rsid w:val="00590D3F"/>
    <w:rsid w:val="0059214F"/>
    <w:rsid w:val="0059320C"/>
    <w:rsid w:val="005933D7"/>
    <w:rsid w:val="00593667"/>
    <w:rsid w:val="0059380F"/>
    <w:rsid w:val="00594BDE"/>
    <w:rsid w:val="0059629F"/>
    <w:rsid w:val="005A17BF"/>
    <w:rsid w:val="005A193B"/>
    <w:rsid w:val="005A2431"/>
    <w:rsid w:val="005A3552"/>
    <w:rsid w:val="005A4EF8"/>
    <w:rsid w:val="005A5BF0"/>
    <w:rsid w:val="005A74D9"/>
    <w:rsid w:val="005A7575"/>
    <w:rsid w:val="005A7B64"/>
    <w:rsid w:val="005B0182"/>
    <w:rsid w:val="005B0A99"/>
    <w:rsid w:val="005B10D8"/>
    <w:rsid w:val="005B11B6"/>
    <w:rsid w:val="005B1C9C"/>
    <w:rsid w:val="005B5F0B"/>
    <w:rsid w:val="005C2059"/>
    <w:rsid w:val="005C65DD"/>
    <w:rsid w:val="005C6606"/>
    <w:rsid w:val="005C7134"/>
    <w:rsid w:val="005D1741"/>
    <w:rsid w:val="005D5BCD"/>
    <w:rsid w:val="005D6B62"/>
    <w:rsid w:val="005E1D3C"/>
    <w:rsid w:val="005E46A4"/>
    <w:rsid w:val="005E5BAD"/>
    <w:rsid w:val="005E6A55"/>
    <w:rsid w:val="005E6FA1"/>
    <w:rsid w:val="005E7DF1"/>
    <w:rsid w:val="005F044A"/>
    <w:rsid w:val="005F0EE8"/>
    <w:rsid w:val="005F21A6"/>
    <w:rsid w:val="005F2A6F"/>
    <w:rsid w:val="005F2C64"/>
    <w:rsid w:val="005F2F9D"/>
    <w:rsid w:val="005F569C"/>
    <w:rsid w:val="00600FAA"/>
    <w:rsid w:val="00601B4C"/>
    <w:rsid w:val="00602779"/>
    <w:rsid w:val="00604E2F"/>
    <w:rsid w:val="00607698"/>
    <w:rsid w:val="00611EFD"/>
    <w:rsid w:val="00612393"/>
    <w:rsid w:val="00613842"/>
    <w:rsid w:val="00614455"/>
    <w:rsid w:val="00614922"/>
    <w:rsid w:val="00615130"/>
    <w:rsid w:val="00616499"/>
    <w:rsid w:val="0061695B"/>
    <w:rsid w:val="00616C23"/>
    <w:rsid w:val="00617C83"/>
    <w:rsid w:val="006204BB"/>
    <w:rsid w:val="00620E03"/>
    <w:rsid w:val="00621099"/>
    <w:rsid w:val="00621BB8"/>
    <w:rsid w:val="00621C51"/>
    <w:rsid w:val="00623368"/>
    <w:rsid w:val="00624825"/>
    <w:rsid w:val="00624E02"/>
    <w:rsid w:val="00625AE6"/>
    <w:rsid w:val="00627F5B"/>
    <w:rsid w:val="00630E37"/>
    <w:rsid w:val="00632253"/>
    <w:rsid w:val="006348FE"/>
    <w:rsid w:val="006367F0"/>
    <w:rsid w:val="00636A5B"/>
    <w:rsid w:val="00636E64"/>
    <w:rsid w:val="00637076"/>
    <w:rsid w:val="00637589"/>
    <w:rsid w:val="00637E8D"/>
    <w:rsid w:val="00640720"/>
    <w:rsid w:val="00640EA7"/>
    <w:rsid w:val="00641991"/>
    <w:rsid w:val="00642242"/>
    <w:rsid w:val="00642714"/>
    <w:rsid w:val="00643BFB"/>
    <w:rsid w:val="006455CE"/>
    <w:rsid w:val="0064651A"/>
    <w:rsid w:val="00647FEE"/>
    <w:rsid w:val="00652FA1"/>
    <w:rsid w:val="0065338A"/>
    <w:rsid w:val="00654D43"/>
    <w:rsid w:val="00655841"/>
    <w:rsid w:val="006560D6"/>
    <w:rsid w:val="00656106"/>
    <w:rsid w:val="006578CD"/>
    <w:rsid w:val="006603C4"/>
    <w:rsid w:val="006634C4"/>
    <w:rsid w:val="00663AC8"/>
    <w:rsid w:val="006644E0"/>
    <w:rsid w:val="00664D8A"/>
    <w:rsid w:val="006663D7"/>
    <w:rsid w:val="0066758A"/>
    <w:rsid w:val="00667981"/>
    <w:rsid w:val="00667988"/>
    <w:rsid w:val="00670D9A"/>
    <w:rsid w:val="00672B97"/>
    <w:rsid w:val="00673690"/>
    <w:rsid w:val="006738D6"/>
    <w:rsid w:val="0067419F"/>
    <w:rsid w:val="00674A9E"/>
    <w:rsid w:val="0067568E"/>
    <w:rsid w:val="00675D6E"/>
    <w:rsid w:val="00676520"/>
    <w:rsid w:val="00676E64"/>
    <w:rsid w:val="006772B8"/>
    <w:rsid w:val="006829C8"/>
    <w:rsid w:val="00682EF8"/>
    <w:rsid w:val="00683CB2"/>
    <w:rsid w:val="00684BB2"/>
    <w:rsid w:val="00690113"/>
    <w:rsid w:val="0069142D"/>
    <w:rsid w:val="006959B3"/>
    <w:rsid w:val="00697868"/>
    <w:rsid w:val="006A0C27"/>
    <w:rsid w:val="006A187F"/>
    <w:rsid w:val="006A2035"/>
    <w:rsid w:val="006A4DF0"/>
    <w:rsid w:val="006A554A"/>
    <w:rsid w:val="006A6405"/>
    <w:rsid w:val="006A71F0"/>
    <w:rsid w:val="006A7FDB"/>
    <w:rsid w:val="006B196F"/>
    <w:rsid w:val="006B3295"/>
    <w:rsid w:val="006B3C7B"/>
    <w:rsid w:val="006B3D8B"/>
    <w:rsid w:val="006B3F9B"/>
    <w:rsid w:val="006B402F"/>
    <w:rsid w:val="006B61BC"/>
    <w:rsid w:val="006B715A"/>
    <w:rsid w:val="006C1C49"/>
    <w:rsid w:val="006C238D"/>
    <w:rsid w:val="006C3561"/>
    <w:rsid w:val="006C3BC2"/>
    <w:rsid w:val="006C4207"/>
    <w:rsid w:val="006C4FF2"/>
    <w:rsid w:val="006C7DBA"/>
    <w:rsid w:val="006D049C"/>
    <w:rsid w:val="006D0861"/>
    <w:rsid w:val="006D1F60"/>
    <w:rsid w:val="006D2136"/>
    <w:rsid w:val="006D3FDB"/>
    <w:rsid w:val="006D5987"/>
    <w:rsid w:val="006D62F9"/>
    <w:rsid w:val="006D6B2D"/>
    <w:rsid w:val="006E00A0"/>
    <w:rsid w:val="006E3DF3"/>
    <w:rsid w:val="006E3FDB"/>
    <w:rsid w:val="006E4456"/>
    <w:rsid w:val="006E53D5"/>
    <w:rsid w:val="006E73B7"/>
    <w:rsid w:val="006F0A43"/>
    <w:rsid w:val="006F1AAA"/>
    <w:rsid w:val="006F38D6"/>
    <w:rsid w:val="006F3D7B"/>
    <w:rsid w:val="006F5E75"/>
    <w:rsid w:val="006F7CF2"/>
    <w:rsid w:val="00700B75"/>
    <w:rsid w:val="0070118B"/>
    <w:rsid w:val="00702BCC"/>
    <w:rsid w:val="00705C61"/>
    <w:rsid w:val="007069D2"/>
    <w:rsid w:val="0070767C"/>
    <w:rsid w:val="00707791"/>
    <w:rsid w:val="00707963"/>
    <w:rsid w:val="0070799F"/>
    <w:rsid w:val="00711066"/>
    <w:rsid w:val="00712084"/>
    <w:rsid w:val="007135E3"/>
    <w:rsid w:val="0071454F"/>
    <w:rsid w:val="007147FD"/>
    <w:rsid w:val="00714CEB"/>
    <w:rsid w:val="00717235"/>
    <w:rsid w:val="00720208"/>
    <w:rsid w:val="00720CCE"/>
    <w:rsid w:val="0072158B"/>
    <w:rsid w:val="00722662"/>
    <w:rsid w:val="00723299"/>
    <w:rsid w:val="007276BB"/>
    <w:rsid w:val="0072786F"/>
    <w:rsid w:val="00730AE6"/>
    <w:rsid w:val="007320A2"/>
    <w:rsid w:val="0073266D"/>
    <w:rsid w:val="00733017"/>
    <w:rsid w:val="007377A2"/>
    <w:rsid w:val="00737992"/>
    <w:rsid w:val="00740C4C"/>
    <w:rsid w:val="00742755"/>
    <w:rsid w:val="007434F6"/>
    <w:rsid w:val="0074389B"/>
    <w:rsid w:val="00743C1C"/>
    <w:rsid w:val="00745411"/>
    <w:rsid w:val="0074779C"/>
    <w:rsid w:val="00747879"/>
    <w:rsid w:val="00750B35"/>
    <w:rsid w:val="007566E7"/>
    <w:rsid w:val="007575A6"/>
    <w:rsid w:val="00757714"/>
    <w:rsid w:val="00761FC1"/>
    <w:rsid w:val="00762941"/>
    <w:rsid w:val="0076309B"/>
    <w:rsid w:val="007633D9"/>
    <w:rsid w:val="007648AE"/>
    <w:rsid w:val="0076627C"/>
    <w:rsid w:val="0077062A"/>
    <w:rsid w:val="00772CC3"/>
    <w:rsid w:val="0077648D"/>
    <w:rsid w:val="00776C20"/>
    <w:rsid w:val="00781563"/>
    <w:rsid w:val="00781815"/>
    <w:rsid w:val="00781D46"/>
    <w:rsid w:val="00782477"/>
    <w:rsid w:val="00782543"/>
    <w:rsid w:val="00782A69"/>
    <w:rsid w:val="00783310"/>
    <w:rsid w:val="00783B84"/>
    <w:rsid w:val="007847E2"/>
    <w:rsid w:val="00785386"/>
    <w:rsid w:val="0078686C"/>
    <w:rsid w:val="00790852"/>
    <w:rsid w:val="00791FE7"/>
    <w:rsid w:val="00792584"/>
    <w:rsid w:val="0079325A"/>
    <w:rsid w:val="0079769F"/>
    <w:rsid w:val="00797733"/>
    <w:rsid w:val="00797CB4"/>
    <w:rsid w:val="00797D2E"/>
    <w:rsid w:val="00797D65"/>
    <w:rsid w:val="00797D9E"/>
    <w:rsid w:val="007A0AFD"/>
    <w:rsid w:val="007A0E52"/>
    <w:rsid w:val="007A239D"/>
    <w:rsid w:val="007A283C"/>
    <w:rsid w:val="007A4A6D"/>
    <w:rsid w:val="007A518C"/>
    <w:rsid w:val="007A6BDD"/>
    <w:rsid w:val="007A7A28"/>
    <w:rsid w:val="007B0B02"/>
    <w:rsid w:val="007B21D5"/>
    <w:rsid w:val="007B2BE9"/>
    <w:rsid w:val="007B4ED0"/>
    <w:rsid w:val="007B549B"/>
    <w:rsid w:val="007B617F"/>
    <w:rsid w:val="007B6E7C"/>
    <w:rsid w:val="007B758C"/>
    <w:rsid w:val="007C340C"/>
    <w:rsid w:val="007C5CB6"/>
    <w:rsid w:val="007C5DD4"/>
    <w:rsid w:val="007D119E"/>
    <w:rsid w:val="007D1BCF"/>
    <w:rsid w:val="007D36C1"/>
    <w:rsid w:val="007D6413"/>
    <w:rsid w:val="007D75CF"/>
    <w:rsid w:val="007D7BDC"/>
    <w:rsid w:val="007D7E3C"/>
    <w:rsid w:val="007E0440"/>
    <w:rsid w:val="007E1B8C"/>
    <w:rsid w:val="007E1F83"/>
    <w:rsid w:val="007E4E39"/>
    <w:rsid w:val="007E4FBB"/>
    <w:rsid w:val="007E5106"/>
    <w:rsid w:val="007E6DC5"/>
    <w:rsid w:val="007E7AE8"/>
    <w:rsid w:val="007E7CC9"/>
    <w:rsid w:val="007F004B"/>
    <w:rsid w:val="007F1A6F"/>
    <w:rsid w:val="007F289F"/>
    <w:rsid w:val="007F3B16"/>
    <w:rsid w:val="007F3FF7"/>
    <w:rsid w:val="007F56E5"/>
    <w:rsid w:val="007F5B5B"/>
    <w:rsid w:val="007F62C6"/>
    <w:rsid w:val="00800B92"/>
    <w:rsid w:val="008013B2"/>
    <w:rsid w:val="00803BFC"/>
    <w:rsid w:val="008071D6"/>
    <w:rsid w:val="00810CF9"/>
    <w:rsid w:val="008131E5"/>
    <w:rsid w:val="00813D2D"/>
    <w:rsid w:val="0081459F"/>
    <w:rsid w:val="00815A40"/>
    <w:rsid w:val="00817CB8"/>
    <w:rsid w:val="00820281"/>
    <w:rsid w:val="00820D1F"/>
    <w:rsid w:val="0082100D"/>
    <w:rsid w:val="00821AB9"/>
    <w:rsid w:val="00822CD5"/>
    <w:rsid w:val="00823F60"/>
    <w:rsid w:val="0082426B"/>
    <w:rsid w:val="00824C7F"/>
    <w:rsid w:val="0082529E"/>
    <w:rsid w:val="0082571C"/>
    <w:rsid w:val="00825D26"/>
    <w:rsid w:val="00825FA7"/>
    <w:rsid w:val="008265FC"/>
    <w:rsid w:val="008269D0"/>
    <w:rsid w:val="0082734B"/>
    <w:rsid w:val="00827578"/>
    <w:rsid w:val="00827977"/>
    <w:rsid w:val="00830353"/>
    <w:rsid w:val="008334B3"/>
    <w:rsid w:val="00835859"/>
    <w:rsid w:val="0083738F"/>
    <w:rsid w:val="008404B0"/>
    <w:rsid w:val="00841695"/>
    <w:rsid w:val="00843626"/>
    <w:rsid w:val="008461DF"/>
    <w:rsid w:val="008470D5"/>
    <w:rsid w:val="008506C0"/>
    <w:rsid w:val="00853424"/>
    <w:rsid w:val="0085531E"/>
    <w:rsid w:val="00855803"/>
    <w:rsid w:val="00857549"/>
    <w:rsid w:val="00860BD4"/>
    <w:rsid w:val="0086115D"/>
    <w:rsid w:val="008636C7"/>
    <w:rsid w:val="00866F83"/>
    <w:rsid w:val="0086720D"/>
    <w:rsid w:val="008703A6"/>
    <w:rsid w:val="0087054F"/>
    <w:rsid w:val="008717C3"/>
    <w:rsid w:val="0087232A"/>
    <w:rsid w:val="00874876"/>
    <w:rsid w:val="00874BF9"/>
    <w:rsid w:val="0087619D"/>
    <w:rsid w:val="00876380"/>
    <w:rsid w:val="008771F6"/>
    <w:rsid w:val="0088043C"/>
    <w:rsid w:val="0088079A"/>
    <w:rsid w:val="00880DFB"/>
    <w:rsid w:val="00881672"/>
    <w:rsid w:val="00884889"/>
    <w:rsid w:val="00885484"/>
    <w:rsid w:val="00887DBF"/>
    <w:rsid w:val="008903C0"/>
    <w:rsid w:val="008906C9"/>
    <w:rsid w:val="00892448"/>
    <w:rsid w:val="00892860"/>
    <w:rsid w:val="008944FE"/>
    <w:rsid w:val="00895F47"/>
    <w:rsid w:val="008A05EF"/>
    <w:rsid w:val="008A2B86"/>
    <w:rsid w:val="008A2BAE"/>
    <w:rsid w:val="008A58A5"/>
    <w:rsid w:val="008A7089"/>
    <w:rsid w:val="008A7DFD"/>
    <w:rsid w:val="008B21D5"/>
    <w:rsid w:val="008B4022"/>
    <w:rsid w:val="008B611A"/>
    <w:rsid w:val="008B6916"/>
    <w:rsid w:val="008B788C"/>
    <w:rsid w:val="008B7D8E"/>
    <w:rsid w:val="008B7F61"/>
    <w:rsid w:val="008C03F5"/>
    <w:rsid w:val="008C0CAA"/>
    <w:rsid w:val="008C2F1E"/>
    <w:rsid w:val="008C5022"/>
    <w:rsid w:val="008C5738"/>
    <w:rsid w:val="008C5F99"/>
    <w:rsid w:val="008C6A06"/>
    <w:rsid w:val="008C711F"/>
    <w:rsid w:val="008D04F0"/>
    <w:rsid w:val="008D1F61"/>
    <w:rsid w:val="008D2823"/>
    <w:rsid w:val="008D3148"/>
    <w:rsid w:val="008D3624"/>
    <w:rsid w:val="008D5A0A"/>
    <w:rsid w:val="008D6714"/>
    <w:rsid w:val="008D7A35"/>
    <w:rsid w:val="008E1553"/>
    <w:rsid w:val="008E26E7"/>
    <w:rsid w:val="008E411E"/>
    <w:rsid w:val="008E43E6"/>
    <w:rsid w:val="008E5FE2"/>
    <w:rsid w:val="008E6AFD"/>
    <w:rsid w:val="008E7017"/>
    <w:rsid w:val="008E75EA"/>
    <w:rsid w:val="008E7643"/>
    <w:rsid w:val="008E76A8"/>
    <w:rsid w:val="008F012F"/>
    <w:rsid w:val="008F01CB"/>
    <w:rsid w:val="008F0334"/>
    <w:rsid w:val="008F0888"/>
    <w:rsid w:val="008F10D4"/>
    <w:rsid w:val="008F3500"/>
    <w:rsid w:val="008F3E92"/>
    <w:rsid w:val="008F4739"/>
    <w:rsid w:val="008F5C42"/>
    <w:rsid w:val="008F6025"/>
    <w:rsid w:val="008F6236"/>
    <w:rsid w:val="00901F44"/>
    <w:rsid w:val="00902EBC"/>
    <w:rsid w:val="0090378A"/>
    <w:rsid w:val="009055D9"/>
    <w:rsid w:val="00910297"/>
    <w:rsid w:val="00910BC4"/>
    <w:rsid w:val="00911A6B"/>
    <w:rsid w:val="00914BAE"/>
    <w:rsid w:val="009155F8"/>
    <w:rsid w:val="00916C31"/>
    <w:rsid w:val="009179F0"/>
    <w:rsid w:val="00920669"/>
    <w:rsid w:val="00921393"/>
    <w:rsid w:val="00922189"/>
    <w:rsid w:val="009225F2"/>
    <w:rsid w:val="009240C8"/>
    <w:rsid w:val="0092480A"/>
    <w:rsid w:val="00924E3C"/>
    <w:rsid w:val="00924E76"/>
    <w:rsid w:val="009256AC"/>
    <w:rsid w:val="00926C2A"/>
    <w:rsid w:val="0092739F"/>
    <w:rsid w:val="0093044D"/>
    <w:rsid w:val="009312A6"/>
    <w:rsid w:val="009327A7"/>
    <w:rsid w:val="009340FE"/>
    <w:rsid w:val="0093470B"/>
    <w:rsid w:val="00936626"/>
    <w:rsid w:val="0093771A"/>
    <w:rsid w:val="00937E15"/>
    <w:rsid w:val="00941342"/>
    <w:rsid w:val="00941735"/>
    <w:rsid w:val="00941A13"/>
    <w:rsid w:val="00941D3C"/>
    <w:rsid w:val="0094210C"/>
    <w:rsid w:val="009422A2"/>
    <w:rsid w:val="0094258D"/>
    <w:rsid w:val="009444D4"/>
    <w:rsid w:val="00944BDA"/>
    <w:rsid w:val="00944EAF"/>
    <w:rsid w:val="00945083"/>
    <w:rsid w:val="009453E3"/>
    <w:rsid w:val="00947089"/>
    <w:rsid w:val="00947AAA"/>
    <w:rsid w:val="0095662F"/>
    <w:rsid w:val="009612BB"/>
    <w:rsid w:val="00964801"/>
    <w:rsid w:val="00964A60"/>
    <w:rsid w:val="00964FFF"/>
    <w:rsid w:val="00965080"/>
    <w:rsid w:val="00965734"/>
    <w:rsid w:val="0096573C"/>
    <w:rsid w:val="009662BC"/>
    <w:rsid w:val="00966941"/>
    <w:rsid w:val="00966CBA"/>
    <w:rsid w:val="00975378"/>
    <w:rsid w:val="00975A8F"/>
    <w:rsid w:val="00976D4A"/>
    <w:rsid w:val="009801D7"/>
    <w:rsid w:val="00980459"/>
    <w:rsid w:val="00981897"/>
    <w:rsid w:val="009818D3"/>
    <w:rsid w:val="00982AD4"/>
    <w:rsid w:val="00987758"/>
    <w:rsid w:val="00987D93"/>
    <w:rsid w:val="00990C31"/>
    <w:rsid w:val="00990D2C"/>
    <w:rsid w:val="00992D78"/>
    <w:rsid w:val="00994874"/>
    <w:rsid w:val="00995522"/>
    <w:rsid w:val="009961F6"/>
    <w:rsid w:val="0099697B"/>
    <w:rsid w:val="009A03E6"/>
    <w:rsid w:val="009A0478"/>
    <w:rsid w:val="009A123F"/>
    <w:rsid w:val="009A3A26"/>
    <w:rsid w:val="009A3A9C"/>
    <w:rsid w:val="009A401A"/>
    <w:rsid w:val="009A4D9C"/>
    <w:rsid w:val="009A55F2"/>
    <w:rsid w:val="009A5F34"/>
    <w:rsid w:val="009A69B7"/>
    <w:rsid w:val="009B0E9B"/>
    <w:rsid w:val="009B368D"/>
    <w:rsid w:val="009B53F7"/>
    <w:rsid w:val="009B574A"/>
    <w:rsid w:val="009B65AE"/>
    <w:rsid w:val="009B7D0F"/>
    <w:rsid w:val="009C06F6"/>
    <w:rsid w:val="009C3F55"/>
    <w:rsid w:val="009C49A3"/>
    <w:rsid w:val="009C5ED6"/>
    <w:rsid w:val="009C740A"/>
    <w:rsid w:val="009C7D37"/>
    <w:rsid w:val="009D0C93"/>
    <w:rsid w:val="009D2485"/>
    <w:rsid w:val="009D34A9"/>
    <w:rsid w:val="009D360E"/>
    <w:rsid w:val="009D4D32"/>
    <w:rsid w:val="009D593E"/>
    <w:rsid w:val="009D610A"/>
    <w:rsid w:val="009D622C"/>
    <w:rsid w:val="009D6BA3"/>
    <w:rsid w:val="009D76DD"/>
    <w:rsid w:val="009E12AC"/>
    <w:rsid w:val="009E3898"/>
    <w:rsid w:val="009E474D"/>
    <w:rsid w:val="009E5DDF"/>
    <w:rsid w:val="009E670A"/>
    <w:rsid w:val="009E78C9"/>
    <w:rsid w:val="009F5CD5"/>
    <w:rsid w:val="009F75D4"/>
    <w:rsid w:val="009F7A07"/>
    <w:rsid w:val="00A0764C"/>
    <w:rsid w:val="00A0779A"/>
    <w:rsid w:val="00A125C5"/>
    <w:rsid w:val="00A12C29"/>
    <w:rsid w:val="00A1584B"/>
    <w:rsid w:val="00A1713D"/>
    <w:rsid w:val="00A17656"/>
    <w:rsid w:val="00A17E21"/>
    <w:rsid w:val="00A21A04"/>
    <w:rsid w:val="00A22622"/>
    <w:rsid w:val="00A22E7B"/>
    <w:rsid w:val="00A2451C"/>
    <w:rsid w:val="00A24EC9"/>
    <w:rsid w:val="00A253A4"/>
    <w:rsid w:val="00A26C90"/>
    <w:rsid w:val="00A30AB5"/>
    <w:rsid w:val="00A33906"/>
    <w:rsid w:val="00A33E2B"/>
    <w:rsid w:val="00A33E4C"/>
    <w:rsid w:val="00A34F57"/>
    <w:rsid w:val="00A37122"/>
    <w:rsid w:val="00A404FA"/>
    <w:rsid w:val="00A408B7"/>
    <w:rsid w:val="00A411D9"/>
    <w:rsid w:val="00A418BE"/>
    <w:rsid w:val="00A429F9"/>
    <w:rsid w:val="00A42D6A"/>
    <w:rsid w:val="00A42F67"/>
    <w:rsid w:val="00A47CC4"/>
    <w:rsid w:val="00A47F26"/>
    <w:rsid w:val="00A50524"/>
    <w:rsid w:val="00A510D0"/>
    <w:rsid w:val="00A54438"/>
    <w:rsid w:val="00A55C2D"/>
    <w:rsid w:val="00A563B9"/>
    <w:rsid w:val="00A56F9B"/>
    <w:rsid w:val="00A57E59"/>
    <w:rsid w:val="00A60428"/>
    <w:rsid w:val="00A614F7"/>
    <w:rsid w:val="00A636C6"/>
    <w:rsid w:val="00A63EBA"/>
    <w:rsid w:val="00A640F5"/>
    <w:rsid w:val="00A64AE7"/>
    <w:rsid w:val="00A64C0D"/>
    <w:rsid w:val="00A65EE7"/>
    <w:rsid w:val="00A66F18"/>
    <w:rsid w:val="00A70133"/>
    <w:rsid w:val="00A71396"/>
    <w:rsid w:val="00A7164F"/>
    <w:rsid w:val="00A72584"/>
    <w:rsid w:val="00A72679"/>
    <w:rsid w:val="00A735D2"/>
    <w:rsid w:val="00A75A19"/>
    <w:rsid w:val="00A770A6"/>
    <w:rsid w:val="00A805F7"/>
    <w:rsid w:val="00A813B1"/>
    <w:rsid w:val="00A82351"/>
    <w:rsid w:val="00A8333D"/>
    <w:rsid w:val="00A83F86"/>
    <w:rsid w:val="00A84857"/>
    <w:rsid w:val="00A931B8"/>
    <w:rsid w:val="00A9469B"/>
    <w:rsid w:val="00A96AC3"/>
    <w:rsid w:val="00A96D29"/>
    <w:rsid w:val="00A97344"/>
    <w:rsid w:val="00A97C89"/>
    <w:rsid w:val="00A97F62"/>
    <w:rsid w:val="00AA2340"/>
    <w:rsid w:val="00AA2819"/>
    <w:rsid w:val="00AA3212"/>
    <w:rsid w:val="00AA3C72"/>
    <w:rsid w:val="00AA475E"/>
    <w:rsid w:val="00AA53C0"/>
    <w:rsid w:val="00AA5656"/>
    <w:rsid w:val="00AA590D"/>
    <w:rsid w:val="00AA7CB0"/>
    <w:rsid w:val="00AB1EFF"/>
    <w:rsid w:val="00AB36C4"/>
    <w:rsid w:val="00AB3F47"/>
    <w:rsid w:val="00AB57B8"/>
    <w:rsid w:val="00AB7887"/>
    <w:rsid w:val="00AC2363"/>
    <w:rsid w:val="00AC25F8"/>
    <w:rsid w:val="00AC32B2"/>
    <w:rsid w:val="00AC32C2"/>
    <w:rsid w:val="00AC55FD"/>
    <w:rsid w:val="00AC58D0"/>
    <w:rsid w:val="00AC62BB"/>
    <w:rsid w:val="00AC6CFD"/>
    <w:rsid w:val="00AC7663"/>
    <w:rsid w:val="00AD01BB"/>
    <w:rsid w:val="00AD1D51"/>
    <w:rsid w:val="00AD2275"/>
    <w:rsid w:val="00AD2A59"/>
    <w:rsid w:val="00AE0F19"/>
    <w:rsid w:val="00AE261D"/>
    <w:rsid w:val="00AE6F9A"/>
    <w:rsid w:val="00AE7516"/>
    <w:rsid w:val="00AE7B15"/>
    <w:rsid w:val="00AE7F55"/>
    <w:rsid w:val="00AF04F4"/>
    <w:rsid w:val="00AF06ED"/>
    <w:rsid w:val="00AF2662"/>
    <w:rsid w:val="00AF5AD8"/>
    <w:rsid w:val="00AF5D99"/>
    <w:rsid w:val="00AF6D78"/>
    <w:rsid w:val="00AF7892"/>
    <w:rsid w:val="00B014D4"/>
    <w:rsid w:val="00B02EDD"/>
    <w:rsid w:val="00B04591"/>
    <w:rsid w:val="00B05866"/>
    <w:rsid w:val="00B05A4B"/>
    <w:rsid w:val="00B069C1"/>
    <w:rsid w:val="00B07179"/>
    <w:rsid w:val="00B10085"/>
    <w:rsid w:val="00B129AF"/>
    <w:rsid w:val="00B169B8"/>
    <w:rsid w:val="00B16FA4"/>
    <w:rsid w:val="00B17141"/>
    <w:rsid w:val="00B1725A"/>
    <w:rsid w:val="00B17D07"/>
    <w:rsid w:val="00B20B54"/>
    <w:rsid w:val="00B23712"/>
    <w:rsid w:val="00B250A2"/>
    <w:rsid w:val="00B26EC4"/>
    <w:rsid w:val="00B30CAD"/>
    <w:rsid w:val="00B314C3"/>
    <w:rsid w:val="00B31575"/>
    <w:rsid w:val="00B31F55"/>
    <w:rsid w:val="00B329EA"/>
    <w:rsid w:val="00B35936"/>
    <w:rsid w:val="00B415FB"/>
    <w:rsid w:val="00B428A6"/>
    <w:rsid w:val="00B453CA"/>
    <w:rsid w:val="00B4731A"/>
    <w:rsid w:val="00B510EA"/>
    <w:rsid w:val="00B52104"/>
    <w:rsid w:val="00B54827"/>
    <w:rsid w:val="00B54B0A"/>
    <w:rsid w:val="00B54FA0"/>
    <w:rsid w:val="00B558F8"/>
    <w:rsid w:val="00B56DD6"/>
    <w:rsid w:val="00B57344"/>
    <w:rsid w:val="00B574B8"/>
    <w:rsid w:val="00B605C3"/>
    <w:rsid w:val="00B608FD"/>
    <w:rsid w:val="00B6134D"/>
    <w:rsid w:val="00B628AD"/>
    <w:rsid w:val="00B62C8B"/>
    <w:rsid w:val="00B63F10"/>
    <w:rsid w:val="00B67D34"/>
    <w:rsid w:val="00B700CB"/>
    <w:rsid w:val="00B70B70"/>
    <w:rsid w:val="00B75637"/>
    <w:rsid w:val="00B76446"/>
    <w:rsid w:val="00B77523"/>
    <w:rsid w:val="00B77E0B"/>
    <w:rsid w:val="00B803BE"/>
    <w:rsid w:val="00B8547D"/>
    <w:rsid w:val="00B8551C"/>
    <w:rsid w:val="00B862DC"/>
    <w:rsid w:val="00B87F2C"/>
    <w:rsid w:val="00B902F3"/>
    <w:rsid w:val="00B92F78"/>
    <w:rsid w:val="00B938A3"/>
    <w:rsid w:val="00B93A74"/>
    <w:rsid w:val="00B94332"/>
    <w:rsid w:val="00B951CB"/>
    <w:rsid w:val="00B9544F"/>
    <w:rsid w:val="00B96046"/>
    <w:rsid w:val="00B96646"/>
    <w:rsid w:val="00B97D3E"/>
    <w:rsid w:val="00BA0A20"/>
    <w:rsid w:val="00BA1B0D"/>
    <w:rsid w:val="00BA1E89"/>
    <w:rsid w:val="00BA53E2"/>
    <w:rsid w:val="00BA635D"/>
    <w:rsid w:val="00BA64CD"/>
    <w:rsid w:val="00BA6F6A"/>
    <w:rsid w:val="00BA7302"/>
    <w:rsid w:val="00BB00A6"/>
    <w:rsid w:val="00BB03A2"/>
    <w:rsid w:val="00BB0C03"/>
    <w:rsid w:val="00BB2B01"/>
    <w:rsid w:val="00BB2B10"/>
    <w:rsid w:val="00BB2FDD"/>
    <w:rsid w:val="00BB3B04"/>
    <w:rsid w:val="00BB4CC2"/>
    <w:rsid w:val="00BB5961"/>
    <w:rsid w:val="00BC11AF"/>
    <w:rsid w:val="00BC4790"/>
    <w:rsid w:val="00BC47DA"/>
    <w:rsid w:val="00BC4A00"/>
    <w:rsid w:val="00BC5559"/>
    <w:rsid w:val="00BC6553"/>
    <w:rsid w:val="00BC74CB"/>
    <w:rsid w:val="00BC75FC"/>
    <w:rsid w:val="00BD07A5"/>
    <w:rsid w:val="00BD0DC7"/>
    <w:rsid w:val="00BD11A5"/>
    <w:rsid w:val="00BD2498"/>
    <w:rsid w:val="00BD4A0E"/>
    <w:rsid w:val="00BD7930"/>
    <w:rsid w:val="00BE01B8"/>
    <w:rsid w:val="00BE1063"/>
    <w:rsid w:val="00BE25CD"/>
    <w:rsid w:val="00BE2E66"/>
    <w:rsid w:val="00BE531E"/>
    <w:rsid w:val="00BE59DE"/>
    <w:rsid w:val="00BE70C4"/>
    <w:rsid w:val="00BF0A1B"/>
    <w:rsid w:val="00BF118C"/>
    <w:rsid w:val="00BF16B2"/>
    <w:rsid w:val="00BF1D76"/>
    <w:rsid w:val="00BF2DD8"/>
    <w:rsid w:val="00BF36BA"/>
    <w:rsid w:val="00BF4755"/>
    <w:rsid w:val="00BF6841"/>
    <w:rsid w:val="00BF6CC8"/>
    <w:rsid w:val="00BF7002"/>
    <w:rsid w:val="00C012D2"/>
    <w:rsid w:val="00C01748"/>
    <w:rsid w:val="00C02368"/>
    <w:rsid w:val="00C05360"/>
    <w:rsid w:val="00C05A68"/>
    <w:rsid w:val="00C0648A"/>
    <w:rsid w:val="00C06FB7"/>
    <w:rsid w:val="00C078A2"/>
    <w:rsid w:val="00C10574"/>
    <w:rsid w:val="00C10735"/>
    <w:rsid w:val="00C12068"/>
    <w:rsid w:val="00C123F3"/>
    <w:rsid w:val="00C13EF3"/>
    <w:rsid w:val="00C14380"/>
    <w:rsid w:val="00C16544"/>
    <w:rsid w:val="00C20528"/>
    <w:rsid w:val="00C21A8A"/>
    <w:rsid w:val="00C2296D"/>
    <w:rsid w:val="00C24092"/>
    <w:rsid w:val="00C250D5"/>
    <w:rsid w:val="00C31092"/>
    <w:rsid w:val="00C31C37"/>
    <w:rsid w:val="00C32E40"/>
    <w:rsid w:val="00C33E4F"/>
    <w:rsid w:val="00C35666"/>
    <w:rsid w:val="00C357D2"/>
    <w:rsid w:val="00C35B54"/>
    <w:rsid w:val="00C362E4"/>
    <w:rsid w:val="00C36848"/>
    <w:rsid w:val="00C368B9"/>
    <w:rsid w:val="00C40B87"/>
    <w:rsid w:val="00C414AA"/>
    <w:rsid w:val="00C41734"/>
    <w:rsid w:val="00C41E70"/>
    <w:rsid w:val="00C430D9"/>
    <w:rsid w:val="00C43919"/>
    <w:rsid w:val="00C43BCB"/>
    <w:rsid w:val="00C45737"/>
    <w:rsid w:val="00C45C5C"/>
    <w:rsid w:val="00C4629D"/>
    <w:rsid w:val="00C47550"/>
    <w:rsid w:val="00C47A1C"/>
    <w:rsid w:val="00C50741"/>
    <w:rsid w:val="00C51534"/>
    <w:rsid w:val="00C5305A"/>
    <w:rsid w:val="00C54515"/>
    <w:rsid w:val="00C54591"/>
    <w:rsid w:val="00C54FE0"/>
    <w:rsid w:val="00C57ABD"/>
    <w:rsid w:val="00C6088F"/>
    <w:rsid w:val="00C630FB"/>
    <w:rsid w:val="00C708A2"/>
    <w:rsid w:val="00C74005"/>
    <w:rsid w:val="00C7402E"/>
    <w:rsid w:val="00C7784C"/>
    <w:rsid w:val="00C85516"/>
    <w:rsid w:val="00C85581"/>
    <w:rsid w:val="00C8629F"/>
    <w:rsid w:val="00C87AE3"/>
    <w:rsid w:val="00C87F78"/>
    <w:rsid w:val="00C90FF7"/>
    <w:rsid w:val="00C91342"/>
    <w:rsid w:val="00C916A7"/>
    <w:rsid w:val="00C9268E"/>
    <w:rsid w:val="00C92898"/>
    <w:rsid w:val="00C9354F"/>
    <w:rsid w:val="00C93D8D"/>
    <w:rsid w:val="00C94116"/>
    <w:rsid w:val="00C96297"/>
    <w:rsid w:val="00C97E49"/>
    <w:rsid w:val="00CA2662"/>
    <w:rsid w:val="00CA4340"/>
    <w:rsid w:val="00CA4646"/>
    <w:rsid w:val="00CA4725"/>
    <w:rsid w:val="00CA4A8C"/>
    <w:rsid w:val="00CA580F"/>
    <w:rsid w:val="00CA652B"/>
    <w:rsid w:val="00CA6B97"/>
    <w:rsid w:val="00CA78D2"/>
    <w:rsid w:val="00CB2158"/>
    <w:rsid w:val="00CB2640"/>
    <w:rsid w:val="00CB3283"/>
    <w:rsid w:val="00CB33B2"/>
    <w:rsid w:val="00CB340C"/>
    <w:rsid w:val="00CB3DC8"/>
    <w:rsid w:val="00CB63B2"/>
    <w:rsid w:val="00CB7A82"/>
    <w:rsid w:val="00CC0E55"/>
    <w:rsid w:val="00CC11AE"/>
    <w:rsid w:val="00CC22F7"/>
    <w:rsid w:val="00CC237F"/>
    <w:rsid w:val="00CC2517"/>
    <w:rsid w:val="00CC3419"/>
    <w:rsid w:val="00CC607B"/>
    <w:rsid w:val="00CC6C97"/>
    <w:rsid w:val="00CD0209"/>
    <w:rsid w:val="00CD188E"/>
    <w:rsid w:val="00CD3016"/>
    <w:rsid w:val="00CD36B6"/>
    <w:rsid w:val="00CD6432"/>
    <w:rsid w:val="00CD6A33"/>
    <w:rsid w:val="00CE1AA7"/>
    <w:rsid w:val="00CE24DA"/>
    <w:rsid w:val="00CE34E3"/>
    <w:rsid w:val="00CE3E37"/>
    <w:rsid w:val="00CE4CDE"/>
    <w:rsid w:val="00CE5238"/>
    <w:rsid w:val="00CE7514"/>
    <w:rsid w:val="00CE7B56"/>
    <w:rsid w:val="00CF000A"/>
    <w:rsid w:val="00CF113B"/>
    <w:rsid w:val="00CF2014"/>
    <w:rsid w:val="00CF26D0"/>
    <w:rsid w:val="00CF3B2D"/>
    <w:rsid w:val="00CF4558"/>
    <w:rsid w:val="00CF51A1"/>
    <w:rsid w:val="00CF6F56"/>
    <w:rsid w:val="00D0022E"/>
    <w:rsid w:val="00D00FA4"/>
    <w:rsid w:val="00D01658"/>
    <w:rsid w:val="00D01CBE"/>
    <w:rsid w:val="00D03048"/>
    <w:rsid w:val="00D03620"/>
    <w:rsid w:val="00D04605"/>
    <w:rsid w:val="00D06027"/>
    <w:rsid w:val="00D109F9"/>
    <w:rsid w:val="00D11D73"/>
    <w:rsid w:val="00D11F08"/>
    <w:rsid w:val="00D130A2"/>
    <w:rsid w:val="00D16D90"/>
    <w:rsid w:val="00D20171"/>
    <w:rsid w:val="00D23207"/>
    <w:rsid w:val="00D23351"/>
    <w:rsid w:val="00D248DE"/>
    <w:rsid w:val="00D30E9F"/>
    <w:rsid w:val="00D331B9"/>
    <w:rsid w:val="00D34A76"/>
    <w:rsid w:val="00D34C3A"/>
    <w:rsid w:val="00D3607A"/>
    <w:rsid w:val="00D362BD"/>
    <w:rsid w:val="00D37014"/>
    <w:rsid w:val="00D374D5"/>
    <w:rsid w:val="00D41A66"/>
    <w:rsid w:val="00D42BF3"/>
    <w:rsid w:val="00D438B4"/>
    <w:rsid w:val="00D43A4F"/>
    <w:rsid w:val="00D44ECD"/>
    <w:rsid w:val="00D47472"/>
    <w:rsid w:val="00D47BA7"/>
    <w:rsid w:val="00D509E1"/>
    <w:rsid w:val="00D5214F"/>
    <w:rsid w:val="00D530A5"/>
    <w:rsid w:val="00D53936"/>
    <w:rsid w:val="00D54A7A"/>
    <w:rsid w:val="00D5592E"/>
    <w:rsid w:val="00D56961"/>
    <w:rsid w:val="00D600F9"/>
    <w:rsid w:val="00D60541"/>
    <w:rsid w:val="00D6365B"/>
    <w:rsid w:val="00D640CE"/>
    <w:rsid w:val="00D660AE"/>
    <w:rsid w:val="00D67686"/>
    <w:rsid w:val="00D67ABE"/>
    <w:rsid w:val="00D67B57"/>
    <w:rsid w:val="00D67F61"/>
    <w:rsid w:val="00D774F7"/>
    <w:rsid w:val="00D775BA"/>
    <w:rsid w:val="00D776CE"/>
    <w:rsid w:val="00D77B8D"/>
    <w:rsid w:val="00D819CA"/>
    <w:rsid w:val="00D81BB1"/>
    <w:rsid w:val="00D83EA8"/>
    <w:rsid w:val="00D841E3"/>
    <w:rsid w:val="00D84AB2"/>
    <w:rsid w:val="00D8542D"/>
    <w:rsid w:val="00D86711"/>
    <w:rsid w:val="00D9145F"/>
    <w:rsid w:val="00D926CA"/>
    <w:rsid w:val="00D93957"/>
    <w:rsid w:val="00D951AE"/>
    <w:rsid w:val="00D9704C"/>
    <w:rsid w:val="00D97C2E"/>
    <w:rsid w:val="00D97E5A"/>
    <w:rsid w:val="00DA037D"/>
    <w:rsid w:val="00DA0789"/>
    <w:rsid w:val="00DA0CB6"/>
    <w:rsid w:val="00DA13EA"/>
    <w:rsid w:val="00DA182A"/>
    <w:rsid w:val="00DA2489"/>
    <w:rsid w:val="00DA3415"/>
    <w:rsid w:val="00DA38EB"/>
    <w:rsid w:val="00DA393F"/>
    <w:rsid w:val="00DA4341"/>
    <w:rsid w:val="00DA5182"/>
    <w:rsid w:val="00DA538E"/>
    <w:rsid w:val="00DB0220"/>
    <w:rsid w:val="00DB02D2"/>
    <w:rsid w:val="00DB1B4C"/>
    <w:rsid w:val="00DB31A6"/>
    <w:rsid w:val="00DB3B69"/>
    <w:rsid w:val="00DB3EA3"/>
    <w:rsid w:val="00DB4404"/>
    <w:rsid w:val="00DB5811"/>
    <w:rsid w:val="00DB5CEA"/>
    <w:rsid w:val="00DB6A88"/>
    <w:rsid w:val="00DB6AAA"/>
    <w:rsid w:val="00DB6ECB"/>
    <w:rsid w:val="00DC12E0"/>
    <w:rsid w:val="00DC1629"/>
    <w:rsid w:val="00DC2353"/>
    <w:rsid w:val="00DC3DD5"/>
    <w:rsid w:val="00DC484D"/>
    <w:rsid w:val="00DC4C2F"/>
    <w:rsid w:val="00DC5429"/>
    <w:rsid w:val="00DC548C"/>
    <w:rsid w:val="00DC6A71"/>
    <w:rsid w:val="00DD00A5"/>
    <w:rsid w:val="00DD036F"/>
    <w:rsid w:val="00DD28D0"/>
    <w:rsid w:val="00DD31B4"/>
    <w:rsid w:val="00DD3360"/>
    <w:rsid w:val="00DD392D"/>
    <w:rsid w:val="00DD4601"/>
    <w:rsid w:val="00DD4F43"/>
    <w:rsid w:val="00DD5BA0"/>
    <w:rsid w:val="00DD6502"/>
    <w:rsid w:val="00DD6D2E"/>
    <w:rsid w:val="00DD7375"/>
    <w:rsid w:val="00DE1560"/>
    <w:rsid w:val="00DE1EE7"/>
    <w:rsid w:val="00DE2419"/>
    <w:rsid w:val="00DE31C8"/>
    <w:rsid w:val="00DE3961"/>
    <w:rsid w:val="00DE427B"/>
    <w:rsid w:val="00DE4A20"/>
    <w:rsid w:val="00DE50F2"/>
    <w:rsid w:val="00DE7F0D"/>
    <w:rsid w:val="00DF06B8"/>
    <w:rsid w:val="00DF1CBA"/>
    <w:rsid w:val="00DF3017"/>
    <w:rsid w:val="00DF330E"/>
    <w:rsid w:val="00DF3AF4"/>
    <w:rsid w:val="00DF5A1B"/>
    <w:rsid w:val="00DF5EC0"/>
    <w:rsid w:val="00E003CD"/>
    <w:rsid w:val="00E004D8"/>
    <w:rsid w:val="00E00B54"/>
    <w:rsid w:val="00E027CB"/>
    <w:rsid w:val="00E02A45"/>
    <w:rsid w:val="00E0357D"/>
    <w:rsid w:val="00E0463E"/>
    <w:rsid w:val="00E050A3"/>
    <w:rsid w:val="00E0526D"/>
    <w:rsid w:val="00E06489"/>
    <w:rsid w:val="00E07719"/>
    <w:rsid w:val="00E1166C"/>
    <w:rsid w:val="00E128DC"/>
    <w:rsid w:val="00E129E9"/>
    <w:rsid w:val="00E12E77"/>
    <w:rsid w:val="00E1379B"/>
    <w:rsid w:val="00E148FB"/>
    <w:rsid w:val="00E15802"/>
    <w:rsid w:val="00E16E0D"/>
    <w:rsid w:val="00E17017"/>
    <w:rsid w:val="00E17AA1"/>
    <w:rsid w:val="00E20E43"/>
    <w:rsid w:val="00E218CE"/>
    <w:rsid w:val="00E22682"/>
    <w:rsid w:val="00E237F9"/>
    <w:rsid w:val="00E241A7"/>
    <w:rsid w:val="00E25BAC"/>
    <w:rsid w:val="00E26B7C"/>
    <w:rsid w:val="00E27166"/>
    <w:rsid w:val="00E3015B"/>
    <w:rsid w:val="00E30578"/>
    <w:rsid w:val="00E31341"/>
    <w:rsid w:val="00E32330"/>
    <w:rsid w:val="00E33495"/>
    <w:rsid w:val="00E36295"/>
    <w:rsid w:val="00E36468"/>
    <w:rsid w:val="00E404D7"/>
    <w:rsid w:val="00E40C83"/>
    <w:rsid w:val="00E40FBA"/>
    <w:rsid w:val="00E4270F"/>
    <w:rsid w:val="00E43999"/>
    <w:rsid w:val="00E43C4B"/>
    <w:rsid w:val="00E44A28"/>
    <w:rsid w:val="00E44B27"/>
    <w:rsid w:val="00E45033"/>
    <w:rsid w:val="00E46919"/>
    <w:rsid w:val="00E47B6A"/>
    <w:rsid w:val="00E47CC7"/>
    <w:rsid w:val="00E47D0A"/>
    <w:rsid w:val="00E5091E"/>
    <w:rsid w:val="00E510DC"/>
    <w:rsid w:val="00E512AB"/>
    <w:rsid w:val="00E54E28"/>
    <w:rsid w:val="00E56BF8"/>
    <w:rsid w:val="00E63CBE"/>
    <w:rsid w:val="00E64413"/>
    <w:rsid w:val="00E656DD"/>
    <w:rsid w:val="00E70112"/>
    <w:rsid w:val="00E70A64"/>
    <w:rsid w:val="00E712E3"/>
    <w:rsid w:val="00E724D0"/>
    <w:rsid w:val="00E7483F"/>
    <w:rsid w:val="00E77701"/>
    <w:rsid w:val="00E80084"/>
    <w:rsid w:val="00E802BC"/>
    <w:rsid w:val="00E83207"/>
    <w:rsid w:val="00E83BA0"/>
    <w:rsid w:val="00E8569A"/>
    <w:rsid w:val="00E86552"/>
    <w:rsid w:val="00E9066E"/>
    <w:rsid w:val="00E915E1"/>
    <w:rsid w:val="00E92351"/>
    <w:rsid w:val="00E92CDC"/>
    <w:rsid w:val="00E936E9"/>
    <w:rsid w:val="00E95987"/>
    <w:rsid w:val="00E97462"/>
    <w:rsid w:val="00E97E58"/>
    <w:rsid w:val="00EA307B"/>
    <w:rsid w:val="00EA4D3B"/>
    <w:rsid w:val="00EA64A7"/>
    <w:rsid w:val="00EA67EB"/>
    <w:rsid w:val="00EA6CED"/>
    <w:rsid w:val="00EA7FBE"/>
    <w:rsid w:val="00EB01AD"/>
    <w:rsid w:val="00EB1E3C"/>
    <w:rsid w:val="00EB2927"/>
    <w:rsid w:val="00EB72F6"/>
    <w:rsid w:val="00EB7E75"/>
    <w:rsid w:val="00EC1B03"/>
    <w:rsid w:val="00EC22D8"/>
    <w:rsid w:val="00EC3106"/>
    <w:rsid w:val="00EC3E5A"/>
    <w:rsid w:val="00EC63A7"/>
    <w:rsid w:val="00EC64BE"/>
    <w:rsid w:val="00EC7A0A"/>
    <w:rsid w:val="00EC7A6D"/>
    <w:rsid w:val="00ED1C3E"/>
    <w:rsid w:val="00ED260B"/>
    <w:rsid w:val="00ED2CD5"/>
    <w:rsid w:val="00ED2E04"/>
    <w:rsid w:val="00ED3D4B"/>
    <w:rsid w:val="00ED5450"/>
    <w:rsid w:val="00EE0675"/>
    <w:rsid w:val="00EE07D5"/>
    <w:rsid w:val="00EE1831"/>
    <w:rsid w:val="00EE4C1F"/>
    <w:rsid w:val="00EE5330"/>
    <w:rsid w:val="00EE6D4D"/>
    <w:rsid w:val="00EE73A2"/>
    <w:rsid w:val="00EF1452"/>
    <w:rsid w:val="00EF1C2C"/>
    <w:rsid w:val="00EF5164"/>
    <w:rsid w:val="00F01218"/>
    <w:rsid w:val="00F0507F"/>
    <w:rsid w:val="00F05935"/>
    <w:rsid w:val="00F1054A"/>
    <w:rsid w:val="00F11500"/>
    <w:rsid w:val="00F118B2"/>
    <w:rsid w:val="00F126F8"/>
    <w:rsid w:val="00F13C4C"/>
    <w:rsid w:val="00F17C6D"/>
    <w:rsid w:val="00F208B0"/>
    <w:rsid w:val="00F2170F"/>
    <w:rsid w:val="00F235FC"/>
    <w:rsid w:val="00F23B85"/>
    <w:rsid w:val="00F240BB"/>
    <w:rsid w:val="00F24AF2"/>
    <w:rsid w:val="00F2514D"/>
    <w:rsid w:val="00F27CDD"/>
    <w:rsid w:val="00F315C1"/>
    <w:rsid w:val="00F37DC6"/>
    <w:rsid w:val="00F438E7"/>
    <w:rsid w:val="00F43998"/>
    <w:rsid w:val="00F43E59"/>
    <w:rsid w:val="00F4754C"/>
    <w:rsid w:val="00F511A3"/>
    <w:rsid w:val="00F520DF"/>
    <w:rsid w:val="00F54154"/>
    <w:rsid w:val="00F57FED"/>
    <w:rsid w:val="00F6424E"/>
    <w:rsid w:val="00F65D20"/>
    <w:rsid w:val="00F671B7"/>
    <w:rsid w:val="00F675BF"/>
    <w:rsid w:val="00F67BB0"/>
    <w:rsid w:val="00F7085B"/>
    <w:rsid w:val="00F72D15"/>
    <w:rsid w:val="00F72FF2"/>
    <w:rsid w:val="00F741AE"/>
    <w:rsid w:val="00F826B4"/>
    <w:rsid w:val="00F83386"/>
    <w:rsid w:val="00F83AB5"/>
    <w:rsid w:val="00F83C9D"/>
    <w:rsid w:val="00F853BA"/>
    <w:rsid w:val="00F8668E"/>
    <w:rsid w:val="00F8708F"/>
    <w:rsid w:val="00F8746E"/>
    <w:rsid w:val="00F9057B"/>
    <w:rsid w:val="00F92F58"/>
    <w:rsid w:val="00F93D39"/>
    <w:rsid w:val="00F957B7"/>
    <w:rsid w:val="00F95881"/>
    <w:rsid w:val="00F9678B"/>
    <w:rsid w:val="00F9771C"/>
    <w:rsid w:val="00F979DE"/>
    <w:rsid w:val="00FA0D88"/>
    <w:rsid w:val="00FA17EA"/>
    <w:rsid w:val="00FA1BD0"/>
    <w:rsid w:val="00FA25CA"/>
    <w:rsid w:val="00FA3AE3"/>
    <w:rsid w:val="00FA6625"/>
    <w:rsid w:val="00FB0270"/>
    <w:rsid w:val="00FB0E87"/>
    <w:rsid w:val="00FB1324"/>
    <w:rsid w:val="00FB226F"/>
    <w:rsid w:val="00FB6FFE"/>
    <w:rsid w:val="00FB79CF"/>
    <w:rsid w:val="00FC42D5"/>
    <w:rsid w:val="00FC774A"/>
    <w:rsid w:val="00FC788F"/>
    <w:rsid w:val="00FC7F3A"/>
    <w:rsid w:val="00FD00D7"/>
    <w:rsid w:val="00FD04AD"/>
    <w:rsid w:val="00FD0D91"/>
    <w:rsid w:val="00FD1174"/>
    <w:rsid w:val="00FD229B"/>
    <w:rsid w:val="00FD2320"/>
    <w:rsid w:val="00FD27C3"/>
    <w:rsid w:val="00FD288D"/>
    <w:rsid w:val="00FD2FF6"/>
    <w:rsid w:val="00FD4947"/>
    <w:rsid w:val="00FD4FB3"/>
    <w:rsid w:val="00FD5450"/>
    <w:rsid w:val="00FD5D19"/>
    <w:rsid w:val="00FE081A"/>
    <w:rsid w:val="00FE1D95"/>
    <w:rsid w:val="00FE22D2"/>
    <w:rsid w:val="00FE40AC"/>
    <w:rsid w:val="00FE4943"/>
    <w:rsid w:val="00FE54F4"/>
    <w:rsid w:val="00FE54FD"/>
    <w:rsid w:val="00FE5C35"/>
    <w:rsid w:val="00FF1DF8"/>
    <w:rsid w:val="00FF3530"/>
    <w:rsid w:val="00FF68BC"/>
    <w:rsid w:val="00FF70A8"/>
    <w:rsid w:val="00FF72B2"/>
    <w:rsid w:val="00FF7699"/>
    <w:rsid w:val="00FF782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Top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bidi="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ngsana New"/>
      <w:b/>
      <w:szCs w:val="20"/>
      <w:lang w:bidi="th-TH"/>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Angsana New"/>
      <w:sz w:val="16"/>
      <w:szCs w:val="16"/>
      <w:lang w:val="en-US" w:bidi="th-TH"/>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ind w:left="1428" w:hanging="360"/>
      <w:jc w:val="center"/>
      <w:textAlignment w:val="baseline"/>
      <w:outlineLvl w:val="3"/>
    </w:pPr>
    <w:rPr>
      <w:rFonts w:cs="Angsana New"/>
      <w:b/>
      <w:sz w:val="22"/>
      <w:szCs w:val="22"/>
      <w:lang w:bidi="th-TH"/>
    </w:rPr>
  </w:style>
  <w:style w:type="character" w:customStyle="1" w:styleId="OddelekZnak1">
    <w:name w:val="Oddelek Znak1"/>
    <w:link w:val="Oddelek"/>
    <w:rsid w:val="00DC4C2F"/>
    <w:rPr>
      <w:rFonts w:ascii="Arial" w:hAnsi="Arial" w:cs="Angsana New"/>
      <w:b/>
      <w:sz w:val="22"/>
      <w:szCs w:val="22"/>
    </w:rPr>
  </w:style>
  <w:style w:type="paragraph" w:customStyle="1" w:styleId="Alineazaodstavkom">
    <w:name w:val="Alinea za odstavkom"/>
    <w:basedOn w:val="Navaden"/>
    <w:link w:val="AlineazaodstavkomZnak"/>
    <w:qFormat/>
    <w:rsid w:val="00DC4C2F"/>
    <w:pPr>
      <w:tabs>
        <w:tab w:val="num" w:pos="720"/>
      </w:tabs>
      <w:overflowPunct w:val="0"/>
      <w:autoSpaceDE w:val="0"/>
      <w:autoSpaceDN w:val="0"/>
      <w:adjustRightInd w:val="0"/>
      <w:spacing w:line="200" w:lineRule="exact"/>
      <w:ind w:left="709" w:hanging="284"/>
      <w:jc w:val="both"/>
      <w:textAlignment w:val="baseline"/>
    </w:pPr>
    <w:rPr>
      <w:rFonts w:cs="Angsana New"/>
      <w:sz w:val="22"/>
      <w:szCs w:val="22"/>
      <w:lang w:bidi="th-TH"/>
    </w:rPr>
  </w:style>
  <w:style w:type="character" w:customStyle="1" w:styleId="AlineazaodstavkomZnak">
    <w:name w:val="Alinea za odstavkom Znak"/>
    <w:link w:val="Alineazaodstavkom"/>
    <w:rsid w:val="00DC4C2F"/>
    <w:rPr>
      <w:rFonts w:ascii="Arial" w:hAnsi="Arial" w:cs="Angsana New"/>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cs="Angsana New"/>
    </w:rPr>
  </w:style>
  <w:style w:type="paragraph" w:customStyle="1" w:styleId="rkovnatokazaodstavkom">
    <w:name w:val="Črkovna točka_za odstavkom"/>
    <w:basedOn w:val="Navaden"/>
    <w:link w:val="rkovnatokazaodstavkomZnak"/>
    <w:qFormat/>
    <w:rsid w:val="006C1C49"/>
    <w:pPr>
      <w:overflowPunct w:val="0"/>
      <w:autoSpaceDE w:val="0"/>
      <w:autoSpaceDN w:val="0"/>
      <w:adjustRightInd w:val="0"/>
      <w:spacing w:line="200" w:lineRule="exact"/>
      <w:ind w:left="1068" w:hanging="360"/>
      <w:jc w:val="both"/>
      <w:textAlignment w:val="baseline"/>
    </w:pPr>
    <w:rPr>
      <w:rFonts w:cs="Angsana New"/>
      <w:szCs w:val="20"/>
      <w:lang w:bidi="th-TH"/>
    </w:rPr>
  </w:style>
  <w:style w:type="paragraph" w:customStyle="1" w:styleId="Odsek">
    <w:name w:val="Odsek"/>
    <w:basedOn w:val="Oddelek"/>
    <w:link w:val="OdsekZnak"/>
    <w:qFormat/>
    <w:rsid w:val="006C1C49"/>
    <w:pPr>
      <w:tabs>
        <w:tab w:val="num" w:pos="720"/>
      </w:tabs>
      <w:ind w:left="720"/>
    </w:pPr>
  </w:style>
  <w:style w:type="character" w:customStyle="1" w:styleId="OdsekZnak">
    <w:name w:val="Odsek Znak"/>
    <w:basedOn w:val="OddelekZnak1"/>
    <w:link w:val="Odsek"/>
    <w:locked/>
    <w:rsid w:val="006C1C49"/>
    <w:rPr>
      <w:rFonts w:ascii="Arial" w:hAnsi="Arial" w:cs="Angsana New"/>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bidi="ar-SA"/>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bidi="ar-SA"/>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bidi="ar-SA"/>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Angsana New"/>
      <w:szCs w:val="20"/>
      <w:lang w:bidi="th-TH"/>
    </w:rPr>
  </w:style>
  <w:style w:type="character" w:styleId="Pripombasklic">
    <w:name w:val="annotation reference"/>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1"/>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ngsana New"/>
      <w:vanish/>
      <w:sz w:val="16"/>
      <w:szCs w:val="16"/>
      <w:lang w:bidi="th-TH"/>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rFonts w:cs="Angsana New"/>
      <w:vanish/>
      <w:sz w:val="16"/>
      <w:szCs w:val="16"/>
      <w:lang w:bidi="th-TH"/>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ngsana New"/>
      <w:sz w:val="22"/>
      <w:szCs w:val="22"/>
      <w:lang w:bidi="th-TH"/>
    </w:rPr>
  </w:style>
  <w:style w:type="character" w:customStyle="1" w:styleId="OdstavekZnak">
    <w:name w:val="Odstavek Znak"/>
    <w:link w:val="Odstavek"/>
    <w:rsid w:val="00191CC6"/>
    <w:rPr>
      <w:rFonts w:ascii="Arial" w:hAnsi="Arial" w:cs="Arial"/>
      <w:sz w:val="22"/>
      <w:szCs w:val="22"/>
    </w:rPr>
  </w:style>
  <w:style w:type="paragraph" w:customStyle="1" w:styleId="normal2">
    <w:name w:val="normal2"/>
    <w:basedOn w:val="Navaden"/>
    <w:rsid w:val="00F6424E"/>
    <w:pPr>
      <w:spacing w:before="77" w:line="312" w:lineRule="atLeast"/>
      <w:jc w:val="both"/>
    </w:pPr>
    <w:rPr>
      <w:rFonts w:ascii="Times New Roman" w:hAnsi="Times New Roman"/>
      <w:sz w:val="24"/>
      <w:lang w:eastAsia="sl-SI" w:bidi="th-TH"/>
    </w:rPr>
  </w:style>
  <w:style w:type="paragraph" w:customStyle="1" w:styleId="CharChar1CharZnakZnakZnakZnak">
    <w:name w:val="Char Char1 Char Znak Znak Znak Znak"/>
    <w:basedOn w:val="Navaden"/>
    <w:rsid w:val="00876380"/>
    <w:pPr>
      <w:spacing w:line="240" w:lineRule="auto"/>
    </w:pPr>
    <w:rPr>
      <w:rFonts w:ascii="Times New Roman" w:hAnsi="Times New Roman"/>
      <w:sz w:val="24"/>
      <w:lang w:val="pl-PL" w:eastAsia="pl-PL"/>
    </w:rPr>
  </w:style>
  <w:style w:type="paragraph" w:customStyle="1" w:styleId="z-dnoobrazca1">
    <w:name w:val="z-dno obrazca1"/>
    <w:basedOn w:val="Navaden"/>
    <w:next w:val="Navaden"/>
    <w:rsid w:val="00876380"/>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styleId="Telobesedila-zamik2">
    <w:name w:val="Body Text Indent 2"/>
    <w:basedOn w:val="Navaden"/>
    <w:link w:val="Telobesedila-zamik2Znak"/>
    <w:rsid w:val="00876380"/>
    <w:pPr>
      <w:spacing w:before="60" w:line="240" w:lineRule="auto"/>
      <w:ind w:left="993" w:hanging="993"/>
      <w:jc w:val="both"/>
    </w:pPr>
    <w:rPr>
      <w:rFonts w:ascii="Times New Roman" w:hAnsi="Times New Roman"/>
      <w:i/>
      <w:sz w:val="18"/>
      <w:szCs w:val="20"/>
      <w:lang w:val="en-GB" w:eastAsia="sl-SI"/>
    </w:rPr>
  </w:style>
  <w:style w:type="character" w:customStyle="1" w:styleId="Telobesedila-zamik2Znak">
    <w:name w:val="Telo besedila - zamik 2 Znak"/>
    <w:basedOn w:val="Privzetapisavaodstavka"/>
    <w:link w:val="Telobesedila-zamik2"/>
    <w:rsid w:val="00876380"/>
    <w:rPr>
      <w:i/>
      <w:sz w:val="18"/>
      <w:lang w:val="en-GB" w:bidi="ar-SA"/>
    </w:rPr>
  </w:style>
  <w:style w:type="paragraph" w:styleId="Telobesedila3">
    <w:name w:val="Body Text 3"/>
    <w:basedOn w:val="Navaden"/>
    <w:link w:val="Telobesedila3Znak"/>
    <w:rsid w:val="00876380"/>
    <w:pPr>
      <w:overflowPunct w:val="0"/>
      <w:autoSpaceDE w:val="0"/>
      <w:autoSpaceDN w:val="0"/>
      <w:adjustRightInd w:val="0"/>
      <w:spacing w:line="240" w:lineRule="auto"/>
      <w:ind w:right="566"/>
      <w:jc w:val="both"/>
      <w:textAlignment w:val="baseline"/>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876380"/>
    <w:rPr>
      <w:sz w:val="22"/>
      <w:lang w:bidi="ar-SA"/>
    </w:rPr>
  </w:style>
  <w:style w:type="character" w:customStyle="1" w:styleId="svetlitekst1">
    <w:name w:val="svetlitekst1"/>
    <w:rsid w:val="00876380"/>
    <w:rPr>
      <w:rFonts w:ascii="Verdana" w:hAnsi="Verdana" w:hint="default"/>
      <w:color w:val="39699F"/>
      <w:sz w:val="17"/>
      <w:szCs w:val="17"/>
    </w:rPr>
  </w:style>
  <w:style w:type="paragraph" w:customStyle="1" w:styleId="Telobesedila-zamik21">
    <w:name w:val="Telo besedila - zamik 21"/>
    <w:basedOn w:val="Navaden"/>
    <w:rsid w:val="00876380"/>
    <w:pPr>
      <w:suppressAutoHyphens/>
      <w:spacing w:line="240" w:lineRule="auto"/>
      <w:ind w:left="142" w:hanging="142"/>
      <w:jc w:val="both"/>
    </w:pPr>
    <w:rPr>
      <w:rFonts w:ascii="Times New Roman" w:hAnsi="Times New Roman"/>
      <w:sz w:val="18"/>
      <w:szCs w:val="20"/>
      <w:lang w:eastAsia="ar-SA"/>
    </w:rPr>
  </w:style>
  <w:style w:type="paragraph" w:customStyle="1" w:styleId="H4">
    <w:name w:val="H4"/>
    <w:basedOn w:val="Navaden"/>
    <w:next w:val="Navaden"/>
    <w:rsid w:val="00876380"/>
    <w:pPr>
      <w:keepNext/>
      <w:spacing w:before="100" w:after="100" w:line="240" w:lineRule="auto"/>
      <w:outlineLvl w:val="4"/>
    </w:pPr>
    <w:rPr>
      <w:rFonts w:ascii="Times New Roman" w:hAnsi="Times New Roman"/>
      <w:b/>
      <w:snapToGrid w:val="0"/>
      <w:sz w:val="24"/>
      <w:szCs w:val="20"/>
      <w:lang w:eastAsia="sl-SI"/>
    </w:rPr>
  </w:style>
  <w:style w:type="paragraph" w:customStyle="1" w:styleId="Navadensplet6">
    <w:name w:val="Navaden (splet)6"/>
    <w:basedOn w:val="Navaden"/>
    <w:rsid w:val="00876380"/>
    <w:pPr>
      <w:spacing w:before="150" w:after="150" w:line="240" w:lineRule="auto"/>
      <w:ind w:left="675" w:right="525"/>
    </w:pPr>
    <w:rPr>
      <w:rFonts w:ascii="Times New Roman" w:hAnsi="Times New Roman"/>
      <w:sz w:val="22"/>
      <w:szCs w:val="22"/>
      <w:lang w:eastAsia="sl-SI"/>
    </w:rPr>
  </w:style>
  <w:style w:type="paragraph" w:customStyle="1" w:styleId="Navadensplet8">
    <w:name w:val="Navaden (splet)8"/>
    <w:basedOn w:val="Navaden"/>
    <w:rsid w:val="00876380"/>
    <w:pPr>
      <w:spacing w:before="75" w:after="75" w:line="240" w:lineRule="auto"/>
      <w:ind w:left="225" w:right="225"/>
    </w:pPr>
    <w:rPr>
      <w:rFonts w:ascii="Times New Roman" w:hAnsi="Times New Roman"/>
      <w:sz w:val="22"/>
      <w:szCs w:val="22"/>
      <w:lang w:eastAsia="sl-SI"/>
    </w:rPr>
  </w:style>
  <w:style w:type="character" w:customStyle="1" w:styleId="navpath">
    <w:name w:val="navpath"/>
    <w:basedOn w:val="Privzetapisavaodstavka"/>
    <w:rsid w:val="00876380"/>
  </w:style>
  <w:style w:type="paragraph" w:customStyle="1" w:styleId="skupina01111">
    <w:name w:val="skupina_01.111"/>
    <w:basedOn w:val="Navaden"/>
    <w:rsid w:val="00876380"/>
    <w:pPr>
      <w:tabs>
        <w:tab w:val="left" w:pos="1701"/>
        <w:tab w:val="left" w:pos="2410"/>
        <w:tab w:val="left" w:pos="8470"/>
      </w:tabs>
      <w:spacing w:before="120" w:after="20" w:line="240" w:lineRule="auto"/>
      <w:ind w:left="2410" w:hanging="2410"/>
    </w:pPr>
    <w:rPr>
      <w:snapToGrid w:val="0"/>
      <w:color w:val="000000"/>
      <w:szCs w:val="20"/>
      <w:lang w:val="en-AU"/>
    </w:rPr>
  </w:style>
  <w:style w:type="paragraph" w:customStyle="1" w:styleId="semspada">
    <w:name w:val="sem_spada"/>
    <w:basedOn w:val="Navaden"/>
    <w:rsid w:val="00876380"/>
    <w:pPr>
      <w:tabs>
        <w:tab w:val="left" w:pos="2410"/>
      </w:tabs>
      <w:spacing w:before="60" w:line="200" w:lineRule="exact"/>
      <w:ind w:firstLine="2410"/>
      <w:jc w:val="both"/>
    </w:pPr>
    <w:rPr>
      <w:sz w:val="18"/>
      <w:szCs w:val="20"/>
      <w:lang w:eastAsia="sl-SI"/>
    </w:rPr>
  </w:style>
  <w:style w:type="paragraph" w:customStyle="1" w:styleId="rtice">
    <w:name w:val="črtice"/>
    <w:basedOn w:val="Navaden"/>
    <w:rsid w:val="00876380"/>
    <w:pPr>
      <w:tabs>
        <w:tab w:val="num" w:pos="1528"/>
      </w:tabs>
      <w:spacing w:line="240" w:lineRule="auto"/>
      <w:ind w:left="1528" w:hanging="360"/>
      <w:jc w:val="both"/>
    </w:pPr>
    <w:rPr>
      <w:noProof/>
      <w:sz w:val="18"/>
      <w:szCs w:val="20"/>
      <w:lang w:eastAsia="sl-SI"/>
    </w:rPr>
  </w:style>
  <w:style w:type="paragraph" w:customStyle="1" w:styleId="h40">
    <w:name w:val="h4"/>
    <w:basedOn w:val="Navaden"/>
    <w:rsid w:val="00876380"/>
    <w:pPr>
      <w:spacing w:before="300" w:after="225" w:line="240" w:lineRule="auto"/>
      <w:ind w:left="15" w:right="15"/>
      <w:jc w:val="center"/>
    </w:pPr>
    <w:rPr>
      <w:rFonts w:cs="Arial"/>
      <w:b/>
      <w:bCs/>
      <w:color w:val="222222"/>
      <w:sz w:val="22"/>
      <w:szCs w:val="22"/>
      <w:lang w:eastAsia="sl-SI"/>
    </w:rPr>
  </w:style>
  <w:style w:type="paragraph" w:customStyle="1" w:styleId="CharChar1CharCharCharCharCharCharCharCharCharCharCharChar1Char">
    <w:name w:val="Char Char1 Char Char Char Char Char Char Char Char Char Char Char Char1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CharZnakChar">
    <w:name w:val="Char Char1 Char Znak Char Znak Char"/>
    <w:basedOn w:val="Navaden"/>
    <w:rsid w:val="00876380"/>
    <w:pPr>
      <w:spacing w:line="240" w:lineRule="auto"/>
    </w:pPr>
    <w:rPr>
      <w:rFonts w:ascii="Times New Roman" w:hAnsi="Times New Roman"/>
      <w:sz w:val="24"/>
      <w:lang w:val="pl-PL" w:eastAsia="pl-PL"/>
    </w:rPr>
  </w:style>
  <w:style w:type="paragraph" w:customStyle="1" w:styleId="CharChar1CharZnakChar">
    <w:name w:val="Char Char1 Char Znak Char"/>
    <w:basedOn w:val="Navaden"/>
    <w:rsid w:val="00876380"/>
    <w:pPr>
      <w:spacing w:line="240" w:lineRule="auto"/>
    </w:pPr>
    <w:rPr>
      <w:rFonts w:ascii="Times New Roman" w:hAnsi="Times New Roman"/>
      <w:sz w:val="24"/>
      <w:lang w:val="pl-PL" w:eastAsia="pl-PL"/>
    </w:rPr>
  </w:style>
  <w:style w:type="paragraph" w:customStyle="1" w:styleId="0tekst">
    <w:name w:val="0tekst"/>
    <w:rsid w:val="00876380"/>
    <w:pPr>
      <w:overflowPunct w:val="0"/>
      <w:autoSpaceDE w:val="0"/>
      <w:autoSpaceDN w:val="0"/>
      <w:adjustRightInd w:val="0"/>
      <w:spacing w:line="200" w:lineRule="atLeast"/>
      <w:ind w:firstLine="397"/>
      <w:jc w:val="both"/>
    </w:pPr>
    <w:rPr>
      <w:rFonts w:ascii="NimbusSanDEE" w:hAnsi="NimbusSanDEE"/>
      <w:color w:val="000000"/>
      <w:sz w:val="19"/>
      <w:lang w:bidi="ar-SA"/>
    </w:rPr>
  </w:style>
  <w:style w:type="paragraph" w:customStyle="1" w:styleId="CharChar1CharZnakCharCharChar">
    <w:name w:val="Char Char1 Char Znak Char Char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
    <w:name w:val="Char Char1 Char Znak Char Char Char Znak Znak Znak1"/>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
    <w:name w:val="Char Char1 Char Znak Char Znak Char Char Znak Znak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
    <w:name w:val="Char Char1 Char Znak Char Znak Char Char Znak Znak"/>
    <w:basedOn w:val="Navaden"/>
    <w:rsid w:val="00876380"/>
    <w:pPr>
      <w:spacing w:line="240" w:lineRule="auto"/>
    </w:pPr>
    <w:rPr>
      <w:rFonts w:ascii="Times New Roman" w:hAnsi="Times New Roman"/>
      <w:sz w:val="24"/>
      <w:lang w:val="pl-PL" w:eastAsia="pl-PL"/>
    </w:rPr>
  </w:style>
  <w:style w:type="paragraph" w:customStyle="1" w:styleId="CharChar1CharZnakCharCharCharZnakZnakZnak">
    <w:name w:val="Char Char1 Char Znak Char Char Char Znak Znak Znak"/>
    <w:basedOn w:val="Navaden"/>
    <w:rsid w:val="00876380"/>
    <w:pPr>
      <w:spacing w:line="240" w:lineRule="auto"/>
    </w:pPr>
    <w:rPr>
      <w:rFonts w:ascii="Times New Roman" w:hAnsi="Times New Roman"/>
      <w:sz w:val="24"/>
      <w:lang w:val="pl-PL" w:eastAsia="pl-PL"/>
    </w:rPr>
  </w:style>
  <w:style w:type="paragraph" w:customStyle="1" w:styleId="CharChar1CharZnakZnakZnakZnakZnakZnak">
    <w:name w:val="Char Char1 Char Znak Znak Znak Znak Znak Znak"/>
    <w:basedOn w:val="Navaden"/>
    <w:rsid w:val="00876380"/>
    <w:pPr>
      <w:spacing w:line="240" w:lineRule="auto"/>
    </w:pPr>
    <w:rPr>
      <w:rFonts w:ascii="Times New Roman" w:hAnsi="Times New Roman"/>
      <w:sz w:val="24"/>
      <w:lang w:val="pl-PL" w:eastAsia="pl-PL"/>
    </w:rPr>
  </w:style>
  <w:style w:type="paragraph" w:customStyle="1" w:styleId="CharChar1Char">
    <w:name w:val="Char Char1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ZnakZnakZnak">
    <w:name w:val="Char Char1 Char Znak Char Char Char Znak Znak Znak1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ZnakZnakZnak">
    <w:name w:val="Char Char1 Char Znak Char Znak Char Char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1ZnakZnakZnakZnakCharChar">
    <w:name w:val="Znak Znak1 Znak Znak Znak Znak Char Char"/>
    <w:basedOn w:val="Navaden"/>
    <w:rsid w:val="00876380"/>
    <w:pPr>
      <w:spacing w:line="240" w:lineRule="auto"/>
    </w:pPr>
    <w:rPr>
      <w:rFonts w:ascii="Times New Roman" w:hAnsi="Times New Roman"/>
      <w:sz w:val="24"/>
      <w:lang w:val="pl-PL" w:eastAsia="pl-PL"/>
    </w:rPr>
  </w:style>
  <w:style w:type="paragraph" w:customStyle="1" w:styleId="CharChar1CharCharCharCharCharCharCharCharCharCharCharChar1CharCharCharCharCharCharChar">
    <w:name w:val="Char Char1 Char Char Char Char Char Char Char Char Char Char Char Char1 Char Char Char Char Char Char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ZnakZnakZnakZnakZnak1">
    <w:name w:val="Char Char1 Char Znak Znak Znak Znak Znak Znak1"/>
    <w:basedOn w:val="Navaden"/>
    <w:rsid w:val="00876380"/>
    <w:pPr>
      <w:spacing w:line="240" w:lineRule="auto"/>
    </w:pPr>
    <w:rPr>
      <w:rFonts w:ascii="Times New Roman" w:hAnsi="Times New Roman"/>
      <w:sz w:val="24"/>
      <w:lang w:val="pl-PL" w:eastAsia="pl-PL"/>
    </w:rPr>
  </w:style>
  <w:style w:type="paragraph" w:customStyle="1" w:styleId="CharChar1CharZnakZnakZnakZnakZnakZnak1ZnakZnakZnakZnakZnakZnakZnakZnakZnakZnakZnakZnakZnakZnakZnakZnakZnak">
    <w:name w:val="Char Char1 Char Znak Znak Znak Znak Znak Znak1 Znak Znak Znak Znak Znak Znak Znak Znak Znak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5ZnakZnakZnakZnakZnakZnakZnak">
    <w:name w:val="Znak Znak5 Znak Znak Znak Znak Znak Znak Znak"/>
    <w:basedOn w:val="Navaden"/>
    <w:rsid w:val="00876380"/>
    <w:pPr>
      <w:spacing w:line="240" w:lineRule="auto"/>
    </w:pPr>
    <w:rPr>
      <w:rFonts w:ascii="Times New Roman" w:hAnsi="Times New Roman"/>
      <w:sz w:val="24"/>
      <w:lang w:val="pl-PL" w:eastAsia="pl-PL"/>
    </w:rPr>
  </w:style>
  <w:style w:type="paragraph" w:customStyle="1" w:styleId="ZnakZnak3">
    <w:name w:val="Znak Znak3"/>
    <w:basedOn w:val="Navaden"/>
    <w:rsid w:val="00876380"/>
    <w:pPr>
      <w:spacing w:line="240" w:lineRule="auto"/>
    </w:pPr>
    <w:rPr>
      <w:rFonts w:ascii="Times New Roman" w:hAnsi="Times New Roman"/>
      <w:sz w:val="24"/>
      <w:lang w:val="pl-PL" w:eastAsia="pl-PL"/>
    </w:rPr>
  </w:style>
  <w:style w:type="character" w:customStyle="1" w:styleId="hps">
    <w:name w:val="hps"/>
    <w:basedOn w:val="Privzetapisavaodstavka"/>
    <w:rsid w:val="00876380"/>
  </w:style>
  <w:style w:type="character" w:customStyle="1" w:styleId="hpsatn">
    <w:name w:val="hps atn"/>
    <w:basedOn w:val="Privzetapisavaodstavka"/>
    <w:rsid w:val="00876380"/>
  </w:style>
  <w:style w:type="paragraph" w:customStyle="1" w:styleId="t-9-8">
    <w:name w:val="t-9-8"/>
    <w:basedOn w:val="Navaden"/>
    <w:rsid w:val="00876380"/>
    <w:pPr>
      <w:spacing w:before="100" w:beforeAutospacing="1" w:after="100" w:afterAutospacing="1" w:line="240" w:lineRule="auto"/>
    </w:pPr>
    <w:rPr>
      <w:rFonts w:ascii="Times New Roman" w:hAnsi="Times New Roman"/>
      <w:sz w:val="24"/>
      <w:lang w:eastAsia="sl-SI" w:bidi="mr-IN"/>
    </w:rPr>
  </w:style>
  <w:style w:type="paragraph" w:customStyle="1" w:styleId="Znak3">
    <w:name w:val="Znak3"/>
    <w:basedOn w:val="Navaden"/>
    <w:rsid w:val="00876380"/>
    <w:pPr>
      <w:spacing w:line="240" w:lineRule="auto"/>
    </w:pPr>
    <w:rPr>
      <w:rFonts w:ascii="Times New Roman" w:hAnsi="Times New Roman"/>
      <w:sz w:val="24"/>
      <w:lang w:val="pl-PL" w:eastAsia="pl-PL"/>
    </w:rPr>
  </w:style>
  <w:style w:type="paragraph" w:styleId="Revizija">
    <w:name w:val="Revision"/>
    <w:hidden/>
    <w:uiPriority w:val="99"/>
    <w:semiHidden/>
    <w:rsid w:val="00876380"/>
    <w:rPr>
      <w:rFonts w:ascii="Arial" w:hAnsi="Arial"/>
      <w:szCs w:val="24"/>
      <w:lang w:val="en-US" w:eastAsia="en-US" w:bidi="ar-SA"/>
    </w:rPr>
  </w:style>
  <w:style w:type="paragraph" w:customStyle="1" w:styleId="ZnakZnak4ZnakZnakZnakZnak">
    <w:name w:val="Znak Znak4 Znak Znak Znak Znak"/>
    <w:basedOn w:val="Navaden"/>
    <w:rsid w:val="00876380"/>
    <w:pPr>
      <w:spacing w:line="240" w:lineRule="auto"/>
    </w:pPr>
    <w:rPr>
      <w:rFonts w:ascii="Times New Roman" w:hAnsi="Times New Roman"/>
      <w:sz w:val="24"/>
      <w:lang w:val="pl-PL" w:eastAsia="pl-PL"/>
    </w:rPr>
  </w:style>
  <w:style w:type="paragraph" w:customStyle="1" w:styleId="ZnakZnak">
    <w:name w:val="Znak Znak"/>
    <w:basedOn w:val="Navaden"/>
    <w:rsid w:val="00876380"/>
    <w:pPr>
      <w:spacing w:line="240" w:lineRule="auto"/>
    </w:pPr>
    <w:rPr>
      <w:rFonts w:ascii="Times New Roman" w:hAnsi="Times New Roman"/>
      <w:sz w:val="24"/>
      <w:lang w:val="pl-PL" w:eastAsia="pl-PL"/>
    </w:rPr>
  </w:style>
  <w:style w:type="paragraph" w:styleId="Konnaopomba-besedilo">
    <w:name w:val="endnote text"/>
    <w:basedOn w:val="Navaden"/>
    <w:link w:val="Konnaopomba-besediloZnak"/>
    <w:uiPriority w:val="99"/>
    <w:unhideWhenUsed/>
    <w:rsid w:val="00876380"/>
    <w:pPr>
      <w:overflowPunct w:val="0"/>
      <w:autoSpaceDE w:val="0"/>
      <w:autoSpaceDN w:val="0"/>
      <w:adjustRightInd w:val="0"/>
      <w:spacing w:line="240" w:lineRule="auto"/>
      <w:textAlignment w:val="baseline"/>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rsid w:val="00876380"/>
    <w:rPr>
      <w:lang w:bidi="ar-SA"/>
    </w:rPr>
  </w:style>
  <w:style w:type="character" w:styleId="Konnaopomba-sklic">
    <w:name w:val="endnote reference"/>
    <w:uiPriority w:val="99"/>
    <w:unhideWhenUsed/>
    <w:rsid w:val="00876380"/>
    <w:rPr>
      <w:vertAlign w:val="superscript"/>
    </w:rPr>
  </w:style>
  <w:style w:type="paragraph" w:customStyle="1" w:styleId="ZnakZnak3ZnakZnakZnak">
    <w:name w:val="Znak Znak3 Znak Znak Znak"/>
    <w:basedOn w:val="Navaden"/>
    <w:rsid w:val="00876380"/>
    <w:pPr>
      <w:spacing w:line="240" w:lineRule="auto"/>
    </w:pPr>
    <w:rPr>
      <w:rFonts w:ascii="Times New Roman" w:hAnsi="Times New Roman"/>
      <w:sz w:val="24"/>
      <w:lang w:val="pl-PL" w:eastAsia="pl-PL"/>
    </w:rPr>
  </w:style>
  <w:style w:type="paragraph" w:styleId="Brezrazmikov">
    <w:name w:val="No Spacing"/>
    <w:uiPriority w:val="1"/>
    <w:qFormat/>
    <w:rsid w:val="00876380"/>
    <w:rPr>
      <w:rFonts w:ascii="Calibri" w:eastAsia="Calibri" w:hAnsi="Calibri"/>
      <w:sz w:val="22"/>
      <w:szCs w:val="22"/>
      <w:lang w:eastAsia="en-US" w:bidi="ar-SA"/>
    </w:rPr>
  </w:style>
  <w:style w:type="paragraph" w:customStyle="1" w:styleId="odstavek1">
    <w:name w:val="odstavek1"/>
    <w:basedOn w:val="Navaden"/>
    <w:rsid w:val="00876380"/>
    <w:pPr>
      <w:spacing w:before="240" w:line="240" w:lineRule="auto"/>
      <w:ind w:firstLine="1021"/>
      <w:jc w:val="both"/>
    </w:pPr>
    <w:rPr>
      <w:rFonts w:cs="Arial"/>
      <w:sz w:val="22"/>
      <w:szCs w:val="22"/>
      <w:lang w:eastAsia="sl-SI"/>
    </w:rPr>
  </w:style>
  <w:style w:type="paragraph" w:customStyle="1" w:styleId="doc-ti2">
    <w:name w:val="doc-ti2"/>
    <w:basedOn w:val="Navaden"/>
    <w:rsid w:val="00876380"/>
    <w:pPr>
      <w:spacing w:before="240" w:after="120" w:line="312" w:lineRule="atLeast"/>
      <w:jc w:val="center"/>
    </w:pPr>
    <w:rPr>
      <w:rFonts w:ascii="Times New Roman" w:hAnsi="Times New Roman"/>
      <w:b/>
      <w:bCs/>
      <w:sz w:val="24"/>
      <w:lang w:eastAsia="sl-SI"/>
    </w:rPr>
  </w:style>
  <w:style w:type="paragraph" w:customStyle="1" w:styleId="alineazaodstavkom1">
    <w:name w:val="alineazaodstavkom1"/>
    <w:basedOn w:val="Navaden"/>
    <w:rsid w:val="00876380"/>
    <w:pPr>
      <w:spacing w:line="240" w:lineRule="auto"/>
      <w:ind w:left="425" w:hanging="425"/>
      <w:jc w:val="both"/>
    </w:pPr>
    <w:rPr>
      <w:rFonts w:cs="Arial"/>
      <w:sz w:val="22"/>
      <w:szCs w:val="22"/>
      <w:lang w:val="en-US"/>
    </w:rPr>
  </w:style>
  <w:style w:type="character" w:customStyle="1" w:styleId="super">
    <w:name w:val="super"/>
    <w:rsid w:val="00876380"/>
    <w:rPr>
      <w:sz w:val="17"/>
      <w:szCs w:val="17"/>
      <w:vertAlign w:val="superscript"/>
    </w:rPr>
  </w:style>
  <w:style w:type="paragraph" w:customStyle="1" w:styleId="CharChar1Char0">
    <w:name w:val="Char Char1 Char"/>
    <w:basedOn w:val="Navaden"/>
    <w:rsid w:val="00A22E7B"/>
    <w:pPr>
      <w:spacing w:line="240" w:lineRule="auto"/>
    </w:pPr>
    <w:rPr>
      <w:rFonts w:ascii="Times New Roman" w:hAnsi="Times New Roman"/>
      <w:sz w:val="24"/>
      <w:lang w:val="pl-PL" w:eastAsia="pl-PL"/>
    </w:rPr>
  </w:style>
  <w:style w:type="character" w:customStyle="1" w:styleId="FontStyle30">
    <w:name w:val="Font Style30"/>
    <w:basedOn w:val="Privzetapisavaodstavka"/>
    <w:uiPriority w:val="99"/>
    <w:rsid w:val="00D926CA"/>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Top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bidi="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ngsana New"/>
      <w:b/>
      <w:szCs w:val="20"/>
      <w:lang w:bidi="th-TH"/>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Angsana New"/>
      <w:sz w:val="16"/>
      <w:szCs w:val="16"/>
      <w:lang w:val="en-US" w:bidi="th-TH"/>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ind w:left="1428" w:hanging="360"/>
      <w:jc w:val="center"/>
      <w:textAlignment w:val="baseline"/>
      <w:outlineLvl w:val="3"/>
    </w:pPr>
    <w:rPr>
      <w:rFonts w:cs="Angsana New"/>
      <w:b/>
      <w:sz w:val="22"/>
      <w:szCs w:val="22"/>
      <w:lang w:bidi="th-TH"/>
    </w:rPr>
  </w:style>
  <w:style w:type="character" w:customStyle="1" w:styleId="OddelekZnak1">
    <w:name w:val="Oddelek Znak1"/>
    <w:link w:val="Oddelek"/>
    <w:rsid w:val="00DC4C2F"/>
    <w:rPr>
      <w:rFonts w:ascii="Arial" w:hAnsi="Arial" w:cs="Angsana New"/>
      <w:b/>
      <w:sz w:val="22"/>
      <w:szCs w:val="22"/>
    </w:rPr>
  </w:style>
  <w:style w:type="paragraph" w:customStyle="1" w:styleId="Alineazaodstavkom">
    <w:name w:val="Alinea za odstavkom"/>
    <w:basedOn w:val="Navaden"/>
    <w:link w:val="AlineazaodstavkomZnak"/>
    <w:qFormat/>
    <w:rsid w:val="00DC4C2F"/>
    <w:pPr>
      <w:tabs>
        <w:tab w:val="num" w:pos="720"/>
      </w:tabs>
      <w:overflowPunct w:val="0"/>
      <w:autoSpaceDE w:val="0"/>
      <w:autoSpaceDN w:val="0"/>
      <w:adjustRightInd w:val="0"/>
      <w:spacing w:line="200" w:lineRule="exact"/>
      <w:ind w:left="709" w:hanging="284"/>
      <w:jc w:val="both"/>
      <w:textAlignment w:val="baseline"/>
    </w:pPr>
    <w:rPr>
      <w:rFonts w:cs="Angsana New"/>
      <w:sz w:val="22"/>
      <w:szCs w:val="22"/>
      <w:lang w:bidi="th-TH"/>
    </w:rPr>
  </w:style>
  <w:style w:type="character" w:customStyle="1" w:styleId="AlineazaodstavkomZnak">
    <w:name w:val="Alinea za odstavkom Znak"/>
    <w:link w:val="Alineazaodstavkom"/>
    <w:rsid w:val="00DC4C2F"/>
    <w:rPr>
      <w:rFonts w:ascii="Arial" w:hAnsi="Arial" w:cs="Angsana New"/>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cs="Angsana New"/>
    </w:rPr>
  </w:style>
  <w:style w:type="paragraph" w:customStyle="1" w:styleId="rkovnatokazaodstavkom">
    <w:name w:val="Črkovna točka_za odstavkom"/>
    <w:basedOn w:val="Navaden"/>
    <w:link w:val="rkovnatokazaodstavkomZnak"/>
    <w:qFormat/>
    <w:rsid w:val="006C1C49"/>
    <w:pPr>
      <w:overflowPunct w:val="0"/>
      <w:autoSpaceDE w:val="0"/>
      <w:autoSpaceDN w:val="0"/>
      <w:adjustRightInd w:val="0"/>
      <w:spacing w:line="200" w:lineRule="exact"/>
      <w:ind w:left="1068" w:hanging="360"/>
      <w:jc w:val="both"/>
      <w:textAlignment w:val="baseline"/>
    </w:pPr>
    <w:rPr>
      <w:rFonts w:cs="Angsana New"/>
      <w:szCs w:val="20"/>
      <w:lang w:bidi="th-TH"/>
    </w:rPr>
  </w:style>
  <w:style w:type="paragraph" w:customStyle="1" w:styleId="Odsek">
    <w:name w:val="Odsek"/>
    <w:basedOn w:val="Oddelek"/>
    <w:link w:val="OdsekZnak"/>
    <w:qFormat/>
    <w:rsid w:val="006C1C49"/>
    <w:pPr>
      <w:tabs>
        <w:tab w:val="num" w:pos="720"/>
      </w:tabs>
      <w:ind w:left="720"/>
    </w:pPr>
  </w:style>
  <w:style w:type="character" w:customStyle="1" w:styleId="OdsekZnak">
    <w:name w:val="Odsek Znak"/>
    <w:basedOn w:val="OddelekZnak1"/>
    <w:link w:val="Odsek"/>
    <w:locked/>
    <w:rsid w:val="006C1C49"/>
    <w:rPr>
      <w:rFonts w:ascii="Arial" w:hAnsi="Arial" w:cs="Angsana New"/>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bidi="ar-SA"/>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bidi="ar-SA"/>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bidi="ar-SA"/>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Angsana New"/>
      <w:szCs w:val="20"/>
      <w:lang w:bidi="th-TH"/>
    </w:rPr>
  </w:style>
  <w:style w:type="character" w:styleId="Pripombasklic">
    <w:name w:val="annotation reference"/>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1"/>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ngsana New"/>
      <w:vanish/>
      <w:sz w:val="16"/>
      <w:szCs w:val="16"/>
      <w:lang w:bidi="th-TH"/>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rFonts w:cs="Angsana New"/>
      <w:vanish/>
      <w:sz w:val="16"/>
      <w:szCs w:val="16"/>
      <w:lang w:bidi="th-TH"/>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ngsana New"/>
      <w:sz w:val="22"/>
      <w:szCs w:val="22"/>
      <w:lang w:bidi="th-TH"/>
    </w:rPr>
  </w:style>
  <w:style w:type="character" w:customStyle="1" w:styleId="OdstavekZnak">
    <w:name w:val="Odstavek Znak"/>
    <w:link w:val="Odstavek"/>
    <w:rsid w:val="00191CC6"/>
    <w:rPr>
      <w:rFonts w:ascii="Arial" w:hAnsi="Arial" w:cs="Arial"/>
      <w:sz w:val="22"/>
      <w:szCs w:val="22"/>
    </w:rPr>
  </w:style>
  <w:style w:type="paragraph" w:customStyle="1" w:styleId="normal2">
    <w:name w:val="normal2"/>
    <w:basedOn w:val="Navaden"/>
    <w:rsid w:val="00F6424E"/>
    <w:pPr>
      <w:spacing w:before="77" w:line="312" w:lineRule="atLeast"/>
      <w:jc w:val="both"/>
    </w:pPr>
    <w:rPr>
      <w:rFonts w:ascii="Times New Roman" w:hAnsi="Times New Roman"/>
      <w:sz w:val="24"/>
      <w:lang w:eastAsia="sl-SI" w:bidi="th-TH"/>
    </w:rPr>
  </w:style>
  <w:style w:type="paragraph" w:customStyle="1" w:styleId="CharChar1CharZnakZnakZnakZnak">
    <w:name w:val="Char Char1 Char Znak Znak Znak Znak"/>
    <w:basedOn w:val="Navaden"/>
    <w:rsid w:val="00876380"/>
    <w:pPr>
      <w:spacing w:line="240" w:lineRule="auto"/>
    </w:pPr>
    <w:rPr>
      <w:rFonts w:ascii="Times New Roman" w:hAnsi="Times New Roman"/>
      <w:sz w:val="24"/>
      <w:lang w:val="pl-PL" w:eastAsia="pl-PL"/>
    </w:rPr>
  </w:style>
  <w:style w:type="paragraph" w:customStyle="1" w:styleId="z-dnoobrazca1">
    <w:name w:val="z-dno obrazca1"/>
    <w:basedOn w:val="Navaden"/>
    <w:next w:val="Navaden"/>
    <w:rsid w:val="00876380"/>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styleId="Telobesedila-zamik2">
    <w:name w:val="Body Text Indent 2"/>
    <w:basedOn w:val="Navaden"/>
    <w:link w:val="Telobesedila-zamik2Znak"/>
    <w:rsid w:val="00876380"/>
    <w:pPr>
      <w:spacing w:before="60" w:line="240" w:lineRule="auto"/>
      <w:ind w:left="993" w:hanging="993"/>
      <w:jc w:val="both"/>
    </w:pPr>
    <w:rPr>
      <w:rFonts w:ascii="Times New Roman" w:hAnsi="Times New Roman"/>
      <w:i/>
      <w:sz w:val="18"/>
      <w:szCs w:val="20"/>
      <w:lang w:val="en-GB" w:eastAsia="sl-SI"/>
    </w:rPr>
  </w:style>
  <w:style w:type="character" w:customStyle="1" w:styleId="Telobesedila-zamik2Znak">
    <w:name w:val="Telo besedila - zamik 2 Znak"/>
    <w:basedOn w:val="Privzetapisavaodstavka"/>
    <w:link w:val="Telobesedila-zamik2"/>
    <w:rsid w:val="00876380"/>
    <w:rPr>
      <w:i/>
      <w:sz w:val="18"/>
      <w:lang w:val="en-GB" w:bidi="ar-SA"/>
    </w:rPr>
  </w:style>
  <w:style w:type="paragraph" w:styleId="Telobesedila3">
    <w:name w:val="Body Text 3"/>
    <w:basedOn w:val="Navaden"/>
    <w:link w:val="Telobesedila3Znak"/>
    <w:rsid w:val="00876380"/>
    <w:pPr>
      <w:overflowPunct w:val="0"/>
      <w:autoSpaceDE w:val="0"/>
      <w:autoSpaceDN w:val="0"/>
      <w:adjustRightInd w:val="0"/>
      <w:spacing w:line="240" w:lineRule="auto"/>
      <w:ind w:right="566"/>
      <w:jc w:val="both"/>
      <w:textAlignment w:val="baseline"/>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876380"/>
    <w:rPr>
      <w:sz w:val="22"/>
      <w:lang w:bidi="ar-SA"/>
    </w:rPr>
  </w:style>
  <w:style w:type="character" w:customStyle="1" w:styleId="svetlitekst1">
    <w:name w:val="svetlitekst1"/>
    <w:rsid w:val="00876380"/>
    <w:rPr>
      <w:rFonts w:ascii="Verdana" w:hAnsi="Verdana" w:hint="default"/>
      <w:color w:val="39699F"/>
      <w:sz w:val="17"/>
      <w:szCs w:val="17"/>
    </w:rPr>
  </w:style>
  <w:style w:type="paragraph" w:customStyle="1" w:styleId="Telobesedila-zamik21">
    <w:name w:val="Telo besedila - zamik 21"/>
    <w:basedOn w:val="Navaden"/>
    <w:rsid w:val="00876380"/>
    <w:pPr>
      <w:suppressAutoHyphens/>
      <w:spacing w:line="240" w:lineRule="auto"/>
      <w:ind w:left="142" w:hanging="142"/>
      <w:jc w:val="both"/>
    </w:pPr>
    <w:rPr>
      <w:rFonts w:ascii="Times New Roman" w:hAnsi="Times New Roman"/>
      <w:sz w:val="18"/>
      <w:szCs w:val="20"/>
      <w:lang w:eastAsia="ar-SA"/>
    </w:rPr>
  </w:style>
  <w:style w:type="paragraph" w:customStyle="1" w:styleId="H4">
    <w:name w:val="H4"/>
    <w:basedOn w:val="Navaden"/>
    <w:next w:val="Navaden"/>
    <w:rsid w:val="00876380"/>
    <w:pPr>
      <w:keepNext/>
      <w:spacing w:before="100" w:after="100" w:line="240" w:lineRule="auto"/>
      <w:outlineLvl w:val="4"/>
    </w:pPr>
    <w:rPr>
      <w:rFonts w:ascii="Times New Roman" w:hAnsi="Times New Roman"/>
      <w:b/>
      <w:snapToGrid w:val="0"/>
      <w:sz w:val="24"/>
      <w:szCs w:val="20"/>
      <w:lang w:eastAsia="sl-SI"/>
    </w:rPr>
  </w:style>
  <w:style w:type="paragraph" w:customStyle="1" w:styleId="Navadensplet6">
    <w:name w:val="Navaden (splet)6"/>
    <w:basedOn w:val="Navaden"/>
    <w:rsid w:val="00876380"/>
    <w:pPr>
      <w:spacing w:before="150" w:after="150" w:line="240" w:lineRule="auto"/>
      <w:ind w:left="675" w:right="525"/>
    </w:pPr>
    <w:rPr>
      <w:rFonts w:ascii="Times New Roman" w:hAnsi="Times New Roman"/>
      <w:sz w:val="22"/>
      <w:szCs w:val="22"/>
      <w:lang w:eastAsia="sl-SI"/>
    </w:rPr>
  </w:style>
  <w:style w:type="paragraph" w:customStyle="1" w:styleId="Navadensplet8">
    <w:name w:val="Navaden (splet)8"/>
    <w:basedOn w:val="Navaden"/>
    <w:rsid w:val="00876380"/>
    <w:pPr>
      <w:spacing w:before="75" w:after="75" w:line="240" w:lineRule="auto"/>
      <w:ind w:left="225" w:right="225"/>
    </w:pPr>
    <w:rPr>
      <w:rFonts w:ascii="Times New Roman" w:hAnsi="Times New Roman"/>
      <w:sz w:val="22"/>
      <w:szCs w:val="22"/>
      <w:lang w:eastAsia="sl-SI"/>
    </w:rPr>
  </w:style>
  <w:style w:type="character" w:customStyle="1" w:styleId="navpath">
    <w:name w:val="navpath"/>
    <w:basedOn w:val="Privzetapisavaodstavka"/>
    <w:rsid w:val="00876380"/>
  </w:style>
  <w:style w:type="paragraph" w:customStyle="1" w:styleId="skupina01111">
    <w:name w:val="skupina_01.111"/>
    <w:basedOn w:val="Navaden"/>
    <w:rsid w:val="00876380"/>
    <w:pPr>
      <w:tabs>
        <w:tab w:val="left" w:pos="1701"/>
        <w:tab w:val="left" w:pos="2410"/>
        <w:tab w:val="left" w:pos="8470"/>
      </w:tabs>
      <w:spacing w:before="120" w:after="20" w:line="240" w:lineRule="auto"/>
      <w:ind w:left="2410" w:hanging="2410"/>
    </w:pPr>
    <w:rPr>
      <w:snapToGrid w:val="0"/>
      <w:color w:val="000000"/>
      <w:szCs w:val="20"/>
      <w:lang w:val="en-AU"/>
    </w:rPr>
  </w:style>
  <w:style w:type="paragraph" w:customStyle="1" w:styleId="semspada">
    <w:name w:val="sem_spada"/>
    <w:basedOn w:val="Navaden"/>
    <w:rsid w:val="00876380"/>
    <w:pPr>
      <w:tabs>
        <w:tab w:val="left" w:pos="2410"/>
      </w:tabs>
      <w:spacing w:before="60" w:line="200" w:lineRule="exact"/>
      <w:ind w:firstLine="2410"/>
      <w:jc w:val="both"/>
    </w:pPr>
    <w:rPr>
      <w:sz w:val="18"/>
      <w:szCs w:val="20"/>
      <w:lang w:eastAsia="sl-SI"/>
    </w:rPr>
  </w:style>
  <w:style w:type="paragraph" w:customStyle="1" w:styleId="rtice">
    <w:name w:val="črtice"/>
    <w:basedOn w:val="Navaden"/>
    <w:rsid w:val="00876380"/>
    <w:pPr>
      <w:tabs>
        <w:tab w:val="num" w:pos="1528"/>
      </w:tabs>
      <w:spacing w:line="240" w:lineRule="auto"/>
      <w:ind w:left="1528" w:hanging="360"/>
      <w:jc w:val="both"/>
    </w:pPr>
    <w:rPr>
      <w:noProof/>
      <w:sz w:val="18"/>
      <w:szCs w:val="20"/>
      <w:lang w:eastAsia="sl-SI"/>
    </w:rPr>
  </w:style>
  <w:style w:type="paragraph" w:customStyle="1" w:styleId="h40">
    <w:name w:val="h4"/>
    <w:basedOn w:val="Navaden"/>
    <w:rsid w:val="00876380"/>
    <w:pPr>
      <w:spacing w:before="300" w:after="225" w:line="240" w:lineRule="auto"/>
      <w:ind w:left="15" w:right="15"/>
      <w:jc w:val="center"/>
    </w:pPr>
    <w:rPr>
      <w:rFonts w:cs="Arial"/>
      <w:b/>
      <w:bCs/>
      <w:color w:val="222222"/>
      <w:sz w:val="22"/>
      <w:szCs w:val="22"/>
      <w:lang w:eastAsia="sl-SI"/>
    </w:rPr>
  </w:style>
  <w:style w:type="paragraph" w:customStyle="1" w:styleId="CharChar1CharCharCharCharCharCharCharCharCharCharCharChar1Char">
    <w:name w:val="Char Char1 Char Char Char Char Char Char Char Char Char Char Char Char1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CharZnakChar">
    <w:name w:val="Char Char1 Char Znak Char Znak Char"/>
    <w:basedOn w:val="Navaden"/>
    <w:rsid w:val="00876380"/>
    <w:pPr>
      <w:spacing w:line="240" w:lineRule="auto"/>
    </w:pPr>
    <w:rPr>
      <w:rFonts w:ascii="Times New Roman" w:hAnsi="Times New Roman"/>
      <w:sz w:val="24"/>
      <w:lang w:val="pl-PL" w:eastAsia="pl-PL"/>
    </w:rPr>
  </w:style>
  <w:style w:type="paragraph" w:customStyle="1" w:styleId="CharChar1CharZnakChar">
    <w:name w:val="Char Char1 Char Znak Char"/>
    <w:basedOn w:val="Navaden"/>
    <w:rsid w:val="00876380"/>
    <w:pPr>
      <w:spacing w:line="240" w:lineRule="auto"/>
    </w:pPr>
    <w:rPr>
      <w:rFonts w:ascii="Times New Roman" w:hAnsi="Times New Roman"/>
      <w:sz w:val="24"/>
      <w:lang w:val="pl-PL" w:eastAsia="pl-PL"/>
    </w:rPr>
  </w:style>
  <w:style w:type="paragraph" w:customStyle="1" w:styleId="0tekst">
    <w:name w:val="0tekst"/>
    <w:rsid w:val="00876380"/>
    <w:pPr>
      <w:overflowPunct w:val="0"/>
      <w:autoSpaceDE w:val="0"/>
      <w:autoSpaceDN w:val="0"/>
      <w:adjustRightInd w:val="0"/>
      <w:spacing w:line="200" w:lineRule="atLeast"/>
      <w:ind w:firstLine="397"/>
      <w:jc w:val="both"/>
    </w:pPr>
    <w:rPr>
      <w:rFonts w:ascii="NimbusSanDEE" w:hAnsi="NimbusSanDEE"/>
      <w:color w:val="000000"/>
      <w:sz w:val="19"/>
      <w:lang w:bidi="ar-SA"/>
    </w:rPr>
  </w:style>
  <w:style w:type="paragraph" w:customStyle="1" w:styleId="CharChar1CharZnakCharCharChar">
    <w:name w:val="Char Char1 Char Znak Char Char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
    <w:name w:val="Char Char1 Char Znak Char Char Char Znak Znak Znak1"/>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
    <w:name w:val="Char Char1 Char Znak Char Znak Char Char Znak Znak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
    <w:name w:val="Char Char1 Char Znak Char Znak Char Char Znak Znak"/>
    <w:basedOn w:val="Navaden"/>
    <w:rsid w:val="00876380"/>
    <w:pPr>
      <w:spacing w:line="240" w:lineRule="auto"/>
    </w:pPr>
    <w:rPr>
      <w:rFonts w:ascii="Times New Roman" w:hAnsi="Times New Roman"/>
      <w:sz w:val="24"/>
      <w:lang w:val="pl-PL" w:eastAsia="pl-PL"/>
    </w:rPr>
  </w:style>
  <w:style w:type="paragraph" w:customStyle="1" w:styleId="CharChar1CharZnakCharCharCharZnakZnakZnak">
    <w:name w:val="Char Char1 Char Znak Char Char Char Znak Znak Znak"/>
    <w:basedOn w:val="Navaden"/>
    <w:rsid w:val="00876380"/>
    <w:pPr>
      <w:spacing w:line="240" w:lineRule="auto"/>
    </w:pPr>
    <w:rPr>
      <w:rFonts w:ascii="Times New Roman" w:hAnsi="Times New Roman"/>
      <w:sz w:val="24"/>
      <w:lang w:val="pl-PL" w:eastAsia="pl-PL"/>
    </w:rPr>
  </w:style>
  <w:style w:type="paragraph" w:customStyle="1" w:styleId="CharChar1CharZnakZnakZnakZnakZnakZnak">
    <w:name w:val="Char Char1 Char Znak Znak Znak Znak Znak Znak"/>
    <w:basedOn w:val="Navaden"/>
    <w:rsid w:val="00876380"/>
    <w:pPr>
      <w:spacing w:line="240" w:lineRule="auto"/>
    </w:pPr>
    <w:rPr>
      <w:rFonts w:ascii="Times New Roman" w:hAnsi="Times New Roman"/>
      <w:sz w:val="24"/>
      <w:lang w:val="pl-PL" w:eastAsia="pl-PL"/>
    </w:rPr>
  </w:style>
  <w:style w:type="paragraph" w:customStyle="1" w:styleId="CharChar1Char">
    <w:name w:val="Char Char1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ZnakZnakZnak">
    <w:name w:val="Char Char1 Char Znak Char Char Char Znak Znak Znak1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ZnakZnakZnak">
    <w:name w:val="Char Char1 Char Znak Char Znak Char Char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1ZnakZnakZnakZnakCharChar">
    <w:name w:val="Znak Znak1 Znak Znak Znak Znak Char Char"/>
    <w:basedOn w:val="Navaden"/>
    <w:rsid w:val="00876380"/>
    <w:pPr>
      <w:spacing w:line="240" w:lineRule="auto"/>
    </w:pPr>
    <w:rPr>
      <w:rFonts w:ascii="Times New Roman" w:hAnsi="Times New Roman"/>
      <w:sz w:val="24"/>
      <w:lang w:val="pl-PL" w:eastAsia="pl-PL"/>
    </w:rPr>
  </w:style>
  <w:style w:type="paragraph" w:customStyle="1" w:styleId="CharChar1CharCharCharCharCharCharCharCharCharCharCharChar1CharCharCharCharCharCharChar">
    <w:name w:val="Char Char1 Char Char Char Char Char Char Char Char Char Char Char Char1 Char Char Char Char Char Char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ZnakZnakZnakZnakZnak1">
    <w:name w:val="Char Char1 Char Znak Znak Znak Znak Znak Znak1"/>
    <w:basedOn w:val="Navaden"/>
    <w:rsid w:val="00876380"/>
    <w:pPr>
      <w:spacing w:line="240" w:lineRule="auto"/>
    </w:pPr>
    <w:rPr>
      <w:rFonts w:ascii="Times New Roman" w:hAnsi="Times New Roman"/>
      <w:sz w:val="24"/>
      <w:lang w:val="pl-PL" w:eastAsia="pl-PL"/>
    </w:rPr>
  </w:style>
  <w:style w:type="paragraph" w:customStyle="1" w:styleId="CharChar1CharZnakZnakZnakZnakZnakZnak1ZnakZnakZnakZnakZnakZnakZnakZnakZnakZnakZnakZnakZnakZnakZnakZnakZnak">
    <w:name w:val="Char Char1 Char Znak Znak Znak Znak Znak Znak1 Znak Znak Znak Znak Znak Znak Znak Znak Znak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5ZnakZnakZnakZnakZnakZnakZnak">
    <w:name w:val="Znak Znak5 Znak Znak Znak Znak Znak Znak Znak"/>
    <w:basedOn w:val="Navaden"/>
    <w:rsid w:val="00876380"/>
    <w:pPr>
      <w:spacing w:line="240" w:lineRule="auto"/>
    </w:pPr>
    <w:rPr>
      <w:rFonts w:ascii="Times New Roman" w:hAnsi="Times New Roman"/>
      <w:sz w:val="24"/>
      <w:lang w:val="pl-PL" w:eastAsia="pl-PL"/>
    </w:rPr>
  </w:style>
  <w:style w:type="paragraph" w:customStyle="1" w:styleId="ZnakZnak3">
    <w:name w:val="Znak Znak3"/>
    <w:basedOn w:val="Navaden"/>
    <w:rsid w:val="00876380"/>
    <w:pPr>
      <w:spacing w:line="240" w:lineRule="auto"/>
    </w:pPr>
    <w:rPr>
      <w:rFonts w:ascii="Times New Roman" w:hAnsi="Times New Roman"/>
      <w:sz w:val="24"/>
      <w:lang w:val="pl-PL" w:eastAsia="pl-PL"/>
    </w:rPr>
  </w:style>
  <w:style w:type="character" w:customStyle="1" w:styleId="hps">
    <w:name w:val="hps"/>
    <w:basedOn w:val="Privzetapisavaodstavka"/>
    <w:rsid w:val="00876380"/>
  </w:style>
  <w:style w:type="character" w:customStyle="1" w:styleId="hpsatn">
    <w:name w:val="hps atn"/>
    <w:basedOn w:val="Privzetapisavaodstavka"/>
    <w:rsid w:val="00876380"/>
  </w:style>
  <w:style w:type="paragraph" w:customStyle="1" w:styleId="t-9-8">
    <w:name w:val="t-9-8"/>
    <w:basedOn w:val="Navaden"/>
    <w:rsid w:val="00876380"/>
    <w:pPr>
      <w:spacing w:before="100" w:beforeAutospacing="1" w:after="100" w:afterAutospacing="1" w:line="240" w:lineRule="auto"/>
    </w:pPr>
    <w:rPr>
      <w:rFonts w:ascii="Times New Roman" w:hAnsi="Times New Roman"/>
      <w:sz w:val="24"/>
      <w:lang w:eastAsia="sl-SI" w:bidi="mr-IN"/>
    </w:rPr>
  </w:style>
  <w:style w:type="paragraph" w:customStyle="1" w:styleId="Znak3">
    <w:name w:val="Znak3"/>
    <w:basedOn w:val="Navaden"/>
    <w:rsid w:val="00876380"/>
    <w:pPr>
      <w:spacing w:line="240" w:lineRule="auto"/>
    </w:pPr>
    <w:rPr>
      <w:rFonts w:ascii="Times New Roman" w:hAnsi="Times New Roman"/>
      <w:sz w:val="24"/>
      <w:lang w:val="pl-PL" w:eastAsia="pl-PL"/>
    </w:rPr>
  </w:style>
  <w:style w:type="paragraph" w:styleId="Revizija">
    <w:name w:val="Revision"/>
    <w:hidden/>
    <w:uiPriority w:val="99"/>
    <w:semiHidden/>
    <w:rsid w:val="00876380"/>
    <w:rPr>
      <w:rFonts w:ascii="Arial" w:hAnsi="Arial"/>
      <w:szCs w:val="24"/>
      <w:lang w:val="en-US" w:eastAsia="en-US" w:bidi="ar-SA"/>
    </w:rPr>
  </w:style>
  <w:style w:type="paragraph" w:customStyle="1" w:styleId="ZnakZnak4ZnakZnakZnakZnak">
    <w:name w:val="Znak Znak4 Znak Znak Znak Znak"/>
    <w:basedOn w:val="Navaden"/>
    <w:rsid w:val="00876380"/>
    <w:pPr>
      <w:spacing w:line="240" w:lineRule="auto"/>
    </w:pPr>
    <w:rPr>
      <w:rFonts w:ascii="Times New Roman" w:hAnsi="Times New Roman"/>
      <w:sz w:val="24"/>
      <w:lang w:val="pl-PL" w:eastAsia="pl-PL"/>
    </w:rPr>
  </w:style>
  <w:style w:type="paragraph" w:customStyle="1" w:styleId="ZnakZnak">
    <w:name w:val="Znak Znak"/>
    <w:basedOn w:val="Navaden"/>
    <w:rsid w:val="00876380"/>
    <w:pPr>
      <w:spacing w:line="240" w:lineRule="auto"/>
    </w:pPr>
    <w:rPr>
      <w:rFonts w:ascii="Times New Roman" w:hAnsi="Times New Roman"/>
      <w:sz w:val="24"/>
      <w:lang w:val="pl-PL" w:eastAsia="pl-PL"/>
    </w:rPr>
  </w:style>
  <w:style w:type="paragraph" w:styleId="Konnaopomba-besedilo">
    <w:name w:val="endnote text"/>
    <w:basedOn w:val="Navaden"/>
    <w:link w:val="Konnaopomba-besediloZnak"/>
    <w:uiPriority w:val="99"/>
    <w:unhideWhenUsed/>
    <w:rsid w:val="00876380"/>
    <w:pPr>
      <w:overflowPunct w:val="0"/>
      <w:autoSpaceDE w:val="0"/>
      <w:autoSpaceDN w:val="0"/>
      <w:adjustRightInd w:val="0"/>
      <w:spacing w:line="240" w:lineRule="auto"/>
      <w:textAlignment w:val="baseline"/>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rsid w:val="00876380"/>
    <w:rPr>
      <w:lang w:bidi="ar-SA"/>
    </w:rPr>
  </w:style>
  <w:style w:type="character" w:styleId="Konnaopomba-sklic">
    <w:name w:val="endnote reference"/>
    <w:uiPriority w:val="99"/>
    <w:unhideWhenUsed/>
    <w:rsid w:val="00876380"/>
    <w:rPr>
      <w:vertAlign w:val="superscript"/>
    </w:rPr>
  </w:style>
  <w:style w:type="paragraph" w:customStyle="1" w:styleId="ZnakZnak3ZnakZnakZnak">
    <w:name w:val="Znak Znak3 Znak Znak Znak"/>
    <w:basedOn w:val="Navaden"/>
    <w:rsid w:val="00876380"/>
    <w:pPr>
      <w:spacing w:line="240" w:lineRule="auto"/>
    </w:pPr>
    <w:rPr>
      <w:rFonts w:ascii="Times New Roman" w:hAnsi="Times New Roman"/>
      <w:sz w:val="24"/>
      <w:lang w:val="pl-PL" w:eastAsia="pl-PL"/>
    </w:rPr>
  </w:style>
  <w:style w:type="paragraph" w:styleId="Brezrazmikov">
    <w:name w:val="No Spacing"/>
    <w:uiPriority w:val="1"/>
    <w:qFormat/>
    <w:rsid w:val="00876380"/>
    <w:rPr>
      <w:rFonts w:ascii="Calibri" w:eastAsia="Calibri" w:hAnsi="Calibri"/>
      <w:sz w:val="22"/>
      <w:szCs w:val="22"/>
      <w:lang w:eastAsia="en-US" w:bidi="ar-SA"/>
    </w:rPr>
  </w:style>
  <w:style w:type="paragraph" w:customStyle="1" w:styleId="odstavek1">
    <w:name w:val="odstavek1"/>
    <w:basedOn w:val="Navaden"/>
    <w:rsid w:val="00876380"/>
    <w:pPr>
      <w:spacing w:before="240" w:line="240" w:lineRule="auto"/>
      <w:ind w:firstLine="1021"/>
      <w:jc w:val="both"/>
    </w:pPr>
    <w:rPr>
      <w:rFonts w:cs="Arial"/>
      <w:sz w:val="22"/>
      <w:szCs w:val="22"/>
      <w:lang w:eastAsia="sl-SI"/>
    </w:rPr>
  </w:style>
  <w:style w:type="paragraph" w:customStyle="1" w:styleId="doc-ti2">
    <w:name w:val="doc-ti2"/>
    <w:basedOn w:val="Navaden"/>
    <w:rsid w:val="00876380"/>
    <w:pPr>
      <w:spacing w:before="240" w:after="120" w:line="312" w:lineRule="atLeast"/>
      <w:jc w:val="center"/>
    </w:pPr>
    <w:rPr>
      <w:rFonts w:ascii="Times New Roman" w:hAnsi="Times New Roman"/>
      <w:b/>
      <w:bCs/>
      <w:sz w:val="24"/>
      <w:lang w:eastAsia="sl-SI"/>
    </w:rPr>
  </w:style>
  <w:style w:type="paragraph" w:customStyle="1" w:styleId="alineazaodstavkom1">
    <w:name w:val="alineazaodstavkom1"/>
    <w:basedOn w:val="Navaden"/>
    <w:rsid w:val="00876380"/>
    <w:pPr>
      <w:spacing w:line="240" w:lineRule="auto"/>
      <w:ind w:left="425" w:hanging="425"/>
      <w:jc w:val="both"/>
    </w:pPr>
    <w:rPr>
      <w:rFonts w:cs="Arial"/>
      <w:sz w:val="22"/>
      <w:szCs w:val="22"/>
      <w:lang w:val="en-US"/>
    </w:rPr>
  </w:style>
  <w:style w:type="character" w:customStyle="1" w:styleId="super">
    <w:name w:val="super"/>
    <w:rsid w:val="00876380"/>
    <w:rPr>
      <w:sz w:val="17"/>
      <w:szCs w:val="17"/>
      <w:vertAlign w:val="superscript"/>
    </w:rPr>
  </w:style>
  <w:style w:type="paragraph" w:customStyle="1" w:styleId="CharChar1Char0">
    <w:name w:val="Char Char1 Char"/>
    <w:basedOn w:val="Navaden"/>
    <w:rsid w:val="00A22E7B"/>
    <w:pPr>
      <w:spacing w:line="240" w:lineRule="auto"/>
    </w:pPr>
    <w:rPr>
      <w:rFonts w:ascii="Times New Roman" w:hAnsi="Times New Roman"/>
      <w:sz w:val="24"/>
      <w:lang w:val="pl-PL" w:eastAsia="pl-PL"/>
    </w:rPr>
  </w:style>
  <w:style w:type="character" w:customStyle="1" w:styleId="FontStyle30">
    <w:name w:val="Font Style30"/>
    <w:basedOn w:val="Privzetapisavaodstavka"/>
    <w:uiPriority w:val="99"/>
    <w:rsid w:val="00D926C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05906">
      <w:bodyDiv w:val="1"/>
      <w:marLeft w:val="0"/>
      <w:marRight w:val="0"/>
      <w:marTop w:val="0"/>
      <w:marBottom w:val="0"/>
      <w:divBdr>
        <w:top w:val="none" w:sz="0" w:space="0" w:color="auto"/>
        <w:left w:val="none" w:sz="0" w:space="0" w:color="auto"/>
        <w:bottom w:val="none" w:sz="0" w:space="0" w:color="auto"/>
        <w:right w:val="none" w:sz="0" w:space="0" w:color="auto"/>
      </w:divBdr>
    </w:div>
    <w:div w:id="71121964">
      <w:bodyDiv w:val="1"/>
      <w:marLeft w:val="0"/>
      <w:marRight w:val="0"/>
      <w:marTop w:val="0"/>
      <w:marBottom w:val="0"/>
      <w:divBdr>
        <w:top w:val="none" w:sz="0" w:space="0" w:color="auto"/>
        <w:left w:val="none" w:sz="0" w:space="0" w:color="auto"/>
        <w:bottom w:val="none" w:sz="0" w:space="0" w:color="auto"/>
        <w:right w:val="none" w:sz="0" w:space="0" w:color="auto"/>
      </w:divBdr>
    </w:div>
    <w:div w:id="73667581">
      <w:bodyDiv w:val="1"/>
      <w:marLeft w:val="0"/>
      <w:marRight w:val="0"/>
      <w:marTop w:val="0"/>
      <w:marBottom w:val="0"/>
      <w:divBdr>
        <w:top w:val="none" w:sz="0" w:space="0" w:color="auto"/>
        <w:left w:val="none" w:sz="0" w:space="0" w:color="auto"/>
        <w:bottom w:val="none" w:sz="0" w:space="0" w:color="auto"/>
        <w:right w:val="none" w:sz="0" w:space="0" w:color="auto"/>
      </w:divBdr>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12988082">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34643225">
      <w:bodyDiv w:val="1"/>
      <w:marLeft w:val="0"/>
      <w:marRight w:val="0"/>
      <w:marTop w:val="0"/>
      <w:marBottom w:val="0"/>
      <w:divBdr>
        <w:top w:val="none" w:sz="0" w:space="0" w:color="auto"/>
        <w:left w:val="none" w:sz="0" w:space="0" w:color="auto"/>
        <w:bottom w:val="none" w:sz="0" w:space="0" w:color="auto"/>
        <w:right w:val="none" w:sz="0" w:space="0" w:color="auto"/>
      </w:divBdr>
      <w:divsChild>
        <w:div w:id="2017613383">
          <w:marLeft w:val="0"/>
          <w:marRight w:val="0"/>
          <w:marTop w:val="0"/>
          <w:marBottom w:val="0"/>
          <w:divBdr>
            <w:top w:val="none" w:sz="0" w:space="0" w:color="auto"/>
            <w:left w:val="none" w:sz="0" w:space="0" w:color="auto"/>
            <w:bottom w:val="none" w:sz="0" w:space="0" w:color="auto"/>
            <w:right w:val="none" w:sz="0" w:space="0" w:color="auto"/>
          </w:divBdr>
          <w:divsChild>
            <w:div w:id="430006499">
              <w:marLeft w:val="0"/>
              <w:marRight w:val="0"/>
              <w:marTop w:val="0"/>
              <w:marBottom w:val="0"/>
              <w:divBdr>
                <w:top w:val="none" w:sz="0" w:space="0" w:color="auto"/>
                <w:left w:val="none" w:sz="0" w:space="0" w:color="auto"/>
                <w:bottom w:val="none" w:sz="0" w:space="0" w:color="auto"/>
                <w:right w:val="none" w:sz="0" w:space="0" w:color="auto"/>
              </w:divBdr>
              <w:divsChild>
                <w:div w:id="1164278843">
                  <w:marLeft w:val="0"/>
                  <w:marRight w:val="0"/>
                  <w:marTop w:val="0"/>
                  <w:marBottom w:val="0"/>
                  <w:divBdr>
                    <w:top w:val="none" w:sz="0" w:space="0" w:color="auto"/>
                    <w:left w:val="none" w:sz="0" w:space="0" w:color="auto"/>
                    <w:bottom w:val="none" w:sz="0" w:space="0" w:color="auto"/>
                    <w:right w:val="none" w:sz="0" w:space="0" w:color="auto"/>
                  </w:divBdr>
                  <w:divsChild>
                    <w:div w:id="903300519">
                      <w:marLeft w:val="1"/>
                      <w:marRight w:val="1"/>
                      <w:marTop w:val="0"/>
                      <w:marBottom w:val="0"/>
                      <w:divBdr>
                        <w:top w:val="none" w:sz="0" w:space="0" w:color="auto"/>
                        <w:left w:val="none" w:sz="0" w:space="0" w:color="auto"/>
                        <w:bottom w:val="none" w:sz="0" w:space="0" w:color="auto"/>
                        <w:right w:val="none" w:sz="0" w:space="0" w:color="auto"/>
                      </w:divBdr>
                      <w:divsChild>
                        <w:div w:id="1298490183">
                          <w:marLeft w:val="0"/>
                          <w:marRight w:val="0"/>
                          <w:marTop w:val="0"/>
                          <w:marBottom w:val="0"/>
                          <w:divBdr>
                            <w:top w:val="none" w:sz="0" w:space="0" w:color="auto"/>
                            <w:left w:val="none" w:sz="0" w:space="0" w:color="auto"/>
                            <w:bottom w:val="none" w:sz="0" w:space="0" w:color="auto"/>
                            <w:right w:val="none" w:sz="0" w:space="0" w:color="auto"/>
                          </w:divBdr>
                          <w:divsChild>
                            <w:div w:id="368915061">
                              <w:marLeft w:val="0"/>
                              <w:marRight w:val="0"/>
                              <w:marTop w:val="0"/>
                              <w:marBottom w:val="360"/>
                              <w:divBdr>
                                <w:top w:val="none" w:sz="0" w:space="0" w:color="auto"/>
                                <w:left w:val="none" w:sz="0" w:space="0" w:color="auto"/>
                                <w:bottom w:val="none" w:sz="0" w:space="0" w:color="auto"/>
                                <w:right w:val="none" w:sz="0" w:space="0" w:color="auto"/>
                              </w:divBdr>
                              <w:divsChild>
                                <w:div w:id="1028264395">
                                  <w:marLeft w:val="0"/>
                                  <w:marRight w:val="0"/>
                                  <w:marTop w:val="0"/>
                                  <w:marBottom w:val="0"/>
                                  <w:divBdr>
                                    <w:top w:val="none" w:sz="0" w:space="0" w:color="auto"/>
                                    <w:left w:val="none" w:sz="0" w:space="0" w:color="auto"/>
                                    <w:bottom w:val="none" w:sz="0" w:space="0" w:color="auto"/>
                                    <w:right w:val="none" w:sz="0" w:space="0" w:color="auto"/>
                                  </w:divBdr>
                                  <w:divsChild>
                                    <w:div w:id="11113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7388">
      <w:bodyDiv w:val="1"/>
      <w:marLeft w:val="0"/>
      <w:marRight w:val="0"/>
      <w:marTop w:val="0"/>
      <w:marBottom w:val="0"/>
      <w:divBdr>
        <w:top w:val="none" w:sz="0" w:space="0" w:color="auto"/>
        <w:left w:val="none" w:sz="0" w:space="0" w:color="auto"/>
        <w:bottom w:val="none" w:sz="0" w:space="0" w:color="auto"/>
        <w:right w:val="none" w:sz="0" w:space="0" w:color="auto"/>
      </w:divBdr>
      <w:divsChild>
        <w:div w:id="1624576782">
          <w:marLeft w:val="0"/>
          <w:marRight w:val="0"/>
          <w:marTop w:val="0"/>
          <w:marBottom w:val="0"/>
          <w:divBdr>
            <w:top w:val="none" w:sz="0" w:space="0" w:color="auto"/>
            <w:left w:val="none" w:sz="0" w:space="0" w:color="auto"/>
            <w:bottom w:val="none" w:sz="0" w:space="0" w:color="auto"/>
            <w:right w:val="none" w:sz="0" w:space="0" w:color="auto"/>
          </w:divBdr>
          <w:divsChild>
            <w:div w:id="1550530156">
              <w:marLeft w:val="0"/>
              <w:marRight w:val="0"/>
              <w:marTop w:val="0"/>
              <w:marBottom w:val="0"/>
              <w:divBdr>
                <w:top w:val="none" w:sz="0" w:space="0" w:color="auto"/>
                <w:left w:val="none" w:sz="0" w:space="0" w:color="auto"/>
                <w:bottom w:val="none" w:sz="0" w:space="0" w:color="auto"/>
                <w:right w:val="none" w:sz="0" w:space="0" w:color="auto"/>
              </w:divBdr>
              <w:divsChild>
                <w:div w:id="2103138543">
                  <w:marLeft w:val="0"/>
                  <w:marRight w:val="0"/>
                  <w:marTop w:val="0"/>
                  <w:marBottom w:val="0"/>
                  <w:divBdr>
                    <w:top w:val="none" w:sz="0" w:space="0" w:color="auto"/>
                    <w:left w:val="none" w:sz="0" w:space="0" w:color="auto"/>
                    <w:bottom w:val="none" w:sz="0" w:space="0" w:color="auto"/>
                    <w:right w:val="none" w:sz="0" w:space="0" w:color="auto"/>
                  </w:divBdr>
                  <w:divsChild>
                    <w:div w:id="2029864791">
                      <w:marLeft w:val="1"/>
                      <w:marRight w:val="1"/>
                      <w:marTop w:val="0"/>
                      <w:marBottom w:val="0"/>
                      <w:divBdr>
                        <w:top w:val="none" w:sz="0" w:space="0" w:color="auto"/>
                        <w:left w:val="none" w:sz="0" w:space="0" w:color="auto"/>
                        <w:bottom w:val="none" w:sz="0" w:space="0" w:color="auto"/>
                        <w:right w:val="none" w:sz="0" w:space="0" w:color="auto"/>
                      </w:divBdr>
                      <w:divsChild>
                        <w:div w:id="588660627">
                          <w:marLeft w:val="0"/>
                          <w:marRight w:val="0"/>
                          <w:marTop w:val="0"/>
                          <w:marBottom w:val="0"/>
                          <w:divBdr>
                            <w:top w:val="none" w:sz="0" w:space="0" w:color="auto"/>
                            <w:left w:val="none" w:sz="0" w:space="0" w:color="auto"/>
                            <w:bottom w:val="none" w:sz="0" w:space="0" w:color="auto"/>
                            <w:right w:val="none" w:sz="0" w:space="0" w:color="auto"/>
                          </w:divBdr>
                          <w:divsChild>
                            <w:div w:id="84697032">
                              <w:marLeft w:val="0"/>
                              <w:marRight w:val="0"/>
                              <w:marTop w:val="0"/>
                              <w:marBottom w:val="360"/>
                              <w:divBdr>
                                <w:top w:val="none" w:sz="0" w:space="0" w:color="auto"/>
                                <w:left w:val="none" w:sz="0" w:space="0" w:color="auto"/>
                                <w:bottom w:val="none" w:sz="0" w:space="0" w:color="auto"/>
                                <w:right w:val="none" w:sz="0" w:space="0" w:color="auto"/>
                              </w:divBdr>
                              <w:divsChild>
                                <w:div w:id="1357655483">
                                  <w:marLeft w:val="0"/>
                                  <w:marRight w:val="0"/>
                                  <w:marTop w:val="0"/>
                                  <w:marBottom w:val="0"/>
                                  <w:divBdr>
                                    <w:top w:val="none" w:sz="0" w:space="0" w:color="auto"/>
                                    <w:left w:val="none" w:sz="0" w:space="0" w:color="auto"/>
                                    <w:bottom w:val="none" w:sz="0" w:space="0" w:color="auto"/>
                                    <w:right w:val="none" w:sz="0" w:space="0" w:color="auto"/>
                                  </w:divBdr>
                                  <w:divsChild>
                                    <w:div w:id="14069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3223">
      <w:bodyDiv w:val="1"/>
      <w:marLeft w:val="0"/>
      <w:marRight w:val="0"/>
      <w:marTop w:val="0"/>
      <w:marBottom w:val="0"/>
      <w:divBdr>
        <w:top w:val="none" w:sz="0" w:space="0" w:color="auto"/>
        <w:left w:val="none" w:sz="0" w:space="0" w:color="auto"/>
        <w:bottom w:val="none" w:sz="0" w:space="0" w:color="auto"/>
        <w:right w:val="none" w:sz="0" w:space="0" w:color="auto"/>
      </w:divBdr>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33844470">
      <w:bodyDiv w:val="1"/>
      <w:marLeft w:val="0"/>
      <w:marRight w:val="0"/>
      <w:marTop w:val="0"/>
      <w:marBottom w:val="0"/>
      <w:divBdr>
        <w:top w:val="none" w:sz="0" w:space="0" w:color="auto"/>
        <w:left w:val="none" w:sz="0" w:space="0" w:color="auto"/>
        <w:bottom w:val="none" w:sz="0" w:space="0" w:color="auto"/>
        <w:right w:val="none" w:sz="0" w:space="0" w:color="auto"/>
      </w:divBdr>
    </w:div>
    <w:div w:id="386418477">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4246315">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493306455">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612438763">
      <w:bodyDiv w:val="1"/>
      <w:marLeft w:val="0"/>
      <w:marRight w:val="0"/>
      <w:marTop w:val="0"/>
      <w:marBottom w:val="0"/>
      <w:divBdr>
        <w:top w:val="none" w:sz="0" w:space="0" w:color="auto"/>
        <w:left w:val="none" w:sz="0" w:space="0" w:color="auto"/>
        <w:bottom w:val="none" w:sz="0" w:space="0" w:color="auto"/>
        <w:right w:val="none" w:sz="0" w:space="0" w:color="auto"/>
      </w:divBdr>
    </w:div>
    <w:div w:id="614293555">
      <w:bodyDiv w:val="1"/>
      <w:marLeft w:val="0"/>
      <w:marRight w:val="0"/>
      <w:marTop w:val="0"/>
      <w:marBottom w:val="0"/>
      <w:divBdr>
        <w:top w:val="none" w:sz="0" w:space="0" w:color="auto"/>
        <w:left w:val="none" w:sz="0" w:space="0" w:color="auto"/>
        <w:bottom w:val="none" w:sz="0" w:space="0" w:color="auto"/>
        <w:right w:val="none" w:sz="0" w:space="0" w:color="auto"/>
      </w:divBdr>
    </w:div>
    <w:div w:id="633484755">
      <w:bodyDiv w:val="1"/>
      <w:marLeft w:val="0"/>
      <w:marRight w:val="0"/>
      <w:marTop w:val="0"/>
      <w:marBottom w:val="0"/>
      <w:divBdr>
        <w:top w:val="none" w:sz="0" w:space="0" w:color="auto"/>
        <w:left w:val="none" w:sz="0" w:space="0" w:color="auto"/>
        <w:bottom w:val="none" w:sz="0" w:space="0" w:color="auto"/>
        <w:right w:val="none" w:sz="0" w:space="0" w:color="auto"/>
      </w:divBdr>
    </w:div>
    <w:div w:id="671642866">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40248061">
      <w:bodyDiv w:val="1"/>
      <w:marLeft w:val="0"/>
      <w:marRight w:val="0"/>
      <w:marTop w:val="0"/>
      <w:marBottom w:val="0"/>
      <w:divBdr>
        <w:top w:val="none" w:sz="0" w:space="0" w:color="auto"/>
        <w:left w:val="none" w:sz="0" w:space="0" w:color="auto"/>
        <w:bottom w:val="none" w:sz="0" w:space="0" w:color="auto"/>
        <w:right w:val="none" w:sz="0" w:space="0" w:color="auto"/>
      </w:divBdr>
    </w:div>
    <w:div w:id="751005130">
      <w:bodyDiv w:val="1"/>
      <w:marLeft w:val="0"/>
      <w:marRight w:val="0"/>
      <w:marTop w:val="0"/>
      <w:marBottom w:val="0"/>
      <w:divBdr>
        <w:top w:val="none" w:sz="0" w:space="0" w:color="auto"/>
        <w:left w:val="none" w:sz="0" w:space="0" w:color="auto"/>
        <w:bottom w:val="none" w:sz="0" w:space="0" w:color="auto"/>
        <w:right w:val="none" w:sz="0" w:space="0" w:color="auto"/>
      </w:divBdr>
      <w:divsChild>
        <w:div w:id="596524314">
          <w:marLeft w:val="0"/>
          <w:marRight w:val="0"/>
          <w:marTop w:val="0"/>
          <w:marBottom w:val="0"/>
          <w:divBdr>
            <w:top w:val="none" w:sz="0" w:space="0" w:color="auto"/>
            <w:left w:val="none" w:sz="0" w:space="0" w:color="auto"/>
            <w:bottom w:val="none" w:sz="0" w:space="0" w:color="auto"/>
            <w:right w:val="none" w:sz="0" w:space="0" w:color="auto"/>
          </w:divBdr>
          <w:divsChild>
            <w:div w:id="2054570660">
              <w:marLeft w:val="0"/>
              <w:marRight w:val="0"/>
              <w:marTop w:val="100"/>
              <w:marBottom w:val="100"/>
              <w:divBdr>
                <w:top w:val="none" w:sz="0" w:space="0" w:color="auto"/>
                <w:left w:val="none" w:sz="0" w:space="0" w:color="auto"/>
                <w:bottom w:val="none" w:sz="0" w:space="0" w:color="auto"/>
                <w:right w:val="none" w:sz="0" w:space="0" w:color="auto"/>
              </w:divBdr>
              <w:divsChild>
                <w:div w:id="1853179632">
                  <w:marLeft w:val="0"/>
                  <w:marRight w:val="0"/>
                  <w:marTop w:val="0"/>
                  <w:marBottom w:val="0"/>
                  <w:divBdr>
                    <w:top w:val="none" w:sz="0" w:space="0" w:color="auto"/>
                    <w:left w:val="none" w:sz="0" w:space="0" w:color="auto"/>
                    <w:bottom w:val="none" w:sz="0" w:space="0" w:color="auto"/>
                    <w:right w:val="none" w:sz="0" w:space="0" w:color="auto"/>
                  </w:divBdr>
                  <w:divsChild>
                    <w:div w:id="279802167">
                      <w:marLeft w:val="0"/>
                      <w:marRight w:val="0"/>
                      <w:marTop w:val="0"/>
                      <w:marBottom w:val="0"/>
                      <w:divBdr>
                        <w:top w:val="none" w:sz="0" w:space="0" w:color="auto"/>
                        <w:left w:val="none" w:sz="0" w:space="0" w:color="auto"/>
                        <w:bottom w:val="none" w:sz="0" w:space="0" w:color="auto"/>
                        <w:right w:val="none" w:sz="0" w:space="0" w:color="auto"/>
                      </w:divBdr>
                      <w:divsChild>
                        <w:div w:id="447091647">
                          <w:marLeft w:val="0"/>
                          <w:marRight w:val="0"/>
                          <w:marTop w:val="0"/>
                          <w:marBottom w:val="0"/>
                          <w:divBdr>
                            <w:top w:val="none" w:sz="0" w:space="0" w:color="auto"/>
                            <w:left w:val="none" w:sz="0" w:space="0" w:color="auto"/>
                            <w:bottom w:val="none" w:sz="0" w:space="0" w:color="auto"/>
                            <w:right w:val="none" w:sz="0" w:space="0" w:color="auto"/>
                          </w:divBdr>
                          <w:divsChild>
                            <w:div w:id="759106441">
                              <w:marLeft w:val="0"/>
                              <w:marRight w:val="0"/>
                              <w:marTop w:val="0"/>
                              <w:marBottom w:val="0"/>
                              <w:divBdr>
                                <w:top w:val="none" w:sz="0" w:space="0" w:color="auto"/>
                                <w:left w:val="none" w:sz="0" w:space="0" w:color="auto"/>
                                <w:bottom w:val="none" w:sz="0" w:space="0" w:color="auto"/>
                                <w:right w:val="none" w:sz="0" w:space="0" w:color="auto"/>
                              </w:divBdr>
                              <w:divsChild>
                                <w:div w:id="831530415">
                                  <w:marLeft w:val="0"/>
                                  <w:marRight w:val="0"/>
                                  <w:marTop w:val="0"/>
                                  <w:marBottom w:val="0"/>
                                  <w:divBdr>
                                    <w:top w:val="none" w:sz="0" w:space="0" w:color="auto"/>
                                    <w:left w:val="none" w:sz="0" w:space="0" w:color="auto"/>
                                    <w:bottom w:val="none" w:sz="0" w:space="0" w:color="auto"/>
                                    <w:right w:val="none" w:sz="0" w:space="0" w:color="auto"/>
                                  </w:divBdr>
                                  <w:divsChild>
                                    <w:div w:id="1818572098">
                                      <w:marLeft w:val="0"/>
                                      <w:marRight w:val="0"/>
                                      <w:marTop w:val="0"/>
                                      <w:marBottom w:val="0"/>
                                      <w:divBdr>
                                        <w:top w:val="none" w:sz="0" w:space="0" w:color="auto"/>
                                        <w:left w:val="none" w:sz="0" w:space="0" w:color="auto"/>
                                        <w:bottom w:val="none" w:sz="0" w:space="0" w:color="auto"/>
                                        <w:right w:val="none" w:sz="0" w:space="0" w:color="auto"/>
                                      </w:divBdr>
                                      <w:divsChild>
                                        <w:div w:id="1678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83429478">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16723802">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55659">
      <w:bodyDiv w:val="1"/>
      <w:marLeft w:val="0"/>
      <w:marRight w:val="0"/>
      <w:marTop w:val="0"/>
      <w:marBottom w:val="0"/>
      <w:divBdr>
        <w:top w:val="none" w:sz="0" w:space="0" w:color="auto"/>
        <w:left w:val="none" w:sz="0" w:space="0" w:color="auto"/>
        <w:bottom w:val="none" w:sz="0" w:space="0" w:color="auto"/>
        <w:right w:val="none" w:sz="0" w:space="0" w:color="auto"/>
      </w:divBdr>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053654352">
      <w:bodyDiv w:val="1"/>
      <w:marLeft w:val="0"/>
      <w:marRight w:val="0"/>
      <w:marTop w:val="0"/>
      <w:marBottom w:val="0"/>
      <w:divBdr>
        <w:top w:val="none" w:sz="0" w:space="0" w:color="auto"/>
        <w:left w:val="none" w:sz="0" w:space="0" w:color="auto"/>
        <w:bottom w:val="none" w:sz="0" w:space="0" w:color="auto"/>
        <w:right w:val="none" w:sz="0" w:space="0" w:color="auto"/>
      </w:divBdr>
    </w:div>
    <w:div w:id="1107039428">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39383098">
      <w:bodyDiv w:val="1"/>
      <w:marLeft w:val="0"/>
      <w:marRight w:val="0"/>
      <w:marTop w:val="0"/>
      <w:marBottom w:val="0"/>
      <w:divBdr>
        <w:top w:val="none" w:sz="0" w:space="0" w:color="auto"/>
        <w:left w:val="none" w:sz="0" w:space="0" w:color="auto"/>
        <w:bottom w:val="none" w:sz="0" w:space="0" w:color="auto"/>
        <w:right w:val="none" w:sz="0" w:space="0" w:color="auto"/>
      </w:divBdr>
      <w:divsChild>
        <w:div w:id="1705129269">
          <w:marLeft w:val="0"/>
          <w:marRight w:val="0"/>
          <w:marTop w:val="0"/>
          <w:marBottom w:val="0"/>
          <w:divBdr>
            <w:top w:val="none" w:sz="0" w:space="0" w:color="auto"/>
            <w:left w:val="none" w:sz="0" w:space="0" w:color="auto"/>
            <w:bottom w:val="none" w:sz="0" w:space="0" w:color="auto"/>
            <w:right w:val="none" w:sz="0" w:space="0" w:color="auto"/>
          </w:divBdr>
          <w:divsChild>
            <w:div w:id="2127310620">
              <w:marLeft w:val="0"/>
              <w:marRight w:val="0"/>
              <w:marTop w:val="0"/>
              <w:marBottom w:val="0"/>
              <w:divBdr>
                <w:top w:val="none" w:sz="0" w:space="0" w:color="auto"/>
                <w:left w:val="none" w:sz="0" w:space="0" w:color="auto"/>
                <w:bottom w:val="none" w:sz="0" w:space="0" w:color="auto"/>
                <w:right w:val="none" w:sz="0" w:space="0" w:color="auto"/>
              </w:divBdr>
              <w:divsChild>
                <w:div w:id="2056541336">
                  <w:marLeft w:val="0"/>
                  <w:marRight w:val="0"/>
                  <w:marTop w:val="0"/>
                  <w:marBottom w:val="0"/>
                  <w:divBdr>
                    <w:top w:val="none" w:sz="0" w:space="0" w:color="auto"/>
                    <w:left w:val="none" w:sz="0" w:space="0" w:color="auto"/>
                    <w:bottom w:val="none" w:sz="0" w:space="0" w:color="auto"/>
                    <w:right w:val="none" w:sz="0" w:space="0" w:color="auto"/>
                  </w:divBdr>
                  <w:divsChild>
                    <w:div w:id="8419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87795579">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458722036">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61762989">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764899">
      <w:bodyDiv w:val="1"/>
      <w:marLeft w:val="0"/>
      <w:marRight w:val="0"/>
      <w:marTop w:val="0"/>
      <w:marBottom w:val="0"/>
      <w:divBdr>
        <w:top w:val="none" w:sz="0" w:space="0" w:color="auto"/>
        <w:left w:val="none" w:sz="0" w:space="0" w:color="auto"/>
        <w:bottom w:val="none" w:sz="0" w:space="0" w:color="auto"/>
        <w:right w:val="none" w:sz="0" w:space="0" w:color="auto"/>
      </w:divBdr>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33972">
      <w:bodyDiv w:val="1"/>
      <w:marLeft w:val="0"/>
      <w:marRight w:val="0"/>
      <w:marTop w:val="0"/>
      <w:marBottom w:val="0"/>
      <w:divBdr>
        <w:top w:val="none" w:sz="0" w:space="0" w:color="auto"/>
        <w:left w:val="none" w:sz="0" w:space="0" w:color="auto"/>
        <w:bottom w:val="none" w:sz="0" w:space="0" w:color="auto"/>
        <w:right w:val="none" w:sz="0" w:space="0" w:color="auto"/>
      </w:divBdr>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023730">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172432">
      <w:bodyDiv w:val="1"/>
      <w:marLeft w:val="0"/>
      <w:marRight w:val="0"/>
      <w:marTop w:val="0"/>
      <w:marBottom w:val="0"/>
      <w:divBdr>
        <w:top w:val="none" w:sz="0" w:space="0" w:color="auto"/>
        <w:left w:val="none" w:sz="0" w:space="0" w:color="auto"/>
        <w:bottom w:val="none" w:sz="0" w:space="0" w:color="auto"/>
        <w:right w:val="none" w:sz="0" w:space="0" w:color="auto"/>
      </w:divBdr>
      <w:divsChild>
        <w:div w:id="2071347418">
          <w:marLeft w:val="0"/>
          <w:marRight w:val="0"/>
          <w:marTop w:val="0"/>
          <w:marBottom w:val="0"/>
          <w:divBdr>
            <w:top w:val="none" w:sz="0" w:space="0" w:color="auto"/>
            <w:left w:val="none" w:sz="0" w:space="0" w:color="auto"/>
            <w:bottom w:val="none" w:sz="0" w:space="0" w:color="auto"/>
            <w:right w:val="none" w:sz="0" w:space="0" w:color="auto"/>
          </w:divBdr>
          <w:divsChild>
            <w:div w:id="505097346">
              <w:marLeft w:val="0"/>
              <w:marRight w:val="0"/>
              <w:marTop w:val="0"/>
              <w:marBottom w:val="0"/>
              <w:divBdr>
                <w:top w:val="none" w:sz="0" w:space="0" w:color="auto"/>
                <w:left w:val="none" w:sz="0" w:space="0" w:color="auto"/>
                <w:bottom w:val="none" w:sz="0" w:space="0" w:color="auto"/>
                <w:right w:val="none" w:sz="0" w:space="0" w:color="auto"/>
              </w:divBdr>
              <w:divsChild>
                <w:div w:id="1146899665">
                  <w:marLeft w:val="0"/>
                  <w:marRight w:val="0"/>
                  <w:marTop w:val="0"/>
                  <w:marBottom w:val="0"/>
                  <w:divBdr>
                    <w:top w:val="none" w:sz="0" w:space="0" w:color="auto"/>
                    <w:left w:val="none" w:sz="0" w:space="0" w:color="auto"/>
                    <w:bottom w:val="none" w:sz="0" w:space="0" w:color="auto"/>
                    <w:right w:val="none" w:sz="0" w:space="0" w:color="auto"/>
                  </w:divBdr>
                  <w:divsChild>
                    <w:div w:id="1551380345">
                      <w:marLeft w:val="1"/>
                      <w:marRight w:val="1"/>
                      <w:marTop w:val="0"/>
                      <w:marBottom w:val="0"/>
                      <w:divBdr>
                        <w:top w:val="none" w:sz="0" w:space="0" w:color="auto"/>
                        <w:left w:val="none" w:sz="0" w:space="0" w:color="auto"/>
                        <w:bottom w:val="none" w:sz="0" w:space="0" w:color="auto"/>
                        <w:right w:val="none" w:sz="0" w:space="0" w:color="auto"/>
                      </w:divBdr>
                      <w:divsChild>
                        <w:div w:id="1795321566">
                          <w:marLeft w:val="0"/>
                          <w:marRight w:val="0"/>
                          <w:marTop w:val="0"/>
                          <w:marBottom w:val="0"/>
                          <w:divBdr>
                            <w:top w:val="none" w:sz="0" w:space="0" w:color="auto"/>
                            <w:left w:val="none" w:sz="0" w:space="0" w:color="auto"/>
                            <w:bottom w:val="none" w:sz="0" w:space="0" w:color="auto"/>
                            <w:right w:val="none" w:sz="0" w:space="0" w:color="auto"/>
                          </w:divBdr>
                          <w:divsChild>
                            <w:div w:id="90780014">
                              <w:marLeft w:val="0"/>
                              <w:marRight w:val="0"/>
                              <w:marTop w:val="0"/>
                              <w:marBottom w:val="360"/>
                              <w:divBdr>
                                <w:top w:val="none" w:sz="0" w:space="0" w:color="auto"/>
                                <w:left w:val="none" w:sz="0" w:space="0" w:color="auto"/>
                                <w:bottom w:val="none" w:sz="0" w:space="0" w:color="auto"/>
                                <w:right w:val="none" w:sz="0" w:space="0" w:color="auto"/>
                              </w:divBdr>
                              <w:divsChild>
                                <w:div w:id="1803384243">
                                  <w:marLeft w:val="0"/>
                                  <w:marRight w:val="0"/>
                                  <w:marTop w:val="0"/>
                                  <w:marBottom w:val="0"/>
                                  <w:divBdr>
                                    <w:top w:val="none" w:sz="0" w:space="0" w:color="auto"/>
                                    <w:left w:val="none" w:sz="0" w:space="0" w:color="auto"/>
                                    <w:bottom w:val="none" w:sz="0" w:space="0" w:color="auto"/>
                                    <w:right w:val="none" w:sz="0" w:space="0" w:color="auto"/>
                                  </w:divBdr>
                                  <w:divsChild>
                                    <w:div w:id="5401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4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06-01-2797" TargetMode="External"/><Relationship Id="rId18" Type="http://schemas.openxmlformats.org/officeDocument/2006/relationships/hyperlink" Target="http://www.uradni-list.si/1/objava.jsp?sop=2018-01-3986" TargetMode="External"/><Relationship Id="rId26" Type="http://schemas.openxmlformats.org/officeDocument/2006/relationships/hyperlink" Target="http://www.uradni-list.si/1/objava.jsp?sop=2018-01-2206"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uradni-list.si/1/objava.jsp?sop=2006-01-1313" TargetMode="External"/><Relationship Id="rId17" Type="http://schemas.openxmlformats.org/officeDocument/2006/relationships/hyperlink" Target="http://www.uradni-list.si/1/objava.jsp?sop=2018-01-3984" TargetMode="External"/><Relationship Id="rId25" Type="http://schemas.openxmlformats.org/officeDocument/2006/relationships/hyperlink" Target="http://www.uradni-list.si/1/objava.jsp?sop=2018-01-4120" TargetMode="External"/><Relationship Id="rId33" Type="http://schemas.openxmlformats.org/officeDocument/2006/relationships/hyperlink" Target="http://www.uradni-list.si/1/objava.jsp?sop=2018-01-3986" TargetMode="External"/><Relationship Id="rId2" Type="http://schemas.openxmlformats.org/officeDocument/2006/relationships/numbering" Target="numbering.xml"/><Relationship Id="rId16" Type="http://schemas.openxmlformats.org/officeDocument/2006/relationships/hyperlink" Target="http://www.uradni-list.si/1/objava.jsp?sop=2017-01-3258" TargetMode="External"/><Relationship Id="rId20" Type="http://schemas.openxmlformats.org/officeDocument/2006/relationships/header" Target="header1.xml"/><Relationship Id="rId29" Type="http://schemas.openxmlformats.org/officeDocument/2006/relationships/hyperlink" Target="http://www.uradni-list.si/1/objava.jsp?sop=2008-01-349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8-01-2206" TargetMode="External"/><Relationship Id="rId24" Type="http://schemas.openxmlformats.org/officeDocument/2006/relationships/hyperlink" Target="http://www.uradni-list.si/1/objava.jsp?sop=2018-01-4120" TargetMode="External"/><Relationship Id="rId32" Type="http://schemas.openxmlformats.org/officeDocument/2006/relationships/hyperlink" Target="http://www.uradni-list.si/1/objava.jsp?sop=2018-01-3984"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radni-list.si/1/objava.jsp?sop=2010-01-0819" TargetMode="External"/><Relationship Id="rId23" Type="http://schemas.openxmlformats.org/officeDocument/2006/relationships/header" Target="header2.xml"/><Relationship Id="rId28" Type="http://schemas.openxmlformats.org/officeDocument/2006/relationships/hyperlink" Target="http://www.uradni-list.si/1/objava.jsp?sop=2006-01-2797" TargetMode="External"/><Relationship Id="rId36" Type="http://schemas.openxmlformats.org/officeDocument/2006/relationships/fontTable" Target="fontTable.xml"/><Relationship Id="rId10" Type="http://schemas.openxmlformats.org/officeDocument/2006/relationships/hyperlink" Target="http://www.uradni-list.si/1/objava.jsp?sop=2018-01-4120" TargetMode="External"/><Relationship Id="rId19" Type="http://schemas.openxmlformats.org/officeDocument/2006/relationships/hyperlink" Target="http://www.uradni-list.si/1/objava.jsp?sop=2018-01-4120" TargetMode="External"/><Relationship Id="rId31" Type="http://schemas.openxmlformats.org/officeDocument/2006/relationships/hyperlink" Target="http://www.uradni-list.si/1/objava.jsp?sop=2017-01-3258"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08-01-3495" TargetMode="External"/><Relationship Id="rId22" Type="http://schemas.openxmlformats.org/officeDocument/2006/relationships/footer" Target="footer2.xml"/><Relationship Id="rId27" Type="http://schemas.openxmlformats.org/officeDocument/2006/relationships/hyperlink" Target="http://www.uradni-list.si/1/objava.jsp?sop=2006-01-1313" TargetMode="External"/><Relationship Id="rId30" Type="http://schemas.openxmlformats.org/officeDocument/2006/relationships/hyperlink" Target="http://www.uradni-list.si/1/objava.jsp?sop=2010-01-0819"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3790C-3114-4774-A081-02C744F5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3536</Words>
  <Characters>20160</Characters>
  <Application>Microsoft Office Word</Application>
  <DocSecurity>0</DocSecurity>
  <Lines>168</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23649</CharactersWithSpaces>
  <SharedDoc>false</SharedDoc>
  <HLinks>
    <vt:vector size="12" baseType="variant">
      <vt:variant>
        <vt:i4>1245269</vt:i4>
      </vt:variant>
      <vt:variant>
        <vt:i4>3</vt:i4>
      </vt:variant>
      <vt:variant>
        <vt:i4>0</vt:i4>
      </vt:variant>
      <vt:variant>
        <vt:i4>5</vt:i4>
      </vt:variant>
      <vt:variant>
        <vt:lpwstr>http://www.mop.gov.si/si/zakonodaja_in_dokumenti/veljavni_predpisi/okolje/zakon_o_varstvu_okolja/arhiv_zakljucenih_postopkov_sodelovanja_javnosti_okoljski_predpisi/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Peter.Tomse@gov.si</dc:creator>
  <cp:lastModifiedBy>Katja.Goricar</cp:lastModifiedBy>
  <cp:revision>5</cp:revision>
  <cp:lastPrinted>2019-02-12T09:17:00Z</cp:lastPrinted>
  <dcterms:created xsi:type="dcterms:W3CDTF">2019-02-18T06:34:00Z</dcterms:created>
  <dcterms:modified xsi:type="dcterms:W3CDTF">2019-02-25T09:04:00Z</dcterms:modified>
</cp:coreProperties>
</file>